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3.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9.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867B" w14:textId="436251AC" w:rsidR="00BA64EC" w:rsidRDefault="00AD7983" w:rsidP="00AD7983">
      <w:pPr>
        <w:tabs>
          <w:tab w:val="left" w:pos="2085"/>
        </w:tabs>
      </w:pPr>
      <w:r>
        <w:rPr>
          <w:noProof/>
        </w:rPr>
        <w:drawing>
          <wp:inline distT="0" distB="0" distL="0" distR="0" wp14:anchorId="4995635B" wp14:editId="2BE2D35E">
            <wp:extent cx="1733948" cy="971550"/>
            <wp:effectExtent l="0" t="0" r="0" b="0"/>
            <wp:docPr id="1712918061" name="Obraz 98" descr="Obraz zawierający tekst, Grafika, projekt graficzn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8061" name="Obraz 98" descr="Obraz zawierający tekst, Grafika, projekt graficzny, symbol&#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208" cy="974497"/>
                    </a:xfrm>
                    <a:prstGeom prst="rect">
                      <a:avLst/>
                    </a:prstGeom>
                    <a:noFill/>
                    <a:ln>
                      <a:noFill/>
                    </a:ln>
                  </pic:spPr>
                </pic:pic>
              </a:graphicData>
            </a:graphic>
          </wp:inline>
        </w:drawing>
      </w:r>
      <w:r w:rsidR="00337BB1">
        <w:rPr>
          <w:noProof/>
          <w:lang w:eastAsia="pl-PL"/>
        </w:rPr>
        <mc:AlternateContent>
          <mc:Choice Requires="wps">
            <w:drawing>
              <wp:anchor distT="0" distB="0" distL="114300" distR="114300" simplePos="0" relativeHeight="251658274" behindDoc="1" locked="0" layoutInCell="1" allowOverlap="1" wp14:anchorId="1B20A474" wp14:editId="22C71D6F">
                <wp:simplePos x="0" y="0"/>
                <wp:positionH relativeFrom="margin">
                  <wp:align>center</wp:align>
                </wp:positionH>
                <wp:positionV relativeFrom="paragraph">
                  <wp:posOffset>-886333</wp:posOffset>
                </wp:positionV>
                <wp:extent cx="7583170" cy="10815320"/>
                <wp:effectExtent l="0" t="0" r="0" b="5080"/>
                <wp:wrapNone/>
                <wp:docPr id="1452145905"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3170" cy="1081532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935CA1" w:rsidR="00C36C5C" w:rsidRDefault="00C36C5C" w:rsidP="00337B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0A474" id="Prostokąt 91" o:spid="_x0000_s1026" style="position:absolute;left:0;text-align:left;margin-left:0;margin-top:-69.8pt;width:597.1pt;height:851.6pt;z-index:-25165820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" fillcolor="#002060" stroked="f" strokeweight="1pt">
                <v:textbox>
                  <w:txbxContent>
                    <w:p w14:paraId="4EC9D7CF" w14:textId="77935CA1" w:rsidR="00C36C5C" w:rsidRDefault="00C36C5C" w:rsidP="00337BB1"/>
                  </w:txbxContent>
                </v:textbox>
                <w10:wrap anchorx="margin"/>
              </v:rect>
            </w:pict>
          </mc:Fallback>
        </mc:AlternateContent>
      </w:r>
      <w:r w:rsidR="005E5DF2">
        <w:rPr>
          <w:noProof/>
          <w:lang w:eastAsia="pl-PL"/>
        </w:rPr>
        <mc:AlternateContent>
          <mc:Choice Requires="wps">
            <w:drawing>
              <wp:anchor distT="0" distB="0" distL="114300" distR="114300" simplePos="0" relativeHeight="251658275" behindDoc="0" locked="0" layoutInCell="1" allowOverlap="1" wp14:anchorId="24B08741" wp14:editId="69316CCD">
                <wp:simplePos x="0" y="0"/>
                <wp:positionH relativeFrom="margin">
                  <wp:align>right</wp:align>
                </wp:positionH>
                <wp:positionV relativeFrom="paragraph">
                  <wp:posOffset>4445</wp:posOffset>
                </wp:positionV>
                <wp:extent cx="1955165" cy="930275"/>
                <wp:effectExtent l="0" t="0" r="26035" b="22225"/>
                <wp:wrapNone/>
                <wp:docPr id="6224250"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165" cy="930275"/>
                        </a:xfrm>
                        <a:prstGeom prst="rect">
                          <a:avLst/>
                        </a:prstGeom>
                        <a:solidFill>
                          <a:srgbClr val="92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EFBA45" w14:textId="720C7C9E" w:rsidR="00C36C5C" w:rsidRPr="003D525D" w:rsidRDefault="00C36C5C" w:rsidP="00BA64EC">
                            <w:pPr>
                              <w:spacing w:after="0"/>
                              <w:jc w:val="center"/>
                              <w:rPr>
                                <w:rFonts w:ascii="Bahnschrift" w:hAnsi="Bahnschrift"/>
                                <w:sz w:val="40"/>
                                <w:szCs w:val="40"/>
                              </w:rPr>
                            </w:pPr>
                            <w:r>
                              <w:rPr>
                                <w:rFonts w:ascii="Bahnschrift" w:hAnsi="Bahnschrift"/>
                                <w:sz w:val="40"/>
                                <w:szCs w:val="4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08741" id="Prostokąt 92" o:spid="_x0000_s1027" style="position:absolute;left:0;text-align:left;margin-left:102.75pt;margin-top:.35pt;width:153.95pt;height:73.25pt;z-index:2516582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" fillcolor="#920000" strokecolor="#09101d [484]" strokeweight="1pt">
                <v:path arrowok="t"/>
                <v:textbox>
                  <w:txbxContent>
                    <w:p w14:paraId="73EFBA45" w14:textId="720C7C9E" w:rsidR="00C36C5C" w:rsidRPr="003D525D" w:rsidRDefault="00C36C5C" w:rsidP="00BA64EC">
                      <w:pPr>
                        <w:spacing w:after="0"/>
                        <w:jc w:val="center"/>
                        <w:rPr>
                          <w:rFonts w:ascii="Bahnschrift" w:hAnsi="Bahnschrift"/>
                          <w:sz w:val="40"/>
                          <w:szCs w:val="40"/>
                        </w:rPr>
                      </w:pPr>
                      <w:r>
                        <w:rPr>
                          <w:rFonts w:ascii="Bahnschrift" w:hAnsi="Bahnschrift"/>
                          <w:sz w:val="40"/>
                          <w:szCs w:val="40"/>
                        </w:rPr>
                        <w:t>PROJEKT</w:t>
                      </w:r>
                    </w:p>
                  </w:txbxContent>
                </v:textbox>
                <w10:wrap anchorx="margin"/>
              </v:rect>
            </w:pict>
          </mc:Fallback>
        </mc:AlternateContent>
      </w:r>
    </w:p>
    <w:p w14:paraId="7289F5B1" w14:textId="1588B880" w:rsidR="00A905F3" w:rsidRPr="00A905F3" w:rsidRDefault="00BA64EC" w:rsidP="00473117">
      <w:pPr>
        <w:pStyle w:val="Tytu"/>
        <w:spacing w:before="20" w:after="240"/>
        <w:rPr>
          <w:rFonts w:eastAsiaTheme="minorHAnsi"/>
          <w:b/>
          <w:bCs/>
        </w:rPr>
      </w:pPr>
      <w:r w:rsidRPr="001144FC">
        <w:rPr>
          <w:rFonts w:eastAsiaTheme="minorHAnsi"/>
          <w:b/>
          <w:bCs/>
          <w:sz w:val="68"/>
          <w:szCs w:val="68"/>
        </w:rPr>
        <w:t>Krajow</w:t>
      </w:r>
      <w:r w:rsidR="001144FC" w:rsidRPr="001144FC">
        <w:rPr>
          <w:rFonts w:eastAsiaTheme="minorHAnsi"/>
          <w:b/>
          <w:bCs/>
          <w:sz w:val="68"/>
          <w:szCs w:val="68"/>
        </w:rPr>
        <w:t>y</w:t>
      </w:r>
      <w:r w:rsidRPr="001144FC">
        <w:rPr>
          <w:rFonts w:eastAsiaTheme="minorHAnsi"/>
          <w:b/>
          <w:bCs/>
          <w:sz w:val="68"/>
          <w:szCs w:val="68"/>
        </w:rPr>
        <w:t xml:space="preserve"> </w:t>
      </w:r>
      <w:r w:rsidR="00583F68" w:rsidRPr="001144FC">
        <w:rPr>
          <w:rFonts w:eastAsiaTheme="minorHAnsi"/>
          <w:b/>
          <w:bCs/>
          <w:sz w:val="68"/>
          <w:szCs w:val="68"/>
        </w:rPr>
        <w:t>P</w:t>
      </w:r>
      <w:r w:rsidRPr="001144FC">
        <w:rPr>
          <w:rFonts w:eastAsiaTheme="minorHAnsi"/>
          <w:b/>
          <w:bCs/>
          <w:sz w:val="68"/>
          <w:szCs w:val="68"/>
        </w:rPr>
        <w:t xml:space="preserve">lan </w:t>
      </w:r>
      <w:r w:rsidR="00A905F3">
        <w:rPr>
          <w:rFonts w:eastAsiaTheme="minorHAnsi"/>
          <w:b/>
          <w:bCs/>
          <w:sz w:val="68"/>
          <w:szCs w:val="68"/>
        </w:rPr>
        <w:br/>
      </w:r>
      <w:r w:rsidR="001144FC" w:rsidRPr="00A905F3">
        <w:rPr>
          <w:rFonts w:eastAsiaTheme="minorHAnsi"/>
          <w:b/>
          <w:bCs/>
          <w:sz w:val="64"/>
          <w:szCs w:val="64"/>
        </w:rPr>
        <w:t>w dziedzinie</w:t>
      </w:r>
      <w:r w:rsidRPr="00A905F3">
        <w:rPr>
          <w:rFonts w:eastAsiaTheme="minorHAnsi"/>
          <w:b/>
          <w:bCs/>
          <w:sz w:val="72"/>
          <w:szCs w:val="72"/>
        </w:rPr>
        <w:t xml:space="preserve"> </w:t>
      </w:r>
      <w:r w:rsidR="00A905F3">
        <w:rPr>
          <w:rFonts w:eastAsiaTheme="minorHAnsi"/>
          <w:b/>
          <w:bCs/>
        </w:rPr>
        <w:br/>
      </w:r>
      <w:r w:rsidR="001144FC" w:rsidRPr="001144FC">
        <w:rPr>
          <w:rFonts w:eastAsiaTheme="minorHAnsi"/>
          <w:b/>
          <w:bCs/>
          <w:sz w:val="68"/>
          <w:szCs w:val="68"/>
        </w:rPr>
        <w:t>E</w:t>
      </w:r>
      <w:r w:rsidRPr="001144FC">
        <w:rPr>
          <w:rFonts w:eastAsiaTheme="minorHAnsi"/>
          <w:b/>
          <w:bCs/>
          <w:sz w:val="68"/>
          <w:szCs w:val="68"/>
        </w:rPr>
        <w:t xml:space="preserve">nergii i </w:t>
      </w:r>
      <w:r w:rsidR="001144FC" w:rsidRPr="001144FC">
        <w:rPr>
          <w:rFonts w:eastAsiaTheme="minorHAnsi"/>
          <w:b/>
          <w:bCs/>
          <w:sz w:val="68"/>
          <w:szCs w:val="68"/>
        </w:rPr>
        <w:t>K</w:t>
      </w:r>
      <w:r w:rsidRPr="001144FC">
        <w:rPr>
          <w:rFonts w:eastAsiaTheme="minorHAnsi"/>
          <w:b/>
          <w:bCs/>
          <w:sz w:val="68"/>
          <w:szCs w:val="68"/>
        </w:rPr>
        <w:t xml:space="preserve">limatu </w:t>
      </w:r>
      <w:r w:rsidR="001144FC" w:rsidRPr="001144FC">
        <w:rPr>
          <w:rFonts w:eastAsiaTheme="minorHAnsi"/>
          <w:b/>
          <w:bCs/>
          <w:sz w:val="68"/>
          <w:szCs w:val="68"/>
        </w:rPr>
        <w:t xml:space="preserve">do </w:t>
      </w:r>
      <w:r w:rsidRPr="001144FC">
        <w:rPr>
          <w:rFonts w:eastAsiaTheme="minorHAnsi"/>
          <w:b/>
          <w:bCs/>
          <w:sz w:val="68"/>
          <w:szCs w:val="68"/>
        </w:rPr>
        <w:t xml:space="preserve">2030 </w:t>
      </w:r>
      <w:r w:rsidR="001144FC" w:rsidRPr="001144FC">
        <w:rPr>
          <w:rFonts w:eastAsiaTheme="minorHAnsi"/>
          <w:b/>
          <w:bCs/>
          <w:sz w:val="68"/>
          <w:szCs w:val="68"/>
        </w:rPr>
        <w:t>r.</w:t>
      </w:r>
    </w:p>
    <w:p w14:paraId="2563BA3F" w14:textId="1929C57C" w:rsidR="0028369E" w:rsidRPr="00A905F3" w:rsidRDefault="0028369E" w:rsidP="00A905F3">
      <w:pPr>
        <w:pStyle w:val="Tytu"/>
        <w:spacing w:after="360"/>
        <w:rPr>
          <w:rFonts w:eastAsiaTheme="minorHAnsi"/>
          <w:b/>
          <w:bCs/>
          <w:sz w:val="68"/>
          <w:szCs w:val="68"/>
        </w:rPr>
      </w:pPr>
      <w:r w:rsidRPr="00542060">
        <w:rPr>
          <w:rFonts w:eastAsiaTheme="minorHAnsi"/>
          <w:b/>
          <w:bCs/>
          <w:sz w:val="52"/>
          <w:szCs w:val="52"/>
        </w:rPr>
        <w:t>z perspektywą do 2040 r.</w:t>
      </w:r>
    </w:p>
    <w:p w14:paraId="22D581E3" w14:textId="7DBD9F80" w:rsidR="00BA64EC" w:rsidRPr="00D56773" w:rsidRDefault="001144FC" w:rsidP="001144FC">
      <w:pPr>
        <w:pStyle w:val="Tytu"/>
        <w:rPr>
          <w:rFonts w:ascii="Lato" w:eastAsiaTheme="minorHAnsi" w:hAnsi="Lato"/>
          <w:sz w:val="52"/>
          <w:szCs w:val="52"/>
        </w:rPr>
      </w:pPr>
      <w:r w:rsidRPr="00D56773">
        <w:rPr>
          <w:rFonts w:ascii="Lato" w:eastAsiaTheme="minorHAnsi" w:hAnsi="Lato"/>
          <w:sz w:val="40"/>
          <w:szCs w:val="40"/>
        </w:rPr>
        <w:t>(</w:t>
      </w:r>
      <w:r w:rsidRPr="00D56773">
        <w:rPr>
          <w:rFonts w:ascii="Lato" w:eastAsiaTheme="minorHAnsi" w:hAnsi="Lato"/>
          <w:sz w:val="36"/>
          <w:szCs w:val="36"/>
        </w:rPr>
        <w:t xml:space="preserve">aktualizacja </w:t>
      </w:r>
      <w:r w:rsidR="00F93AC4" w:rsidRPr="00D56773">
        <w:rPr>
          <w:rFonts w:ascii="Lato" w:eastAsiaTheme="minorHAnsi" w:hAnsi="Lato"/>
          <w:i/>
          <w:iCs/>
          <w:sz w:val="36"/>
          <w:szCs w:val="36"/>
        </w:rPr>
        <w:t>Krajowego planu na rzecz energii i klimatu</w:t>
      </w:r>
      <w:r w:rsidR="00D56773">
        <w:rPr>
          <w:rFonts w:ascii="Lato" w:eastAsiaTheme="minorHAnsi" w:hAnsi="Lato"/>
          <w:i/>
          <w:iCs/>
          <w:sz w:val="36"/>
          <w:szCs w:val="36"/>
        </w:rPr>
        <w:br/>
      </w:r>
      <w:r w:rsidR="00F93AC4" w:rsidRPr="00D56773">
        <w:rPr>
          <w:rFonts w:ascii="Lato" w:eastAsiaTheme="minorHAnsi" w:hAnsi="Lato"/>
          <w:i/>
          <w:iCs/>
          <w:sz w:val="36"/>
          <w:szCs w:val="36"/>
        </w:rPr>
        <w:t xml:space="preserve"> na</w:t>
      </w:r>
      <w:r w:rsidR="00D56773" w:rsidRPr="00D56773">
        <w:rPr>
          <w:rFonts w:ascii="Lato" w:eastAsiaTheme="minorHAnsi" w:hAnsi="Lato"/>
          <w:i/>
          <w:iCs/>
          <w:sz w:val="36"/>
          <w:szCs w:val="36"/>
        </w:rPr>
        <w:t> </w:t>
      </w:r>
      <w:r w:rsidR="00F93AC4" w:rsidRPr="00D56773">
        <w:rPr>
          <w:rFonts w:ascii="Lato" w:eastAsiaTheme="minorHAnsi" w:hAnsi="Lato"/>
          <w:i/>
          <w:iCs/>
          <w:sz w:val="36"/>
          <w:szCs w:val="36"/>
        </w:rPr>
        <w:t>lata 2021–2030</w:t>
      </w:r>
      <w:r w:rsidR="00F93AC4" w:rsidRPr="00D56773">
        <w:rPr>
          <w:rFonts w:ascii="Lato" w:eastAsiaTheme="minorHAnsi" w:hAnsi="Lato"/>
          <w:sz w:val="36"/>
          <w:szCs w:val="36"/>
        </w:rPr>
        <w:t xml:space="preserve"> </w:t>
      </w:r>
      <w:r w:rsidRPr="00D56773">
        <w:rPr>
          <w:rFonts w:ascii="Lato" w:eastAsiaTheme="minorHAnsi" w:hAnsi="Lato"/>
          <w:sz w:val="36"/>
          <w:szCs w:val="36"/>
        </w:rPr>
        <w:t>z 2019 r.)</w:t>
      </w:r>
    </w:p>
    <w:p w14:paraId="365F7DF0" w14:textId="0FBB534B" w:rsidR="00A41398" w:rsidRDefault="00F93AC4" w:rsidP="001144FC">
      <w:pPr>
        <w:pStyle w:val="Nagwekspisutreci"/>
        <w:numPr>
          <w:ilvl w:val="0"/>
          <w:numId w:val="0"/>
        </w:numPr>
        <w:spacing w:before="0" w:after="360"/>
        <w:ind w:left="432" w:hanging="432"/>
        <w:rPr>
          <w:rFonts w:ascii="Lato" w:eastAsiaTheme="minorHAnsi" w:hAnsi="Lato" w:cstheme="minorBidi"/>
          <w:kern w:val="2"/>
          <w:sz w:val="22"/>
          <w:szCs w:val="22"/>
          <w:lang w:eastAsia="en-US"/>
        </w:rPr>
      </w:pPr>
      <w:r>
        <w:rPr>
          <w:noProof/>
        </w:rPr>
        <w:drawing>
          <wp:anchor distT="0" distB="0" distL="114300" distR="114300" simplePos="0" relativeHeight="251658240" behindDoc="1" locked="0" layoutInCell="1" allowOverlap="1" wp14:anchorId="3D312FF3" wp14:editId="7FFC5D76">
            <wp:simplePos x="0" y="0"/>
            <wp:positionH relativeFrom="page">
              <wp:posOffset>0</wp:posOffset>
            </wp:positionH>
            <wp:positionV relativeFrom="paragraph">
              <wp:posOffset>484192</wp:posOffset>
            </wp:positionV>
            <wp:extent cx="7569200" cy="4098290"/>
            <wp:effectExtent l="0" t="0" r="0" b="0"/>
            <wp:wrapTight wrapText="bothSides">
              <wp:wrapPolygon edited="0">
                <wp:start x="0" y="0"/>
                <wp:lineTo x="0" y="21486"/>
                <wp:lineTo x="21528" y="21486"/>
                <wp:lineTo x="21528" y="0"/>
                <wp:lineTo x="0" y="0"/>
              </wp:wrapPolygon>
            </wp:wrapTight>
            <wp:docPr id="472045995" name="Obraz 1" descr="Obraz zawierający na wolnym powietrzu, natura, trawa, lotnicz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45995" name="Obraz 1" descr="Obraz zawierający na wolnym powietrzu, natura, trawa, lotnicze&#10;&#10;Opis wygenerowany automatyczni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69200" cy="4098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110CD" w14:textId="687C9DB7" w:rsidR="00BA64EC" w:rsidRDefault="0063112D" w:rsidP="00BA64EC">
      <w:pPr>
        <w:jc w:val="center"/>
      </w:pPr>
      <w:r w:rsidRPr="00D56773">
        <w:rPr>
          <w:noProof/>
          <w:lang w:eastAsia="pl-PL"/>
        </w:rPr>
        <mc:AlternateContent>
          <mc:Choice Requires="wps">
            <w:drawing>
              <wp:anchor distT="0" distB="0" distL="114300" distR="114300" simplePos="0" relativeHeight="251658276" behindDoc="0" locked="0" layoutInCell="1" allowOverlap="1" wp14:anchorId="1AA812B2" wp14:editId="214714DF">
                <wp:simplePos x="0" y="0"/>
                <wp:positionH relativeFrom="margin">
                  <wp:align>left</wp:align>
                </wp:positionH>
                <wp:positionV relativeFrom="paragraph">
                  <wp:posOffset>4498975</wp:posOffset>
                </wp:positionV>
                <wp:extent cx="2114550" cy="403860"/>
                <wp:effectExtent l="0" t="0" r="0" b="15240"/>
                <wp:wrapNone/>
                <wp:docPr id="2084546109"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403860"/>
                        </a:xfrm>
                        <a:prstGeom prst="rect">
                          <a:avLst/>
                        </a:prstGeom>
                        <a:noFill/>
                        <a:ln w="6350">
                          <a:noFill/>
                        </a:ln>
                      </wps:spPr>
                      <wps:txbx>
                        <w:txbxContent>
                          <w:p w14:paraId="120D6C9E" w14:textId="155333F6" w:rsidR="00C36C5C" w:rsidRPr="003D525D" w:rsidRDefault="00C36C5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Pr>
                                <w:rFonts w:ascii="Bahnschrift" w:hAnsi="Bahnschrift"/>
                                <w:color w:val="FFFFFF" w:themeColor="background1"/>
                                <w:sz w:val="24"/>
                                <w:szCs w:val="28"/>
                              </w:rPr>
                              <w:t>, lipiec</w:t>
                            </w:r>
                            <w:r w:rsidRPr="003D525D">
                              <w:rPr>
                                <w:rFonts w:ascii="Bahnschrift" w:hAnsi="Bahnschrift"/>
                                <w:color w:val="FFFFFF" w:themeColor="background1"/>
                                <w:sz w:val="24"/>
                                <w:szCs w:val="28"/>
                              </w:rPr>
                              <w:t xml:space="preserve"> 202</w:t>
                            </w:r>
                            <w:r>
                              <w:rPr>
                                <w:rFonts w:ascii="Bahnschrift" w:hAnsi="Bahnschrift"/>
                                <w:color w:val="FFFFFF" w:themeColor="background1"/>
                                <w:sz w:val="24"/>
                                <w:szCs w:val="28"/>
                              </w:rPr>
                              <w:t>5 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A812B2" id="_x0000_t202" coordsize="21600,21600" o:spt="202" path="m,l,21600r21600,l21600,xe">
                <v:stroke joinstyle="miter"/>
                <v:path gradientshapeok="t" o:connecttype="rect"/>
              </v:shapetype>
              <v:shape id="Pole tekstowe 90" o:spid="_x0000_s1028" type="#_x0000_t202" style="position:absolute;left:0;text-align:left;margin-left:0;margin-top:354.25pt;width:166.5pt;height:31.8pt;z-index:2516582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" filled="f" stroked="f" strokeweight=".5pt">
                <v:textbox inset="0,0,0,0">
                  <w:txbxContent>
                    <w:p w14:paraId="120D6C9E" w14:textId="155333F6" w:rsidR="00C36C5C" w:rsidRPr="003D525D" w:rsidRDefault="00C36C5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Pr>
                          <w:rFonts w:ascii="Bahnschrift" w:hAnsi="Bahnschrift"/>
                          <w:color w:val="FFFFFF" w:themeColor="background1"/>
                          <w:sz w:val="24"/>
                          <w:szCs w:val="28"/>
                        </w:rPr>
                        <w:t>, lipiec</w:t>
                      </w:r>
                      <w:r w:rsidRPr="003D525D">
                        <w:rPr>
                          <w:rFonts w:ascii="Bahnschrift" w:hAnsi="Bahnschrift"/>
                          <w:color w:val="FFFFFF" w:themeColor="background1"/>
                          <w:sz w:val="24"/>
                          <w:szCs w:val="28"/>
                        </w:rPr>
                        <w:t xml:space="preserve"> 202</w:t>
                      </w:r>
                      <w:r>
                        <w:rPr>
                          <w:rFonts w:ascii="Bahnschrift" w:hAnsi="Bahnschrift"/>
                          <w:color w:val="FFFFFF" w:themeColor="background1"/>
                          <w:sz w:val="24"/>
                          <w:szCs w:val="28"/>
                        </w:rPr>
                        <w:t>5 r.</w:t>
                      </w:r>
                    </w:p>
                  </w:txbxContent>
                </v:textbox>
                <w10:wrap anchorx="margin"/>
              </v:shape>
            </w:pict>
          </mc:Fallback>
        </mc:AlternateContent>
      </w:r>
    </w:p>
    <w:p w14:paraId="337B9218" w14:textId="17C1B541" w:rsidR="00BA64EC" w:rsidRDefault="00BA64EC" w:rsidP="00BA64EC">
      <w:pPr>
        <w:sectPr w:rsidR="00BA64EC" w:rsidSect="005209BA">
          <w:headerReference w:type="default" r:id="rId13"/>
          <w:footerReference w:type="default" r:id="rId14"/>
          <w:pgSz w:w="11906" w:h="16838"/>
          <w:pgMar w:top="1417" w:right="1417" w:bottom="1417" w:left="1417" w:header="708" w:footer="708" w:gutter="0"/>
          <w:cols w:space="708"/>
          <w:docGrid w:linePitch="360"/>
        </w:sectPr>
      </w:pPr>
    </w:p>
    <w:sdt>
      <w:sdtPr>
        <w:rPr>
          <w:rFonts w:ascii="Lato" w:eastAsiaTheme="minorEastAsia" w:hAnsi="Lato" w:cstheme="minorBidi"/>
          <w:kern w:val="2"/>
          <w:sz w:val="22"/>
          <w:szCs w:val="22"/>
          <w:lang w:eastAsia="en-US"/>
        </w:rPr>
        <w:id w:val="347611243"/>
        <w:docPartObj>
          <w:docPartGallery w:val="Table of Contents"/>
          <w:docPartUnique/>
        </w:docPartObj>
      </w:sdtPr>
      <w:sdtEndPr>
        <w:rPr>
          <w:rFonts w:asciiTheme="majorHAnsi" w:eastAsiaTheme="majorEastAsia" w:hAnsiTheme="majorHAnsi" w:cstheme="majorBidi"/>
          <w:kern w:val="0"/>
          <w:sz w:val="32"/>
          <w:szCs w:val="32"/>
          <w:lang w:eastAsia="pl-PL"/>
        </w:rPr>
      </w:sdtEndPr>
      <w:sdtContent>
        <w:p w14:paraId="371CE8F4" w14:textId="4507777E" w:rsidR="00955EE6" w:rsidRPr="001D4BA5" w:rsidRDefault="00BA46AC" w:rsidP="001D4BA5">
          <w:pPr>
            <w:pStyle w:val="Nagwekspisutreci"/>
            <w:numPr>
              <w:ilvl w:val="0"/>
              <w:numId w:val="0"/>
            </w:numPr>
            <w:spacing w:before="120" w:after="240"/>
            <w:ind w:left="432" w:hanging="432"/>
            <w:rPr>
              <w:rFonts w:ascii="Bahnschrift" w:hAnsi="Bahnschrift"/>
              <w:b/>
              <w:bCs/>
              <w:sz w:val="48"/>
              <w:szCs w:val="48"/>
            </w:rPr>
          </w:pPr>
          <w:r w:rsidRPr="00BA64EC">
            <w:rPr>
              <w:rFonts w:ascii="Bahnschrift" w:hAnsi="Bahnschrift"/>
              <w:b/>
              <w:bCs/>
              <w:sz w:val="48"/>
              <w:szCs w:val="48"/>
            </w:rPr>
            <w:t>Spis treści</w:t>
          </w:r>
        </w:p>
      </w:sdtContent>
    </w:sdt>
    <w:p w14:paraId="437DB348" w14:textId="0076B3BC" w:rsidR="009E2381" w:rsidRDefault="00955EE6">
      <w:pPr>
        <w:pStyle w:val="Spistreci1"/>
        <w:rPr>
          <w:rFonts w:asciiTheme="minorHAnsi" w:eastAsiaTheme="minorEastAsia" w:hAnsiTheme="minorHAnsi"/>
          <w:noProof/>
          <w:sz w:val="24"/>
          <w:szCs w:val="24"/>
          <w:lang w:eastAsia="pl-PL"/>
        </w:rPr>
      </w:pPr>
      <w:r>
        <w:fldChar w:fldCharType="begin"/>
      </w:r>
      <w:r>
        <w:instrText xml:space="preserve"> TOC \o "1-4" \h \z \u </w:instrText>
      </w:r>
      <w:r>
        <w:fldChar w:fldCharType="separate"/>
      </w:r>
      <w:hyperlink w:anchor="_Toc205203149" w:history="1">
        <w:r w:rsidR="009E2381" w:rsidRPr="002E4993">
          <w:rPr>
            <w:rStyle w:val="Hipercze"/>
            <w:noProof/>
          </w:rPr>
          <w:t>Słowo wstępu</w:t>
        </w:r>
        <w:r w:rsidR="009E2381">
          <w:rPr>
            <w:noProof/>
            <w:webHidden/>
          </w:rPr>
          <w:tab/>
        </w:r>
        <w:r w:rsidR="009E2381">
          <w:rPr>
            <w:noProof/>
            <w:webHidden/>
          </w:rPr>
          <w:fldChar w:fldCharType="begin"/>
        </w:r>
        <w:r w:rsidR="009E2381">
          <w:rPr>
            <w:noProof/>
            <w:webHidden/>
          </w:rPr>
          <w:instrText xml:space="preserve"> PAGEREF _Toc205203149 \h </w:instrText>
        </w:r>
        <w:r w:rsidR="009E2381">
          <w:rPr>
            <w:noProof/>
            <w:webHidden/>
          </w:rPr>
        </w:r>
        <w:r w:rsidR="009E2381">
          <w:rPr>
            <w:noProof/>
            <w:webHidden/>
          </w:rPr>
          <w:fldChar w:fldCharType="separate"/>
        </w:r>
        <w:r w:rsidR="009E2381">
          <w:rPr>
            <w:noProof/>
            <w:webHidden/>
          </w:rPr>
          <w:t>5</w:t>
        </w:r>
        <w:r w:rsidR="009E2381">
          <w:rPr>
            <w:noProof/>
            <w:webHidden/>
          </w:rPr>
          <w:fldChar w:fldCharType="end"/>
        </w:r>
      </w:hyperlink>
    </w:p>
    <w:p w14:paraId="4853AE5E" w14:textId="16EA066F" w:rsidR="009E2381" w:rsidRDefault="009E2381">
      <w:pPr>
        <w:pStyle w:val="Spistreci1"/>
        <w:rPr>
          <w:rFonts w:asciiTheme="minorHAnsi" w:eastAsiaTheme="minorEastAsia" w:hAnsiTheme="minorHAnsi"/>
          <w:noProof/>
          <w:sz w:val="24"/>
          <w:szCs w:val="24"/>
          <w:lang w:eastAsia="pl-PL"/>
        </w:rPr>
      </w:pPr>
      <w:hyperlink w:anchor="_Toc205203150" w:history="1">
        <w:r w:rsidRPr="002E4993">
          <w:rPr>
            <w:rStyle w:val="Hipercze"/>
            <w:noProof/>
          </w:rPr>
          <w:t>I.</w:t>
        </w:r>
        <w:r>
          <w:rPr>
            <w:rFonts w:asciiTheme="minorHAnsi" w:eastAsiaTheme="minorEastAsia" w:hAnsiTheme="minorHAnsi"/>
            <w:noProof/>
            <w:sz w:val="24"/>
            <w:szCs w:val="24"/>
            <w:lang w:eastAsia="pl-PL"/>
          </w:rPr>
          <w:tab/>
        </w:r>
        <w:r w:rsidRPr="002E4993">
          <w:rPr>
            <w:rStyle w:val="Hipercze"/>
            <w:noProof/>
          </w:rPr>
          <w:t>WPROWADZENIE</w:t>
        </w:r>
        <w:r>
          <w:rPr>
            <w:noProof/>
            <w:webHidden/>
          </w:rPr>
          <w:tab/>
        </w:r>
        <w:r>
          <w:rPr>
            <w:noProof/>
            <w:webHidden/>
          </w:rPr>
          <w:fldChar w:fldCharType="begin"/>
        </w:r>
        <w:r>
          <w:rPr>
            <w:noProof/>
            <w:webHidden/>
          </w:rPr>
          <w:instrText xml:space="preserve"> PAGEREF _Toc205203150 \h </w:instrText>
        </w:r>
        <w:r>
          <w:rPr>
            <w:noProof/>
            <w:webHidden/>
          </w:rPr>
        </w:r>
        <w:r>
          <w:rPr>
            <w:noProof/>
            <w:webHidden/>
          </w:rPr>
          <w:fldChar w:fldCharType="separate"/>
        </w:r>
        <w:r>
          <w:rPr>
            <w:noProof/>
            <w:webHidden/>
          </w:rPr>
          <w:t>7</w:t>
        </w:r>
        <w:r>
          <w:rPr>
            <w:noProof/>
            <w:webHidden/>
          </w:rPr>
          <w:fldChar w:fldCharType="end"/>
        </w:r>
      </w:hyperlink>
    </w:p>
    <w:p w14:paraId="4D55247D" w14:textId="0D8FC1CB" w:rsidR="009E2381" w:rsidRDefault="009E2381" w:rsidP="00473117">
      <w:pPr>
        <w:pStyle w:val="Spistreci2"/>
        <w:rPr>
          <w:rFonts w:asciiTheme="minorHAnsi" w:eastAsiaTheme="minorEastAsia" w:hAnsiTheme="minorHAnsi"/>
          <w:noProof/>
          <w:sz w:val="24"/>
          <w:szCs w:val="24"/>
          <w:lang w:eastAsia="pl-PL"/>
        </w:rPr>
      </w:pPr>
      <w:hyperlink w:anchor="_Toc205203151" w:history="1">
        <w:r w:rsidRPr="002E4993">
          <w:rPr>
            <w:rStyle w:val="Hipercze"/>
            <w:noProof/>
          </w:rPr>
          <w:t>A) Czym jest KPEiK i w jakim celu został opracowany</w:t>
        </w:r>
        <w:r>
          <w:rPr>
            <w:noProof/>
            <w:webHidden/>
          </w:rPr>
          <w:tab/>
        </w:r>
        <w:r>
          <w:rPr>
            <w:noProof/>
            <w:webHidden/>
          </w:rPr>
          <w:fldChar w:fldCharType="begin"/>
        </w:r>
        <w:r>
          <w:rPr>
            <w:noProof/>
            <w:webHidden/>
          </w:rPr>
          <w:instrText xml:space="preserve"> PAGEREF _Toc205203151 \h </w:instrText>
        </w:r>
        <w:r>
          <w:rPr>
            <w:noProof/>
            <w:webHidden/>
          </w:rPr>
        </w:r>
        <w:r>
          <w:rPr>
            <w:noProof/>
            <w:webHidden/>
          </w:rPr>
          <w:fldChar w:fldCharType="separate"/>
        </w:r>
        <w:r>
          <w:rPr>
            <w:noProof/>
            <w:webHidden/>
          </w:rPr>
          <w:t>7</w:t>
        </w:r>
        <w:r>
          <w:rPr>
            <w:noProof/>
            <w:webHidden/>
          </w:rPr>
          <w:fldChar w:fldCharType="end"/>
        </w:r>
      </w:hyperlink>
    </w:p>
    <w:p w14:paraId="5665AF2B" w14:textId="29BA6598" w:rsidR="009E2381" w:rsidRDefault="009E2381" w:rsidP="00473117">
      <w:pPr>
        <w:pStyle w:val="Spistreci2"/>
        <w:rPr>
          <w:rFonts w:asciiTheme="minorHAnsi" w:eastAsiaTheme="minorEastAsia" w:hAnsiTheme="minorHAnsi"/>
          <w:noProof/>
          <w:sz w:val="24"/>
          <w:szCs w:val="24"/>
          <w:lang w:eastAsia="pl-PL"/>
        </w:rPr>
      </w:pPr>
      <w:hyperlink w:anchor="_Toc205203152" w:history="1">
        <w:r w:rsidRPr="002E4993">
          <w:rPr>
            <w:rStyle w:val="Hipercze"/>
            <w:noProof/>
          </w:rPr>
          <w:t>B) Jak zbudowany jest KPEiK</w:t>
        </w:r>
        <w:r>
          <w:rPr>
            <w:noProof/>
            <w:webHidden/>
          </w:rPr>
          <w:tab/>
        </w:r>
        <w:r>
          <w:rPr>
            <w:noProof/>
            <w:webHidden/>
          </w:rPr>
          <w:fldChar w:fldCharType="begin"/>
        </w:r>
        <w:r>
          <w:rPr>
            <w:noProof/>
            <w:webHidden/>
          </w:rPr>
          <w:instrText xml:space="preserve"> PAGEREF _Toc205203152 \h </w:instrText>
        </w:r>
        <w:r>
          <w:rPr>
            <w:noProof/>
            <w:webHidden/>
          </w:rPr>
        </w:r>
        <w:r>
          <w:rPr>
            <w:noProof/>
            <w:webHidden/>
          </w:rPr>
          <w:fldChar w:fldCharType="separate"/>
        </w:r>
        <w:r>
          <w:rPr>
            <w:noProof/>
            <w:webHidden/>
          </w:rPr>
          <w:t>8</w:t>
        </w:r>
        <w:r>
          <w:rPr>
            <w:noProof/>
            <w:webHidden/>
          </w:rPr>
          <w:fldChar w:fldCharType="end"/>
        </w:r>
      </w:hyperlink>
    </w:p>
    <w:p w14:paraId="15FDE3B5" w14:textId="76983741" w:rsidR="009E2381" w:rsidRDefault="009E2381" w:rsidP="00473117">
      <w:pPr>
        <w:pStyle w:val="Spistreci2"/>
        <w:rPr>
          <w:rFonts w:asciiTheme="minorHAnsi" w:eastAsiaTheme="minorEastAsia" w:hAnsiTheme="minorHAnsi"/>
          <w:noProof/>
          <w:sz w:val="24"/>
          <w:szCs w:val="24"/>
          <w:lang w:eastAsia="pl-PL"/>
        </w:rPr>
      </w:pPr>
      <w:hyperlink w:anchor="_Toc205203153" w:history="1">
        <w:r w:rsidRPr="002E4993">
          <w:rPr>
            <w:rStyle w:val="Hipercze"/>
            <w:noProof/>
          </w:rPr>
          <w:t>C) Scenariusz WEM i WAM</w:t>
        </w:r>
        <w:r>
          <w:rPr>
            <w:noProof/>
            <w:webHidden/>
          </w:rPr>
          <w:tab/>
        </w:r>
        <w:r>
          <w:rPr>
            <w:noProof/>
            <w:webHidden/>
          </w:rPr>
          <w:fldChar w:fldCharType="begin"/>
        </w:r>
        <w:r>
          <w:rPr>
            <w:noProof/>
            <w:webHidden/>
          </w:rPr>
          <w:instrText xml:space="preserve"> PAGEREF _Toc205203153 \h </w:instrText>
        </w:r>
        <w:r>
          <w:rPr>
            <w:noProof/>
            <w:webHidden/>
          </w:rPr>
        </w:r>
        <w:r>
          <w:rPr>
            <w:noProof/>
            <w:webHidden/>
          </w:rPr>
          <w:fldChar w:fldCharType="separate"/>
        </w:r>
        <w:r>
          <w:rPr>
            <w:noProof/>
            <w:webHidden/>
          </w:rPr>
          <w:t>11</w:t>
        </w:r>
        <w:r>
          <w:rPr>
            <w:noProof/>
            <w:webHidden/>
          </w:rPr>
          <w:fldChar w:fldCharType="end"/>
        </w:r>
      </w:hyperlink>
    </w:p>
    <w:p w14:paraId="48155D7C" w14:textId="5944BF8D" w:rsidR="009E2381" w:rsidRDefault="009E2381">
      <w:pPr>
        <w:pStyle w:val="Spistreci1"/>
        <w:rPr>
          <w:rFonts w:asciiTheme="minorHAnsi" w:eastAsiaTheme="minorEastAsia" w:hAnsiTheme="minorHAnsi"/>
          <w:noProof/>
          <w:sz w:val="24"/>
          <w:szCs w:val="24"/>
          <w:lang w:eastAsia="pl-PL"/>
        </w:rPr>
      </w:pPr>
      <w:hyperlink w:anchor="_Toc205203154" w:history="1">
        <w:r w:rsidRPr="002E4993">
          <w:rPr>
            <w:rStyle w:val="Hipercze"/>
            <w:noProof/>
          </w:rPr>
          <w:t>II.</w:t>
        </w:r>
        <w:r>
          <w:rPr>
            <w:rFonts w:asciiTheme="minorHAnsi" w:eastAsiaTheme="minorEastAsia" w:hAnsiTheme="minorHAnsi"/>
            <w:noProof/>
            <w:sz w:val="24"/>
            <w:szCs w:val="24"/>
            <w:lang w:eastAsia="pl-PL"/>
          </w:rPr>
          <w:tab/>
        </w:r>
        <w:r w:rsidRPr="002E4993">
          <w:rPr>
            <w:rStyle w:val="Hipercze"/>
            <w:noProof/>
          </w:rPr>
          <w:t>ZAŁOŻENIA I CELE ORAZ POLITYKI OBSZAROWE</w:t>
        </w:r>
        <w:r>
          <w:rPr>
            <w:noProof/>
            <w:webHidden/>
          </w:rPr>
          <w:tab/>
        </w:r>
        <w:r>
          <w:rPr>
            <w:noProof/>
            <w:webHidden/>
          </w:rPr>
          <w:fldChar w:fldCharType="begin"/>
        </w:r>
        <w:r>
          <w:rPr>
            <w:noProof/>
            <w:webHidden/>
          </w:rPr>
          <w:instrText xml:space="preserve"> PAGEREF _Toc205203154 \h </w:instrText>
        </w:r>
        <w:r>
          <w:rPr>
            <w:noProof/>
            <w:webHidden/>
          </w:rPr>
        </w:r>
        <w:r>
          <w:rPr>
            <w:noProof/>
            <w:webHidden/>
          </w:rPr>
          <w:fldChar w:fldCharType="separate"/>
        </w:r>
        <w:r>
          <w:rPr>
            <w:noProof/>
            <w:webHidden/>
          </w:rPr>
          <w:t>12</w:t>
        </w:r>
        <w:r>
          <w:rPr>
            <w:noProof/>
            <w:webHidden/>
          </w:rPr>
          <w:fldChar w:fldCharType="end"/>
        </w:r>
      </w:hyperlink>
    </w:p>
    <w:p w14:paraId="76B049DE" w14:textId="5CE8237D" w:rsidR="009E2381" w:rsidRDefault="009E2381" w:rsidP="00473117">
      <w:pPr>
        <w:pStyle w:val="Spistreci2"/>
        <w:rPr>
          <w:rFonts w:asciiTheme="minorHAnsi" w:eastAsiaTheme="minorEastAsia" w:hAnsiTheme="minorHAnsi"/>
          <w:noProof/>
          <w:sz w:val="24"/>
          <w:szCs w:val="24"/>
          <w:lang w:eastAsia="pl-PL"/>
        </w:rPr>
      </w:pPr>
      <w:hyperlink w:anchor="_Toc205203155" w:history="1">
        <w:r w:rsidRPr="002E4993">
          <w:rPr>
            <w:rStyle w:val="Hipercze"/>
            <w:noProof/>
          </w:rPr>
          <w:t>1. Obniżenie emisyjności</w:t>
        </w:r>
        <w:r>
          <w:rPr>
            <w:noProof/>
            <w:webHidden/>
          </w:rPr>
          <w:tab/>
        </w:r>
        <w:r>
          <w:rPr>
            <w:noProof/>
            <w:webHidden/>
          </w:rPr>
          <w:fldChar w:fldCharType="begin"/>
        </w:r>
        <w:r>
          <w:rPr>
            <w:noProof/>
            <w:webHidden/>
          </w:rPr>
          <w:instrText xml:space="preserve"> PAGEREF _Toc205203155 \h </w:instrText>
        </w:r>
        <w:r>
          <w:rPr>
            <w:noProof/>
            <w:webHidden/>
          </w:rPr>
        </w:r>
        <w:r>
          <w:rPr>
            <w:noProof/>
            <w:webHidden/>
          </w:rPr>
          <w:fldChar w:fldCharType="separate"/>
        </w:r>
        <w:r>
          <w:rPr>
            <w:noProof/>
            <w:webHidden/>
          </w:rPr>
          <w:t>13</w:t>
        </w:r>
        <w:r>
          <w:rPr>
            <w:noProof/>
            <w:webHidden/>
          </w:rPr>
          <w:fldChar w:fldCharType="end"/>
        </w:r>
      </w:hyperlink>
    </w:p>
    <w:p w14:paraId="640EB219" w14:textId="190F8AAC" w:rsidR="009E2381" w:rsidRDefault="009E2381" w:rsidP="006322D4">
      <w:pPr>
        <w:pStyle w:val="Spistreci3"/>
        <w:rPr>
          <w:rFonts w:asciiTheme="minorHAnsi" w:eastAsiaTheme="minorEastAsia" w:hAnsiTheme="minorHAnsi"/>
          <w:noProof/>
          <w:sz w:val="24"/>
          <w:szCs w:val="24"/>
          <w:lang w:eastAsia="pl-PL"/>
        </w:rPr>
      </w:pPr>
      <w:hyperlink w:anchor="_Toc205203156" w:history="1">
        <w:r w:rsidRPr="002E4993">
          <w:rPr>
            <w:rStyle w:val="Hipercze"/>
            <w:noProof/>
          </w:rPr>
          <w:t>Obszar 1.1.</w:t>
        </w:r>
        <w:r>
          <w:rPr>
            <w:rFonts w:asciiTheme="minorHAnsi" w:eastAsiaTheme="minorEastAsia" w:hAnsiTheme="minorHAnsi"/>
            <w:noProof/>
            <w:sz w:val="24"/>
            <w:szCs w:val="24"/>
            <w:lang w:eastAsia="pl-PL"/>
          </w:rPr>
          <w:tab/>
        </w:r>
        <w:r w:rsidRPr="002E4993">
          <w:rPr>
            <w:rStyle w:val="Hipercze"/>
            <w:noProof/>
          </w:rPr>
          <w:t>Redukcja emisji gazów cieplarnianych i wzrost wykorzystania odnawialnych źródeł energii (cele ogólne)</w:t>
        </w:r>
        <w:r>
          <w:rPr>
            <w:noProof/>
            <w:webHidden/>
          </w:rPr>
          <w:tab/>
        </w:r>
        <w:r>
          <w:rPr>
            <w:noProof/>
            <w:webHidden/>
          </w:rPr>
          <w:fldChar w:fldCharType="begin"/>
        </w:r>
        <w:r>
          <w:rPr>
            <w:noProof/>
            <w:webHidden/>
          </w:rPr>
          <w:instrText xml:space="preserve"> PAGEREF _Toc205203156 \h </w:instrText>
        </w:r>
        <w:r>
          <w:rPr>
            <w:noProof/>
            <w:webHidden/>
          </w:rPr>
        </w:r>
        <w:r>
          <w:rPr>
            <w:noProof/>
            <w:webHidden/>
          </w:rPr>
          <w:fldChar w:fldCharType="separate"/>
        </w:r>
        <w:r>
          <w:rPr>
            <w:noProof/>
            <w:webHidden/>
          </w:rPr>
          <w:t>14</w:t>
        </w:r>
        <w:r>
          <w:rPr>
            <w:noProof/>
            <w:webHidden/>
          </w:rPr>
          <w:fldChar w:fldCharType="end"/>
        </w:r>
      </w:hyperlink>
    </w:p>
    <w:p w14:paraId="22D34B04" w14:textId="4B425203" w:rsidR="009E2381" w:rsidRDefault="009E2381">
      <w:pPr>
        <w:pStyle w:val="Spistreci4"/>
        <w:rPr>
          <w:rFonts w:asciiTheme="minorHAnsi" w:eastAsiaTheme="minorEastAsia" w:hAnsiTheme="minorHAnsi"/>
          <w:noProof/>
          <w:sz w:val="24"/>
          <w:szCs w:val="24"/>
          <w:lang w:eastAsia="pl-PL"/>
        </w:rPr>
      </w:pPr>
      <w:hyperlink w:anchor="_Toc205203157" w:history="1">
        <w:r w:rsidRPr="002E4993">
          <w:rPr>
            <w:rStyle w:val="Hipercze"/>
            <w:noProof/>
          </w:rPr>
          <w:t>Cel 1.1.1.</w:t>
        </w:r>
        <w:r>
          <w:rPr>
            <w:rFonts w:asciiTheme="minorHAnsi" w:eastAsiaTheme="minorEastAsia" w:hAnsiTheme="minorHAnsi"/>
            <w:noProof/>
            <w:sz w:val="24"/>
            <w:szCs w:val="24"/>
            <w:lang w:eastAsia="pl-PL"/>
          </w:rPr>
          <w:tab/>
        </w:r>
        <w:r w:rsidRPr="002E4993">
          <w:rPr>
            <w:rStyle w:val="Hipercze"/>
            <w:noProof/>
          </w:rPr>
          <w:t>Ograniczanie emisji gazów cieplarnianych z gospodarki (cel ogólny)</w:t>
        </w:r>
        <w:r>
          <w:rPr>
            <w:noProof/>
            <w:webHidden/>
          </w:rPr>
          <w:tab/>
        </w:r>
        <w:r>
          <w:rPr>
            <w:noProof/>
            <w:webHidden/>
          </w:rPr>
          <w:fldChar w:fldCharType="begin"/>
        </w:r>
        <w:r>
          <w:rPr>
            <w:noProof/>
            <w:webHidden/>
          </w:rPr>
          <w:instrText xml:space="preserve"> PAGEREF _Toc205203157 \h </w:instrText>
        </w:r>
        <w:r>
          <w:rPr>
            <w:noProof/>
            <w:webHidden/>
          </w:rPr>
        </w:r>
        <w:r>
          <w:rPr>
            <w:noProof/>
            <w:webHidden/>
          </w:rPr>
          <w:fldChar w:fldCharType="separate"/>
        </w:r>
        <w:r>
          <w:rPr>
            <w:noProof/>
            <w:webHidden/>
          </w:rPr>
          <w:t>15</w:t>
        </w:r>
        <w:r>
          <w:rPr>
            <w:noProof/>
            <w:webHidden/>
          </w:rPr>
          <w:fldChar w:fldCharType="end"/>
        </w:r>
      </w:hyperlink>
    </w:p>
    <w:p w14:paraId="1EF19B71" w14:textId="23E69A44" w:rsidR="009E2381" w:rsidRDefault="009E2381">
      <w:pPr>
        <w:pStyle w:val="Spistreci4"/>
        <w:rPr>
          <w:rFonts w:asciiTheme="minorHAnsi" w:eastAsiaTheme="minorEastAsia" w:hAnsiTheme="minorHAnsi"/>
          <w:noProof/>
          <w:sz w:val="24"/>
          <w:szCs w:val="24"/>
          <w:lang w:eastAsia="pl-PL"/>
        </w:rPr>
      </w:pPr>
      <w:hyperlink w:anchor="_Toc205203158" w:history="1">
        <w:r w:rsidRPr="002E4993">
          <w:rPr>
            <w:rStyle w:val="Hipercze"/>
            <w:noProof/>
          </w:rPr>
          <w:t>Cel 1.1.2.</w:t>
        </w:r>
        <w:r>
          <w:rPr>
            <w:rFonts w:asciiTheme="minorHAnsi" w:eastAsiaTheme="minorEastAsia" w:hAnsiTheme="minorHAnsi"/>
            <w:noProof/>
            <w:sz w:val="24"/>
            <w:szCs w:val="24"/>
            <w:lang w:eastAsia="pl-PL"/>
          </w:rPr>
          <w:tab/>
        </w:r>
        <w:r w:rsidRPr="002E4993">
          <w:rPr>
            <w:rStyle w:val="Hipercze"/>
            <w:noProof/>
          </w:rPr>
          <w:t>Ograniczanie emisji gazów cieplarnianych w sektorach non-ETS (ESR) i szacowana redukcja w sektorach ETS</w:t>
        </w:r>
        <w:r>
          <w:rPr>
            <w:noProof/>
            <w:webHidden/>
          </w:rPr>
          <w:tab/>
        </w:r>
        <w:r>
          <w:rPr>
            <w:noProof/>
            <w:webHidden/>
          </w:rPr>
          <w:fldChar w:fldCharType="begin"/>
        </w:r>
        <w:r>
          <w:rPr>
            <w:noProof/>
            <w:webHidden/>
          </w:rPr>
          <w:instrText xml:space="preserve"> PAGEREF _Toc205203158 \h </w:instrText>
        </w:r>
        <w:r>
          <w:rPr>
            <w:noProof/>
            <w:webHidden/>
          </w:rPr>
        </w:r>
        <w:r>
          <w:rPr>
            <w:noProof/>
            <w:webHidden/>
          </w:rPr>
          <w:fldChar w:fldCharType="separate"/>
        </w:r>
        <w:r>
          <w:rPr>
            <w:noProof/>
            <w:webHidden/>
          </w:rPr>
          <w:t>17</w:t>
        </w:r>
        <w:r>
          <w:rPr>
            <w:noProof/>
            <w:webHidden/>
          </w:rPr>
          <w:fldChar w:fldCharType="end"/>
        </w:r>
      </w:hyperlink>
    </w:p>
    <w:p w14:paraId="35E5005D" w14:textId="2E8A4E0C" w:rsidR="009E2381" w:rsidRDefault="009E2381">
      <w:pPr>
        <w:pStyle w:val="Spistreci4"/>
        <w:rPr>
          <w:rFonts w:asciiTheme="minorHAnsi" w:eastAsiaTheme="minorEastAsia" w:hAnsiTheme="minorHAnsi"/>
          <w:noProof/>
          <w:sz w:val="24"/>
          <w:szCs w:val="24"/>
          <w:lang w:eastAsia="pl-PL"/>
        </w:rPr>
      </w:pPr>
      <w:hyperlink w:anchor="_Toc205203159" w:history="1">
        <w:r w:rsidRPr="002E4993">
          <w:rPr>
            <w:rStyle w:val="Hipercze"/>
            <w:noProof/>
          </w:rPr>
          <w:t>Cel 1.1.3.</w:t>
        </w:r>
        <w:r>
          <w:rPr>
            <w:rFonts w:asciiTheme="minorHAnsi" w:eastAsiaTheme="minorEastAsia" w:hAnsiTheme="minorHAnsi"/>
            <w:noProof/>
            <w:sz w:val="24"/>
            <w:szCs w:val="24"/>
            <w:lang w:eastAsia="pl-PL"/>
          </w:rPr>
          <w:tab/>
        </w:r>
        <w:r w:rsidRPr="002E4993">
          <w:rPr>
            <w:rStyle w:val="Hipercze"/>
            <w:noProof/>
          </w:rPr>
          <w:t>Wzrost udziału OZE w finalnym zużyciu energii brutto ogółem (cel ogólny)</w:t>
        </w:r>
        <w:r>
          <w:rPr>
            <w:noProof/>
            <w:webHidden/>
          </w:rPr>
          <w:tab/>
        </w:r>
        <w:r>
          <w:rPr>
            <w:noProof/>
            <w:webHidden/>
          </w:rPr>
          <w:fldChar w:fldCharType="begin"/>
        </w:r>
        <w:r>
          <w:rPr>
            <w:noProof/>
            <w:webHidden/>
          </w:rPr>
          <w:instrText xml:space="preserve"> PAGEREF _Toc205203159 \h </w:instrText>
        </w:r>
        <w:r>
          <w:rPr>
            <w:noProof/>
            <w:webHidden/>
          </w:rPr>
        </w:r>
        <w:r>
          <w:rPr>
            <w:noProof/>
            <w:webHidden/>
          </w:rPr>
          <w:fldChar w:fldCharType="separate"/>
        </w:r>
        <w:r>
          <w:rPr>
            <w:noProof/>
            <w:webHidden/>
          </w:rPr>
          <w:t>19</w:t>
        </w:r>
        <w:r>
          <w:rPr>
            <w:noProof/>
            <w:webHidden/>
          </w:rPr>
          <w:fldChar w:fldCharType="end"/>
        </w:r>
      </w:hyperlink>
    </w:p>
    <w:p w14:paraId="2D4BC01C" w14:textId="72A2B46E" w:rsidR="009E2381" w:rsidRDefault="009E2381" w:rsidP="006322D4">
      <w:pPr>
        <w:pStyle w:val="Spistreci3"/>
        <w:rPr>
          <w:rFonts w:asciiTheme="minorHAnsi" w:eastAsiaTheme="minorEastAsia" w:hAnsiTheme="minorHAnsi"/>
          <w:noProof/>
          <w:sz w:val="24"/>
          <w:szCs w:val="24"/>
          <w:lang w:eastAsia="pl-PL"/>
        </w:rPr>
      </w:pPr>
      <w:hyperlink w:anchor="_Toc205203160" w:history="1">
        <w:r w:rsidRPr="002E4993">
          <w:rPr>
            <w:rStyle w:val="Hipercze"/>
            <w:noProof/>
          </w:rPr>
          <w:t>Obszar 1.2.</w:t>
        </w:r>
        <w:r>
          <w:rPr>
            <w:rFonts w:asciiTheme="minorHAnsi" w:eastAsiaTheme="minorEastAsia" w:hAnsiTheme="minorHAnsi"/>
            <w:noProof/>
            <w:sz w:val="24"/>
            <w:szCs w:val="24"/>
            <w:lang w:eastAsia="pl-PL"/>
          </w:rPr>
          <w:tab/>
        </w:r>
        <w:r w:rsidRPr="002E4993">
          <w:rPr>
            <w:rStyle w:val="Hipercze"/>
            <w:noProof/>
          </w:rPr>
          <w:t>Dekarbonizacja i rozwój OZE według sektorów</w:t>
        </w:r>
        <w:r>
          <w:rPr>
            <w:noProof/>
            <w:webHidden/>
          </w:rPr>
          <w:tab/>
        </w:r>
        <w:r>
          <w:rPr>
            <w:noProof/>
            <w:webHidden/>
          </w:rPr>
          <w:fldChar w:fldCharType="begin"/>
        </w:r>
        <w:r>
          <w:rPr>
            <w:noProof/>
            <w:webHidden/>
          </w:rPr>
          <w:instrText xml:space="preserve"> PAGEREF _Toc205203160 \h </w:instrText>
        </w:r>
        <w:r>
          <w:rPr>
            <w:noProof/>
            <w:webHidden/>
          </w:rPr>
        </w:r>
        <w:r>
          <w:rPr>
            <w:noProof/>
            <w:webHidden/>
          </w:rPr>
          <w:fldChar w:fldCharType="separate"/>
        </w:r>
        <w:r>
          <w:rPr>
            <w:noProof/>
            <w:webHidden/>
          </w:rPr>
          <w:t>21</w:t>
        </w:r>
        <w:r>
          <w:rPr>
            <w:noProof/>
            <w:webHidden/>
          </w:rPr>
          <w:fldChar w:fldCharType="end"/>
        </w:r>
      </w:hyperlink>
    </w:p>
    <w:p w14:paraId="4E15C138" w14:textId="429AD402" w:rsidR="009E2381" w:rsidRDefault="009E2381">
      <w:pPr>
        <w:pStyle w:val="Spistreci4"/>
        <w:rPr>
          <w:rFonts w:asciiTheme="minorHAnsi" w:eastAsiaTheme="minorEastAsia" w:hAnsiTheme="minorHAnsi"/>
          <w:noProof/>
          <w:sz w:val="24"/>
          <w:szCs w:val="24"/>
          <w:lang w:eastAsia="pl-PL"/>
        </w:rPr>
      </w:pPr>
      <w:hyperlink w:anchor="_Toc205203161" w:history="1">
        <w:r w:rsidRPr="002E4993">
          <w:rPr>
            <w:rStyle w:val="Hipercze"/>
            <w:noProof/>
          </w:rPr>
          <w:t>Cel 1.2.1.</w:t>
        </w:r>
        <w:r>
          <w:rPr>
            <w:rFonts w:asciiTheme="minorHAnsi" w:eastAsiaTheme="minorEastAsia" w:hAnsiTheme="minorHAnsi"/>
            <w:noProof/>
            <w:sz w:val="24"/>
            <w:szCs w:val="24"/>
            <w:lang w:eastAsia="pl-PL"/>
          </w:rPr>
          <w:tab/>
        </w:r>
        <w:r w:rsidRPr="002E4993">
          <w:rPr>
            <w:rStyle w:val="Hipercze"/>
            <w:noProof/>
          </w:rPr>
          <w:t>Redukcja emisji GHG w sektorze elektroenergetycznym, w tym rozwój OZE</w:t>
        </w:r>
        <w:r>
          <w:rPr>
            <w:noProof/>
            <w:webHidden/>
          </w:rPr>
          <w:tab/>
        </w:r>
        <w:r>
          <w:rPr>
            <w:noProof/>
            <w:webHidden/>
          </w:rPr>
          <w:fldChar w:fldCharType="begin"/>
        </w:r>
        <w:r>
          <w:rPr>
            <w:noProof/>
            <w:webHidden/>
          </w:rPr>
          <w:instrText xml:space="preserve"> PAGEREF _Toc205203161 \h </w:instrText>
        </w:r>
        <w:r>
          <w:rPr>
            <w:noProof/>
            <w:webHidden/>
          </w:rPr>
        </w:r>
        <w:r>
          <w:rPr>
            <w:noProof/>
            <w:webHidden/>
          </w:rPr>
          <w:fldChar w:fldCharType="separate"/>
        </w:r>
        <w:r>
          <w:rPr>
            <w:noProof/>
            <w:webHidden/>
          </w:rPr>
          <w:t>21</w:t>
        </w:r>
        <w:r>
          <w:rPr>
            <w:noProof/>
            <w:webHidden/>
          </w:rPr>
          <w:fldChar w:fldCharType="end"/>
        </w:r>
      </w:hyperlink>
    </w:p>
    <w:p w14:paraId="33A27363" w14:textId="26320A6A" w:rsidR="009E2381" w:rsidRDefault="009E2381">
      <w:pPr>
        <w:pStyle w:val="Spistreci4"/>
        <w:rPr>
          <w:rFonts w:asciiTheme="minorHAnsi" w:eastAsiaTheme="minorEastAsia" w:hAnsiTheme="minorHAnsi"/>
          <w:noProof/>
          <w:sz w:val="24"/>
          <w:szCs w:val="24"/>
          <w:lang w:eastAsia="pl-PL"/>
        </w:rPr>
      </w:pPr>
      <w:hyperlink w:anchor="_Toc205203162" w:history="1">
        <w:r w:rsidRPr="002E4993">
          <w:rPr>
            <w:rStyle w:val="Hipercze"/>
            <w:noProof/>
          </w:rPr>
          <w:t>Cel 1.2.2.</w:t>
        </w:r>
        <w:r>
          <w:rPr>
            <w:rFonts w:asciiTheme="minorHAnsi" w:eastAsiaTheme="minorEastAsia" w:hAnsiTheme="minorHAnsi"/>
            <w:noProof/>
            <w:sz w:val="24"/>
            <w:szCs w:val="24"/>
            <w:lang w:eastAsia="pl-PL"/>
          </w:rPr>
          <w:tab/>
        </w:r>
        <w:r w:rsidRPr="002E4993">
          <w:rPr>
            <w:rStyle w:val="Hipercze"/>
            <w:noProof/>
          </w:rPr>
          <w:t>Redukcja emisji GHG z ciepłownictwa, w tym rozwój OZE</w:t>
        </w:r>
        <w:r>
          <w:rPr>
            <w:noProof/>
            <w:webHidden/>
          </w:rPr>
          <w:tab/>
        </w:r>
        <w:r>
          <w:rPr>
            <w:noProof/>
            <w:webHidden/>
          </w:rPr>
          <w:fldChar w:fldCharType="begin"/>
        </w:r>
        <w:r>
          <w:rPr>
            <w:noProof/>
            <w:webHidden/>
          </w:rPr>
          <w:instrText xml:space="preserve"> PAGEREF _Toc205203162 \h </w:instrText>
        </w:r>
        <w:r>
          <w:rPr>
            <w:noProof/>
            <w:webHidden/>
          </w:rPr>
        </w:r>
        <w:r>
          <w:rPr>
            <w:noProof/>
            <w:webHidden/>
          </w:rPr>
          <w:fldChar w:fldCharType="separate"/>
        </w:r>
        <w:r>
          <w:rPr>
            <w:noProof/>
            <w:webHidden/>
          </w:rPr>
          <w:t>26</w:t>
        </w:r>
        <w:r>
          <w:rPr>
            <w:noProof/>
            <w:webHidden/>
          </w:rPr>
          <w:fldChar w:fldCharType="end"/>
        </w:r>
      </w:hyperlink>
    </w:p>
    <w:p w14:paraId="7A3161F8" w14:textId="19165C6F" w:rsidR="009E2381" w:rsidRDefault="009E2381">
      <w:pPr>
        <w:pStyle w:val="Spistreci4"/>
        <w:rPr>
          <w:rFonts w:asciiTheme="minorHAnsi" w:eastAsiaTheme="minorEastAsia" w:hAnsiTheme="minorHAnsi"/>
          <w:noProof/>
          <w:sz w:val="24"/>
          <w:szCs w:val="24"/>
          <w:lang w:eastAsia="pl-PL"/>
        </w:rPr>
      </w:pPr>
      <w:hyperlink w:anchor="_Toc205203163" w:history="1">
        <w:r w:rsidRPr="002E4993">
          <w:rPr>
            <w:rStyle w:val="Hipercze"/>
            <w:noProof/>
          </w:rPr>
          <w:t>Cel 1.2.3.</w:t>
        </w:r>
        <w:r>
          <w:rPr>
            <w:rFonts w:asciiTheme="minorHAnsi" w:eastAsiaTheme="minorEastAsia" w:hAnsiTheme="minorHAnsi"/>
            <w:noProof/>
            <w:sz w:val="24"/>
            <w:szCs w:val="24"/>
            <w:lang w:eastAsia="pl-PL"/>
          </w:rPr>
          <w:tab/>
        </w:r>
        <w:r w:rsidRPr="002E4993">
          <w:rPr>
            <w:rStyle w:val="Hipercze"/>
            <w:noProof/>
          </w:rPr>
          <w:t>Redukcja emisji GHG z transportu, w tym rozwój OZE i elektromobilności</w:t>
        </w:r>
        <w:r>
          <w:rPr>
            <w:noProof/>
            <w:webHidden/>
          </w:rPr>
          <w:tab/>
        </w:r>
        <w:r>
          <w:rPr>
            <w:noProof/>
            <w:webHidden/>
          </w:rPr>
          <w:fldChar w:fldCharType="begin"/>
        </w:r>
        <w:r>
          <w:rPr>
            <w:noProof/>
            <w:webHidden/>
          </w:rPr>
          <w:instrText xml:space="preserve"> PAGEREF _Toc205203163 \h </w:instrText>
        </w:r>
        <w:r>
          <w:rPr>
            <w:noProof/>
            <w:webHidden/>
          </w:rPr>
        </w:r>
        <w:r>
          <w:rPr>
            <w:noProof/>
            <w:webHidden/>
          </w:rPr>
          <w:fldChar w:fldCharType="separate"/>
        </w:r>
        <w:r>
          <w:rPr>
            <w:noProof/>
            <w:webHidden/>
          </w:rPr>
          <w:t>32</w:t>
        </w:r>
        <w:r>
          <w:rPr>
            <w:noProof/>
            <w:webHidden/>
          </w:rPr>
          <w:fldChar w:fldCharType="end"/>
        </w:r>
      </w:hyperlink>
    </w:p>
    <w:p w14:paraId="53887276" w14:textId="2B19228C" w:rsidR="009E2381" w:rsidRDefault="009E2381">
      <w:pPr>
        <w:pStyle w:val="Spistreci4"/>
        <w:rPr>
          <w:rFonts w:asciiTheme="minorHAnsi" w:eastAsiaTheme="minorEastAsia" w:hAnsiTheme="minorHAnsi"/>
          <w:noProof/>
          <w:sz w:val="24"/>
          <w:szCs w:val="24"/>
          <w:lang w:eastAsia="pl-PL"/>
        </w:rPr>
      </w:pPr>
      <w:hyperlink w:anchor="_Toc205203164" w:history="1">
        <w:r w:rsidRPr="002E4993">
          <w:rPr>
            <w:rStyle w:val="Hipercze"/>
            <w:noProof/>
          </w:rPr>
          <w:t>Cel 1.2.4.</w:t>
        </w:r>
        <w:r>
          <w:rPr>
            <w:rFonts w:asciiTheme="minorHAnsi" w:eastAsiaTheme="minorEastAsia" w:hAnsiTheme="minorHAnsi"/>
            <w:noProof/>
            <w:sz w:val="24"/>
            <w:szCs w:val="24"/>
            <w:lang w:eastAsia="pl-PL"/>
          </w:rPr>
          <w:tab/>
        </w:r>
        <w:r w:rsidRPr="002E4993">
          <w:rPr>
            <w:rStyle w:val="Hipercze"/>
            <w:noProof/>
          </w:rPr>
          <w:t>Redukcja emisji GHG w przemyśle</w:t>
        </w:r>
        <w:r>
          <w:rPr>
            <w:noProof/>
            <w:webHidden/>
          </w:rPr>
          <w:tab/>
        </w:r>
        <w:r>
          <w:rPr>
            <w:noProof/>
            <w:webHidden/>
          </w:rPr>
          <w:fldChar w:fldCharType="begin"/>
        </w:r>
        <w:r>
          <w:rPr>
            <w:noProof/>
            <w:webHidden/>
          </w:rPr>
          <w:instrText xml:space="preserve"> PAGEREF _Toc205203164 \h </w:instrText>
        </w:r>
        <w:r>
          <w:rPr>
            <w:noProof/>
            <w:webHidden/>
          </w:rPr>
        </w:r>
        <w:r>
          <w:rPr>
            <w:noProof/>
            <w:webHidden/>
          </w:rPr>
          <w:fldChar w:fldCharType="separate"/>
        </w:r>
        <w:r>
          <w:rPr>
            <w:noProof/>
            <w:webHidden/>
          </w:rPr>
          <w:t>44</w:t>
        </w:r>
        <w:r>
          <w:rPr>
            <w:noProof/>
            <w:webHidden/>
          </w:rPr>
          <w:fldChar w:fldCharType="end"/>
        </w:r>
      </w:hyperlink>
    </w:p>
    <w:p w14:paraId="349BED03" w14:textId="3C60D5FD" w:rsidR="009E2381" w:rsidRDefault="009E2381">
      <w:pPr>
        <w:pStyle w:val="Spistreci4"/>
        <w:rPr>
          <w:rFonts w:asciiTheme="minorHAnsi" w:eastAsiaTheme="minorEastAsia" w:hAnsiTheme="minorHAnsi"/>
          <w:noProof/>
          <w:sz w:val="24"/>
          <w:szCs w:val="24"/>
          <w:lang w:eastAsia="pl-PL"/>
        </w:rPr>
      </w:pPr>
      <w:hyperlink w:anchor="_Toc205203165" w:history="1">
        <w:r w:rsidRPr="002E4993">
          <w:rPr>
            <w:rStyle w:val="Hipercze"/>
            <w:noProof/>
          </w:rPr>
          <w:t>Cel 1.2.5.</w:t>
        </w:r>
        <w:r>
          <w:rPr>
            <w:rFonts w:asciiTheme="minorHAnsi" w:eastAsiaTheme="minorEastAsia" w:hAnsiTheme="minorHAnsi"/>
            <w:noProof/>
            <w:sz w:val="24"/>
            <w:szCs w:val="24"/>
            <w:lang w:eastAsia="pl-PL"/>
          </w:rPr>
          <w:tab/>
        </w:r>
        <w:r w:rsidRPr="002E4993">
          <w:rPr>
            <w:rStyle w:val="Hipercze"/>
            <w:noProof/>
          </w:rPr>
          <w:t>Redukcja emisji GHG w rolnictwie</w:t>
        </w:r>
        <w:r>
          <w:rPr>
            <w:noProof/>
            <w:webHidden/>
          </w:rPr>
          <w:tab/>
        </w:r>
        <w:r>
          <w:rPr>
            <w:noProof/>
            <w:webHidden/>
          </w:rPr>
          <w:fldChar w:fldCharType="begin"/>
        </w:r>
        <w:r>
          <w:rPr>
            <w:noProof/>
            <w:webHidden/>
          </w:rPr>
          <w:instrText xml:space="preserve"> PAGEREF _Toc205203165 \h </w:instrText>
        </w:r>
        <w:r>
          <w:rPr>
            <w:noProof/>
            <w:webHidden/>
          </w:rPr>
        </w:r>
        <w:r>
          <w:rPr>
            <w:noProof/>
            <w:webHidden/>
          </w:rPr>
          <w:fldChar w:fldCharType="separate"/>
        </w:r>
        <w:r>
          <w:rPr>
            <w:noProof/>
            <w:webHidden/>
          </w:rPr>
          <w:t>50</w:t>
        </w:r>
        <w:r>
          <w:rPr>
            <w:noProof/>
            <w:webHidden/>
          </w:rPr>
          <w:fldChar w:fldCharType="end"/>
        </w:r>
      </w:hyperlink>
    </w:p>
    <w:p w14:paraId="5CE06541" w14:textId="53DAC22F" w:rsidR="009E2381" w:rsidRDefault="009E2381" w:rsidP="006322D4">
      <w:pPr>
        <w:pStyle w:val="Spistreci3"/>
        <w:rPr>
          <w:rFonts w:asciiTheme="minorHAnsi" w:eastAsiaTheme="minorEastAsia" w:hAnsiTheme="minorHAnsi"/>
          <w:noProof/>
          <w:sz w:val="24"/>
          <w:szCs w:val="24"/>
          <w:lang w:eastAsia="pl-PL"/>
        </w:rPr>
      </w:pPr>
      <w:hyperlink w:anchor="_Toc205203166" w:history="1">
        <w:r w:rsidRPr="002E4993">
          <w:rPr>
            <w:rStyle w:val="Hipercze"/>
            <w:noProof/>
          </w:rPr>
          <w:t>Obszar 1.3.</w:t>
        </w:r>
        <w:r>
          <w:rPr>
            <w:rFonts w:asciiTheme="minorHAnsi" w:eastAsiaTheme="minorEastAsia" w:hAnsiTheme="minorHAnsi"/>
            <w:noProof/>
            <w:sz w:val="24"/>
            <w:szCs w:val="24"/>
            <w:lang w:eastAsia="pl-PL"/>
          </w:rPr>
          <w:tab/>
        </w:r>
        <w:r w:rsidRPr="002E4993">
          <w:rPr>
            <w:rStyle w:val="Hipercze"/>
            <w:noProof/>
          </w:rPr>
          <w:t>Udział sektora LULUCF w wypełnianiu celów redukcyjnych</w:t>
        </w:r>
        <w:r>
          <w:rPr>
            <w:noProof/>
            <w:webHidden/>
          </w:rPr>
          <w:tab/>
        </w:r>
        <w:r>
          <w:rPr>
            <w:noProof/>
            <w:webHidden/>
          </w:rPr>
          <w:fldChar w:fldCharType="begin"/>
        </w:r>
        <w:r>
          <w:rPr>
            <w:noProof/>
            <w:webHidden/>
          </w:rPr>
          <w:instrText xml:space="preserve"> PAGEREF _Toc205203166 \h </w:instrText>
        </w:r>
        <w:r>
          <w:rPr>
            <w:noProof/>
            <w:webHidden/>
          </w:rPr>
        </w:r>
        <w:r>
          <w:rPr>
            <w:noProof/>
            <w:webHidden/>
          </w:rPr>
          <w:fldChar w:fldCharType="separate"/>
        </w:r>
        <w:r>
          <w:rPr>
            <w:noProof/>
            <w:webHidden/>
          </w:rPr>
          <w:t>53</w:t>
        </w:r>
        <w:r>
          <w:rPr>
            <w:noProof/>
            <w:webHidden/>
          </w:rPr>
          <w:fldChar w:fldCharType="end"/>
        </w:r>
      </w:hyperlink>
    </w:p>
    <w:p w14:paraId="27994E4C" w14:textId="7AA2CFA9" w:rsidR="009E2381" w:rsidRDefault="009E2381">
      <w:pPr>
        <w:pStyle w:val="Spistreci4"/>
        <w:rPr>
          <w:rFonts w:asciiTheme="minorHAnsi" w:eastAsiaTheme="minorEastAsia" w:hAnsiTheme="minorHAnsi"/>
          <w:noProof/>
          <w:sz w:val="24"/>
          <w:szCs w:val="24"/>
          <w:lang w:eastAsia="pl-PL"/>
        </w:rPr>
      </w:pPr>
      <w:hyperlink w:anchor="_Toc205203167" w:history="1">
        <w:r w:rsidRPr="002E4993">
          <w:rPr>
            <w:rStyle w:val="Hipercze"/>
            <w:noProof/>
          </w:rPr>
          <w:t>Cel 1.3.1.</w:t>
        </w:r>
        <w:r>
          <w:rPr>
            <w:rFonts w:asciiTheme="minorHAnsi" w:eastAsiaTheme="minorEastAsia" w:hAnsiTheme="minorHAnsi"/>
            <w:noProof/>
            <w:sz w:val="24"/>
            <w:szCs w:val="24"/>
            <w:lang w:eastAsia="pl-PL"/>
          </w:rPr>
          <w:tab/>
        </w:r>
        <w:r w:rsidRPr="002E4993">
          <w:rPr>
            <w:rStyle w:val="Hipercze"/>
            <w:noProof/>
          </w:rPr>
          <w:t>Dążenie do zwiększenia pochłaniania gazów cieplarnianych przez sektor LULUCF</w:t>
        </w:r>
        <w:r>
          <w:rPr>
            <w:noProof/>
            <w:webHidden/>
          </w:rPr>
          <w:tab/>
        </w:r>
        <w:r>
          <w:rPr>
            <w:noProof/>
            <w:webHidden/>
          </w:rPr>
          <w:fldChar w:fldCharType="begin"/>
        </w:r>
        <w:r>
          <w:rPr>
            <w:noProof/>
            <w:webHidden/>
          </w:rPr>
          <w:instrText xml:space="preserve"> PAGEREF _Toc205203167 \h </w:instrText>
        </w:r>
        <w:r>
          <w:rPr>
            <w:noProof/>
            <w:webHidden/>
          </w:rPr>
        </w:r>
        <w:r>
          <w:rPr>
            <w:noProof/>
            <w:webHidden/>
          </w:rPr>
          <w:fldChar w:fldCharType="separate"/>
        </w:r>
        <w:r>
          <w:rPr>
            <w:noProof/>
            <w:webHidden/>
          </w:rPr>
          <w:t>53</w:t>
        </w:r>
        <w:r>
          <w:rPr>
            <w:noProof/>
            <w:webHidden/>
          </w:rPr>
          <w:fldChar w:fldCharType="end"/>
        </w:r>
      </w:hyperlink>
    </w:p>
    <w:p w14:paraId="3F5D91BA" w14:textId="14D2FB4D" w:rsidR="009E2381" w:rsidRDefault="009E2381" w:rsidP="006322D4">
      <w:pPr>
        <w:pStyle w:val="Spistreci3"/>
        <w:rPr>
          <w:rFonts w:asciiTheme="minorHAnsi" w:eastAsiaTheme="minorEastAsia" w:hAnsiTheme="minorHAnsi"/>
          <w:noProof/>
          <w:sz w:val="24"/>
          <w:szCs w:val="24"/>
          <w:lang w:eastAsia="pl-PL"/>
        </w:rPr>
      </w:pPr>
      <w:hyperlink w:anchor="_Toc205203168" w:history="1">
        <w:r w:rsidRPr="002E4993">
          <w:rPr>
            <w:rStyle w:val="Hipercze"/>
            <w:noProof/>
          </w:rPr>
          <w:t>Obszar 1.4.</w:t>
        </w:r>
        <w:r>
          <w:rPr>
            <w:rFonts w:asciiTheme="minorHAnsi" w:eastAsiaTheme="minorEastAsia" w:hAnsiTheme="minorHAnsi"/>
            <w:noProof/>
            <w:sz w:val="24"/>
            <w:szCs w:val="24"/>
            <w:lang w:eastAsia="pl-PL"/>
          </w:rPr>
          <w:tab/>
        </w:r>
        <w:r w:rsidRPr="002E4993">
          <w:rPr>
            <w:rStyle w:val="Hipercze"/>
            <w:noProof/>
          </w:rPr>
          <w:t>Poprawa jakości środowiska</w:t>
        </w:r>
        <w:r>
          <w:rPr>
            <w:noProof/>
            <w:webHidden/>
          </w:rPr>
          <w:tab/>
        </w:r>
        <w:r>
          <w:rPr>
            <w:noProof/>
            <w:webHidden/>
          </w:rPr>
          <w:fldChar w:fldCharType="begin"/>
        </w:r>
        <w:r>
          <w:rPr>
            <w:noProof/>
            <w:webHidden/>
          </w:rPr>
          <w:instrText xml:space="preserve"> PAGEREF _Toc205203168 \h </w:instrText>
        </w:r>
        <w:r>
          <w:rPr>
            <w:noProof/>
            <w:webHidden/>
          </w:rPr>
        </w:r>
        <w:r>
          <w:rPr>
            <w:noProof/>
            <w:webHidden/>
          </w:rPr>
          <w:fldChar w:fldCharType="separate"/>
        </w:r>
        <w:r>
          <w:rPr>
            <w:noProof/>
            <w:webHidden/>
          </w:rPr>
          <w:t>57</w:t>
        </w:r>
        <w:r>
          <w:rPr>
            <w:noProof/>
            <w:webHidden/>
          </w:rPr>
          <w:fldChar w:fldCharType="end"/>
        </w:r>
      </w:hyperlink>
    </w:p>
    <w:p w14:paraId="03AC576D" w14:textId="6C9FF894" w:rsidR="009E2381" w:rsidRDefault="009E2381">
      <w:pPr>
        <w:pStyle w:val="Spistreci4"/>
        <w:rPr>
          <w:rFonts w:asciiTheme="minorHAnsi" w:eastAsiaTheme="minorEastAsia" w:hAnsiTheme="minorHAnsi"/>
          <w:noProof/>
          <w:sz w:val="24"/>
          <w:szCs w:val="24"/>
          <w:lang w:eastAsia="pl-PL"/>
        </w:rPr>
      </w:pPr>
      <w:hyperlink w:anchor="_Toc205203169" w:history="1">
        <w:r w:rsidRPr="002E4993">
          <w:rPr>
            <w:rStyle w:val="Hipercze"/>
            <w:noProof/>
          </w:rPr>
          <w:t>Cel 1.4.1.</w:t>
        </w:r>
        <w:r>
          <w:rPr>
            <w:rFonts w:asciiTheme="minorHAnsi" w:eastAsiaTheme="minorEastAsia" w:hAnsiTheme="minorHAnsi"/>
            <w:noProof/>
            <w:sz w:val="24"/>
            <w:szCs w:val="24"/>
            <w:lang w:eastAsia="pl-PL"/>
          </w:rPr>
          <w:tab/>
        </w:r>
        <w:r w:rsidRPr="002E4993">
          <w:rPr>
            <w:rStyle w:val="Hipercze"/>
            <w:noProof/>
          </w:rPr>
          <w:t>Cel w zakresie jakości powietrza</w:t>
        </w:r>
        <w:r>
          <w:rPr>
            <w:noProof/>
            <w:webHidden/>
          </w:rPr>
          <w:tab/>
        </w:r>
        <w:r>
          <w:rPr>
            <w:noProof/>
            <w:webHidden/>
          </w:rPr>
          <w:fldChar w:fldCharType="begin"/>
        </w:r>
        <w:r>
          <w:rPr>
            <w:noProof/>
            <w:webHidden/>
          </w:rPr>
          <w:instrText xml:space="preserve"> PAGEREF _Toc205203169 \h </w:instrText>
        </w:r>
        <w:r>
          <w:rPr>
            <w:noProof/>
            <w:webHidden/>
          </w:rPr>
        </w:r>
        <w:r>
          <w:rPr>
            <w:noProof/>
            <w:webHidden/>
          </w:rPr>
          <w:fldChar w:fldCharType="separate"/>
        </w:r>
        <w:r>
          <w:rPr>
            <w:noProof/>
            <w:webHidden/>
          </w:rPr>
          <w:t>57</w:t>
        </w:r>
        <w:r>
          <w:rPr>
            <w:noProof/>
            <w:webHidden/>
          </w:rPr>
          <w:fldChar w:fldCharType="end"/>
        </w:r>
      </w:hyperlink>
    </w:p>
    <w:p w14:paraId="05A2B5AF" w14:textId="18CF6A12" w:rsidR="009E2381" w:rsidRDefault="009E2381">
      <w:pPr>
        <w:pStyle w:val="Spistreci4"/>
        <w:rPr>
          <w:rFonts w:asciiTheme="minorHAnsi" w:eastAsiaTheme="minorEastAsia" w:hAnsiTheme="minorHAnsi"/>
          <w:noProof/>
          <w:sz w:val="24"/>
          <w:szCs w:val="24"/>
          <w:lang w:eastAsia="pl-PL"/>
        </w:rPr>
      </w:pPr>
      <w:hyperlink w:anchor="_Toc205203170" w:history="1">
        <w:r w:rsidRPr="002E4993">
          <w:rPr>
            <w:rStyle w:val="Hipercze"/>
            <w:noProof/>
          </w:rPr>
          <w:t>Cel 1.4.2.</w:t>
        </w:r>
        <w:r>
          <w:rPr>
            <w:rFonts w:asciiTheme="minorHAnsi" w:eastAsiaTheme="minorEastAsia" w:hAnsiTheme="minorHAnsi"/>
            <w:noProof/>
            <w:sz w:val="24"/>
            <w:szCs w:val="24"/>
            <w:lang w:eastAsia="pl-PL"/>
          </w:rPr>
          <w:tab/>
        </w:r>
        <w:r w:rsidRPr="002E4993">
          <w:rPr>
            <w:rStyle w:val="Hipercze"/>
            <w:noProof/>
          </w:rPr>
          <w:t>Cel w zakresie stanu wód</w:t>
        </w:r>
        <w:r>
          <w:rPr>
            <w:noProof/>
            <w:webHidden/>
          </w:rPr>
          <w:tab/>
        </w:r>
        <w:r>
          <w:rPr>
            <w:noProof/>
            <w:webHidden/>
          </w:rPr>
          <w:fldChar w:fldCharType="begin"/>
        </w:r>
        <w:r>
          <w:rPr>
            <w:noProof/>
            <w:webHidden/>
          </w:rPr>
          <w:instrText xml:space="preserve"> PAGEREF _Toc205203170 \h </w:instrText>
        </w:r>
        <w:r>
          <w:rPr>
            <w:noProof/>
            <w:webHidden/>
          </w:rPr>
        </w:r>
        <w:r>
          <w:rPr>
            <w:noProof/>
            <w:webHidden/>
          </w:rPr>
          <w:fldChar w:fldCharType="separate"/>
        </w:r>
        <w:r>
          <w:rPr>
            <w:noProof/>
            <w:webHidden/>
          </w:rPr>
          <w:t>61</w:t>
        </w:r>
        <w:r>
          <w:rPr>
            <w:noProof/>
            <w:webHidden/>
          </w:rPr>
          <w:fldChar w:fldCharType="end"/>
        </w:r>
      </w:hyperlink>
    </w:p>
    <w:p w14:paraId="4E20C02F" w14:textId="6D77F582" w:rsidR="009E2381" w:rsidRDefault="009E2381">
      <w:pPr>
        <w:pStyle w:val="Spistreci4"/>
        <w:rPr>
          <w:rFonts w:asciiTheme="minorHAnsi" w:eastAsiaTheme="minorEastAsia" w:hAnsiTheme="minorHAnsi"/>
          <w:noProof/>
          <w:sz w:val="24"/>
          <w:szCs w:val="24"/>
          <w:lang w:eastAsia="pl-PL"/>
        </w:rPr>
      </w:pPr>
      <w:hyperlink w:anchor="_Toc205203171" w:history="1">
        <w:r w:rsidRPr="002E4993">
          <w:rPr>
            <w:rStyle w:val="Hipercze"/>
            <w:noProof/>
          </w:rPr>
          <w:t>Cel 1.4.3.</w:t>
        </w:r>
        <w:r>
          <w:rPr>
            <w:rFonts w:asciiTheme="minorHAnsi" w:eastAsiaTheme="minorEastAsia" w:hAnsiTheme="minorHAnsi"/>
            <w:noProof/>
            <w:sz w:val="24"/>
            <w:szCs w:val="24"/>
            <w:lang w:eastAsia="pl-PL"/>
          </w:rPr>
          <w:tab/>
        </w:r>
        <w:r w:rsidRPr="002E4993">
          <w:rPr>
            <w:rStyle w:val="Hipercze"/>
            <w:noProof/>
          </w:rPr>
          <w:t>Cel w zakresie stanu gleb</w:t>
        </w:r>
        <w:r>
          <w:rPr>
            <w:noProof/>
            <w:webHidden/>
          </w:rPr>
          <w:tab/>
        </w:r>
        <w:r>
          <w:rPr>
            <w:noProof/>
            <w:webHidden/>
          </w:rPr>
          <w:fldChar w:fldCharType="begin"/>
        </w:r>
        <w:r>
          <w:rPr>
            <w:noProof/>
            <w:webHidden/>
          </w:rPr>
          <w:instrText xml:space="preserve"> PAGEREF _Toc205203171 \h </w:instrText>
        </w:r>
        <w:r>
          <w:rPr>
            <w:noProof/>
            <w:webHidden/>
          </w:rPr>
        </w:r>
        <w:r>
          <w:rPr>
            <w:noProof/>
            <w:webHidden/>
          </w:rPr>
          <w:fldChar w:fldCharType="separate"/>
        </w:r>
        <w:r>
          <w:rPr>
            <w:noProof/>
            <w:webHidden/>
          </w:rPr>
          <w:t>63</w:t>
        </w:r>
        <w:r>
          <w:rPr>
            <w:noProof/>
            <w:webHidden/>
          </w:rPr>
          <w:fldChar w:fldCharType="end"/>
        </w:r>
      </w:hyperlink>
    </w:p>
    <w:p w14:paraId="59799B19" w14:textId="12B8A244" w:rsidR="009E2381" w:rsidRDefault="009E2381">
      <w:pPr>
        <w:pStyle w:val="Spistreci4"/>
        <w:rPr>
          <w:rFonts w:asciiTheme="minorHAnsi" w:eastAsiaTheme="minorEastAsia" w:hAnsiTheme="minorHAnsi"/>
          <w:noProof/>
          <w:sz w:val="24"/>
          <w:szCs w:val="24"/>
          <w:lang w:eastAsia="pl-PL"/>
        </w:rPr>
      </w:pPr>
      <w:hyperlink w:anchor="_Toc205203172" w:history="1">
        <w:r w:rsidRPr="002E4993">
          <w:rPr>
            <w:rStyle w:val="Hipercze"/>
            <w:noProof/>
          </w:rPr>
          <w:t>Cel 1.4.4.</w:t>
        </w:r>
        <w:r>
          <w:rPr>
            <w:rFonts w:asciiTheme="minorHAnsi" w:eastAsiaTheme="minorEastAsia" w:hAnsiTheme="minorHAnsi"/>
            <w:noProof/>
            <w:sz w:val="24"/>
            <w:szCs w:val="24"/>
            <w:lang w:eastAsia="pl-PL"/>
          </w:rPr>
          <w:tab/>
        </w:r>
        <w:r w:rsidRPr="002E4993">
          <w:rPr>
            <w:rStyle w:val="Hipercze"/>
            <w:noProof/>
          </w:rPr>
          <w:t>Cel w zakresie odpadów</w:t>
        </w:r>
        <w:r>
          <w:rPr>
            <w:noProof/>
            <w:webHidden/>
          </w:rPr>
          <w:tab/>
        </w:r>
        <w:r>
          <w:rPr>
            <w:noProof/>
            <w:webHidden/>
          </w:rPr>
          <w:fldChar w:fldCharType="begin"/>
        </w:r>
        <w:r>
          <w:rPr>
            <w:noProof/>
            <w:webHidden/>
          </w:rPr>
          <w:instrText xml:space="preserve"> PAGEREF _Toc205203172 \h </w:instrText>
        </w:r>
        <w:r>
          <w:rPr>
            <w:noProof/>
            <w:webHidden/>
          </w:rPr>
        </w:r>
        <w:r>
          <w:rPr>
            <w:noProof/>
            <w:webHidden/>
          </w:rPr>
          <w:fldChar w:fldCharType="separate"/>
        </w:r>
        <w:r>
          <w:rPr>
            <w:noProof/>
            <w:webHidden/>
          </w:rPr>
          <w:t>66</w:t>
        </w:r>
        <w:r>
          <w:rPr>
            <w:noProof/>
            <w:webHidden/>
          </w:rPr>
          <w:fldChar w:fldCharType="end"/>
        </w:r>
      </w:hyperlink>
    </w:p>
    <w:p w14:paraId="293FE7A0" w14:textId="38A85E11" w:rsidR="009E2381" w:rsidRDefault="009E2381" w:rsidP="006322D4">
      <w:pPr>
        <w:pStyle w:val="Spistreci3"/>
        <w:rPr>
          <w:rFonts w:asciiTheme="minorHAnsi" w:eastAsiaTheme="minorEastAsia" w:hAnsiTheme="minorHAnsi"/>
          <w:noProof/>
          <w:sz w:val="24"/>
          <w:szCs w:val="24"/>
          <w:lang w:eastAsia="pl-PL"/>
        </w:rPr>
      </w:pPr>
      <w:hyperlink w:anchor="_Toc205203173" w:history="1">
        <w:r w:rsidRPr="002E4993">
          <w:rPr>
            <w:rStyle w:val="Hipercze"/>
            <w:noProof/>
          </w:rPr>
          <w:t>Obszar 1.5.</w:t>
        </w:r>
        <w:r>
          <w:rPr>
            <w:rFonts w:asciiTheme="minorHAnsi" w:eastAsiaTheme="minorEastAsia" w:hAnsiTheme="minorHAnsi"/>
            <w:noProof/>
            <w:sz w:val="24"/>
            <w:szCs w:val="24"/>
            <w:lang w:eastAsia="pl-PL"/>
          </w:rPr>
          <w:tab/>
        </w:r>
        <w:r w:rsidRPr="002E4993">
          <w:rPr>
            <w:rStyle w:val="Hipercze"/>
            <w:noProof/>
          </w:rPr>
          <w:t>Gospodarka o obiegu zamkniętym</w:t>
        </w:r>
        <w:r>
          <w:rPr>
            <w:noProof/>
            <w:webHidden/>
          </w:rPr>
          <w:tab/>
        </w:r>
        <w:r>
          <w:rPr>
            <w:noProof/>
            <w:webHidden/>
          </w:rPr>
          <w:fldChar w:fldCharType="begin"/>
        </w:r>
        <w:r>
          <w:rPr>
            <w:noProof/>
            <w:webHidden/>
          </w:rPr>
          <w:instrText xml:space="preserve"> PAGEREF _Toc205203173 \h </w:instrText>
        </w:r>
        <w:r>
          <w:rPr>
            <w:noProof/>
            <w:webHidden/>
          </w:rPr>
        </w:r>
        <w:r>
          <w:rPr>
            <w:noProof/>
            <w:webHidden/>
          </w:rPr>
          <w:fldChar w:fldCharType="separate"/>
        </w:r>
        <w:r>
          <w:rPr>
            <w:noProof/>
            <w:webHidden/>
          </w:rPr>
          <w:t>70</w:t>
        </w:r>
        <w:r>
          <w:rPr>
            <w:noProof/>
            <w:webHidden/>
          </w:rPr>
          <w:fldChar w:fldCharType="end"/>
        </w:r>
      </w:hyperlink>
    </w:p>
    <w:p w14:paraId="13A59AED" w14:textId="20D7CFDD" w:rsidR="009E2381" w:rsidRDefault="009E2381">
      <w:pPr>
        <w:pStyle w:val="Spistreci4"/>
        <w:rPr>
          <w:rFonts w:asciiTheme="minorHAnsi" w:eastAsiaTheme="minorEastAsia" w:hAnsiTheme="minorHAnsi"/>
          <w:noProof/>
          <w:sz w:val="24"/>
          <w:szCs w:val="24"/>
          <w:lang w:eastAsia="pl-PL"/>
        </w:rPr>
      </w:pPr>
      <w:hyperlink w:anchor="_Toc205203174" w:history="1">
        <w:r w:rsidRPr="002E4993">
          <w:rPr>
            <w:rStyle w:val="Hipercze"/>
            <w:noProof/>
          </w:rPr>
          <w:t>Cel 1.5.1.</w:t>
        </w:r>
        <w:r>
          <w:rPr>
            <w:rFonts w:asciiTheme="minorHAnsi" w:eastAsiaTheme="minorEastAsia" w:hAnsiTheme="minorHAnsi"/>
            <w:noProof/>
            <w:sz w:val="24"/>
            <w:szCs w:val="24"/>
            <w:lang w:eastAsia="pl-PL"/>
          </w:rPr>
          <w:tab/>
        </w:r>
        <w:r w:rsidRPr="002E4993">
          <w:rPr>
            <w:rStyle w:val="Hipercze"/>
            <w:noProof/>
          </w:rPr>
          <w:t>Wspieranie transformacji w kierunku gospodarki o obiegu zamkniętym</w:t>
        </w:r>
        <w:r>
          <w:rPr>
            <w:noProof/>
            <w:webHidden/>
          </w:rPr>
          <w:tab/>
        </w:r>
        <w:r>
          <w:rPr>
            <w:noProof/>
            <w:webHidden/>
          </w:rPr>
          <w:fldChar w:fldCharType="begin"/>
        </w:r>
        <w:r>
          <w:rPr>
            <w:noProof/>
            <w:webHidden/>
          </w:rPr>
          <w:instrText xml:space="preserve"> PAGEREF _Toc205203174 \h </w:instrText>
        </w:r>
        <w:r>
          <w:rPr>
            <w:noProof/>
            <w:webHidden/>
          </w:rPr>
        </w:r>
        <w:r>
          <w:rPr>
            <w:noProof/>
            <w:webHidden/>
          </w:rPr>
          <w:fldChar w:fldCharType="separate"/>
        </w:r>
        <w:r>
          <w:rPr>
            <w:noProof/>
            <w:webHidden/>
          </w:rPr>
          <w:t>70</w:t>
        </w:r>
        <w:r>
          <w:rPr>
            <w:noProof/>
            <w:webHidden/>
          </w:rPr>
          <w:fldChar w:fldCharType="end"/>
        </w:r>
      </w:hyperlink>
    </w:p>
    <w:p w14:paraId="5335399B" w14:textId="5AD967CE" w:rsidR="009E2381" w:rsidRDefault="009E2381" w:rsidP="006322D4">
      <w:pPr>
        <w:pStyle w:val="Spistreci3"/>
        <w:rPr>
          <w:rFonts w:asciiTheme="minorHAnsi" w:eastAsiaTheme="minorEastAsia" w:hAnsiTheme="minorHAnsi"/>
          <w:noProof/>
          <w:sz w:val="24"/>
          <w:szCs w:val="24"/>
          <w:lang w:eastAsia="pl-PL"/>
        </w:rPr>
      </w:pPr>
      <w:hyperlink w:anchor="_Toc205203175" w:history="1">
        <w:r w:rsidRPr="002E4993">
          <w:rPr>
            <w:rStyle w:val="Hipercze"/>
            <w:noProof/>
          </w:rPr>
          <w:t>Obszar 1.6.</w:t>
        </w:r>
        <w:r>
          <w:rPr>
            <w:rFonts w:asciiTheme="minorHAnsi" w:eastAsiaTheme="minorEastAsia" w:hAnsiTheme="minorHAnsi"/>
            <w:noProof/>
            <w:sz w:val="24"/>
            <w:szCs w:val="24"/>
            <w:lang w:eastAsia="pl-PL"/>
          </w:rPr>
          <w:tab/>
        </w:r>
        <w:r w:rsidRPr="002E4993">
          <w:rPr>
            <w:rStyle w:val="Hipercze"/>
            <w:noProof/>
          </w:rPr>
          <w:t>Adaptacja do zmian klimatu</w:t>
        </w:r>
        <w:r>
          <w:rPr>
            <w:noProof/>
            <w:webHidden/>
          </w:rPr>
          <w:tab/>
        </w:r>
        <w:r>
          <w:rPr>
            <w:noProof/>
            <w:webHidden/>
          </w:rPr>
          <w:fldChar w:fldCharType="begin"/>
        </w:r>
        <w:r>
          <w:rPr>
            <w:noProof/>
            <w:webHidden/>
          </w:rPr>
          <w:instrText xml:space="preserve"> PAGEREF _Toc205203175 \h </w:instrText>
        </w:r>
        <w:r>
          <w:rPr>
            <w:noProof/>
            <w:webHidden/>
          </w:rPr>
        </w:r>
        <w:r>
          <w:rPr>
            <w:noProof/>
            <w:webHidden/>
          </w:rPr>
          <w:fldChar w:fldCharType="separate"/>
        </w:r>
        <w:r>
          <w:rPr>
            <w:noProof/>
            <w:webHidden/>
          </w:rPr>
          <w:t>72</w:t>
        </w:r>
        <w:r>
          <w:rPr>
            <w:noProof/>
            <w:webHidden/>
          </w:rPr>
          <w:fldChar w:fldCharType="end"/>
        </w:r>
      </w:hyperlink>
    </w:p>
    <w:p w14:paraId="3BEFE266" w14:textId="293D312E" w:rsidR="009E2381" w:rsidRDefault="009E2381">
      <w:pPr>
        <w:pStyle w:val="Spistreci4"/>
        <w:rPr>
          <w:rFonts w:asciiTheme="minorHAnsi" w:eastAsiaTheme="minorEastAsia" w:hAnsiTheme="minorHAnsi"/>
          <w:noProof/>
          <w:sz w:val="24"/>
          <w:szCs w:val="24"/>
          <w:lang w:eastAsia="pl-PL"/>
        </w:rPr>
      </w:pPr>
      <w:hyperlink w:anchor="_Toc205203176" w:history="1">
        <w:r w:rsidRPr="002E4993">
          <w:rPr>
            <w:rStyle w:val="Hipercze"/>
            <w:noProof/>
          </w:rPr>
          <w:t>Cel 1.6.1.</w:t>
        </w:r>
        <w:r>
          <w:rPr>
            <w:rFonts w:asciiTheme="minorHAnsi" w:eastAsiaTheme="minorEastAsia" w:hAnsiTheme="minorHAnsi"/>
            <w:noProof/>
            <w:sz w:val="24"/>
            <w:szCs w:val="24"/>
            <w:lang w:eastAsia="pl-PL"/>
          </w:rPr>
          <w:tab/>
        </w:r>
        <w:r w:rsidRPr="002E4993">
          <w:rPr>
            <w:rStyle w:val="Hipercze"/>
            <w:noProof/>
          </w:rPr>
          <w:t>Dążenie do adaptacji do zmian klimatu</w:t>
        </w:r>
        <w:r>
          <w:rPr>
            <w:noProof/>
            <w:webHidden/>
          </w:rPr>
          <w:tab/>
        </w:r>
        <w:r>
          <w:rPr>
            <w:noProof/>
            <w:webHidden/>
          </w:rPr>
          <w:fldChar w:fldCharType="begin"/>
        </w:r>
        <w:r>
          <w:rPr>
            <w:noProof/>
            <w:webHidden/>
          </w:rPr>
          <w:instrText xml:space="preserve"> PAGEREF _Toc205203176 \h </w:instrText>
        </w:r>
        <w:r>
          <w:rPr>
            <w:noProof/>
            <w:webHidden/>
          </w:rPr>
        </w:r>
        <w:r>
          <w:rPr>
            <w:noProof/>
            <w:webHidden/>
          </w:rPr>
          <w:fldChar w:fldCharType="separate"/>
        </w:r>
        <w:r>
          <w:rPr>
            <w:noProof/>
            <w:webHidden/>
          </w:rPr>
          <w:t>72</w:t>
        </w:r>
        <w:r>
          <w:rPr>
            <w:noProof/>
            <w:webHidden/>
          </w:rPr>
          <w:fldChar w:fldCharType="end"/>
        </w:r>
      </w:hyperlink>
    </w:p>
    <w:p w14:paraId="7CCD3CE4" w14:textId="7B981EF4" w:rsidR="009E2381" w:rsidRDefault="009E2381" w:rsidP="00473117">
      <w:pPr>
        <w:pStyle w:val="Spistreci2"/>
        <w:rPr>
          <w:rFonts w:asciiTheme="minorHAnsi" w:eastAsiaTheme="minorEastAsia" w:hAnsiTheme="minorHAnsi"/>
          <w:noProof/>
          <w:sz w:val="24"/>
          <w:szCs w:val="24"/>
          <w:lang w:eastAsia="pl-PL"/>
        </w:rPr>
      </w:pPr>
      <w:hyperlink w:anchor="_Toc205203177" w:history="1">
        <w:r w:rsidRPr="002E4993">
          <w:rPr>
            <w:rStyle w:val="Hipercze"/>
            <w:noProof/>
          </w:rPr>
          <w:t>2.</w:t>
        </w:r>
        <w:r w:rsidRPr="002E4993">
          <w:rPr>
            <w:rStyle w:val="Hipercze"/>
            <w:noProof/>
            <w:lang w:eastAsia="pl-PL"/>
          </w:rPr>
          <w:t xml:space="preserve"> </w:t>
        </w:r>
        <w:r w:rsidRPr="002E4993">
          <w:rPr>
            <w:rStyle w:val="Hipercze"/>
            <w:noProof/>
          </w:rPr>
          <w:t>Poprawa efektywności energetycznej</w:t>
        </w:r>
        <w:r>
          <w:rPr>
            <w:noProof/>
            <w:webHidden/>
          </w:rPr>
          <w:tab/>
        </w:r>
        <w:r>
          <w:rPr>
            <w:noProof/>
            <w:webHidden/>
          </w:rPr>
          <w:fldChar w:fldCharType="begin"/>
        </w:r>
        <w:r>
          <w:rPr>
            <w:noProof/>
            <w:webHidden/>
          </w:rPr>
          <w:instrText xml:space="preserve"> PAGEREF _Toc205203177 \h </w:instrText>
        </w:r>
        <w:r>
          <w:rPr>
            <w:noProof/>
            <w:webHidden/>
          </w:rPr>
        </w:r>
        <w:r>
          <w:rPr>
            <w:noProof/>
            <w:webHidden/>
          </w:rPr>
          <w:fldChar w:fldCharType="separate"/>
        </w:r>
        <w:r>
          <w:rPr>
            <w:noProof/>
            <w:webHidden/>
          </w:rPr>
          <w:t>77</w:t>
        </w:r>
        <w:r>
          <w:rPr>
            <w:noProof/>
            <w:webHidden/>
          </w:rPr>
          <w:fldChar w:fldCharType="end"/>
        </w:r>
      </w:hyperlink>
    </w:p>
    <w:p w14:paraId="68A5EEDC" w14:textId="113578E1" w:rsidR="009E2381" w:rsidRDefault="009E2381" w:rsidP="006322D4">
      <w:pPr>
        <w:pStyle w:val="Spistreci3"/>
        <w:rPr>
          <w:rFonts w:asciiTheme="minorHAnsi" w:eastAsiaTheme="minorEastAsia" w:hAnsiTheme="minorHAnsi"/>
          <w:noProof/>
          <w:sz w:val="24"/>
          <w:szCs w:val="24"/>
          <w:lang w:eastAsia="pl-PL"/>
        </w:rPr>
      </w:pPr>
      <w:hyperlink w:anchor="_Toc205203178" w:history="1">
        <w:r w:rsidRPr="002E4993">
          <w:rPr>
            <w:rStyle w:val="Hipercze"/>
            <w:noProof/>
          </w:rPr>
          <w:t>Obszar 2.1.</w:t>
        </w:r>
        <w:r>
          <w:rPr>
            <w:rFonts w:asciiTheme="minorHAnsi" w:eastAsiaTheme="minorEastAsia" w:hAnsiTheme="minorHAnsi"/>
            <w:noProof/>
            <w:sz w:val="24"/>
            <w:szCs w:val="24"/>
            <w:lang w:eastAsia="pl-PL"/>
          </w:rPr>
          <w:tab/>
        </w:r>
        <w:r w:rsidRPr="002E4993">
          <w:rPr>
            <w:rStyle w:val="Hipercze"/>
            <w:noProof/>
          </w:rPr>
          <w:t>Poprawa efektywności energetycznej w gospodarce</w:t>
        </w:r>
        <w:r>
          <w:rPr>
            <w:noProof/>
            <w:webHidden/>
          </w:rPr>
          <w:tab/>
        </w:r>
        <w:r>
          <w:rPr>
            <w:noProof/>
            <w:webHidden/>
          </w:rPr>
          <w:fldChar w:fldCharType="begin"/>
        </w:r>
        <w:r>
          <w:rPr>
            <w:noProof/>
            <w:webHidden/>
          </w:rPr>
          <w:instrText xml:space="preserve"> PAGEREF _Toc205203178 \h </w:instrText>
        </w:r>
        <w:r>
          <w:rPr>
            <w:noProof/>
            <w:webHidden/>
          </w:rPr>
        </w:r>
        <w:r>
          <w:rPr>
            <w:noProof/>
            <w:webHidden/>
          </w:rPr>
          <w:fldChar w:fldCharType="separate"/>
        </w:r>
        <w:r>
          <w:rPr>
            <w:noProof/>
            <w:webHidden/>
          </w:rPr>
          <w:t>78</w:t>
        </w:r>
        <w:r>
          <w:rPr>
            <w:noProof/>
            <w:webHidden/>
          </w:rPr>
          <w:fldChar w:fldCharType="end"/>
        </w:r>
      </w:hyperlink>
    </w:p>
    <w:p w14:paraId="40C96DD3" w14:textId="62DA4CFD" w:rsidR="009E2381" w:rsidRDefault="009E2381">
      <w:pPr>
        <w:pStyle w:val="Spistreci4"/>
        <w:rPr>
          <w:rFonts w:asciiTheme="minorHAnsi" w:eastAsiaTheme="minorEastAsia" w:hAnsiTheme="minorHAnsi"/>
          <w:noProof/>
          <w:sz w:val="24"/>
          <w:szCs w:val="24"/>
          <w:lang w:eastAsia="pl-PL"/>
        </w:rPr>
      </w:pPr>
      <w:hyperlink w:anchor="_Toc205203179" w:history="1">
        <w:r w:rsidRPr="002E4993">
          <w:rPr>
            <w:rStyle w:val="Hipercze"/>
            <w:noProof/>
          </w:rPr>
          <w:t>Cel 2.1.1.</w:t>
        </w:r>
        <w:r>
          <w:rPr>
            <w:rFonts w:asciiTheme="minorHAnsi" w:eastAsiaTheme="minorEastAsia" w:hAnsiTheme="minorHAnsi"/>
            <w:noProof/>
            <w:sz w:val="24"/>
            <w:szCs w:val="24"/>
            <w:lang w:eastAsia="pl-PL"/>
          </w:rPr>
          <w:tab/>
        </w:r>
        <w:r w:rsidRPr="002E4993">
          <w:rPr>
            <w:rStyle w:val="Hipercze"/>
            <w:noProof/>
          </w:rPr>
          <w:t>Wkład Polski w zakresie zużycia energii pierwotnej</w:t>
        </w:r>
        <w:r>
          <w:rPr>
            <w:noProof/>
            <w:webHidden/>
          </w:rPr>
          <w:tab/>
        </w:r>
        <w:r>
          <w:rPr>
            <w:noProof/>
            <w:webHidden/>
          </w:rPr>
          <w:fldChar w:fldCharType="begin"/>
        </w:r>
        <w:r>
          <w:rPr>
            <w:noProof/>
            <w:webHidden/>
          </w:rPr>
          <w:instrText xml:space="preserve"> PAGEREF _Toc205203179 \h </w:instrText>
        </w:r>
        <w:r>
          <w:rPr>
            <w:noProof/>
            <w:webHidden/>
          </w:rPr>
        </w:r>
        <w:r>
          <w:rPr>
            <w:noProof/>
            <w:webHidden/>
          </w:rPr>
          <w:fldChar w:fldCharType="separate"/>
        </w:r>
        <w:r>
          <w:rPr>
            <w:noProof/>
            <w:webHidden/>
          </w:rPr>
          <w:t>80</w:t>
        </w:r>
        <w:r>
          <w:rPr>
            <w:noProof/>
            <w:webHidden/>
          </w:rPr>
          <w:fldChar w:fldCharType="end"/>
        </w:r>
      </w:hyperlink>
    </w:p>
    <w:p w14:paraId="0A8713D1" w14:textId="0280E9BE" w:rsidR="009E2381" w:rsidRDefault="009E2381">
      <w:pPr>
        <w:pStyle w:val="Spistreci4"/>
        <w:rPr>
          <w:rFonts w:asciiTheme="minorHAnsi" w:eastAsiaTheme="minorEastAsia" w:hAnsiTheme="minorHAnsi"/>
          <w:noProof/>
          <w:sz w:val="24"/>
          <w:szCs w:val="24"/>
          <w:lang w:eastAsia="pl-PL"/>
        </w:rPr>
      </w:pPr>
      <w:hyperlink w:anchor="_Toc205203180" w:history="1">
        <w:r w:rsidRPr="002E4993">
          <w:rPr>
            <w:rStyle w:val="Hipercze"/>
            <w:noProof/>
          </w:rPr>
          <w:t>Cel 2.1.2.</w:t>
        </w:r>
        <w:r>
          <w:rPr>
            <w:rFonts w:asciiTheme="minorHAnsi" w:eastAsiaTheme="minorEastAsia" w:hAnsiTheme="minorHAnsi"/>
            <w:noProof/>
            <w:sz w:val="24"/>
            <w:szCs w:val="24"/>
            <w:lang w:eastAsia="pl-PL"/>
          </w:rPr>
          <w:tab/>
        </w:r>
        <w:r w:rsidRPr="002E4993">
          <w:rPr>
            <w:rStyle w:val="Hipercze"/>
            <w:noProof/>
          </w:rPr>
          <w:t>Wkład Polski w zakresie finalnego zużycia energii</w:t>
        </w:r>
        <w:r>
          <w:rPr>
            <w:noProof/>
            <w:webHidden/>
          </w:rPr>
          <w:tab/>
        </w:r>
        <w:r>
          <w:rPr>
            <w:noProof/>
            <w:webHidden/>
          </w:rPr>
          <w:fldChar w:fldCharType="begin"/>
        </w:r>
        <w:r>
          <w:rPr>
            <w:noProof/>
            <w:webHidden/>
          </w:rPr>
          <w:instrText xml:space="preserve"> PAGEREF _Toc205203180 \h </w:instrText>
        </w:r>
        <w:r>
          <w:rPr>
            <w:noProof/>
            <w:webHidden/>
          </w:rPr>
        </w:r>
        <w:r>
          <w:rPr>
            <w:noProof/>
            <w:webHidden/>
          </w:rPr>
          <w:fldChar w:fldCharType="separate"/>
        </w:r>
        <w:r>
          <w:rPr>
            <w:noProof/>
            <w:webHidden/>
          </w:rPr>
          <w:t>82</w:t>
        </w:r>
        <w:r>
          <w:rPr>
            <w:noProof/>
            <w:webHidden/>
          </w:rPr>
          <w:fldChar w:fldCharType="end"/>
        </w:r>
      </w:hyperlink>
    </w:p>
    <w:p w14:paraId="7B0FFC6F" w14:textId="109C6462" w:rsidR="009E2381" w:rsidRDefault="009E2381">
      <w:pPr>
        <w:pStyle w:val="Spistreci4"/>
        <w:rPr>
          <w:rFonts w:asciiTheme="minorHAnsi" w:eastAsiaTheme="minorEastAsia" w:hAnsiTheme="minorHAnsi"/>
          <w:noProof/>
          <w:sz w:val="24"/>
          <w:szCs w:val="24"/>
          <w:lang w:eastAsia="pl-PL"/>
        </w:rPr>
      </w:pPr>
      <w:hyperlink w:anchor="_Toc205203181" w:history="1">
        <w:r w:rsidRPr="002E4993">
          <w:rPr>
            <w:rStyle w:val="Hipercze"/>
            <w:noProof/>
          </w:rPr>
          <w:t>Cel 2.1.3.</w:t>
        </w:r>
        <w:r>
          <w:rPr>
            <w:rFonts w:asciiTheme="minorHAnsi" w:eastAsiaTheme="minorEastAsia" w:hAnsiTheme="minorHAnsi"/>
            <w:noProof/>
            <w:sz w:val="24"/>
            <w:szCs w:val="24"/>
            <w:lang w:eastAsia="pl-PL"/>
          </w:rPr>
          <w:tab/>
        </w:r>
        <w:r w:rsidRPr="002E4993">
          <w:rPr>
            <w:rStyle w:val="Hipercze"/>
            <w:noProof/>
          </w:rPr>
          <w:t>Generowanie oszczędności finalnego zużycia energii</w:t>
        </w:r>
        <w:r>
          <w:rPr>
            <w:noProof/>
            <w:webHidden/>
          </w:rPr>
          <w:tab/>
        </w:r>
        <w:r>
          <w:rPr>
            <w:noProof/>
            <w:webHidden/>
          </w:rPr>
          <w:fldChar w:fldCharType="begin"/>
        </w:r>
        <w:r>
          <w:rPr>
            <w:noProof/>
            <w:webHidden/>
          </w:rPr>
          <w:instrText xml:space="preserve"> PAGEREF _Toc205203181 \h </w:instrText>
        </w:r>
        <w:r>
          <w:rPr>
            <w:noProof/>
            <w:webHidden/>
          </w:rPr>
        </w:r>
        <w:r>
          <w:rPr>
            <w:noProof/>
            <w:webHidden/>
          </w:rPr>
          <w:fldChar w:fldCharType="separate"/>
        </w:r>
        <w:r>
          <w:rPr>
            <w:noProof/>
            <w:webHidden/>
          </w:rPr>
          <w:t>85</w:t>
        </w:r>
        <w:r>
          <w:rPr>
            <w:noProof/>
            <w:webHidden/>
          </w:rPr>
          <w:fldChar w:fldCharType="end"/>
        </w:r>
      </w:hyperlink>
    </w:p>
    <w:p w14:paraId="2F54216A" w14:textId="22F41930" w:rsidR="009E2381" w:rsidRDefault="009E2381">
      <w:pPr>
        <w:pStyle w:val="Spistreci4"/>
        <w:rPr>
          <w:rFonts w:asciiTheme="minorHAnsi" w:eastAsiaTheme="minorEastAsia" w:hAnsiTheme="minorHAnsi"/>
          <w:noProof/>
          <w:sz w:val="24"/>
          <w:szCs w:val="24"/>
          <w:lang w:eastAsia="pl-PL"/>
        </w:rPr>
      </w:pPr>
      <w:hyperlink w:anchor="_Toc205203182" w:history="1">
        <w:r w:rsidRPr="002E4993">
          <w:rPr>
            <w:rStyle w:val="Hipercze"/>
            <w:noProof/>
          </w:rPr>
          <w:t>Cel 2.1.4.</w:t>
        </w:r>
        <w:r>
          <w:rPr>
            <w:rFonts w:asciiTheme="minorHAnsi" w:eastAsiaTheme="minorEastAsia" w:hAnsiTheme="minorHAnsi"/>
            <w:noProof/>
            <w:sz w:val="24"/>
            <w:szCs w:val="24"/>
            <w:lang w:eastAsia="pl-PL"/>
          </w:rPr>
          <w:tab/>
        </w:r>
        <w:r w:rsidRPr="002E4993">
          <w:rPr>
            <w:rStyle w:val="Hipercze"/>
            <w:noProof/>
          </w:rPr>
          <w:t>Zmniejszenie finalnego zużycia energii przez instytucje publiczne</w:t>
        </w:r>
        <w:r>
          <w:rPr>
            <w:noProof/>
            <w:webHidden/>
          </w:rPr>
          <w:tab/>
        </w:r>
        <w:r>
          <w:rPr>
            <w:noProof/>
            <w:webHidden/>
          </w:rPr>
          <w:fldChar w:fldCharType="begin"/>
        </w:r>
        <w:r>
          <w:rPr>
            <w:noProof/>
            <w:webHidden/>
          </w:rPr>
          <w:instrText xml:space="preserve"> PAGEREF _Toc205203182 \h </w:instrText>
        </w:r>
        <w:r>
          <w:rPr>
            <w:noProof/>
            <w:webHidden/>
          </w:rPr>
        </w:r>
        <w:r>
          <w:rPr>
            <w:noProof/>
            <w:webHidden/>
          </w:rPr>
          <w:fldChar w:fldCharType="separate"/>
        </w:r>
        <w:r>
          <w:rPr>
            <w:noProof/>
            <w:webHidden/>
          </w:rPr>
          <w:t>87</w:t>
        </w:r>
        <w:r>
          <w:rPr>
            <w:noProof/>
            <w:webHidden/>
          </w:rPr>
          <w:fldChar w:fldCharType="end"/>
        </w:r>
      </w:hyperlink>
    </w:p>
    <w:p w14:paraId="4992B959" w14:textId="36BCDC65" w:rsidR="009E2381" w:rsidRDefault="009E2381" w:rsidP="006322D4">
      <w:pPr>
        <w:pStyle w:val="Spistreci3"/>
        <w:rPr>
          <w:rFonts w:asciiTheme="minorHAnsi" w:eastAsiaTheme="minorEastAsia" w:hAnsiTheme="minorHAnsi"/>
          <w:noProof/>
          <w:sz w:val="24"/>
          <w:szCs w:val="24"/>
          <w:lang w:eastAsia="pl-PL"/>
        </w:rPr>
      </w:pPr>
      <w:hyperlink w:anchor="_Toc205203183" w:history="1">
        <w:r w:rsidRPr="002E4993">
          <w:rPr>
            <w:rStyle w:val="Hipercze"/>
            <w:noProof/>
          </w:rPr>
          <w:t>Obszar 2.2.</w:t>
        </w:r>
        <w:r>
          <w:rPr>
            <w:rFonts w:asciiTheme="minorHAnsi" w:eastAsiaTheme="minorEastAsia" w:hAnsiTheme="minorHAnsi"/>
            <w:noProof/>
            <w:sz w:val="24"/>
            <w:szCs w:val="24"/>
            <w:lang w:eastAsia="pl-PL"/>
          </w:rPr>
          <w:tab/>
        </w:r>
        <w:r w:rsidRPr="002E4993">
          <w:rPr>
            <w:rStyle w:val="Hipercze"/>
            <w:noProof/>
          </w:rPr>
          <w:t>Niskoemisyjne budownictwo</w:t>
        </w:r>
        <w:r>
          <w:rPr>
            <w:noProof/>
            <w:webHidden/>
          </w:rPr>
          <w:tab/>
        </w:r>
        <w:r>
          <w:rPr>
            <w:noProof/>
            <w:webHidden/>
          </w:rPr>
          <w:fldChar w:fldCharType="begin"/>
        </w:r>
        <w:r>
          <w:rPr>
            <w:noProof/>
            <w:webHidden/>
          </w:rPr>
          <w:instrText xml:space="preserve"> PAGEREF _Toc205203183 \h </w:instrText>
        </w:r>
        <w:r>
          <w:rPr>
            <w:noProof/>
            <w:webHidden/>
          </w:rPr>
        </w:r>
        <w:r>
          <w:rPr>
            <w:noProof/>
            <w:webHidden/>
          </w:rPr>
          <w:fldChar w:fldCharType="separate"/>
        </w:r>
        <w:r>
          <w:rPr>
            <w:noProof/>
            <w:webHidden/>
          </w:rPr>
          <w:t>88</w:t>
        </w:r>
        <w:r>
          <w:rPr>
            <w:noProof/>
            <w:webHidden/>
          </w:rPr>
          <w:fldChar w:fldCharType="end"/>
        </w:r>
      </w:hyperlink>
    </w:p>
    <w:p w14:paraId="1CDD5D02" w14:textId="248307F5" w:rsidR="009E2381" w:rsidRDefault="009E2381">
      <w:pPr>
        <w:pStyle w:val="Spistreci4"/>
        <w:rPr>
          <w:rFonts w:asciiTheme="minorHAnsi" w:eastAsiaTheme="minorEastAsia" w:hAnsiTheme="minorHAnsi"/>
          <w:noProof/>
          <w:sz w:val="24"/>
          <w:szCs w:val="24"/>
          <w:lang w:eastAsia="pl-PL"/>
        </w:rPr>
      </w:pPr>
      <w:hyperlink w:anchor="_Toc205203184" w:history="1">
        <w:r w:rsidRPr="002E4993">
          <w:rPr>
            <w:rStyle w:val="Hipercze"/>
            <w:noProof/>
          </w:rPr>
          <w:t>Cel 2.2.1.</w:t>
        </w:r>
        <w:r>
          <w:rPr>
            <w:rFonts w:asciiTheme="minorHAnsi" w:eastAsiaTheme="minorEastAsia" w:hAnsiTheme="minorHAnsi"/>
            <w:noProof/>
            <w:sz w:val="24"/>
            <w:szCs w:val="24"/>
            <w:lang w:eastAsia="pl-PL"/>
          </w:rPr>
          <w:tab/>
        </w:r>
        <w:r w:rsidRPr="002E4993">
          <w:rPr>
            <w:rStyle w:val="Hipercze"/>
            <w:noProof/>
          </w:rPr>
          <w:t>Redukcja potrzeb energetycznych istniejących budynków</w:t>
        </w:r>
        <w:r>
          <w:rPr>
            <w:noProof/>
            <w:webHidden/>
          </w:rPr>
          <w:tab/>
        </w:r>
        <w:r>
          <w:rPr>
            <w:noProof/>
            <w:webHidden/>
          </w:rPr>
          <w:fldChar w:fldCharType="begin"/>
        </w:r>
        <w:r>
          <w:rPr>
            <w:noProof/>
            <w:webHidden/>
          </w:rPr>
          <w:instrText xml:space="preserve"> PAGEREF _Toc205203184 \h </w:instrText>
        </w:r>
        <w:r>
          <w:rPr>
            <w:noProof/>
            <w:webHidden/>
          </w:rPr>
        </w:r>
        <w:r>
          <w:rPr>
            <w:noProof/>
            <w:webHidden/>
          </w:rPr>
          <w:fldChar w:fldCharType="separate"/>
        </w:r>
        <w:r>
          <w:rPr>
            <w:noProof/>
            <w:webHidden/>
          </w:rPr>
          <w:t>89</w:t>
        </w:r>
        <w:r>
          <w:rPr>
            <w:noProof/>
            <w:webHidden/>
          </w:rPr>
          <w:fldChar w:fldCharType="end"/>
        </w:r>
      </w:hyperlink>
    </w:p>
    <w:p w14:paraId="7345C8C0" w14:textId="735E4FE5" w:rsidR="009E2381" w:rsidRDefault="009E2381">
      <w:pPr>
        <w:pStyle w:val="Spistreci4"/>
        <w:rPr>
          <w:rFonts w:asciiTheme="minorHAnsi" w:eastAsiaTheme="minorEastAsia" w:hAnsiTheme="minorHAnsi"/>
          <w:noProof/>
          <w:sz w:val="24"/>
          <w:szCs w:val="24"/>
          <w:lang w:eastAsia="pl-PL"/>
        </w:rPr>
      </w:pPr>
      <w:hyperlink w:anchor="_Toc205203185" w:history="1">
        <w:r w:rsidRPr="002E4993">
          <w:rPr>
            <w:rStyle w:val="Hipercze"/>
            <w:noProof/>
          </w:rPr>
          <w:t>Cel 2.2.2.</w:t>
        </w:r>
        <w:r>
          <w:rPr>
            <w:rFonts w:asciiTheme="minorHAnsi" w:eastAsiaTheme="minorEastAsia" w:hAnsiTheme="minorHAnsi"/>
            <w:noProof/>
            <w:sz w:val="24"/>
            <w:szCs w:val="24"/>
            <w:lang w:eastAsia="pl-PL"/>
          </w:rPr>
          <w:tab/>
        </w:r>
        <w:r w:rsidRPr="002E4993">
          <w:rPr>
            <w:rStyle w:val="Hipercze"/>
            <w:noProof/>
          </w:rPr>
          <w:t>Nowe budownictwo bezemisyjne</w:t>
        </w:r>
        <w:r>
          <w:rPr>
            <w:noProof/>
            <w:webHidden/>
          </w:rPr>
          <w:tab/>
        </w:r>
        <w:r>
          <w:rPr>
            <w:noProof/>
            <w:webHidden/>
          </w:rPr>
          <w:fldChar w:fldCharType="begin"/>
        </w:r>
        <w:r>
          <w:rPr>
            <w:noProof/>
            <w:webHidden/>
          </w:rPr>
          <w:instrText xml:space="preserve"> PAGEREF _Toc205203185 \h </w:instrText>
        </w:r>
        <w:r>
          <w:rPr>
            <w:noProof/>
            <w:webHidden/>
          </w:rPr>
        </w:r>
        <w:r>
          <w:rPr>
            <w:noProof/>
            <w:webHidden/>
          </w:rPr>
          <w:fldChar w:fldCharType="separate"/>
        </w:r>
        <w:r>
          <w:rPr>
            <w:noProof/>
            <w:webHidden/>
          </w:rPr>
          <w:t>92</w:t>
        </w:r>
        <w:r>
          <w:rPr>
            <w:noProof/>
            <w:webHidden/>
          </w:rPr>
          <w:fldChar w:fldCharType="end"/>
        </w:r>
      </w:hyperlink>
    </w:p>
    <w:p w14:paraId="57336256" w14:textId="24BD6A61" w:rsidR="009E2381" w:rsidRDefault="009E2381" w:rsidP="00473117">
      <w:pPr>
        <w:pStyle w:val="Spistreci2"/>
        <w:rPr>
          <w:rFonts w:asciiTheme="minorHAnsi" w:eastAsiaTheme="minorEastAsia" w:hAnsiTheme="minorHAnsi"/>
          <w:noProof/>
          <w:sz w:val="24"/>
          <w:szCs w:val="24"/>
          <w:lang w:eastAsia="pl-PL"/>
        </w:rPr>
      </w:pPr>
      <w:hyperlink w:anchor="_Toc205203186" w:history="1">
        <w:r w:rsidRPr="002E4993">
          <w:rPr>
            <w:rStyle w:val="Hipercze"/>
            <w:noProof/>
          </w:rPr>
          <w:t>3.</w:t>
        </w:r>
        <w:r w:rsidRPr="002E4993">
          <w:rPr>
            <w:rStyle w:val="Hipercze"/>
            <w:noProof/>
            <w:lang w:eastAsia="pl-PL"/>
          </w:rPr>
          <w:t xml:space="preserve"> </w:t>
        </w:r>
        <w:r w:rsidRPr="002E4993">
          <w:rPr>
            <w:rStyle w:val="Hipercze"/>
            <w:noProof/>
          </w:rPr>
          <w:t>Bezpieczeństwo energetyczne</w:t>
        </w:r>
        <w:r>
          <w:rPr>
            <w:noProof/>
            <w:webHidden/>
          </w:rPr>
          <w:tab/>
        </w:r>
        <w:r>
          <w:rPr>
            <w:noProof/>
            <w:webHidden/>
          </w:rPr>
          <w:fldChar w:fldCharType="begin"/>
        </w:r>
        <w:r>
          <w:rPr>
            <w:noProof/>
            <w:webHidden/>
          </w:rPr>
          <w:instrText xml:space="preserve"> PAGEREF _Toc205203186 \h </w:instrText>
        </w:r>
        <w:r>
          <w:rPr>
            <w:noProof/>
            <w:webHidden/>
          </w:rPr>
        </w:r>
        <w:r>
          <w:rPr>
            <w:noProof/>
            <w:webHidden/>
          </w:rPr>
          <w:fldChar w:fldCharType="separate"/>
        </w:r>
        <w:r>
          <w:rPr>
            <w:noProof/>
            <w:webHidden/>
          </w:rPr>
          <w:t>94</w:t>
        </w:r>
        <w:r>
          <w:rPr>
            <w:noProof/>
            <w:webHidden/>
          </w:rPr>
          <w:fldChar w:fldCharType="end"/>
        </w:r>
      </w:hyperlink>
    </w:p>
    <w:p w14:paraId="69506F5B" w14:textId="4650D43F" w:rsidR="009E2381" w:rsidRDefault="009E2381" w:rsidP="006322D4">
      <w:pPr>
        <w:pStyle w:val="Spistreci3"/>
        <w:rPr>
          <w:rFonts w:asciiTheme="minorHAnsi" w:eastAsiaTheme="minorEastAsia" w:hAnsiTheme="minorHAnsi"/>
          <w:noProof/>
          <w:sz w:val="24"/>
          <w:szCs w:val="24"/>
          <w:lang w:eastAsia="pl-PL"/>
        </w:rPr>
      </w:pPr>
      <w:hyperlink w:anchor="_Toc205203187" w:history="1">
        <w:r w:rsidRPr="002E4993">
          <w:rPr>
            <w:rStyle w:val="Hipercze"/>
            <w:noProof/>
          </w:rPr>
          <w:t>Obszar 3.1.</w:t>
        </w:r>
        <w:r>
          <w:rPr>
            <w:rFonts w:asciiTheme="minorHAnsi" w:eastAsiaTheme="minorEastAsia" w:hAnsiTheme="minorHAnsi"/>
            <w:noProof/>
            <w:sz w:val="24"/>
            <w:szCs w:val="24"/>
            <w:lang w:eastAsia="pl-PL"/>
          </w:rPr>
          <w:tab/>
        </w:r>
        <w:r w:rsidRPr="002E4993">
          <w:rPr>
            <w:rStyle w:val="Hipercze"/>
            <w:noProof/>
          </w:rPr>
          <w:t>Zapewnienie bezpieczeństwa energetycznego – cel ogólny</w:t>
        </w:r>
        <w:r>
          <w:rPr>
            <w:noProof/>
            <w:webHidden/>
          </w:rPr>
          <w:tab/>
        </w:r>
        <w:r>
          <w:rPr>
            <w:noProof/>
            <w:webHidden/>
          </w:rPr>
          <w:fldChar w:fldCharType="begin"/>
        </w:r>
        <w:r>
          <w:rPr>
            <w:noProof/>
            <w:webHidden/>
          </w:rPr>
          <w:instrText xml:space="preserve"> PAGEREF _Toc205203187 \h </w:instrText>
        </w:r>
        <w:r>
          <w:rPr>
            <w:noProof/>
            <w:webHidden/>
          </w:rPr>
        </w:r>
        <w:r>
          <w:rPr>
            <w:noProof/>
            <w:webHidden/>
          </w:rPr>
          <w:fldChar w:fldCharType="separate"/>
        </w:r>
        <w:r>
          <w:rPr>
            <w:noProof/>
            <w:webHidden/>
          </w:rPr>
          <w:t>95</w:t>
        </w:r>
        <w:r>
          <w:rPr>
            <w:noProof/>
            <w:webHidden/>
          </w:rPr>
          <w:fldChar w:fldCharType="end"/>
        </w:r>
      </w:hyperlink>
    </w:p>
    <w:p w14:paraId="4DCCE866" w14:textId="4DED761D" w:rsidR="009E2381" w:rsidRDefault="009E2381">
      <w:pPr>
        <w:pStyle w:val="Spistreci4"/>
        <w:rPr>
          <w:rFonts w:asciiTheme="minorHAnsi" w:eastAsiaTheme="minorEastAsia" w:hAnsiTheme="minorHAnsi"/>
          <w:noProof/>
          <w:sz w:val="24"/>
          <w:szCs w:val="24"/>
          <w:lang w:eastAsia="pl-PL"/>
        </w:rPr>
      </w:pPr>
      <w:hyperlink w:anchor="_Toc205203188" w:history="1">
        <w:r w:rsidRPr="002E4993">
          <w:rPr>
            <w:rStyle w:val="Hipercze"/>
            <w:noProof/>
          </w:rPr>
          <w:t>Cel 3.1.1.</w:t>
        </w:r>
        <w:r>
          <w:rPr>
            <w:rFonts w:asciiTheme="minorHAnsi" w:eastAsiaTheme="minorEastAsia" w:hAnsiTheme="minorHAnsi"/>
            <w:noProof/>
            <w:sz w:val="24"/>
            <w:szCs w:val="24"/>
            <w:lang w:eastAsia="pl-PL"/>
          </w:rPr>
          <w:tab/>
        </w:r>
        <w:r w:rsidRPr="002E4993">
          <w:rPr>
            <w:rStyle w:val="Hipercze"/>
            <w:noProof/>
          </w:rPr>
          <w:t>Zapewnienie niezależności energetycznej</w:t>
        </w:r>
        <w:r>
          <w:rPr>
            <w:noProof/>
            <w:webHidden/>
          </w:rPr>
          <w:tab/>
        </w:r>
        <w:r>
          <w:rPr>
            <w:noProof/>
            <w:webHidden/>
          </w:rPr>
          <w:fldChar w:fldCharType="begin"/>
        </w:r>
        <w:r>
          <w:rPr>
            <w:noProof/>
            <w:webHidden/>
          </w:rPr>
          <w:instrText xml:space="preserve"> PAGEREF _Toc205203188 \h </w:instrText>
        </w:r>
        <w:r>
          <w:rPr>
            <w:noProof/>
            <w:webHidden/>
          </w:rPr>
        </w:r>
        <w:r>
          <w:rPr>
            <w:noProof/>
            <w:webHidden/>
          </w:rPr>
          <w:fldChar w:fldCharType="separate"/>
        </w:r>
        <w:r>
          <w:rPr>
            <w:noProof/>
            <w:webHidden/>
          </w:rPr>
          <w:t>95</w:t>
        </w:r>
        <w:r>
          <w:rPr>
            <w:noProof/>
            <w:webHidden/>
          </w:rPr>
          <w:fldChar w:fldCharType="end"/>
        </w:r>
      </w:hyperlink>
    </w:p>
    <w:p w14:paraId="48FC71F0" w14:textId="094D0DEB" w:rsidR="009E2381" w:rsidRDefault="009E2381">
      <w:pPr>
        <w:pStyle w:val="Spistreci4"/>
        <w:rPr>
          <w:rFonts w:asciiTheme="minorHAnsi" w:eastAsiaTheme="minorEastAsia" w:hAnsiTheme="minorHAnsi"/>
          <w:noProof/>
          <w:sz w:val="24"/>
          <w:szCs w:val="24"/>
          <w:lang w:eastAsia="pl-PL"/>
        </w:rPr>
      </w:pPr>
      <w:hyperlink w:anchor="_Toc205203189" w:history="1">
        <w:r w:rsidRPr="002E4993">
          <w:rPr>
            <w:rStyle w:val="Hipercze"/>
            <w:noProof/>
          </w:rPr>
          <w:t>Cel 3.1.2.</w:t>
        </w:r>
        <w:r>
          <w:rPr>
            <w:rFonts w:asciiTheme="minorHAnsi" w:eastAsiaTheme="minorEastAsia" w:hAnsiTheme="minorHAnsi"/>
            <w:noProof/>
            <w:sz w:val="24"/>
            <w:szCs w:val="24"/>
            <w:lang w:eastAsia="pl-PL"/>
          </w:rPr>
          <w:tab/>
        </w:r>
        <w:r w:rsidRPr="002E4993">
          <w:rPr>
            <w:rStyle w:val="Hipercze"/>
            <w:noProof/>
          </w:rPr>
          <w:t>Perspektywiczne pokrywanie zapotrzebowania na surowce krytyczne</w:t>
        </w:r>
        <w:r>
          <w:rPr>
            <w:noProof/>
            <w:webHidden/>
          </w:rPr>
          <w:tab/>
        </w:r>
        <w:r>
          <w:rPr>
            <w:noProof/>
            <w:webHidden/>
          </w:rPr>
          <w:fldChar w:fldCharType="begin"/>
        </w:r>
        <w:r>
          <w:rPr>
            <w:noProof/>
            <w:webHidden/>
          </w:rPr>
          <w:instrText xml:space="preserve"> PAGEREF _Toc205203189 \h </w:instrText>
        </w:r>
        <w:r>
          <w:rPr>
            <w:noProof/>
            <w:webHidden/>
          </w:rPr>
        </w:r>
        <w:r>
          <w:rPr>
            <w:noProof/>
            <w:webHidden/>
          </w:rPr>
          <w:fldChar w:fldCharType="separate"/>
        </w:r>
        <w:r>
          <w:rPr>
            <w:noProof/>
            <w:webHidden/>
          </w:rPr>
          <w:t>96</w:t>
        </w:r>
        <w:r>
          <w:rPr>
            <w:noProof/>
            <w:webHidden/>
          </w:rPr>
          <w:fldChar w:fldCharType="end"/>
        </w:r>
      </w:hyperlink>
    </w:p>
    <w:p w14:paraId="17ABD8B6" w14:textId="7C8060F5" w:rsidR="009E2381" w:rsidRDefault="009E2381" w:rsidP="006322D4">
      <w:pPr>
        <w:pStyle w:val="Spistreci3"/>
        <w:rPr>
          <w:rFonts w:asciiTheme="minorHAnsi" w:eastAsiaTheme="minorEastAsia" w:hAnsiTheme="minorHAnsi"/>
          <w:noProof/>
          <w:sz w:val="24"/>
          <w:szCs w:val="24"/>
          <w:lang w:eastAsia="pl-PL"/>
        </w:rPr>
      </w:pPr>
      <w:hyperlink w:anchor="_Toc205203190" w:history="1">
        <w:r w:rsidRPr="002E4993">
          <w:rPr>
            <w:rStyle w:val="Hipercze"/>
            <w:noProof/>
          </w:rPr>
          <w:t>Obszar 3.2.</w:t>
        </w:r>
        <w:r>
          <w:rPr>
            <w:rFonts w:asciiTheme="minorHAnsi" w:eastAsiaTheme="minorEastAsia" w:hAnsiTheme="minorHAnsi"/>
            <w:noProof/>
            <w:sz w:val="24"/>
            <w:szCs w:val="24"/>
            <w:lang w:eastAsia="pl-PL"/>
          </w:rPr>
          <w:tab/>
        </w:r>
        <w:r w:rsidRPr="002E4993">
          <w:rPr>
            <w:rStyle w:val="Hipercze"/>
            <w:noProof/>
          </w:rPr>
          <w:t>Pokrycie zapotrzebowania na węgiel</w:t>
        </w:r>
        <w:r>
          <w:rPr>
            <w:noProof/>
            <w:webHidden/>
          </w:rPr>
          <w:tab/>
        </w:r>
        <w:r>
          <w:rPr>
            <w:noProof/>
            <w:webHidden/>
          </w:rPr>
          <w:fldChar w:fldCharType="begin"/>
        </w:r>
        <w:r>
          <w:rPr>
            <w:noProof/>
            <w:webHidden/>
          </w:rPr>
          <w:instrText xml:space="preserve"> PAGEREF _Toc205203190 \h </w:instrText>
        </w:r>
        <w:r>
          <w:rPr>
            <w:noProof/>
            <w:webHidden/>
          </w:rPr>
        </w:r>
        <w:r>
          <w:rPr>
            <w:noProof/>
            <w:webHidden/>
          </w:rPr>
          <w:fldChar w:fldCharType="separate"/>
        </w:r>
        <w:r>
          <w:rPr>
            <w:noProof/>
            <w:webHidden/>
          </w:rPr>
          <w:t>98</w:t>
        </w:r>
        <w:r>
          <w:rPr>
            <w:noProof/>
            <w:webHidden/>
          </w:rPr>
          <w:fldChar w:fldCharType="end"/>
        </w:r>
      </w:hyperlink>
    </w:p>
    <w:p w14:paraId="36A56D66" w14:textId="02813A75" w:rsidR="009E2381" w:rsidRDefault="009E2381">
      <w:pPr>
        <w:pStyle w:val="Spistreci4"/>
        <w:rPr>
          <w:rFonts w:asciiTheme="minorHAnsi" w:eastAsiaTheme="minorEastAsia" w:hAnsiTheme="minorHAnsi"/>
          <w:noProof/>
          <w:sz w:val="24"/>
          <w:szCs w:val="24"/>
          <w:lang w:eastAsia="pl-PL"/>
        </w:rPr>
      </w:pPr>
      <w:hyperlink w:anchor="_Toc205203191" w:history="1">
        <w:r w:rsidRPr="002E4993">
          <w:rPr>
            <w:rStyle w:val="Hipercze"/>
            <w:noProof/>
          </w:rPr>
          <w:t>Cel 3.2.1.</w:t>
        </w:r>
        <w:r>
          <w:rPr>
            <w:rFonts w:asciiTheme="minorHAnsi" w:eastAsiaTheme="minorEastAsia" w:hAnsiTheme="minorHAnsi"/>
            <w:noProof/>
            <w:sz w:val="24"/>
            <w:szCs w:val="24"/>
            <w:lang w:eastAsia="pl-PL"/>
          </w:rPr>
          <w:tab/>
        </w:r>
        <w:r w:rsidRPr="002E4993">
          <w:rPr>
            <w:rStyle w:val="Hipercze"/>
            <w:noProof/>
          </w:rPr>
          <w:t>Zapewnienie podaży na węgiel kamienny energetyczny i koksowy</w:t>
        </w:r>
        <w:r>
          <w:rPr>
            <w:noProof/>
            <w:webHidden/>
          </w:rPr>
          <w:tab/>
        </w:r>
        <w:r>
          <w:rPr>
            <w:noProof/>
            <w:webHidden/>
          </w:rPr>
          <w:fldChar w:fldCharType="begin"/>
        </w:r>
        <w:r>
          <w:rPr>
            <w:noProof/>
            <w:webHidden/>
          </w:rPr>
          <w:instrText xml:space="preserve"> PAGEREF _Toc205203191 \h </w:instrText>
        </w:r>
        <w:r>
          <w:rPr>
            <w:noProof/>
            <w:webHidden/>
          </w:rPr>
        </w:r>
        <w:r>
          <w:rPr>
            <w:noProof/>
            <w:webHidden/>
          </w:rPr>
          <w:fldChar w:fldCharType="separate"/>
        </w:r>
        <w:r>
          <w:rPr>
            <w:noProof/>
            <w:webHidden/>
          </w:rPr>
          <w:t>99</w:t>
        </w:r>
        <w:r>
          <w:rPr>
            <w:noProof/>
            <w:webHidden/>
          </w:rPr>
          <w:fldChar w:fldCharType="end"/>
        </w:r>
      </w:hyperlink>
    </w:p>
    <w:p w14:paraId="0362AD23" w14:textId="161614EC" w:rsidR="009E2381" w:rsidRDefault="009E2381">
      <w:pPr>
        <w:pStyle w:val="Spistreci4"/>
        <w:rPr>
          <w:rFonts w:asciiTheme="minorHAnsi" w:eastAsiaTheme="minorEastAsia" w:hAnsiTheme="minorHAnsi"/>
          <w:noProof/>
          <w:sz w:val="24"/>
          <w:szCs w:val="24"/>
          <w:lang w:eastAsia="pl-PL"/>
        </w:rPr>
      </w:pPr>
      <w:hyperlink w:anchor="_Toc205203192" w:history="1">
        <w:r w:rsidRPr="002E4993">
          <w:rPr>
            <w:rStyle w:val="Hipercze"/>
            <w:noProof/>
          </w:rPr>
          <w:t>Cel 3.2.2.</w:t>
        </w:r>
        <w:r>
          <w:rPr>
            <w:rFonts w:asciiTheme="minorHAnsi" w:eastAsiaTheme="minorEastAsia" w:hAnsiTheme="minorHAnsi"/>
            <w:noProof/>
            <w:sz w:val="24"/>
            <w:szCs w:val="24"/>
            <w:lang w:eastAsia="pl-PL"/>
          </w:rPr>
          <w:tab/>
        </w:r>
        <w:r w:rsidRPr="002E4993">
          <w:rPr>
            <w:rStyle w:val="Hipercze"/>
            <w:noProof/>
          </w:rPr>
          <w:t>Stopniowe odchodzenie od węgla brunatnego</w:t>
        </w:r>
        <w:r>
          <w:rPr>
            <w:noProof/>
            <w:webHidden/>
          </w:rPr>
          <w:tab/>
        </w:r>
        <w:r>
          <w:rPr>
            <w:noProof/>
            <w:webHidden/>
          </w:rPr>
          <w:fldChar w:fldCharType="begin"/>
        </w:r>
        <w:r>
          <w:rPr>
            <w:noProof/>
            <w:webHidden/>
          </w:rPr>
          <w:instrText xml:space="preserve"> PAGEREF _Toc205203192 \h </w:instrText>
        </w:r>
        <w:r>
          <w:rPr>
            <w:noProof/>
            <w:webHidden/>
          </w:rPr>
        </w:r>
        <w:r>
          <w:rPr>
            <w:noProof/>
            <w:webHidden/>
          </w:rPr>
          <w:fldChar w:fldCharType="separate"/>
        </w:r>
        <w:r>
          <w:rPr>
            <w:noProof/>
            <w:webHidden/>
          </w:rPr>
          <w:t>102</w:t>
        </w:r>
        <w:r>
          <w:rPr>
            <w:noProof/>
            <w:webHidden/>
          </w:rPr>
          <w:fldChar w:fldCharType="end"/>
        </w:r>
      </w:hyperlink>
    </w:p>
    <w:p w14:paraId="7B98CB56" w14:textId="30AEAD52" w:rsidR="009E2381" w:rsidRDefault="009E2381" w:rsidP="006322D4">
      <w:pPr>
        <w:pStyle w:val="Spistreci3"/>
        <w:rPr>
          <w:rFonts w:asciiTheme="minorHAnsi" w:eastAsiaTheme="minorEastAsia" w:hAnsiTheme="minorHAnsi"/>
          <w:noProof/>
          <w:sz w:val="24"/>
          <w:szCs w:val="24"/>
          <w:lang w:eastAsia="pl-PL"/>
        </w:rPr>
      </w:pPr>
      <w:hyperlink w:anchor="_Toc205203193" w:history="1">
        <w:r w:rsidRPr="002E4993">
          <w:rPr>
            <w:rStyle w:val="Hipercze"/>
            <w:noProof/>
          </w:rPr>
          <w:t>Obszar 3.3.</w:t>
        </w:r>
        <w:r>
          <w:rPr>
            <w:rFonts w:asciiTheme="minorHAnsi" w:eastAsiaTheme="minorEastAsia" w:hAnsiTheme="minorHAnsi"/>
            <w:noProof/>
            <w:sz w:val="24"/>
            <w:szCs w:val="24"/>
            <w:lang w:eastAsia="pl-PL"/>
          </w:rPr>
          <w:tab/>
        </w:r>
        <w:r w:rsidRPr="002E4993">
          <w:rPr>
            <w:rStyle w:val="Hipercze"/>
            <w:noProof/>
          </w:rPr>
          <w:t>Pokrycie zapotrzebowania na gaz ziemny</w:t>
        </w:r>
        <w:r>
          <w:rPr>
            <w:noProof/>
            <w:webHidden/>
          </w:rPr>
          <w:tab/>
        </w:r>
        <w:r>
          <w:rPr>
            <w:noProof/>
            <w:webHidden/>
          </w:rPr>
          <w:fldChar w:fldCharType="begin"/>
        </w:r>
        <w:r>
          <w:rPr>
            <w:noProof/>
            <w:webHidden/>
          </w:rPr>
          <w:instrText xml:space="preserve"> PAGEREF _Toc205203193 \h </w:instrText>
        </w:r>
        <w:r>
          <w:rPr>
            <w:noProof/>
            <w:webHidden/>
          </w:rPr>
        </w:r>
        <w:r>
          <w:rPr>
            <w:noProof/>
            <w:webHidden/>
          </w:rPr>
          <w:fldChar w:fldCharType="separate"/>
        </w:r>
        <w:r>
          <w:rPr>
            <w:noProof/>
            <w:webHidden/>
          </w:rPr>
          <w:t>102</w:t>
        </w:r>
        <w:r>
          <w:rPr>
            <w:noProof/>
            <w:webHidden/>
          </w:rPr>
          <w:fldChar w:fldCharType="end"/>
        </w:r>
      </w:hyperlink>
    </w:p>
    <w:p w14:paraId="2FBDA837" w14:textId="6FEA4312" w:rsidR="009E2381" w:rsidRDefault="009E2381">
      <w:pPr>
        <w:pStyle w:val="Spistreci4"/>
        <w:rPr>
          <w:rFonts w:asciiTheme="minorHAnsi" w:eastAsiaTheme="minorEastAsia" w:hAnsiTheme="minorHAnsi"/>
          <w:noProof/>
          <w:sz w:val="24"/>
          <w:szCs w:val="24"/>
          <w:lang w:eastAsia="pl-PL"/>
        </w:rPr>
      </w:pPr>
      <w:hyperlink w:anchor="_Toc205203194" w:history="1">
        <w:r w:rsidRPr="002E4993">
          <w:rPr>
            <w:rStyle w:val="Hipercze"/>
            <w:noProof/>
          </w:rPr>
          <w:t>Cel 3.3.1.</w:t>
        </w:r>
        <w:r>
          <w:rPr>
            <w:rFonts w:asciiTheme="minorHAnsi" w:eastAsiaTheme="minorEastAsia" w:hAnsiTheme="minorHAnsi"/>
            <w:noProof/>
            <w:sz w:val="24"/>
            <w:szCs w:val="24"/>
            <w:lang w:eastAsia="pl-PL"/>
          </w:rPr>
          <w:tab/>
        </w:r>
        <w:r w:rsidRPr="002E4993">
          <w:rPr>
            <w:rStyle w:val="Hipercze"/>
            <w:noProof/>
          </w:rPr>
          <w:t>Dywersyfikacja dostaw (importu) gazu ziemnego</w:t>
        </w:r>
        <w:r>
          <w:rPr>
            <w:noProof/>
            <w:webHidden/>
          </w:rPr>
          <w:tab/>
        </w:r>
        <w:r>
          <w:rPr>
            <w:noProof/>
            <w:webHidden/>
          </w:rPr>
          <w:fldChar w:fldCharType="begin"/>
        </w:r>
        <w:r>
          <w:rPr>
            <w:noProof/>
            <w:webHidden/>
          </w:rPr>
          <w:instrText xml:space="preserve"> PAGEREF _Toc205203194 \h </w:instrText>
        </w:r>
        <w:r>
          <w:rPr>
            <w:noProof/>
            <w:webHidden/>
          </w:rPr>
        </w:r>
        <w:r>
          <w:rPr>
            <w:noProof/>
            <w:webHidden/>
          </w:rPr>
          <w:fldChar w:fldCharType="separate"/>
        </w:r>
        <w:r>
          <w:rPr>
            <w:noProof/>
            <w:webHidden/>
          </w:rPr>
          <w:t>103</w:t>
        </w:r>
        <w:r>
          <w:rPr>
            <w:noProof/>
            <w:webHidden/>
          </w:rPr>
          <w:fldChar w:fldCharType="end"/>
        </w:r>
      </w:hyperlink>
    </w:p>
    <w:p w14:paraId="19EB1721" w14:textId="14160B1E" w:rsidR="009E2381" w:rsidRDefault="009E2381">
      <w:pPr>
        <w:pStyle w:val="Spistreci4"/>
        <w:rPr>
          <w:rFonts w:asciiTheme="minorHAnsi" w:eastAsiaTheme="minorEastAsia" w:hAnsiTheme="minorHAnsi"/>
          <w:noProof/>
          <w:sz w:val="24"/>
          <w:szCs w:val="24"/>
          <w:lang w:eastAsia="pl-PL"/>
        </w:rPr>
      </w:pPr>
      <w:hyperlink w:anchor="_Toc205203195" w:history="1">
        <w:r w:rsidRPr="002E4993">
          <w:rPr>
            <w:rStyle w:val="Hipercze"/>
            <w:noProof/>
          </w:rPr>
          <w:t>Cel 3.3.2.</w:t>
        </w:r>
        <w:r>
          <w:rPr>
            <w:rFonts w:asciiTheme="minorHAnsi" w:eastAsiaTheme="minorEastAsia" w:hAnsiTheme="minorHAnsi"/>
            <w:noProof/>
            <w:sz w:val="24"/>
            <w:szCs w:val="24"/>
            <w:lang w:eastAsia="pl-PL"/>
          </w:rPr>
          <w:tab/>
        </w:r>
        <w:r w:rsidRPr="002E4993">
          <w:rPr>
            <w:rStyle w:val="Hipercze"/>
            <w:noProof/>
          </w:rPr>
          <w:t>Utrzymanie krajowego wydobycia gazu ziemnego</w:t>
        </w:r>
        <w:r>
          <w:rPr>
            <w:noProof/>
            <w:webHidden/>
          </w:rPr>
          <w:tab/>
        </w:r>
        <w:r>
          <w:rPr>
            <w:noProof/>
            <w:webHidden/>
          </w:rPr>
          <w:fldChar w:fldCharType="begin"/>
        </w:r>
        <w:r>
          <w:rPr>
            <w:noProof/>
            <w:webHidden/>
          </w:rPr>
          <w:instrText xml:space="preserve"> PAGEREF _Toc205203195 \h </w:instrText>
        </w:r>
        <w:r>
          <w:rPr>
            <w:noProof/>
            <w:webHidden/>
          </w:rPr>
        </w:r>
        <w:r>
          <w:rPr>
            <w:noProof/>
            <w:webHidden/>
          </w:rPr>
          <w:fldChar w:fldCharType="separate"/>
        </w:r>
        <w:r>
          <w:rPr>
            <w:noProof/>
            <w:webHidden/>
          </w:rPr>
          <w:t>104</w:t>
        </w:r>
        <w:r>
          <w:rPr>
            <w:noProof/>
            <w:webHidden/>
          </w:rPr>
          <w:fldChar w:fldCharType="end"/>
        </w:r>
      </w:hyperlink>
    </w:p>
    <w:p w14:paraId="6AE31BF6" w14:textId="3FF18D80" w:rsidR="009E2381" w:rsidRDefault="009E2381">
      <w:pPr>
        <w:pStyle w:val="Spistreci4"/>
        <w:rPr>
          <w:rFonts w:asciiTheme="minorHAnsi" w:eastAsiaTheme="minorEastAsia" w:hAnsiTheme="minorHAnsi"/>
          <w:noProof/>
          <w:sz w:val="24"/>
          <w:szCs w:val="24"/>
          <w:lang w:eastAsia="pl-PL"/>
        </w:rPr>
      </w:pPr>
      <w:hyperlink w:anchor="_Toc205203196" w:history="1">
        <w:r w:rsidRPr="002E4993">
          <w:rPr>
            <w:rStyle w:val="Hipercze"/>
            <w:noProof/>
          </w:rPr>
          <w:t>Cel 3.3.3.</w:t>
        </w:r>
        <w:r>
          <w:rPr>
            <w:rFonts w:asciiTheme="minorHAnsi" w:eastAsiaTheme="minorEastAsia" w:hAnsiTheme="minorHAnsi"/>
            <w:noProof/>
            <w:sz w:val="24"/>
            <w:szCs w:val="24"/>
            <w:lang w:eastAsia="pl-PL"/>
          </w:rPr>
          <w:tab/>
        </w:r>
        <w:r w:rsidRPr="002E4993">
          <w:rPr>
            <w:rStyle w:val="Hipercze"/>
            <w:noProof/>
          </w:rPr>
          <w:t>Zapewnienie odpowiedniego stanu i rozwoju infrastruktury przesyłu, magazynowania i dystrybucji gazu ziemnego</w:t>
        </w:r>
        <w:r>
          <w:rPr>
            <w:noProof/>
            <w:webHidden/>
          </w:rPr>
          <w:tab/>
        </w:r>
        <w:r>
          <w:rPr>
            <w:noProof/>
            <w:webHidden/>
          </w:rPr>
          <w:fldChar w:fldCharType="begin"/>
        </w:r>
        <w:r>
          <w:rPr>
            <w:noProof/>
            <w:webHidden/>
          </w:rPr>
          <w:instrText xml:space="preserve"> PAGEREF _Toc205203196 \h </w:instrText>
        </w:r>
        <w:r>
          <w:rPr>
            <w:noProof/>
            <w:webHidden/>
          </w:rPr>
        </w:r>
        <w:r>
          <w:rPr>
            <w:noProof/>
            <w:webHidden/>
          </w:rPr>
          <w:fldChar w:fldCharType="separate"/>
        </w:r>
        <w:r>
          <w:rPr>
            <w:noProof/>
            <w:webHidden/>
          </w:rPr>
          <w:t>105</w:t>
        </w:r>
        <w:r>
          <w:rPr>
            <w:noProof/>
            <w:webHidden/>
          </w:rPr>
          <w:fldChar w:fldCharType="end"/>
        </w:r>
      </w:hyperlink>
    </w:p>
    <w:p w14:paraId="25B49771" w14:textId="759EC1E7" w:rsidR="009E2381" w:rsidRDefault="009E2381">
      <w:pPr>
        <w:pStyle w:val="Spistreci4"/>
        <w:rPr>
          <w:rFonts w:asciiTheme="minorHAnsi" w:eastAsiaTheme="minorEastAsia" w:hAnsiTheme="minorHAnsi"/>
          <w:noProof/>
          <w:sz w:val="24"/>
          <w:szCs w:val="24"/>
          <w:lang w:eastAsia="pl-PL"/>
        </w:rPr>
      </w:pPr>
      <w:hyperlink w:anchor="_Toc205203197" w:history="1">
        <w:r w:rsidRPr="002E4993">
          <w:rPr>
            <w:rStyle w:val="Hipercze"/>
            <w:noProof/>
          </w:rPr>
          <w:t>Cel 3.3.4.</w:t>
        </w:r>
        <w:r>
          <w:rPr>
            <w:rFonts w:asciiTheme="minorHAnsi" w:eastAsiaTheme="minorEastAsia" w:hAnsiTheme="minorHAnsi"/>
            <w:noProof/>
            <w:sz w:val="24"/>
            <w:szCs w:val="24"/>
            <w:lang w:eastAsia="pl-PL"/>
          </w:rPr>
          <w:tab/>
        </w:r>
        <w:r w:rsidRPr="002E4993">
          <w:rPr>
            <w:rStyle w:val="Hipercze"/>
            <w:noProof/>
          </w:rPr>
          <w:t>Zapewnienie gotowości do radzenia sobie z ograniczeniami w dostawach gazu ziemnego</w:t>
        </w:r>
        <w:r>
          <w:rPr>
            <w:noProof/>
            <w:webHidden/>
          </w:rPr>
          <w:tab/>
        </w:r>
        <w:r>
          <w:rPr>
            <w:noProof/>
            <w:webHidden/>
          </w:rPr>
          <w:fldChar w:fldCharType="begin"/>
        </w:r>
        <w:r>
          <w:rPr>
            <w:noProof/>
            <w:webHidden/>
          </w:rPr>
          <w:instrText xml:space="preserve"> PAGEREF _Toc205203197 \h </w:instrText>
        </w:r>
        <w:r>
          <w:rPr>
            <w:noProof/>
            <w:webHidden/>
          </w:rPr>
        </w:r>
        <w:r>
          <w:rPr>
            <w:noProof/>
            <w:webHidden/>
          </w:rPr>
          <w:fldChar w:fldCharType="separate"/>
        </w:r>
        <w:r>
          <w:rPr>
            <w:noProof/>
            <w:webHidden/>
          </w:rPr>
          <w:t>108</w:t>
        </w:r>
        <w:r>
          <w:rPr>
            <w:noProof/>
            <w:webHidden/>
          </w:rPr>
          <w:fldChar w:fldCharType="end"/>
        </w:r>
      </w:hyperlink>
    </w:p>
    <w:p w14:paraId="1C229342" w14:textId="1687AD88" w:rsidR="009E2381" w:rsidRDefault="009E2381" w:rsidP="006322D4">
      <w:pPr>
        <w:pStyle w:val="Spistreci3"/>
        <w:rPr>
          <w:rFonts w:asciiTheme="minorHAnsi" w:eastAsiaTheme="minorEastAsia" w:hAnsiTheme="minorHAnsi"/>
          <w:noProof/>
          <w:sz w:val="24"/>
          <w:szCs w:val="24"/>
          <w:lang w:eastAsia="pl-PL"/>
        </w:rPr>
      </w:pPr>
      <w:hyperlink w:anchor="_Toc205203198" w:history="1">
        <w:r w:rsidRPr="002E4993">
          <w:rPr>
            <w:rStyle w:val="Hipercze"/>
            <w:noProof/>
          </w:rPr>
          <w:t>Obszar 3.4.</w:t>
        </w:r>
        <w:r>
          <w:rPr>
            <w:rFonts w:asciiTheme="minorHAnsi" w:eastAsiaTheme="minorEastAsia" w:hAnsiTheme="minorHAnsi"/>
            <w:noProof/>
            <w:sz w:val="24"/>
            <w:szCs w:val="24"/>
            <w:lang w:eastAsia="pl-PL"/>
          </w:rPr>
          <w:tab/>
        </w:r>
        <w:r w:rsidRPr="002E4993">
          <w:rPr>
            <w:rStyle w:val="Hipercze"/>
            <w:noProof/>
          </w:rPr>
          <w:t>Pokrycie zapotrzebowania na odnawialne paliwa gazowe – biometan oraz wodór</w:t>
        </w:r>
        <w:r>
          <w:rPr>
            <w:noProof/>
            <w:webHidden/>
          </w:rPr>
          <w:tab/>
        </w:r>
        <w:r>
          <w:rPr>
            <w:noProof/>
            <w:webHidden/>
          </w:rPr>
          <w:fldChar w:fldCharType="begin"/>
        </w:r>
        <w:r>
          <w:rPr>
            <w:noProof/>
            <w:webHidden/>
          </w:rPr>
          <w:instrText xml:space="preserve"> PAGEREF _Toc205203198 \h </w:instrText>
        </w:r>
        <w:r>
          <w:rPr>
            <w:noProof/>
            <w:webHidden/>
          </w:rPr>
        </w:r>
        <w:r>
          <w:rPr>
            <w:noProof/>
            <w:webHidden/>
          </w:rPr>
          <w:fldChar w:fldCharType="separate"/>
        </w:r>
        <w:r>
          <w:rPr>
            <w:noProof/>
            <w:webHidden/>
          </w:rPr>
          <w:t>110</w:t>
        </w:r>
        <w:r>
          <w:rPr>
            <w:noProof/>
            <w:webHidden/>
          </w:rPr>
          <w:fldChar w:fldCharType="end"/>
        </w:r>
      </w:hyperlink>
    </w:p>
    <w:p w14:paraId="75781035" w14:textId="4E146125" w:rsidR="009E2381" w:rsidRDefault="009E2381">
      <w:pPr>
        <w:pStyle w:val="Spistreci4"/>
        <w:rPr>
          <w:rFonts w:asciiTheme="minorHAnsi" w:eastAsiaTheme="minorEastAsia" w:hAnsiTheme="minorHAnsi"/>
          <w:noProof/>
          <w:sz w:val="24"/>
          <w:szCs w:val="24"/>
          <w:lang w:eastAsia="pl-PL"/>
        </w:rPr>
      </w:pPr>
      <w:hyperlink w:anchor="_Toc205203199" w:history="1">
        <w:r w:rsidRPr="002E4993">
          <w:rPr>
            <w:rStyle w:val="Hipercze"/>
            <w:noProof/>
          </w:rPr>
          <w:t>Cel 3.4.1.</w:t>
        </w:r>
        <w:r>
          <w:rPr>
            <w:rFonts w:asciiTheme="minorHAnsi" w:eastAsiaTheme="minorEastAsia" w:hAnsiTheme="minorHAnsi"/>
            <w:noProof/>
            <w:sz w:val="24"/>
            <w:szCs w:val="24"/>
            <w:lang w:eastAsia="pl-PL"/>
          </w:rPr>
          <w:tab/>
        </w:r>
        <w:r w:rsidRPr="002E4993">
          <w:rPr>
            <w:rStyle w:val="Hipercze"/>
            <w:noProof/>
          </w:rPr>
          <w:t>Zapewnienie warunków rozwoju krajowej produkcji biometanu</w:t>
        </w:r>
        <w:r>
          <w:rPr>
            <w:noProof/>
            <w:webHidden/>
          </w:rPr>
          <w:tab/>
        </w:r>
        <w:r>
          <w:rPr>
            <w:noProof/>
            <w:webHidden/>
          </w:rPr>
          <w:fldChar w:fldCharType="begin"/>
        </w:r>
        <w:r>
          <w:rPr>
            <w:noProof/>
            <w:webHidden/>
          </w:rPr>
          <w:instrText xml:space="preserve"> PAGEREF _Toc205203199 \h </w:instrText>
        </w:r>
        <w:r>
          <w:rPr>
            <w:noProof/>
            <w:webHidden/>
          </w:rPr>
        </w:r>
        <w:r>
          <w:rPr>
            <w:noProof/>
            <w:webHidden/>
          </w:rPr>
          <w:fldChar w:fldCharType="separate"/>
        </w:r>
        <w:r>
          <w:rPr>
            <w:noProof/>
            <w:webHidden/>
          </w:rPr>
          <w:t>110</w:t>
        </w:r>
        <w:r>
          <w:rPr>
            <w:noProof/>
            <w:webHidden/>
          </w:rPr>
          <w:fldChar w:fldCharType="end"/>
        </w:r>
      </w:hyperlink>
    </w:p>
    <w:p w14:paraId="1A12BB2A" w14:textId="6261CCD9" w:rsidR="009E2381" w:rsidRDefault="009E2381">
      <w:pPr>
        <w:pStyle w:val="Spistreci4"/>
        <w:rPr>
          <w:rFonts w:asciiTheme="minorHAnsi" w:eastAsiaTheme="minorEastAsia" w:hAnsiTheme="minorHAnsi"/>
          <w:noProof/>
          <w:sz w:val="24"/>
          <w:szCs w:val="24"/>
          <w:lang w:eastAsia="pl-PL"/>
        </w:rPr>
      </w:pPr>
      <w:hyperlink w:anchor="_Toc205203200" w:history="1">
        <w:r w:rsidRPr="002E4993">
          <w:rPr>
            <w:rStyle w:val="Hipercze"/>
            <w:noProof/>
          </w:rPr>
          <w:t>Cel 3.4.2.</w:t>
        </w:r>
        <w:r>
          <w:rPr>
            <w:rFonts w:asciiTheme="minorHAnsi" w:eastAsiaTheme="minorEastAsia" w:hAnsiTheme="minorHAnsi"/>
            <w:noProof/>
            <w:sz w:val="24"/>
            <w:szCs w:val="24"/>
            <w:lang w:eastAsia="pl-PL"/>
          </w:rPr>
          <w:tab/>
        </w:r>
        <w:r w:rsidRPr="002E4993">
          <w:rPr>
            <w:rStyle w:val="Hipercze"/>
            <w:noProof/>
          </w:rPr>
          <w:t>Zapewnienie warunków rozwoju krajowej produkcji wodoru</w:t>
        </w:r>
        <w:r>
          <w:rPr>
            <w:noProof/>
            <w:webHidden/>
          </w:rPr>
          <w:tab/>
        </w:r>
        <w:r>
          <w:rPr>
            <w:noProof/>
            <w:webHidden/>
          </w:rPr>
          <w:fldChar w:fldCharType="begin"/>
        </w:r>
        <w:r>
          <w:rPr>
            <w:noProof/>
            <w:webHidden/>
          </w:rPr>
          <w:instrText xml:space="preserve"> PAGEREF _Toc205203200 \h </w:instrText>
        </w:r>
        <w:r>
          <w:rPr>
            <w:noProof/>
            <w:webHidden/>
          </w:rPr>
        </w:r>
        <w:r>
          <w:rPr>
            <w:noProof/>
            <w:webHidden/>
          </w:rPr>
          <w:fldChar w:fldCharType="separate"/>
        </w:r>
        <w:r>
          <w:rPr>
            <w:noProof/>
            <w:webHidden/>
          </w:rPr>
          <w:t>112</w:t>
        </w:r>
        <w:r>
          <w:rPr>
            <w:noProof/>
            <w:webHidden/>
          </w:rPr>
          <w:fldChar w:fldCharType="end"/>
        </w:r>
      </w:hyperlink>
    </w:p>
    <w:p w14:paraId="5BA3021D" w14:textId="5D9BE2EA" w:rsidR="009E2381" w:rsidRDefault="009E2381">
      <w:pPr>
        <w:pStyle w:val="Spistreci4"/>
        <w:rPr>
          <w:rFonts w:asciiTheme="minorHAnsi" w:eastAsiaTheme="minorEastAsia" w:hAnsiTheme="minorHAnsi"/>
          <w:noProof/>
          <w:sz w:val="24"/>
          <w:szCs w:val="24"/>
          <w:lang w:eastAsia="pl-PL"/>
        </w:rPr>
      </w:pPr>
      <w:hyperlink w:anchor="_Toc205203201" w:history="1">
        <w:r w:rsidRPr="002E4993">
          <w:rPr>
            <w:rStyle w:val="Hipercze"/>
            <w:noProof/>
          </w:rPr>
          <w:t>Cel 3.4.3.</w:t>
        </w:r>
        <w:r>
          <w:rPr>
            <w:rFonts w:asciiTheme="minorHAnsi" w:eastAsiaTheme="minorEastAsia" w:hAnsiTheme="minorHAnsi"/>
            <w:noProof/>
            <w:sz w:val="24"/>
            <w:szCs w:val="24"/>
            <w:lang w:eastAsia="pl-PL"/>
          </w:rPr>
          <w:tab/>
        </w:r>
        <w:r w:rsidRPr="002E4993">
          <w:rPr>
            <w:rStyle w:val="Hipercze"/>
            <w:noProof/>
          </w:rPr>
          <w:t>Zapewnienie rozwoju infrastruktury do transportu i magazynowania wodoru</w:t>
        </w:r>
        <w:r>
          <w:rPr>
            <w:noProof/>
            <w:webHidden/>
          </w:rPr>
          <w:tab/>
        </w:r>
        <w:r>
          <w:rPr>
            <w:noProof/>
            <w:webHidden/>
          </w:rPr>
          <w:fldChar w:fldCharType="begin"/>
        </w:r>
        <w:r>
          <w:rPr>
            <w:noProof/>
            <w:webHidden/>
          </w:rPr>
          <w:instrText xml:space="preserve"> PAGEREF _Toc205203201 \h </w:instrText>
        </w:r>
        <w:r>
          <w:rPr>
            <w:noProof/>
            <w:webHidden/>
          </w:rPr>
        </w:r>
        <w:r>
          <w:rPr>
            <w:noProof/>
            <w:webHidden/>
          </w:rPr>
          <w:fldChar w:fldCharType="separate"/>
        </w:r>
        <w:r>
          <w:rPr>
            <w:noProof/>
            <w:webHidden/>
          </w:rPr>
          <w:t>114</w:t>
        </w:r>
        <w:r>
          <w:rPr>
            <w:noProof/>
            <w:webHidden/>
          </w:rPr>
          <w:fldChar w:fldCharType="end"/>
        </w:r>
      </w:hyperlink>
    </w:p>
    <w:p w14:paraId="1794F3CB" w14:textId="4B678C50" w:rsidR="009E2381" w:rsidRDefault="009E2381" w:rsidP="006322D4">
      <w:pPr>
        <w:pStyle w:val="Spistreci3"/>
        <w:rPr>
          <w:rFonts w:asciiTheme="minorHAnsi" w:eastAsiaTheme="minorEastAsia" w:hAnsiTheme="minorHAnsi"/>
          <w:noProof/>
          <w:sz w:val="24"/>
          <w:szCs w:val="24"/>
          <w:lang w:eastAsia="pl-PL"/>
        </w:rPr>
      </w:pPr>
      <w:hyperlink w:anchor="_Toc205203202" w:history="1">
        <w:r w:rsidRPr="002E4993">
          <w:rPr>
            <w:rStyle w:val="Hipercze"/>
            <w:noProof/>
          </w:rPr>
          <w:t>Obszar 3.5.</w:t>
        </w:r>
        <w:r>
          <w:rPr>
            <w:rFonts w:asciiTheme="minorHAnsi" w:eastAsiaTheme="minorEastAsia" w:hAnsiTheme="minorHAnsi"/>
            <w:noProof/>
            <w:sz w:val="24"/>
            <w:szCs w:val="24"/>
            <w:lang w:eastAsia="pl-PL"/>
          </w:rPr>
          <w:tab/>
        </w:r>
        <w:r w:rsidRPr="002E4993">
          <w:rPr>
            <w:rStyle w:val="Hipercze"/>
            <w:noProof/>
          </w:rPr>
          <w:t>Pokrycie zapotrzebowania na ropę naftową i paliwa ciekłe</w:t>
        </w:r>
        <w:r>
          <w:rPr>
            <w:noProof/>
            <w:webHidden/>
          </w:rPr>
          <w:tab/>
        </w:r>
        <w:r>
          <w:rPr>
            <w:noProof/>
            <w:webHidden/>
          </w:rPr>
          <w:fldChar w:fldCharType="begin"/>
        </w:r>
        <w:r>
          <w:rPr>
            <w:noProof/>
            <w:webHidden/>
          </w:rPr>
          <w:instrText xml:space="preserve"> PAGEREF _Toc205203202 \h </w:instrText>
        </w:r>
        <w:r>
          <w:rPr>
            <w:noProof/>
            <w:webHidden/>
          </w:rPr>
        </w:r>
        <w:r>
          <w:rPr>
            <w:noProof/>
            <w:webHidden/>
          </w:rPr>
          <w:fldChar w:fldCharType="separate"/>
        </w:r>
        <w:r>
          <w:rPr>
            <w:noProof/>
            <w:webHidden/>
          </w:rPr>
          <w:t>115</w:t>
        </w:r>
        <w:r>
          <w:rPr>
            <w:noProof/>
            <w:webHidden/>
          </w:rPr>
          <w:fldChar w:fldCharType="end"/>
        </w:r>
      </w:hyperlink>
    </w:p>
    <w:p w14:paraId="485983BE" w14:textId="40767900" w:rsidR="009E2381" w:rsidRDefault="009E2381">
      <w:pPr>
        <w:pStyle w:val="Spistreci4"/>
        <w:rPr>
          <w:rFonts w:asciiTheme="minorHAnsi" w:eastAsiaTheme="minorEastAsia" w:hAnsiTheme="minorHAnsi"/>
          <w:noProof/>
          <w:sz w:val="24"/>
          <w:szCs w:val="24"/>
          <w:lang w:eastAsia="pl-PL"/>
        </w:rPr>
      </w:pPr>
      <w:hyperlink w:anchor="_Toc205203203" w:history="1">
        <w:r w:rsidRPr="002E4993">
          <w:rPr>
            <w:rStyle w:val="Hipercze"/>
            <w:noProof/>
          </w:rPr>
          <w:t>Cel 3.5.1.</w:t>
        </w:r>
        <w:r>
          <w:rPr>
            <w:rFonts w:asciiTheme="minorHAnsi" w:eastAsiaTheme="minorEastAsia" w:hAnsiTheme="minorHAnsi"/>
            <w:noProof/>
            <w:sz w:val="24"/>
            <w:szCs w:val="24"/>
            <w:lang w:eastAsia="pl-PL"/>
          </w:rPr>
          <w:tab/>
        </w:r>
        <w:r w:rsidRPr="002E4993">
          <w:rPr>
            <w:rStyle w:val="Hipercze"/>
            <w:noProof/>
          </w:rPr>
          <w:t>Dywersyfikacja dostaw (importu) ropy naftowej</w:t>
        </w:r>
        <w:r>
          <w:rPr>
            <w:noProof/>
            <w:webHidden/>
          </w:rPr>
          <w:tab/>
        </w:r>
        <w:r>
          <w:rPr>
            <w:noProof/>
            <w:webHidden/>
          </w:rPr>
          <w:fldChar w:fldCharType="begin"/>
        </w:r>
        <w:r>
          <w:rPr>
            <w:noProof/>
            <w:webHidden/>
          </w:rPr>
          <w:instrText xml:space="preserve"> PAGEREF _Toc205203203 \h </w:instrText>
        </w:r>
        <w:r>
          <w:rPr>
            <w:noProof/>
            <w:webHidden/>
          </w:rPr>
        </w:r>
        <w:r>
          <w:rPr>
            <w:noProof/>
            <w:webHidden/>
          </w:rPr>
          <w:fldChar w:fldCharType="separate"/>
        </w:r>
        <w:r>
          <w:rPr>
            <w:noProof/>
            <w:webHidden/>
          </w:rPr>
          <w:t>116</w:t>
        </w:r>
        <w:r>
          <w:rPr>
            <w:noProof/>
            <w:webHidden/>
          </w:rPr>
          <w:fldChar w:fldCharType="end"/>
        </w:r>
      </w:hyperlink>
    </w:p>
    <w:p w14:paraId="2D1FF76D" w14:textId="31EF2536" w:rsidR="009E2381" w:rsidRDefault="009E2381">
      <w:pPr>
        <w:pStyle w:val="Spistreci4"/>
        <w:rPr>
          <w:rFonts w:asciiTheme="minorHAnsi" w:eastAsiaTheme="minorEastAsia" w:hAnsiTheme="minorHAnsi"/>
          <w:noProof/>
          <w:sz w:val="24"/>
          <w:szCs w:val="24"/>
          <w:lang w:eastAsia="pl-PL"/>
        </w:rPr>
      </w:pPr>
      <w:hyperlink w:anchor="_Toc205203204" w:history="1">
        <w:r w:rsidRPr="002E4993">
          <w:rPr>
            <w:rStyle w:val="Hipercze"/>
            <w:noProof/>
          </w:rPr>
          <w:t>Cel 3.5.2.</w:t>
        </w:r>
        <w:r>
          <w:rPr>
            <w:rFonts w:asciiTheme="minorHAnsi" w:eastAsiaTheme="minorEastAsia" w:hAnsiTheme="minorHAnsi"/>
            <w:noProof/>
            <w:sz w:val="24"/>
            <w:szCs w:val="24"/>
            <w:lang w:eastAsia="pl-PL"/>
          </w:rPr>
          <w:tab/>
        </w:r>
        <w:r w:rsidRPr="002E4993">
          <w:rPr>
            <w:rStyle w:val="Hipercze"/>
            <w:noProof/>
          </w:rPr>
          <w:t>Zapewnienie odpowiedniego stanu i rozwoju infrastruktury paliwowej</w:t>
        </w:r>
        <w:r>
          <w:rPr>
            <w:noProof/>
            <w:webHidden/>
          </w:rPr>
          <w:tab/>
        </w:r>
        <w:r>
          <w:rPr>
            <w:noProof/>
            <w:webHidden/>
          </w:rPr>
          <w:fldChar w:fldCharType="begin"/>
        </w:r>
        <w:r>
          <w:rPr>
            <w:noProof/>
            <w:webHidden/>
          </w:rPr>
          <w:instrText xml:space="preserve"> PAGEREF _Toc205203204 \h </w:instrText>
        </w:r>
        <w:r>
          <w:rPr>
            <w:noProof/>
            <w:webHidden/>
          </w:rPr>
        </w:r>
        <w:r>
          <w:rPr>
            <w:noProof/>
            <w:webHidden/>
          </w:rPr>
          <w:fldChar w:fldCharType="separate"/>
        </w:r>
        <w:r>
          <w:rPr>
            <w:noProof/>
            <w:webHidden/>
          </w:rPr>
          <w:t>117</w:t>
        </w:r>
        <w:r>
          <w:rPr>
            <w:noProof/>
            <w:webHidden/>
          </w:rPr>
          <w:fldChar w:fldCharType="end"/>
        </w:r>
      </w:hyperlink>
    </w:p>
    <w:p w14:paraId="3E63DD8D" w14:textId="68B51548" w:rsidR="009E2381" w:rsidRDefault="009E2381" w:rsidP="006322D4">
      <w:pPr>
        <w:pStyle w:val="Spistreci3"/>
        <w:rPr>
          <w:rFonts w:asciiTheme="minorHAnsi" w:eastAsiaTheme="minorEastAsia" w:hAnsiTheme="minorHAnsi"/>
          <w:noProof/>
          <w:sz w:val="24"/>
          <w:szCs w:val="24"/>
          <w:lang w:eastAsia="pl-PL"/>
        </w:rPr>
      </w:pPr>
      <w:hyperlink w:anchor="_Toc205203205" w:history="1">
        <w:r w:rsidRPr="002E4993">
          <w:rPr>
            <w:rStyle w:val="Hipercze"/>
            <w:noProof/>
          </w:rPr>
          <w:t>Obszar 3.6.</w:t>
        </w:r>
        <w:r>
          <w:rPr>
            <w:rFonts w:asciiTheme="minorHAnsi" w:eastAsiaTheme="minorEastAsia" w:hAnsiTheme="minorHAnsi"/>
            <w:noProof/>
            <w:sz w:val="24"/>
            <w:szCs w:val="24"/>
            <w:lang w:eastAsia="pl-PL"/>
          </w:rPr>
          <w:tab/>
        </w:r>
        <w:r w:rsidRPr="002E4993">
          <w:rPr>
            <w:rStyle w:val="Hipercze"/>
            <w:noProof/>
          </w:rPr>
          <w:t>Pokrycie zapotrzebowania na biomasę</w:t>
        </w:r>
        <w:r>
          <w:rPr>
            <w:noProof/>
            <w:webHidden/>
          </w:rPr>
          <w:tab/>
        </w:r>
        <w:r>
          <w:rPr>
            <w:noProof/>
            <w:webHidden/>
          </w:rPr>
          <w:fldChar w:fldCharType="begin"/>
        </w:r>
        <w:r>
          <w:rPr>
            <w:noProof/>
            <w:webHidden/>
          </w:rPr>
          <w:instrText xml:space="preserve"> PAGEREF _Toc205203205 \h </w:instrText>
        </w:r>
        <w:r>
          <w:rPr>
            <w:noProof/>
            <w:webHidden/>
          </w:rPr>
        </w:r>
        <w:r>
          <w:rPr>
            <w:noProof/>
            <w:webHidden/>
          </w:rPr>
          <w:fldChar w:fldCharType="separate"/>
        </w:r>
        <w:r>
          <w:rPr>
            <w:noProof/>
            <w:webHidden/>
          </w:rPr>
          <w:t>118</w:t>
        </w:r>
        <w:r>
          <w:rPr>
            <w:noProof/>
            <w:webHidden/>
          </w:rPr>
          <w:fldChar w:fldCharType="end"/>
        </w:r>
      </w:hyperlink>
    </w:p>
    <w:p w14:paraId="1837329B" w14:textId="09785BFB" w:rsidR="009E2381" w:rsidRDefault="009E2381">
      <w:pPr>
        <w:pStyle w:val="Spistreci4"/>
        <w:rPr>
          <w:rFonts w:asciiTheme="minorHAnsi" w:eastAsiaTheme="minorEastAsia" w:hAnsiTheme="minorHAnsi"/>
          <w:noProof/>
          <w:sz w:val="24"/>
          <w:szCs w:val="24"/>
          <w:lang w:eastAsia="pl-PL"/>
        </w:rPr>
      </w:pPr>
      <w:hyperlink w:anchor="_Toc205203206" w:history="1">
        <w:r w:rsidRPr="002E4993">
          <w:rPr>
            <w:rStyle w:val="Hipercze"/>
            <w:noProof/>
          </w:rPr>
          <w:t>Cel 3.6.1.</w:t>
        </w:r>
        <w:r>
          <w:rPr>
            <w:rFonts w:asciiTheme="minorHAnsi" w:eastAsiaTheme="minorEastAsia" w:hAnsiTheme="minorHAnsi"/>
            <w:noProof/>
            <w:sz w:val="24"/>
            <w:szCs w:val="24"/>
            <w:lang w:eastAsia="pl-PL"/>
          </w:rPr>
          <w:tab/>
        </w:r>
        <w:r w:rsidRPr="002E4993">
          <w:rPr>
            <w:rStyle w:val="Hipercze"/>
            <w:noProof/>
          </w:rPr>
          <w:t>Zapewnienie kaskadowego wykorzystania biomasy</w:t>
        </w:r>
        <w:r>
          <w:rPr>
            <w:noProof/>
            <w:webHidden/>
          </w:rPr>
          <w:tab/>
        </w:r>
        <w:r>
          <w:rPr>
            <w:noProof/>
            <w:webHidden/>
          </w:rPr>
          <w:fldChar w:fldCharType="begin"/>
        </w:r>
        <w:r>
          <w:rPr>
            <w:noProof/>
            <w:webHidden/>
          </w:rPr>
          <w:instrText xml:space="preserve"> PAGEREF _Toc205203206 \h </w:instrText>
        </w:r>
        <w:r>
          <w:rPr>
            <w:noProof/>
            <w:webHidden/>
          </w:rPr>
        </w:r>
        <w:r>
          <w:rPr>
            <w:noProof/>
            <w:webHidden/>
          </w:rPr>
          <w:fldChar w:fldCharType="separate"/>
        </w:r>
        <w:r>
          <w:rPr>
            <w:noProof/>
            <w:webHidden/>
          </w:rPr>
          <w:t>119</w:t>
        </w:r>
        <w:r>
          <w:rPr>
            <w:noProof/>
            <w:webHidden/>
          </w:rPr>
          <w:fldChar w:fldCharType="end"/>
        </w:r>
      </w:hyperlink>
    </w:p>
    <w:p w14:paraId="189D299F" w14:textId="24BF1F46" w:rsidR="009E2381" w:rsidRDefault="009E2381" w:rsidP="006322D4">
      <w:pPr>
        <w:pStyle w:val="Spistreci3"/>
        <w:rPr>
          <w:rFonts w:asciiTheme="minorHAnsi" w:eastAsiaTheme="minorEastAsia" w:hAnsiTheme="minorHAnsi"/>
          <w:noProof/>
          <w:sz w:val="24"/>
          <w:szCs w:val="24"/>
          <w:lang w:eastAsia="pl-PL"/>
        </w:rPr>
      </w:pPr>
      <w:hyperlink w:anchor="_Toc205203207" w:history="1">
        <w:r w:rsidRPr="002E4993">
          <w:rPr>
            <w:rStyle w:val="Hipercze"/>
            <w:noProof/>
          </w:rPr>
          <w:t>Obszar 3.7.</w:t>
        </w:r>
        <w:r>
          <w:rPr>
            <w:rFonts w:asciiTheme="minorHAnsi" w:eastAsiaTheme="minorEastAsia" w:hAnsiTheme="minorHAnsi"/>
            <w:noProof/>
            <w:sz w:val="24"/>
            <w:szCs w:val="24"/>
            <w:lang w:eastAsia="pl-PL"/>
          </w:rPr>
          <w:tab/>
        </w:r>
        <w:r w:rsidRPr="002E4993">
          <w:rPr>
            <w:rStyle w:val="Hipercze"/>
            <w:noProof/>
          </w:rPr>
          <w:t>Perspektywiczne pokrycie zapotrzebowania na paliwo jądrowe</w:t>
        </w:r>
        <w:r>
          <w:rPr>
            <w:noProof/>
            <w:webHidden/>
          </w:rPr>
          <w:tab/>
        </w:r>
        <w:r>
          <w:rPr>
            <w:noProof/>
            <w:webHidden/>
          </w:rPr>
          <w:fldChar w:fldCharType="begin"/>
        </w:r>
        <w:r>
          <w:rPr>
            <w:noProof/>
            <w:webHidden/>
          </w:rPr>
          <w:instrText xml:space="preserve"> PAGEREF _Toc205203207 \h </w:instrText>
        </w:r>
        <w:r>
          <w:rPr>
            <w:noProof/>
            <w:webHidden/>
          </w:rPr>
        </w:r>
        <w:r>
          <w:rPr>
            <w:noProof/>
            <w:webHidden/>
          </w:rPr>
          <w:fldChar w:fldCharType="separate"/>
        </w:r>
        <w:r>
          <w:rPr>
            <w:noProof/>
            <w:webHidden/>
          </w:rPr>
          <w:t>120</w:t>
        </w:r>
        <w:r>
          <w:rPr>
            <w:noProof/>
            <w:webHidden/>
          </w:rPr>
          <w:fldChar w:fldCharType="end"/>
        </w:r>
      </w:hyperlink>
    </w:p>
    <w:p w14:paraId="60526CE9" w14:textId="7C9C6FB0" w:rsidR="009E2381" w:rsidRDefault="009E2381">
      <w:pPr>
        <w:pStyle w:val="Spistreci4"/>
        <w:rPr>
          <w:rFonts w:asciiTheme="minorHAnsi" w:eastAsiaTheme="minorEastAsia" w:hAnsiTheme="minorHAnsi"/>
          <w:noProof/>
          <w:sz w:val="24"/>
          <w:szCs w:val="24"/>
          <w:lang w:eastAsia="pl-PL"/>
        </w:rPr>
      </w:pPr>
      <w:hyperlink w:anchor="_Toc205203208" w:history="1">
        <w:r w:rsidRPr="002E4993">
          <w:rPr>
            <w:rStyle w:val="Hipercze"/>
            <w:noProof/>
          </w:rPr>
          <w:t>Cel 3.7.1.</w:t>
        </w:r>
        <w:r>
          <w:rPr>
            <w:rFonts w:asciiTheme="minorHAnsi" w:eastAsiaTheme="minorEastAsia" w:hAnsiTheme="minorHAnsi"/>
            <w:noProof/>
            <w:sz w:val="24"/>
            <w:szCs w:val="24"/>
            <w:lang w:eastAsia="pl-PL"/>
          </w:rPr>
          <w:tab/>
        </w:r>
        <w:r w:rsidRPr="002E4993">
          <w:rPr>
            <w:rStyle w:val="Hipercze"/>
            <w:noProof/>
          </w:rPr>
          <w:t>Zapewnienie bezpiecznych dostaw (importu) paliwa jądrowego</w:t>
        </w:r>
        <w:r>
          <w:rPr>
            <w:noProof/>
            <w:webHidden/>
          </w:rPr>
          <w:tab/>
        </w:r>
        <w:r>
          <w:rPr>
            <w:noProof/>
            <w:webHidden/>
          </w:rPr>
          <w:fldChar w:fldCharType="begin"/>
        </w:r>
        <w:r>
          <w:rPr>
            <w:noProof/>
            <w:webHidden/>
          </w:rPr>
          <w:instrText xml:space="preserve"> PAGEREF _Toc205203208 \h </w:instrText>
        </w:r>
        <w:r>
          <w:rPr>
            <w:noProof/>
            <w:webHidden/>
          </w:rPr>
        </w:r>
        <w:r>
          <w:rPr>
            <w:noProof/>
            <w:webHidden/>
          </w:rPr>
          <w:fldChar w:fldCharType="separate"/>
        </w:r>
        <w:r>
          <w:rPr>
            <w:noProof/>
            <w:webHidden/>
          </w:rPr>
          <w:t>121</w:t>
        </w:r>
        <w:r>
          <w:rPr>
            <w:noProof/>
            <w:webHidden/>
          </w:rPr>
          <w:fldChar w:fldCharType="end"/>
        </w:r>
      </w:hyperlink>
    </w:p>
    <w:p w14:paraId="552910AB" w14:textId="72E5662C" w:rsidR="009E2381" w:rsidRDefault="009E2381">
      <w:pPr>
        <w:pStyle w:val="Spistreci4"/>
        <w:rPr>
          <w:rFonts w:asciiTheme="minorHAnsi" w:eastAsiaTheme="minorEastAsia" w:hAnsiTheme="minorHAnsi"/>
          <w:noProof/>
          <w:sz w:val="24"/>
          <w:szCs w:val="24"/>
          <w:lang w:eastAsia="pl-PL"/>
        </w:rPr>
      </w:pPr>
      <w:hyperlink w:anchor="_Toc205203209" w:history="1">
        <w:r w:rsidRPr="002E4993">
          <w:rPr>
            <w:rStyle w:val="Hipercze"/>
            <w:noProof/>
          </w:rPr>
          <w:t>Cel 3.7.2.</w:t>
        </w:r>
        <w:r>
          <w:rPr>
            <w:rFonts w:asciiTheme="minorHAnsi" w:eastAsiaTheme="minorEastAsia" w:hAnsiTheme="minorHAnsi"/>
            <w:noProof/>
            <w:sz w:val="24"/>
            <w:szCs w:val="24"/>
            <w:lang w:eastAsia="pl-PL"/>
          </w:rPr>
          <w:tab/>
        </w:r>
        <w:r w:rsidRPr="002E4993">
          <w:rPr>
            <w:rStyle w:val="Hipercze"/>
            <w:noProof/>
          </w:rPr>
          <w:t>Inwentaryzacja krajowych złóż uranu</w:t>
        </w:r>
        <w:r>
          <w:rPr>
            <w:noProof/>
            <w:webHidden/>
          </w:rPr>
          <w:tab/>
        </w:r>
        <w:r>
          <w:rPr>
            <w:noProof/>
            <w:webHidden/>
          </w:rPr>
          <w:fldChar w:fldCharType="begin"/>
        </w:r>
        <w:r>
          <w:rPr>
            <w:noProof/>
            <w:webHidden/>
          </w:rPr>
          <w:instrText xml:space="preserve"> PAGEREF _Toc205203209 \h </w:instrText>
        </w:r>
        <w:r>
          <w:rPr>
            <w:noProof/>
            <w:webHidden/>
          </w:rPr>
        </w:r>
        <w:r>
          <w:rPr>
            <w:noProof/>
            <w:webHidden/>
          </w:rPr>
          <w:fldChar w:fldCharType="separate"/>
        </w:r>
        <w:r>
          <w:rPr>
            <w:noProof/>
            <w:webHidden/>
          </w:rPr>
          <w:t>122</w:t>
        </w:r>
        <w:r>
          <w:rPr>
            <w:noProof/>
            <w:webHidden/>
          </w:rPr>
          <w:fldChar w:fldCharType="end"/>
        </w:r>
      </w:hyperlink>
    </w:p>
    <w:p w14:paraId="23714AC9" w14:textId="045E8616" w:rsidR="009E2381" w:rsidRDefault="009E2381" w:rsidP="006322D4">
      <w:pPr>
        <w:pStyle w:val="Spistreci3"/>
        <w:rPr>
          <w:rFonts w:asciiTheme="minorHAnsi" w:eastAsiaTheme="minorEastAsia" w:hAnsiTheme="minorHAnsi"/>
          <w:noProof/>
          <w:sz w:val="24"/>
          <w:szCs w:val="24"/>
          <w:lang w:eastAsia="pl-PL"/>
        </w:rPr>
      </w:pPr>
      <w:hyperlink w:anchor="_Toc205203210" w:history="1">
        <w:r w:rsidRPr="002E4993">
          <w:rPr>
            <w:rStyle w:val="Hipercze"/>
            <w:noProof/>
          </w:rPr>
          <w:t>Obszar 3.8.</w:t>
        </w:r>
        <w:r>
          <w:rPr>
            <w:rFonts w:asciiTheme="minorHAnsi" w:eastAsiaTheme="minorEastAsia" w:hAnsiTheme="minorHAnsi"/>
            <w:noProof/>
            <w:sz w:val="24"/>
            <w:szCs w:val="24"/>
            <w:lang w:eastAsia="pl-PL"/>
          </w:rPr>
          <w:tab/>
        </w:r>
        <w:r w:rsidRPr="002E4993">
          <w:rPr>
            <w:rStyle w:val="Hipercze"/>
            <w:noProof/>
          </w:rPr>
          <w:t>Pokrycie zapotrzebowania na energię elektryczną</w:t>
        </w:r>
        <w:r>
          <w:rPr>
            <w:noProof/>
            <w:webHidden/>
          </w:rPr>
          <w:tab/>
        </w:r>
        <w:r>
          <w:rPr>
            <w:noProof/>
            <w:webHidden/>
          </w:rPr>
          <w:fldChar w:fldCharType="begin"/>
        </w:r>
        <w:r>
          <w:rPr>
            <w:noProof/>
            <w:webHidden/>
          </w:rPr>
          <w:instrText xml:space="preserve"> PAGEREF _Toc205203210 \h </w:instrText>
        </w:r>
        <w:r>
          <w:rPr>
            <w:noProof/>
            <w:webHidden/>
          </w:rPr>
        </w:r>
        <w:r>
          <w:rPr>
            <w:noProof/>
            <w:webHidden/>
          </w:rPr>
          <w:fldChar w:fldCharType="separate"/>
        </w:r>
        <w:r>
          <w:rPr>
            <w:noProof/>
            <w:webHidden/>
          </w:rPr>
          <w:t>122</w:t>
        </w:r>
        <w:r>
          <w:rPr>
            <w:noProof/>
            <w:webHidden/>
          </w:rPr>
          <w:fldChar w:fldCharType="end"/>
        </w:r>
      </w:hyperlink>
    </w:p>
    <w:p w14:paraId="4C4ED29E" w14:textId="7EE55DAC" w:rsidR="009E2381" w:rsidRDefault="009E2381">
      <w:pPr>
        <w:pStyle w:val="Spistreci4"/>
        <w:rPr>
          <w:rFonts w:asciiTheme="minorHAnsi" w:eastAsiaTheme="minorEastAsia" w:hAnsiTheme="minorHAnsi"/>
          <w:noProof/>
          <w:sz w:val="24"/>
          <w:szCs w:val="24"/>
          <w:lang w:eastAsia="pl-PL"/>
        </w:rPr>
      </w:pPr>
      <w:hyperlink w:anchor="_Toc205203211" w:history="1">
        <w:r w:rsidRPr="002E4993">
          <w:rPr>
            <w:rStyle w:val="Hipercze"/>
            <w:noProof/>
          </w:rPr>
          <w:t>Cel 3.8.1.</w:t>
        </w:r>
        <w:r>
          <w:rPr>
            <w:rFonts w:asciiTheme="minorHAnsi" w:eastAsiaTheme="minorEastAsia" w:hAnsiTheme="minorHAnsi"/>
            <w:noProof/>
            <w:sz w:val="24"/>
            <w:szCs w:val="24"/>
            <w:lang w:eastAsia="pl-PL"/>
          </w:rPr>
          <w:tab/>
        </w:r>
        <w:r w:rsidRPr="002E4993">
          <w:rPr>
            <w:rStyle w:val="Hipercze"/>
            <w:noProof/>
          </w:rPr>
          <w:t>Zapewnienie wystarczalności mocy</w:t>
        </w:r>
        <w:r>
          <w:rPr>
            <w:noProof/>
            <w:webHidden/>
          </w:rPr>
          <w:tab/>
        </w:r>
        <w:r>
          <w:rPr>
            <w:noProof/>
            <w:webHidden/>
          </w:rPr>
          <w:fldChar w:fldCharType="begin"/>
        </w:r>
        <w:r>
          <w:rPr>
            <w:noProof/>
            <w:webHidden/>
          </w:rPr>
          <w:instrText xml:space="preserve"> PAGEREF _Toc205203211 \h </w:instrText>
        </w:r>
        <w:r>
          <w:rPr>
            <w:noProof/>
            <w:webHidden/>
          </w:rPr>
        </w:r>
        <w:r>
          <w:rPr>
            <w:noProof/>
            <w:webHidden/>
          </w:rPr>
          <w:fldChar w:fldCharType="separate"/>
        </w:r>
        <w:r>
          <w:rPr>
            <w:noProof/>
            <w:webHidden/>
          </w:rPr>
          <w:t>123</w:t>
        </w:r>
        <w:r>
          <w:rPr>
            <w:noProof/>
            <w:webHidden/>
          </w:rPr>
          <w:fldChar w:fldCharType="end"/>
        </w:r>
      </w:hyperlink>
    </w:p>
    <w:p w14:paraId="06F2C9D3" w14:textId="111BAA3F" w:rsidR="009E2381" w:rsidRDefault="009E2381">
      <w:pPr>
        <w:pStyle w:val="Spistreci4"/>
        <w:rPr>
          <w:rFonts w:asciiTheme="minorHAnsi" w:eastAsiaTheme="minorEastAsia" w:hAnsiTheme="minorHAnsi"/>
          <w:noProof/>
          <w:sz w:val="24"/>
          <w:szCs w:val="24"/>
          <w:lang w:eastAsia="pl-PL"/>
        </w:rPr>
      </w:pPr>
      <w:hyperlink w:anchor="_Toc205203212" w:history="1">
        <w:r w:rsidRPr="002E4993">
          <w:rPr>
            <w:rStyle w:val="Hipercze"/>
            <w:noProof/>
          </w:rPr>
          <w:t>Cel 3.8.2.</w:t>
        </w:r>
        <w:r>
          <w:rPr>
            <w:rFonts w:asciiTheme="minorHAnsi" w:eastAsiaTheme="minorEastAsia" w:hAnsiTheme="minorHAnsi"/>
            <w:noProof/>
            <w:sz w:val="24"/>
            <w:szCs w:val="24"/>
            <w:lang w:eastAsia="pl-PL"/>
          </w:rPr>
          <w:tab/>
        </w:r>
        <w:r w:rsidRPr="002E4993">
          <w:rPr>
            <w:rStyle w:val="Hipercze"/>
            <w:noProof/>
          </w:rPr>
          <w:t>Zapewnienie elastyczności systemu elektroenergetycznego dla lepszej integracji OZE</w:t>
        </w:r>
        <w:r>
          <w:rPr>
            <w:noProof/>
            <w:webHidden/>
          </w:rPr>
          <w:tab/>
        </w:r>
        <w:r>
          <w:rPr>
            <w:noProof/>
            <w:webHidden/>
          </w:rPr>
          <w:fldChar w:fldCharType="begin"/>
        </w:r>
        <w:r>
          <w:rPr>
            <w:noProof/>
            <w:webHidden/>
          </w:rPr>
          <w:instrText xml:space="preserve"> PAGEREF _Toc205203212 \h </w:instrText>
        </w:r>
        <w:r>
          <w:rPr>
            <w:noProof/>
            <w:webHidden/>
          </w:rPr>
        </w:r>
        <w:r>
          <w:rPr>
            <w:noProof/>
            <w:webHidden/>
          </w:rPr>
          <w:fldChar w:fldCharType="separate"/>
        </w:r>
        <w:r>
          <w:rPr>
            <w:noProof/>
            <w:webHidden/>
          </w:rPr>
          <w:t>126</w:t>
        </w:r>
        <w:r>
          <w:rPr>
            <w:noProof/>
            <w:webHidden/>
          </w:rPr>
          <w:fldChar w:fldCharType="end"/>
        </w:r>
      </w:hyperlink>
    </w:p>
    <w:p w14:paraId="2B354FA3" w14:textId="6E255F08" w:rsidR="009E2381" w:rsidRDefault="009E2381">
      <w:pPr>
        <w:pStyle w:val="Spistreci4"/>
        <w:rPr>
          <w:rFonts w:asciiTheme="minorHAnsi" w:eastAsiaTheme="minorEastAsia" w:hAnsiTheme="minorHAnsi"/>
          <w:noProof/>
          <w:sz w:val="24"/>
          <w:szCs w:val="24"/>
          <w:lang w:eastAsia="pl-PL"/>
        </w:rPr>
      </w:pPr>
      <w:hyperlink w:anchor="_Toc205203213" w:history="1">
        <w:r w:rsidRPr="002E4993">
          <w:rPr>
            <w:rStyle w:val="Hipercze"/>
            <w:noProof/>
          </w:rPr>
          <w:t>Cel 3.8.3.</w:t>
        </w:r>
        <w:r>
          <w:rPr>
            <w:rFonts w:asciiTheme="minorHAnsi" w:eastAsiaTheme="minorEastAsia" w:hAnsiTheme="minorHAnsi"/>
            <w:noProof/>
            <w:sz w:val="24"/>
            <w:szCs w:val="24"/>
            <w:lang w:eastAsia="pl-PL"/>
          </w:rPr>
          <w:tab/>
        </w:r>
        <w:r w:rsidRPr="002E4993">
          <w:rPr>
            <w:rStyle w:val="Hipercze"/>
            <w:noProof/>
          </w:rPr>
          <w:t>Rozwój infrastruktury przesyłu i dystrybucji energii elektrycznej</w:t>
        </w:r>
        <w:r>
          <w:rPr>
            <w:noProof/>
            <w:webHidden/>
          </w:rPr>
          <w:tab/>
        </w:r>
        <w:r>
          <w:rPr>
            <w:noProof/>
            <w:webHidden/>
          </w:rPr>
          <w:fldChar w:fldCharType="begin"/>
        </w:r>
        <w:r>
          <w:rPr>
            <w:noProof/>
            <w:webHidden/>
          </w:rPr>
          <w:instrText xml:space="preserve"> PAGEREF _Toc205203213 \h </w:instrText>
        </w:r>
        <w:r>
          <w:rPr>
            <w:noProof/>
            <w:webHidden/>
          </w:rPr>
        </w:r>
        <w:r>
          <w:rPr>
            <w:noProof/>
            <w:webHidden/>
          </w:rPr>
          <w:fldChar w:fldCharType="separate"/>
        </w:r>
        <w:r>
          <w:rPr>
            <w:noProof/>
            <w:webHidden/>
          </w:rPr>
          <w:t>129</w:t>
        </w:r>
        <w:r>
          <w:rPr>
            <w:noProof/>
            <w:webHidden/>
          </w:rPr>
          <w:fldChar w:fldCharType="end"/>
        </w:r>
      </w:hyperlink>
    </w:p>
    <w:p w14:paraId="373CEB98" w14:textId="7A860D1C" w:rsidR="009E2381" w:rsidRDefault="009E2381">
      <w:pPr>
        <w:pStyle w:val="Spistreci4"/>
        <w:rPr>
          <w:rFonts w:asciiTheme="minorHAnsi" w:eastAsiaTheme="minorEastAsia" w:hAnsiTheme="minorHAnsi"/>
          <w:noProof/>
          <w:sz w:val="24"/>
          <w:szCs w:val="24"/>
          <w:lang w:eastAsia="pl-PL"/>
        </w:rPr>
      </w:pPr>
      <w:hyperlink w:anchor="_Toc205203214" w:history="1">
        <w:r w:rsidRPr="002E4993">
          <w:rPr>
            <w:rStyle w:val="Hipercze"/>
            <w:noProof/>
          </w:rPr>
          <w:t>Cel 3.8.4.</w:t>
        </w:r>
        <w:r>
          <w:rPr>
            <w:rFonts w:asciiTheme="minorHAnsi" w:eastAsiaTheme="minorEastAsia" w:hAnsiTheme="minorHAnsi"/>
            <w:noProof/>
            <w:sz w:val="24"/>
            <w:szCs w:val="24"/>
            <w:lang w:eastAsia="pl-PL"/>
          </w:rPr>
          <w:tab/>
        </w:r>
        <w:r w:rsidRPr="002E4993">
          <w:rPr>
            <w:rStyle w:val="Hipercze"/>
            <w:noProof/>
          </w:rPr>
          <w:t>Zapewnienie gotowości do zapobiegania i radzenia sobie z ograniczeniami w dostawach energii elektrycznej</w:t>
        </w:r>
        <w:r>
          <w:rPr>
            <w:noProof/>
            <w:webHidden/>
          </w:rPr>
          <w:tab/>
        </w:r>
        <w:r>
          <w:rPr>
            <w:noProof/>
            <w:webHidden/>
          </w:rPr>
          <w:fldChar w:fldCharType="begin"/>
        </w:r>
        <w:r>
          <w:rPr>
            <w:noProof/>
            <w:webHidden/>
          </w:rPr>
          <w:instrText xml:space="preserve"> PAGEREF _Toc205203214 \h </w:instrText>
        </w:r>
        <w:r>
          <w:rPr>
            <w:noProof/>
            <w:webHidden/>
          </w:rPr>
        </w:r>
        <w:r>
          <w:rPr>
            <w:noProof/>
            <w:webHidden/>
          </w:rPr>
          <w:fldChar w:fldCharType="separate"/>
        </w:r>
        <w:r>
          <w:rPr>
            <w:noProof/>
            <w:webHidden/>
          </w:rPr>
          <w:t>132</w:t>
        </w:r>
        <w:r>
          <w:rPr>
            <w:noProof/>
            <w:webHidden/>
          </w:rPr>
          <w:fldChar w:fldCharType="end"/>
        </w:r>
      </w:hyperlink>
    </w:p>
    <w:p w14:paraId="3726F5B8" w14:textId="5BE77050" w:rsidR="009E2381" w:rsidRDefault="009E2381" w:rsidP="00473117">
      <w:pPr>
        <w:pStyle w:val="Spistreci2"/>
        <w:rPr>
          <w:rFonts w:asciiTheme="minorHAnsi" w:eastAsiaTheme="minorEastAsia" w:hAnsiTheme="minorHAnsi"/>
          <w:noProof/>
          <w:sz w:val="24"/>
          <w:szCs w:val="24"/>
          <w:lang w:eastAsia="pl-PL"/>
        </w:rPr>
      </w:pPr>
      <w:hyperlink w:anchor="_Toc205203215" w:history="1">
        <w:r w:rsidRPr="002E4993">
          <w:rPr>
            <w:rStyle w:val="Hipercze"/>
            <w:noProof/>
          </w:rPr>
          <w:t>4. Wewnątrzunijny rynek energii oraz społeczny aspekt transformacji</w:t>
        </w:r>
        <w:r>
          <w:rPr>
            <w:noProof/>
            <w:webHidden/>
          </w:rPr>
          <w:tab/>
        </w:r>
        <w:r>
          <w:rPr>
            <w:noProof/>
            <w:webHidden/>
          </w:rPr>
          <w:fldChar w:fldCharType="begin"/>
        </w:r>
        <w:r>
          <w:rPr>
            <w:noProof/>
            <w:webHidden/>
          </w:rPr>
          <w:instrText xml:space="preserve"> PAGEREF _Toc205203215 \h </w:instrText>
        </w:r>
        <w:r>
          <w:rPr>
            <w:noProof/>
            <w:webHidden/>
          </w:rPr>
        </w:r>
        <w:r>
          <w:rPr>
            <w:noProof/>
            <w:webHidden/>
          </w:rPr>
          <w:fldChar w:fldCharType="separate"/>
        </w:r>
        <w:r>
          <w:rPr>
            <w:noProof/>
            <w:webHidden/>
          </w:rPr>
          <w:t>134</w:t>
        </w:r>
        <w:r>
          <w:rPr>
            <w:noProof/>
            <w:webHidden/>
          </w:rPr>
          <w:fldChar w:fldCharType="end"/>
        </w:r>
      </w:hyperlink>
    </w:p>
    <w:p w14:paraId="6CAD62F7" w14:textId="3B1DA98C" w:rsidR="009E2381" w:rsidRDefault="009E2381" w:rsidP="006322D4">
      <w:pPr>
        <w:pStyle w:val="Spistreci3"/>
        <w:rPr>
          <w:rFonts w:asciiTheme="minorHAnsi" w:eastAsiaTheme="minorEastAsia" w:hAnsiTheme="minorHAnsi"/>
          <w:noProof/>
          <w:sz w:val="24"/>
          <w:szCs w:val="24"/>
          <w:lang w:eastAsia="pl-PL"/>
        </w:rPr>
      </w:pPr>
      <w:hyperlink w:anchor="_Toc205203216" w:history="1">
        <w:r w:rsidRPr="002E4993">
          <w:rPr>
            <w:rStyle w:val="Hipercze"/>
            <w:noProof/>
          </w:rPr>
          <w:t>Obszar 4.1.</w:t>
        </w:r>
        <w:r>
          <w:rPr>
            <w:rFonts w:asciiTheme="minorHAnsi" w:eastAsiaTheme="minorEastAsia" w:hAnsiTheme="minorHAnsi"/>
            <w:noProof/>
            <w:sz w:val="24"/>
            <w:szCs w:val="24"/>
            <w:lang w:eastAsia="pl-PL"/>
          </w:rPr>
          <w:tab/>
        </w:r>
        <w:r w:rsidRPr="002E4993">
          <w:rPr>
            <w:rStyle w:val="Hipercze"/>
            <w:noProof/>
          </w:rPr>
          <w:t>Międzysystemowa wymiana energii</w:t>
        </w:r>
        <w:r>
          <w:rPr>
            <w:noProof/>
            <w:webHidden/>
          </w:rPr>
          <w:tab/>
        </w:r>
        <w:r>
          <w:rPr>
            <w:noProof/>
            <w:webHidden/>
          </w:rPr>
          <w:fldChar w:fldCharType="begin"/>
        </w:r>
        <w:r>
          <w:rPr>
            <w:noProof/>
            <w:webHidden/>
          </w:rPr>
          <w:instrText xml:space="preserve"> PAGEREF _Toc205203216 \h </w:instrText>
        </w:r>
        <w:r>
          <w:rPr>
            <w:noProof/>
            <w:webHidden/>
          </w:rPr>
        </w:r>
        <w:r>
          <w:rPr>
            <w:noProof/>
            <w:webHidden/>
          </w:rPr>
          <w:fldChar w:fldCharType="separate"/>
        </w:r>
        <w:r>
          <w:rPr>
            <w:noProof/>
            <w:webHidden/>
          </w:rPr>
          <w:t>135</w:t>
        </w:r>
        <w:r>
          <w:rPr>
            <w:noProof/>
            <w:webHidden/>
          </w:rPr>
          <w:fldChar w:fldCharType="end"/>
        </w:r>
      </w:hyperlink>
    </w:p>
    <w:p w14:paraId="52BA96BD" w14:textId="5F29E58A" w:rsidR="009E2381" w:rsidRDefault="009E2381">
      <w:pPr>
        <w:pStyle w:val="Spistreci4"/>
        <w:rPr>
          <w:rFonts w:asciiTheme="minorHAnsi" w:eastAsiaTheme="minorEastAsia" w:hAnsiTheme="minorHAnsi"/>
          <w:noProof/>
          <w:sz w:val="24"/>
          <w:szCs w:val="24"/>
          <w:lang w:eastAsia="pl-PL"/>
        </w:rPr>
      </w:pPr>
      <w:hyperlink w:anchor="_Toc205203217" w:history="1">
        <w:r w:rsidRPr="002E4993">
          <w:rPr>
            <w:rStyle w:val="Hipercze"/>
            <w:noProof/>
          </w:rPr>
          <w:t>Cel 4.1.1.</w:t>
        </w:r>
        <w:r>
          <w:rPr>
            <w:rFonts w:asciiTheme="minorHAnsi" w:eastAsiaTheme="minorEastAsia" w:hAnsiTheme="minorHAnsi"/>
            <w:noProof/>
            <w:sz w:val="24"/>
            <w:szCs w:val="24"/>
            <w:lang w:eastAsia="pl-PL"/>
          </w:rPr>
          <w:tab/>
        </w:r>
        <w:r w:rsidRPr="002E4993">
          <w:rPr>
            <w:rStyle w:val="Hipercze"/>
            <w:noProof/>
          </w:rPr>
          <w:t>Zapewnienie warunków wymiany międzysystemowej energii elektrycznej</w:t>
        </w:r>
        <w:r>
          <w:rPr>
            <w:noProof/>
            <w:webHidden/>
          </w:rPr>
          <w:tab/>
        </w:r>
        <w:r>
          <w:rPr>
            <w:noProof/>
            <w:webHidden/>
          </w:rPr>
          <w:fldChar w:fldCharType="begin"/>
        </w:r>
        <w:r>
          <w:rPr>
            <w:noProof/>
            <w:webHidden/>
          </w:rPr>
          <w:instrText xml:space="preserve"> PAGEREF _Toc205203217 \h </w:instrText>
        </w:r>
        <w:r>
          <w:rPr>
            <w:noProof/>
            <w:webHidden/>
          </w:rPr>
        </w:r>
        <w:r>
          <w:rPr>
            <w:noProof/>
            <w:webHidden/>
          </w:rPr>
          <w:fldChar w:fldCharType="separate"/>
        </w:r>
        <w:r>
          <w:rPr>
            <w:noProof/>
            <w:webHidden/>
          </w:rPr>
          <w:t>135</w:t>
        </w:r>
        <w:r>
          <w:rPr>
            <w:noProof/>
            <w:webHidden/>
          </w:rPr>
          <w:fldChar w:fldCharType="end"/>
        </w:r>
      </w:hyperlink>
    </w:p>
    <w:p w14:paraId="5B35B7FC" w14:textId="73B5DF3A" w:rsidR="009E2381" w:rsidRDefault="009E2381">
      <w:pPr>
        <w:pStyle w:val="Spistreci4"/>
        <w:rPr>
          <w:rFonts w:asciiTheme="minorHAnsi" w:eastAsiaTheme="minorEastAsia" w:hAnsiTheme="minorHAnsi"/>
          <w:noProof/>
          <w:sz w:val="24"/>
          <w:szCs w:val="24"/>
          <w:lang w:eastAsia="pl-PL"/>
        </w:rPr>
      </w:pPr>
      <w:hyperlink w:anchor="_Toc205203218" w:history="1">
        <w:r w:rsidRPr="002E4993">
          <w:rPr>
            <w:rStyle w:val="Hipercze"/>
            <w:noProof/>
          </w:rPr>
          <w:t>Cel 4.1.2.</w:t>
        </w:r>
        <w:r>
          <w:rPr>
            <w:rFonts w:asciiTheme="minorHAnsi" w:eastAsiaTheme="minorEastAsia" w:hAnsiTheme="minorHAnsi"/>
            <w:noProof/>
            <w:sz w:val="24"/>
            <w:szCs w:val="24"/>
            <w:lang w:eastAsia="pl-PL"/>
          </w:rPr>
          <w:tab/>
        </w:r>
        <w:r w:rsidRPr="002E4993">
          <w:rPr>
            <w:rStyle w:val="Hipercze"/>
            <w:noProof/>
          </w:rPr>
          <w:t>Zapewnienie warunków wymiany międzysystemowej gazu ziemnego</w:t>
        </w:r>
        <w:r>
          <w:rPr>
            <w:noProof/>
            <w:webHidden/>
          </w:rPr>
          <w:tab/>
        </w:r>
        <w:r>
          <w:rPr>
            <w:noProof/>
            <w:webHidden/>
          </w:rPr>
          <w:fldChar w:fldCharType="begin"/>
        </w:r>
        <w:r>
          <w:rPr>
            <w:noProof/>
            <w:webHidden/>
          </w:rPr>
          <w:instrText xml:space="preserve"> PAGEREF _Toc205203218 \h </w:instrText>
        </w:r>
        <w:r>
          <w:rPr>
            <w:noProof/>
            <w:webHidden/>
          </w:rPr>
        </w:r>
        <w:r>
          <w:rPr>
            <w:noProof/>
            <w:webHidden/>
          </w:rPr>
          <w:fldChar w:fldCharType="separate"/>
        </w:r>
        <w:r>
          <w:rPr>
            <w:noProof/>
            <w:webHidden/>
          </w:rPr>
          <w:t>137</w:t>
        </w:r>
        <w:r>
          <w:rPr>
            <w:noProof/>
            <w:webHidden/>
          </w:rPr>
          <w:fldChar w:fldCharType="end"/>
        </w:r>
      </w:hyperlink>
    </w:p>
    <w:p w14:paraId="36E02AE5" w14:textId="28A28AB7" w:rsidR="009E2381" w:rsidRDefault="009E2381" w:rsidP="006322D4">
      <w:pPr>
        <w:pStyle w:val="Spistreci3"/>
        <w:rPr>
          <w:rFonts w:asciiTheme="minorHAnsi" w:eastAsiaTheme="minorEastAsia" w:hAnsiTheme="minorHAnsi"/>
          <w:noProof/>
          <w:sz w:val="24"/>
          <w:szCs w:val="24"/>
          <w:lang w:eastAsia="pl-PL"/>
        </w:rPr>
      </w:pPr>
      <w:hyperlink w:anchor="_Toc205203219" w:history="1">
        <w:r w:rsidRPr="002E4993">
          <w:rPr>
            <w:rStyle w:val="Hipercze"/>
            <w:noProof/>
          </w:rPr>
          <w:t>Obszar 4.2.</w:t>
        </w:r>
        <w:r>
          <w:rPr>
            <w:rFonts w:asciiTheme="minorHAnsi" w:eastAsiaTheme="minorEastAsia" w:hAnsiTheme="minorHAnsi"/>
            <w:noProof/>
            <w:sz w:val="24"/>
            <w:szCs w:val="24"/>
            <w:lang w:eastAsia="pl-PL"/>
          </w:rPr>
          <w:tab/>
        </w:r>
        <w:r w:rsidRPr="002E4993">
          <w:rPr>
            <w:rStyle w:val="Hipercze"/>
            <w:noProof/>
          </w:rPr>
          <w:t>Rozwój energetyki rozproszonej</w:t>
        </w:r>
        <w:r>
          <w:rPr>
            <w:noProof/>
            <w:webHidden/>
          </w:rPr>
          <w:tab/>
        </w:r>
        <w:r>
          <w:rPr>
            <w:noProof/>
            <w:webHidden/>
          </w:rPr>
          <w:fldChar w:fldCharType="begin"/>
        </w:r>
        <w:r>
          <w:rPr>
            <w:noProof/>
            <w:webHidden/>
          </w:rPr>
          <w:instrText xml:space="preserve"> PAGEREF _Toc205203219 \h </w:instrText>
        </w:r>
        <w:r>
          <w:rPr>
            <w:noProof/>
            <w:webHidden/>
          </w:rPr>
        </w:r>
        <w:r>
          <w:rPr>
            <w:noProof/>
            <w:webHidden/>
          </w:rPr>
          <w:fldChar w:fldCharType="separate"/>
        </w:r>
        <w:r>
          <w:rPr>
            <w:noProof/>
            <w:webHidden/>
          </w:rPr>
          <w:t>138</w:t>
        </w:r>
        <w:r>
          <w:rPr>
            <w:noProof/>
            <w:webHidden/>
          </w:rPr>
          <w:fldChar w:fldCharType="end"/>
        </w:r>
      </w:hyperlink>
    </w:p>
    <w:p w14:paraId="50DA5FB1" w14:textId="4F03D5F4" w:rsidR="009E2381" w:rsidRDefault="009E2381">
      <w:pPr>
        <w:pStyle w:val="Spistreci4"/>
        <w:rPr>
          <w:rFonts w:asciiTheme="minorHAnsi" w:eastAsiaTheme="minorEastAsia" w:hAnsiTheme="minorHAnsi"/>
          <w:noProof/>
          <w:sz w:val="24"/>
          <w:szCs w:val="24"/>
          <w:lang w:eastAsia="pl-PL"/>
        </w:rPr>
      </w:pPr>
      <w:hyperlink w:anchor="_Toc205203220" w:history="1">
        <w:r w:rsidRPr="002E4993">
          <w:rPr>
            <w:rStyle w:val="Hipercze"/>
            <w:noProof/>
          </w:rPr>
          <w:t>Cel 4.2.1.</w:t>
        </w:r>
        <w:r>
          <w:rPr>
            <w:rFonts w:asciiTheme="minorHAnsi" w:eastAsiaTheme="minorEastAsia" w:hAnsiTheme="minorHAnsi"/>
            <w:noProof/>
            <w:sz w:val="24"/>
            <w:szCs w:val="24"/>
            <w:lang w:eastAsia="pl-PL"/>
          </w:rPr>
          <w:tab/>
        </w:r>
        <w:r w:rsidRPr="002E4993">
          <w:rPr>
            <w:rStyle w:val="Hipercze"/>
            <w:noProof/>
          </w:rPr>
          <w:t>Rozwój i integracja prosumentów</w:t>
        </w:r>
        <w:r>
          <w:rPr>
            <w:noProof/>
            <w:webHidden/>
          </w:rPr>
          <w:tab/>
        </w:r>
        <w:r>
          <w:rPr>
            <w:noProof/>
            <w:webHidden/>
          </w:rPr>
          <w:fldChar w:fldCharType="begin"/>
        </w:r>
        <w:r>
          <w:rPr>
            <w:noProof/>
            <w:webHidden/>
          </w:rPr>
          <w:instrText xml:space="preserve"> PAGEREF _Toc205203220 \h </w:instrText>
        </w:r>
        <w:r>
          <w:rPr>
            <w:noProof/>
            <w:webHidden/>
          </w:rPr>
        </w:r>
        <w:r>
          <w:rPr>
            <w:noProof/>
            <w:webHidden/>
          </w:rPr>
          <w:fldChar w:fldCharType="separate"/>
        </w:r>
        <w:r>
          <w:rPr>
            <w:noProof/>
            <w:webHidden/>
          </w:rPr>
          <w:t>138</w:t>
        </w:r>
        <w:r>
          <w:rPr>
            <w:noProof/>
            <w:webHidden/>
          </w:rPr>
          <w:fldChar w:fldCharType="end"/>
        </w:r>
      </w:hyperlink>
    </w:p>
    <w:p w14:paraId="6495F499" w14:textId="1D176814" w:rsidR="009E2381" w:rsidRDefault="009E2381">
      <w:pPr>
        <w:pStyle w:val="Spistreci4"/>
        <w:rPr>
          <w:rFonts w:asciiTheme="minorHAnsi" w:eastAsiaTheme="minorEastAsia" w:hAnsiTheme="minorHAnsi"/>
          <w:noProof/>
          <w:sz w:val="24"/>
          <w:szCs w:val="24"/>
          <w:lang w:eastAsia="pl-PL"/>
        </w:rPr>
      </w:pPr>
      <w:hyperlink w:anchor="_Toc205203221" w:history="1">
        <w:r w:rsidRPr="002E4993">
          <w:rPr>
            <w:rStyle w:val="Hipercze"/>
            <w:noProof/>
          </w:rPr>
          <w:t>Cel 4.2.2.</w:t>
        </w:r>
        <w:r>
          <w:rPr>
            <w:rFonts w:asciiTheme="minorHAnsi" w:eastAsiaTheme="minorEastAsia" w:hAnsiTheme="minorHAnsi"/>
            <w:noProof/>
            <w:sz w:val="24"/>
            <w:szCs w:val="24"/>
            <w:lang w:eastAsia="pl-PL"/>
          </w:rPr>
          <w:tab/>
        </w:r>
        <w:r w:rsidRPr="002E4993">
          <w:rPr>
            <w:rStyle w:val="Hipercze"/>
            <w:noProof/>
          </w:rPr>
          <w:t>Rozwój i integracja energetycznych społeczności lokalnych</w:t>
        </w:r>
        <w:r>
          <w:rPr>
            <w:noProof/>
            <w:webHidden/>
          </w:rPr>
          <w:tab/>
        </w:r>
        <w:r>
          <w:rPr>
            <w:noProof/>
            <w:webHidden/>
          </w:rPr>
          <w:fldChar w:fldCharType="begin"/>
        </w:r>
        <w:r>
          <w:rPr>
            <w:noProof/>
            <w:webHidden/>
          </w:rPr>
          <w:instrText xml:space="preserve"> PAGEREF _Toc205203221 \h </w:instrText>
        </w:r>
        <w:r>
          <w:rPr>
            <w:noProof/>
            <w:webHidden/>
          </w:rPr>
        </w:r>
        <w:r>
          <w:rPr>
            <w:noProof/>
            <w:webHidden/>
          </w:rPr>
          <w:fldChar w:fldCharType="separate"/>
        </w:r>
        <w:r>
          <w:rPr>
            <w:noProof/>
            <w:webHidden/>
          </w:rPr>
          <w:t>140</w:t>
        </w:r>
        <w:r>
          <w:rPr>
            <w:noProof/>
            <w:webHidden/>
          </w:rPr>
          <w:fldChar w:fldCharType="end"/>
        </w:r>
      </w:hyperlink>
    </w:p>
    <w:p w14:paraId="67D56F9D" w14:textId="7F31B17F" w:rsidR="009E2381" w:rsidRDefault="009E2381" w:rsidP="006322D4">
      <w:pPr>
        <w:pStyle w:val="Spistreci3"/>
        <w:rPr>
          <w:rFonts w:asciiTheme="minorHAnsi" w:eastAsiaTheme="minorEastAsia" w:hAnsiTheme="minorHAnsi"/>
          <w:noProof/>
          <w:sz w:val="24"/>
          <w:szCs w:val="24"/>
          <w:lang w:eastAsia="pl-PL"/>
        </w:rPr>
      </w:pPr>
      <w:hyperlink w:anchor="_Toc205203222" w:history="1">
        <w:r w:rsidRPr="002E4993">
          <w:rPr>
            <w:rStyle w:val="Hipercze"/>
            <w:noProof/>
          </w:rPr>
          <w:t>Obszar 4.3.</w:t>
        </w:r>
        <w:r>
          <w:rPr>
            <w:rFonts w:asciiTheme="minorHAnsi" w:eastAsiaTheme="minorEastAsia" w:hAnsiTheme="minorHAnsi"/>
            <w:noProof/>
            <w:sz w:val="24"/>
            <w:szCs w:val="24"/>
            <w:lang w:eastAsia="pl-PL"/>
          </w:rPr>
          <w:tab/>
        </w:r>
        <w:r w:rsidRPr="002E4993">
          <w:rPr>
            <w:rStyle w:val="Hipercze"/>
            <w:noProof/>
          </w:rPr>
          <w:t>Sprawiedliwa transformacja i ochrona konsumentów</w:t>
        </w:r>
        <w:r>
          <w:rPr>
            <w:noProof/>
            <w:webHidden/>
          </w:rPr>
          <w:tab/>
        </w:r>
        <w:r>
          <w:rPr>
            <w:noProof/>
            <w:webHidden/>
          </w:rPr>
          <w:fldChar w:fldCharType="begin"/>
        </w:r>
        <w:r>
          <w:rPr>
            <w:noProof/>
            <w:webHidden/>
          </w:rPr>
          <w:instrText xml:space="preserve"> PAGEREF _Toc205203222 \h </w:instrText>
        </w:r>
        <w:r>
          <w:rPr>
            <w:noProof/>
            <w:webHidden/>
          </w:rPr>
        </w:r>
        <w:r>
          <w:rPr>
            <w:noProof/>
            <w:webHidden/>
          </w:rPr>
          <w:fldChar w:fldCharType="separate"/>
        </w:r>
        <w:r>
          <w:rPr>
            <w:noProof/>
            <w:webHidden/>
          </w:rPr>
          <w:t>142</w:t>
        </w:r>
        <w:r>
          <w:rPr>
            <w:noProof/>
            <w:webHidden/>
          </w:rPr>
          <w:fldChar w:fldCharType="end"/>
        </w:r>
      </w:hyperlink>
    </w:p>
    <w:p w14:paraId="0227D8AB" w14:textId="543EB51C" w:rsidR="009E2381" w:rsidRDefault="009E2381">
      <w:pPr>
        <w:pStyle w:val="Spistreci4"/>
        <w:rPr>
          <w:rFonts w:asciiTheme="minorHAnsi" w:eastAsiaTheme="minorEastAsia" w:hAnsiTheme="minorHAnsi"/>
          <w:noProof/>
          <w:sz w:val="24"/>
          <w:szCs w:val="24"/>
          <w:lang w:eastAsia="pl-PL"/>
        </w:rPr>
      </w:pPr>
      <w:hyperlink w:anchor="_Toc205203223" w:history="1">
        <w:r w:rsidRPr="002E4993">
          <w:rPr>
            <w:rStyle w:val="Hipercze"/>
            <w:noProof/>
          </w:rPr>
          <w:t>Cel 4.3.1.</w:t>
        </w:r>
        <w:r>
          <w:rPr>
            <w:rFonts w:asciiTheme="minorHAnsi" w:eastAsiaTheme="minorEastAsia" w:hAnsiTheme="minorHAnsi"/>
            <w:noProof/>
            <w:sz w:val="24"/>
            <w:szCs w:val="24"/>
            <w:lang w:eastAsia="pl-PL"/>
          </w:rPr>
          <w:tab/>
        </w:r>
        <w:r w:rsidRPr="002E4993">
          <w:rPr>
            <w:rStyle w:val="Hipercze"/>
            <w:noProof/>
          </w:rPr>
          <w:t>Redukcja ubóstwa energetycznego</w:t>
        </w:r>
        <w:r>
          <w:rPr>
            <w:noProof/>
            <w:webHidden/>
          </w:rPr>
          <w:tab/>
        </w:r>
        <w:r>
          <w:rPr>
            <w:noProof/>
            <w:webHidden/>
          </w:rPr>
          <w:fldChar w:fldCharType="begin"/>
        </w:r>
        <w:r>
          <w:rPr>
            <w:noProof/>
            <w:webHidden/>
          </w:rPr>
          <w:instrText xml:space="preserve"> PAGEREF _Toc205203223 \h </w:instrText>
        </w:r>
        <w:r>
          <w:rPr>
            <w:noProof/>
            <w:webHidden/>
          </w:rPr>
        </w:r>
        <w:r>
          <w:rPr>
            <w:noProof/>
            <w:webHidden/>
          </w:rPr>
          <w:fldChar w:fldCharType="separate"/>
        </w:r>
        <w:r>
          <w:rPr>
            <w:noProof/>
            <w:webHidden/>
          </w:rPr>
          <w:t>142</w:t>
        </w:r>
        <w:r>
          <w:rPr>
            <w:noProof/>
            <w:webHidden/>
          </w:rPr>
          <w:fldChar w:fldCharType="end"/>
        </w:r>
      </w:hyperlink>
    </w:p>
    <w:p w14:paraId="4DAFCA8C" w14:textId="74C6D38B" w:rsidR="009E2381" w:rsidRDefault="009E2381">
      <w:pPr>
        <w:pStyle w:val="Spistreci4"/>
        <w:rPr>
          <w:rFonts w:asciiTheme="minorHAnsi" w:eastAsiaTheme="minorEastAsia" w:hAnsiTheme="minorHAnsi"/>
          <w:noProof/>
          <w:sz w:val="24"/>
          <w:szCs w:val="24"/>
          <w:lang w:eastAsia="pl-PL"/>
        </w:rPr>
      </w:pPr>
      <w:hyperlink w:anchor="_Toc205203224" w:history="1">
        <w:r w:rsidRPr="002E4993">
          <w:rPr>
            <w:rStyle w:val="Hipercze"/>
            <w:noProof/>
          </w:rPr>
          <w:t>Cel 4.3.2.</w:t>
        </w:r>
        <w:r>
          <w:rPr>
            <w:rFonts w:asciiTheme="minorHAnsi" w:eastAsiaTheme="minorEastAsia" w:hAnsiTheme="minorHAnsi"/>
            <w:noProof/>
            <w:sz w:val="24"/>
            <w:szCs w:val="24"/>
            <w:lang w:eastAsia="pl-PL"/>
          </w:rPr>
          <w:tab/>
        </w:r>
        <w:r w:rsidRPr="002E4993">
          <w:rPr>
            <w:rStyle w:val="Hipercze"/>
            <w:noProof/>
          </w:rPr>
          <w:t>Redukcja ubóstwa transportowego</w:t>
        </w:r>
        <w:r>
          <w:rPr>
            <w:noProof/>
            <w:webHidden/>
          </w:rPr>
          <w:tab/>
        </w:r>
        <w:r>
          <w:rPr>
            <w:noProof/>
            <w:webHidden/>
          </w:rPr>
          <w:fldChar w:fldCharType="begin"/>
        </w:r>
        <w:r>
          <w:rPr>
            <w:noProof/>
            <w:webHidden/>
          </w:rPr>
          <w:instrText xml:space="preserve"> PAGEREF _Toc205203224 \h </w:instrText>
        </w:r>
        <w:r>
          <w:rPr>
            <w:noProof/>
            <w:webHidden/>
          </w:rPr>
        </w:r>
        <w:r>
          <w:rPr>
            <w:noProof/>
            <w:webHidden/>
          </w:rPr>
          <w:fldChar w:fldCharType="separate"/>
        </w:r>
        <w:r>
          <w:rPr>
            <w:noProof/>
            <w:webHidden/>
          </w:rPr>
          <w:t>146</w:t>
        </w:r>
        <w:r>
          <w:rPr>
            <w:noProof/>
            <w:webHidden/>
          </w:rPr>
          <w:fldChar w:fldCharType="end"/>
        </w:r>
      </w:hyperlink>
    </w:p>
    <w:p w14:paraId="6BFA4010" w14:textId="5FEF54AD" w:rsidR="009E2381" w:rsidRDefault="009E2381">
      <w:pPr>
        <w:pStyle w:val="Spistreci4"/>
        <w:rPr>
          <w:rFonts w:asciiTheme="minorHAnsi" w:eastAsiaTheme="minorEastAsia" w:hAnsiTheme="minorHAnsi"/>
          <w:noProof/>
          <w:sz w:val="24"/>
          <w:szCs w:val="24"/>
          <w:lang w:eastAsia="pl-PL"/>
        </w:rPr>
      </w:pPr>
      <w:hyperlink w:anchor="_Toc205203225" w:history="1">
        <w:r w:rsidRPr="002E4993">
          <w:rPr>
            <w:rStyle w:val="Hipercze"/>
            <w:noProof/>
          </w:rPr>
          <w:t>Cel 4.3.3.</w:t>
        </w:r>
        <w:r>
          <w:rPr>
            <w:rFonts w:asciiTheme="minorHAnsi" w:eastAsiaTheme="minorEastAsia" w:hAnsiTheme="minorHAnsi"/>
            <w:noProof/>
            <w:sz w:val="24"/>
            <w:szCs w:val="24"/>
            <w:lang w:eastAsia="pl-PL"/>
          </w:rPr>
          <w:tab/>
        </w:r>
        <w:r w:rsidRPr="002E4993">
          <w:rPr>
            <w:rStyle w:val="Hipercze"/>
            <w:noProof/>
          </w:rPr>
          <w:t>Wsparcie regionów węglowych i wysokoemisyjnych</w:t>
        </w:r>
        <w:r>
          <w:rPr>
            <w:noProof/>
            <w:webHidden/>
          </w:rPr>
          <w:tab/>
        </w:r>
        <w:r>
          <w:rPr>
            <w:noProof/>
            <w:webHidden/>
          </w:rPr>
          <w:fldChar w:fldCharType="begin"/>
        </w:r>
        <w:r>
          <w:rPr>
            <w:noProof/>
            <w:webHidden/>
          </w:rPr>
          <w:instrText xml:space="preserve"> PAGEREF _Toc205203225 \h </w:instrText>
        </w:r>
        <w:r>
          <w:rPr>
            <w:noProof/>
            <w:webHidden/>
          </w:rPr>
        </w:r>
        <w:r>
          <w:rPr>
            <w:noProof/>
            <w:webHidden/>
          </w:rPr>
          <w:fldChar w:fldCharType="separate"/>
        </w:r>
        <w:r>
          <w:rPr>
            <w:noProof/>
            <w:webHidden/>
          </w:rPr>
          <w:t>148</w:t>
        </w:r>
        <w:r>
          <w:rPr>
            <w:noProof/>
            <w:webHidden/>
          </w:rPr>
          <w:fldChar w:fldCharType="end"/>
        </w:r>
      </w:hyperlink>
    </w:p>
    <w:p w14:paraId="7A78A989" w14:textId="6BBE9A63" w:rsidR="009E2381" w:rsidRDefault="009E2381">
      <w:pPr>
        <w:pStyle w:val="Spistreci4"/>
        <w:rPr>
          <w:rFonts w:asciiTheme="minorHAnsi" w:eastAsiaTheme="minorEastAsia" w:hAnsiTheme="minorHAnsi"/>
          <w:noProof/>
          <w:sz w:val="24"/>
          <w:szCs w:val="24"/>
          <w:lang w:eastAsia="pl-PL"/>
        </w:rPr>
      </w:pPr>
      <w:hyperlink w:anchor="_Toc205203226" w:history="1">
        <w:r w:rsidRPr="002E4993">
          <w:rPr>
            <w:rStyle w:val="Hipercze"/>
            <w:noProof/>
          </w:rPr>
          <w:t>Cel 4.3.4.</w:t>
        </w:r>
        <w:r>
          <w:rPr>
            <w:rFonts w:asciiTheme="minorHAnsi" w:eastAsiaTheme="minorEastAsia" w:hAnsiTheme="minorHAnsi"/>
            <w:noProof/>
            <w:sz w:val="24"/>
            <w:szCs w:val="24"/>
            <w:lang w:eastAsia="pl-PL"/>
          </w:rPr>
          <w:tab/>
        </w:r>
        <w:r w:rsidRPr="002E4993">
          <w:rPr>
            <w:rStyle w:val="Hipercze"/>
            <w:noProof/>
          </w:rPr>
          <w:t>Tworzenie zielonych miejsc pracy</w:t>
        </w:r>
        <w:r>
          <w:rPr>
            <w:noProof/>
            <w:webHidden/>
          </w:rPr>
          <w:tab/>
        </w:r>
        <w:r>
          <w:rPr>
            <w:noProof/>
            <w:webHidden/>
          </w:rPr>
          <w:fldChar w:fldCharType="begin"/>
        </w:r>
        <w:r>
          <w:rPr>
            <w:noProof/>
            <w:webHidden/>
          </w:rPr>
          <w:instrText xml:space="preserve"> PAGEREF _Toc205203226 \h </w:instrText>
        </w:r>
        <w:r>
          <w:rPr>
            <w:noProof/>
            <w:webHidden/>
          </w:rPr>
        </w:r>
        <w:r>
          <w:rPr>
            <w:noProof/>
            <w:webHidden/>
          </w:rPr>
          <w:fldChar w:fldCharType="separate"/>
        </w:r>
        <w:r>
          <w:rPr>
            <w:noProof/>
            <w:webHidden/>
          </w:rPr>
          <w:t>151</w:t>
        </w:r>
        <w:r>
          <w:rPr>
            <w:noProof/>
            <w:webHidden/>
          </w:rPr>
          <w:fldChar w:fldCharType="end"/>
        </w:r>
      </w:hyperlink>
    </w:p>
    <w:p w14:paraId="020CD333" w14:textId="4C8C2886" w:rsidR="009E2381" w:rsidRDefault="009E2381">
      <w:pPr>
        <w:pStyle w:val="Spistreci4"/>
        <w:rPr>
          <w:rFonts w:asciiTheme="minorHAnsi" w:eastAsiaTheme="minorEastAsia" w:hAnsiTheme="minorHAnsi"/>
          <w:noProof/>
          <w:sz w:val="24"/>
          <w:szCs w:val="24"/>
          <w:lang w:eastAsia="pl-PL"/>
        </w:rPr>
      </w:pPr>
      <w:hyperlink w:anchor="_Toc205203227" w:history="1">
        <w:r w:rsidRPr="002E4993">
          <w:rPr>
            <w:rStyle w:val="Hipercze"/>
            <w:noProof/>
          </w:rPr>
          <w:t>Cel 4.3.5.</w:t>
        </w:r>
        <w:r>
          <w:rPr>
            <w:rFonts w:asciiTheme="minorHAnsi" w:eastAsiaTheme="minorEastAsia" w:hAnsiTheme="minorHAnsi"/>
            <w:noProof/>
            <w:sz w:val="24"/>
            <w:szCs w:val="24"/>
            <w:lang w:eastAsia="pl-PL"/>
          </w:rPr>
          <w:tab/>
        </w:r>
        <w:r w:rsidRPr="002E4993">
          <w:rPr>
            <w:rStyle w:val="Hipercze"/>
            <w:noProof/>
          </w:rPr>
          <w:t>Zachowanie równowagi społecznej i ekonomicznej</w:t>
        </w:r>
        <w:r>
          <w:rPr>
            <w:noProof/>
            <w:webHidden/>
          </w:rPr>
          <w:tab/>
        </w:r>
        <w:r>
          <w:rPr>
            <w:noProof/>
            <w:webHidden/>
          </w:rPr>
          <w:fldChar w:fldCharType="begin"/>
        </w:r>
        <w:r>
          <w:rPr>
            <w:noProof/>
            <w:webHidden/>
          </w:rPr>
          <w:instrText xml:space="preserve"> PAGEREF _Toc205203227 \h </w:instrText>
        </w:r>
        <w:r>
          <w:rPr>
            <w:noProof/>
            <w:webHidden/>
          </w:rPr>
        </w:r>
        <w:r>
          <w:rPr>
            <w:noProof/>
            <w:webHidden/>
          </w:rPr>
          <w:fldChar w:fldCharType="separate"/>
        </w:r>
        <w:r>
          <w:rPr>
            <w:noProof/>
            <w:webHidden/>
          </w:rPr>
          <w:t>152</w:t>
        </w:r>
        <w:r>
          <w:rPr>
            <w:noProof/>
            <w:webHidden/>
          </w:rPr>
          <w:fldChar w:fldCharType="end"/>
        </w:r>
      </w:hyperlink>
    </w:p>
    <w:p w14:paraId="410F0AB1" w14:textId="43E20ACB" w:rsidR="009E2381" w:rsidRDefault="009E2381" w:rsidP="00473117">
      <w:pPr>
        <w:pStyle w:val="Spistreci2"/>
        <w:rPr>
          <w:rFonts w:asciiTheme="minorHAnsi" w:eastAsiaTheme="minorEastAsia" w:hAnsiTheme="minorHAnsi"/>
          <w:noProof/>
          <w:sz w:val="24"/>
          <w:szCs w:val="24"/>
          <w:lang w:eastAsia="pl-PL"/>
        </w:rPr>
      </w:pPr>
      <w:hyperlink w:anchor="_Toc205203228" w:history="1">
        <w:r w:rsidRPr="002E4993">
          <w:rPr>
            <w:rStyle w:val="Hipercze"/>
            <w:noProof/>
          </w:rPr>
          <w:t>5. Badania naukowe, innowacje i konkurencyjność</w:t>
        </w:r>
        <w:r>
          <w:rPr>
            <w:noProof/>
            <w:webHidden/>
          </w:rPr>
          <w:tab/>
        </w:r>
        <w:r>
          <w:rPr>
            <w:noProof/>
            <w:webHidden/>
          </w:rPr>
          <w:fldChar w:fldCharType="begin"/>
        </w:r>
        <w:r>
          <w:rPr>
            <w:noProof/>
            <w:webHidden/>
          </w:rPr>
          <w:instrText xml:space="preserve"> PAGEREF _Toc205203228 \h </w:instrText>
        </w:r>
        <w:r>
          <w:rPr>
            <w:noProof/>
            <w:webHidden/>
          </w:rPr>
        </w:r>
        <w:r>
          <w:rPr>
            <w:noProof/>
            <w:webHidden/>
          </w:rPr>
          <w:fldChar w:fldCharType="separate"/>
        </w:r>
        <w:r>
          <w:rPr>
            <w:noProof/>
            <w:webHidden/>
          </w:rPr>
          <w:t>154</w:t>
        </w:r>
        <w:r>
          <w:rPr>
            <w:noProof/>
            <w:webHidden/>
          </w:rPr>
          <w:fldChar w:fldCharType="end"/>
        </w:r>
      </w:hyperlink>
    </w:p>
    <w:p w14:paraId="791A06DC" w14:textId="07CA7021" w:rsidR="009E2381" w:rsidRDefault="009E2381">
      <w:pPr>
        <w:pStyle w:val="Spistreci4"/>
        <w:rPr>
          <w:rFonts w:asciiTheme="minorHAnsi" w:eastAsiaTheme="minorEastAsia" w:hAnsiTheme="minorHAnsi"/>
          <w:noProof/>
          <w:sz w:val="24"/>
          <w:szCs w:val="24"/>
          <w:lang w:eastAsia="pl-PL"/>
        </w:rPr>
      </w:pPr>
      <w:hyperlink w:anchor="_Toc205203229" w:history="1">
        <w:r w:rsidRPr="002E4993">
          <w:rPr>
            <w:rStyle w:val="Hipercze"/>
            <w:noProof/>
          </w:rPr>
          <w:t>Cel 5.1.1.</w:t>
        </w:r>
        <w:r>
          <w:rPr>
            <w:rFonts w:asciiTheme="minorHAnsi" w:eastAsiaTheme="minorEastAsia" w:hAnsiTheme="minorHAnsi"/>
            <w:noProof/>
            <w:sz w:val="24"/>
            <w:szCs w:val="24"/>
            <w:lang w:eastAsia="pl-PL"/>
          </w:rPr>
          <w:tab/>
        </w:r>
        <w:r w:rsidRPr="002E4993">
          <w:rPr>
            <w:rStyle w:val="Hipercze"/>
            <w:noProof/>
          </w:rPr>
          <w:t>Zapewnienie środków na transformację energetyczną oraz na badania i rozwój</w:t>
        </w:r>
        <w:r>
          <w:rPr>
            <w:noProof/>
            <w:webHidden/>
          </w:rPr>
          <w:tab/>
        </w:r>
        <w:r>
          <w:rPr>
            <w:noProof/>
            <w:webHidden/>
          </w:rPr>
          <w:fldChar w:fldCharType="begin"/>
        </w:r>
        <w:r>
          <w:rPr>
            <w:noProof/>
            <w:webHidden/>
          </w:rPr>
          <w:instrText xml:space="preserve"> PAGEREF _Toc205203229 \h </w:instrText>
        </w:r>
        <w:r>
          <w:rPr>
            <w:noProof/>
            <w:webHidden/>
          </w:rPr>
        </w:r>
        <w:r>
          <w:rPr>
            <w:noProof/>
            <w:webHidden/>
          </w:rPr>
          <w:fldChar w:fldCharType="separate"/>
        </w:r>
        <w:r>
          <w:rPr>
            <w:noProof/>
            <w:webHidden/>
          </w:rPr>
          <w:t>155</w:t>
        </w:r>
        <w:r>
          <w:rPr>
            <w:noProof/>
            <w:webHidden/>
          </w:rPr>
          <w:fldChar w:fldCharType="end"/>
        </w:r>
      </w:hyperlink>
    </w:p>
    <w:p w14:paraId="76861F9A" w14:textId="300C7A66" w:rsidR="009E2381" w:rsidRDefault="009E2381">
      <w:pPr>
        <w:pStyle w:val="Spistreci4"/>
        <w:rPr>
          <w:rFonts w:asciiTheme="minorHAnsi" w:eastAsiaTheme="minorEastAsia" w:hAnsiTheme="minorHAnsi"/>
          <w:noProof/>
          <w:sz w:val="24"/>
          <w:szCs w:val="24"/>
          <w:lang w:eastAsia="pl-PL"/>
        </w:rPr>
      </w:pPr>
      <w:hyperlink w:anchor="_Toc205203230" w:history="1">
        <w:r w:rsidRPr="002E4993">
          <w:rPr>
            <w:rStyle w:val="Hipercze"/>
            <w:noProof/>
          </w:rPr>
          <w:t>Cel 5.1.2.</w:t>
        </w:r>
        <w:r>
          <w:rPr>
            <w:rFonts w:asciiTheme="minorHAnsi" w:eastAsiaTheme="minorEastAsia" w:hAnsiTheme="minorHAnsi"/>
            <w:noProof/>
            <w:sz w:val="24"/>
            <w:szCs w:val="24"/>
            <w:lang w:eastAsia="pl-PL"/>
          </w:rPr>
          <w:tab/>
        </w:r>
        <w:r w:rsidRPr="002E4993">
          <w:rPr>
            <w:rStyle w:val="Hipercze"/>
            <w:noProof/>
          </w:rPr>
          <w:t>Rozwój innowacji i technologii w obszarach sprzyjających transformacji do gospodarki neutralnej klimatycznie</w:t>
        </w:r>
        <w:r>
          <w:rPr>
            <w:noProof/>
            <w:webHidden/>
          </w:rPr>
          <w:tab/>
        </w:r>
        <w:r>
          <w:rPr>
            <w:noProof/>
            <w:webHidden/>
          </w:rPr>
          <w:fldChar w:fldCharType="begin"/>
        </w:r>
        <w:r>
          <w:rPr>
            <w:noProof/>
            <w:webHidden/>
          </w:rPr>
          <w:instrText xml:space="preserve"> PAGEREF _Toc205203230 \h </w:instrText>
        </w:r>
        <w:r>
          <w:rPr>
            <w:noProof/>
            <w:webHidden/>
          </w:rPr>
        </w:r>
        <w:r>
          <w:rPr>
            <w:noProof/>
            <w:webHidden/>
          </w:rPr>
          <w:fldChar w:fldCharType="separate"/>
        </w:r>
        <w:r>
          <w:rPr>
            <w:noProof/>
            <w:webHidden/>
          </w:rPr>
          <w:t>157</w:t>
        </w:r>
        <w:r>
          <w:rPr>
            <w:noProof/>
            <w:webHidden/>
          </w:rPr>
          <w:fldChar w:fldCharType="end"/>
        </w:r>
      </w:hyperlink>
    </w:p>
    <w:p w14:paraId="1277568D" w14:textId="1396F1CD" w:rsidR="009E2381" w:rsidRDefault="009E2381">
      <w:pPr>
        <w:pStyle w:val="Spistreci4"/>
        <w:rPr>
          <w:rFonts w:asciiTheme="minorHAnsi" w:eastAsiaTheme="minorEastAsia" w:hAnsiTheme="minorHAnsi"/>
          <w:noProof/>
          <w:sz w:val="24"/>
          <w:szCs w:val="24"/>
          <w:lang w:eastAsia="pl-PL"/>
        </w:rPr>
      </w:pPr>
      <w:hyperlink w:anchor="_Toc205203231" w:history="1">
        <w:r w:rsidRPr="002E4993">
          <w:rPr>
            <w:rStyle w:val="Hipercze"/>
            <w:noProof/>
          </w:rPr>
          <w:t>Cel 5.1.3.</w:t>
        </w:r>
        <w:r>
          <w:rPr>
            <w:rFonts w:asciiTheme="minorHAnsi" w:eastAsiaTheme="minorEastAsia" w:hAnsiTheme="minorHAnsi"/>
            <w:noProof/>
            <w:sz w:val="24"/>
            <w:szCs w:val="24"/>
            <w:lang w:eastAsia="pl-PL"/>
          </w:rPr>
          <w:tab/>
        </w:r>
        <w:r w:rsidRPr="002E4993">
          <w:rPr>
            <w:rStyle w:val="Hipercze"/>
            <w:noProof/>
          </w:rPr>
          <w:t>Rozwój kompetencji kadrowych na potrzeby transformacji klimatyczno-energetycznej</w:t>
        </w:r>
        <w:r>
          <w:rPr>
            <w:noProof/>
            <w:webHidden/>
          </w:rPr>
          <w:tab/>
        </w:r>
        <w:r>
          <w:rPr>
            <w:noProof/>
            <w:webHidden/>
          </w:rPr>
          <w:fldChar w:fldCharType="begin"/>
        </w:r>
        <w:r>
          <w:rPr>
            <w:noProof/>
            <w:webHidden/>
          </w:rPr>
          <w:instrText xml:space="preserve"> PAGEREF _Toc205203231 \h </w:instrText>
        </w:r>
        <w:r>
          <w:rPr>
            <w:noProof/>
            <w:webHidden/>
          </w:rPr>
        </w:r>
        <w:r>
          <w:rPr>
            <w:noProof/>
            <w:webHidden/>
          </w:rPr>
          <w:fldChar w:fldCharType="separate"/>
        </w:r>
        <w:r>
          <w:rPr>
            <w:noProof/>
            <w:webHidden/>
          </w:rPr>
          <w:t>159</w:t>
        </w:r>
        <w:r>
          <w:rPr>
            <w:noProof/>
            <w:webHidden/>
          </w:rPr>
          <w:fldChar w:fldCharType="end"/>
        </w:r>
      </w:hyperlink>
    </w:p>
    <w:p w14:paraId="07401F97" w14:textId="100968C2" w:rsidR="009E2381" w:rsidRDefault="009E2381">
      <w:pPr>
        <w:pStyle w:val="Spistreci1"/>
        <w:rPr>
          <w:rFonts w:asciiTheme="minorHAnsi" w:eastAsiaTheme="minorEastAsia" w:hAnsiTheme="minorHAnsi"/>
          <w:noProof/>
          <w:sz w:val="24"/>
          <w:szCs w:val="24"/>
          <w:lang w:eastAsia="pl-PL"/>
        </w:rPr>
      </w:pPr>
      <w:hyperlink w:anchor="_Toc205203232" w:history="1">
        <w:r w:rsidRPr="002E4993">
          <w:rPr>
            <w:rStyle w:val="Hipercze"/>
            <w:noProof/>
          </w:rPr>
          <w:t>III.</w:t>
        </w:r>
        <w:r>
          <w:rPr>
            <w:rFonts w:asciiTheme="minorHAnsi" w:eastAsiaTheme="minorEastAsia" w:hAnsiTheme="minorHAnsi"/>
            <w:noProof/>
            <w:sz w:val="24"/>
            <w:szCs w:val="24"/>
            <w:lang w:eastAsia="pl-PL"/>
          </w:rPr>
          <w:tab/>
        </w:r>
        <w:r w:rsidRPr="002E4993">
          <w:rPr>
            <w:rStyle w:val="Hipercze"/>
            <w:noProof/>
          </w:rPr>
          <w:t>DZIAŁANIA</w:t>
        </w:r>
        <w:r>
          <w:rPr>
            <w:noProof/>
            <w:webHidden/>
          </w:rPr>
          <w:tab/>
        </w:r>
        <w:r>
          <w:rPr>
            <w:noProof/>
            <w:webHidden/>
          </w:rPr>
          <w:fldChar w:fldCharType="begin"/>
        </w:r>
        <w:r>
          <w:rPr>
            <w:noProof/>
            <w:webHidden/>
          </w:rPr>
          <w:instrText xml:space="preserve"> PAGEREF _Toc205203232 \h </w:instrText>
        </w:r>
        <w:r>
          <w:rPr>
            <w:noProof/>
            <w:webHidden/>
          </w:rPr>
        </w:r>
        <w:r>
          <w:rPr>
            <w:noProof/>
            <w:webHidden/>
          </w:rPr>
          <w:fldChar w:fldCharType="separate"/>
        </w:r>
        <w:r>
          <w:rPr>
            <w:noProof/>
            <w:webHidden/>
          </w:rPr>
          <w:t>163</w:t>
        </w:r>
        <w:r>
          <w:rPr>
            <w:noProof/>
            <w:webHidden/>
          </w:rPr>
          <w:fldChar w:fldCharType="end"/>
        </w:r>
      </w:hyperlink>
    </w:p>
    <w:p w14:paraId="42089875" w14:textId="4E679412" w:rsidR="009E2381" w:rsidRDefault="009E2381" w:rsidP="00473117">
      <w:pPr>
        <w:pStyle w:val="Spistreci2"/>
        <w:rPr>
          <w:rFonts w:asciiTheme="minorHAnsi" w:eastAsiaTheme="minorEastAsia" w:hAnsiTheme="minorHAnsi"/>
          <w:noProof/>
          <w:sz w:val="24"/>
          <w:szCs w:val="24"/>
          <w:lang w:eastAsia="pl-PL"/>
        </w:rPr>
      </w:pPr>
      <w:hyperlink w:anchor="_Toc205203233" w:history="1">
        <w:r w:rsidRPr="002E4993">
          <w:rPr>
            <w:rStyle w:val="Hipercze"/>
            <w:noProof/>
          </w:rPr>
          <w:t>1.</w:t>
        </w:r>
        <w:r w:rsidRPr="002E4993">
          <w:rPr>
            <w:rStyle w:val="Hipercze"/>
            <w:noProof/>
            <w:lang w:eastAsia="pl-PL"/>
          </w:rPr>
          <w:t xml:space="preserve"> </w:t>
        </w:r>
        <w:r w:rsidRPr="002E4993">
          <w:rPr>
            <w:rStyle w:val="Hipercze"/>
            <w:noProof/>
          </w:rPr>
          <w:t>Obniżenie emisyjności</w:t>
        </w:r>
        <w:r>
          <w:rPr>
            <w:noProof/>
            <w:webHidden/>
          </w:rPr>
          <w:tab/>
        </w:r>
        <w:r>
          <w:rPr>
            <w:noProof/>
            <w:webHidden/>
          </w:rPr>
          <w:fldChar w:fldCharType="begin"/>
        </w:r>
        <w:r>
          <w:rPr>
            <w:noProof/>
            <w:webHidden/>
          </w:rPr>
          <w:instrText xml:space="preserve"> PAGEREF _Toc205203233 \h </w:instrText>
        </w:r>
        <w:r>
          <w:rPr>
            <w:noProof/>
            <w:webHidden/>
          </w:rPr>
        </w:r>
        <w:r>
          <w:rPr>
            <w:noProof/>
            <w:webHidden/>
          </w:rPr>
          <w:fldChar w:fldCharType="separate"/>
        </w:r>
        <w:r>
          <w:rPr>
            <w:noProof/>
            <w:webHidden/>
          </w:rPr>
          <w:t>164</w:t>
        </w:r>
        <w:r>
          <w:rPr>
            <w:noProof/>
            <w:webHidden/>
          </w:rPr>
          <w:fldChar w:fldCharType="end"/>
        </w:r>
      </w:hyperlink>
    </w:p>
    <w:p w14:paraId="5ECD879C" w14:textId="31F82CB9" w:rsidR="009E2381" w:rsidRDefault="009E2381" w:rsidP="00473117">
      <w:pPr>
        <w:pStyle w:val="Spistreci2"/>
        <w:rPr>
          <w:rFonts w:asciiTheme="minorHAnsi" w:eastAsiaTheme="minorEastAsia" w:hAnsiTheme="minorHAnsi"/>
          <w:noProof/>
          <w:sz w:val="24"/>
          <w:szCs w:val="24"/>
          <w:lang w:eastAsia="pl-PL"/>
        </w:rPr>
      </w:pPr>
      <w:hyperlink w:anchor="_Toc205203234" w:history="1">
        <w:r w:rsidRPr="002E4993">
          <w:rPr>
            <w:rStyle w:val="Hipercze"/>
            <w:noProof/>
          </w:rPr>
          <w:t>2.</w:t>
        </w:r>
        <w:r w:rsidRPr="002E4993">
          <w:rPr>
            <w:rStyle w:val="Hipercze"/>
            <w:noProof/>
            <w:lang w:eastAsia="pl-PL"/>
          </w:rPr>
          <w:t xml:space="preserve"> </w:t>
        </w:r>
        <w:r w:rsidRPr="002E4993">
          <w:rPr>
            <w:rStyle w:val="Hipercze"/>
            <w:noProof/>
          </w:rPr>
          <w:t>Efektywność energetyczna</w:t>
        </w:r>
        <w:r>
          <w:rPr>
            <w:noProof/>
            <w:webHidden/>
          </w:rPr>
          <w:tab/>
        </w:r>
        <w:r>
          <w:rPr>
            <w:noProof/>
            <w:webHidden/>
          </w:rPr>
          <w:fldChar w:fldCharType="begin"/>
        </w:r>
        <w:r>
          <w:rPr>
            <w:noProof/>
            <w:webHidden/>
          </w:rPr>
          <w:instrText xml:space="preserve"> PAGEREF _Toc205203234 \h </w:instrText>
        </w:r>
        <w:r>
          <w:rPr>
            <w:noProof/>
            <w:webHidden/>
          </w:rPr>
        </w:r>
        <w:r>
          <w:rPr>
            <w:noProof/>
            <w:webHidden/>
          </w:rPr>
          <w:fldChar w:fldCharType="separate"/>
        </w:r>
        <w:r>
          <w:rPr>
            <w:noProof/>
            <w:webHidden/>
          </w:rPr>
          <w:t>218</w:t>
        </w:r>
        <w:r>
          <w:rPr>
            <w:noProof/>
            <w:webHidden/>
          </w:rPr>
          <w:fldChar w:fldCharType="end"/>
        </w:r>
      </w:hyperlink>
    </w:p>
    <w:p w14:paraId="0DD853FA" w14:textId="440932A8" w:rsidR="009E2381" w:rsidRDefault="009E2381" w:rsidP="00473117">
      <w:pPr>
        <w:pStyle w:val="Spistreci2"/>
        <w:rPr>
          <w:rFonts w:asciiTheme="minorHAnsi" w:eastAsiaTheme="minorEastAsia" w:hAnsiTheme="minorHAnsi"/>
          <w:noProof/>
          <w:sz w:val="24"/>
          <w:szCs w:val="24"/>
          <w:lang w:eastAsia="pl-PL"/>
        </w:rPr>
      </w:pPr>
      <w:hyperlink w:anchor="_Toc205203235" w:history="1">
        <w:r w:rsidRPr="002E4993">
          <w:rPr>
            <w:rStyle w:val="Hipercze"/>
            <w:noProof/>
          </w:rPr>
          <w:t>3. Bezpieczeństwo energetyczne</w:t>
        </w:r>
        <w:r>
          <w:rPr>
            <w:noProof/>
            <w:webHidden/>
          </w:rPr>
          <w:tab/>
        </w:r>
        <w:r>
          <w:rPr>
            <w:noProof/>
            <w:webHidden/>
          </w:rPr>
          <w:fldChar w:fldCharType="begin"/>
        </w:r>
        <w:r>
          <w:rPr>
            <w:noProof/>
            <w:webHidden/>
          </w:rPr>
          <w:instrText xml:space="preserve"> PAGEREF _Toc205203235 \h </w:instrText>
        </w:r>
        <w:r>
          <w:rPr>
            <w:noProof/>
            <w:webHidden/>
          </w:rPr>
        </w:r>
        <w:r>
          <w:rPr>
            <w:noProof/>
            <w:webHidden/>
          </w:rPr>
          <w:fldChar w:fldCharType="separate"/>
        </w:r>
        <w:r>
          <w:rPr>
            <w:noProof/>
            <w:webHidden/>
          </w:rPr>
          <w:t>228</w:t>
        </w:r>
        <w:r>
          <w:rPr>
            <w:noProof/>
            <w:webHidden/>
          </w:rPr>
          <w:fldChar w:fldCharType="end"/>
        </w:r>
      </w:hyperlink>
    </w:p>
    <w:p w14:paraId="3F1A4B4D" w14:textId="1F8BF21E" w:rsidR="009E2381" w:rsidRDefault="009E2381" w:rsidP="00473117">
      <w:pPr>
        <w:pStyle w:val="Spistreci2"/>
        <w:rPr>
          <w:rFonts w:asciiTheme="minorHAnsi" w:eastAsiaTheme="minorEastAsia" w:hAnsiTheme="minorHAnsi"/>
          <w:noProof/>
          <w:sz w:val="24"/>
          <w:szCs w:val="24"/>
          <w:lang w:eastAsia="pl-PL"/>
        </w:rPr>
      </w:pPr>
      <w:hyperlink w:anchor="_Toc205203236" w:history="1">
        <w:r w:rsidRPr="002E4993">
          <w:rPr>
            <w:rStyle w:val="Hipercze"/>
            <w:noProof/>
          </w:rPr>
          <w:t>4.</w:t>
        </w:r>
        <w:r w:rsidRPr="002E4993">
          <w:rPr>
            <w:rStyle w:val="Hipercze"/>
            <w:noProof/>
            <w:lang w:eastAsia="pl-PL"/>
          </w:rPr>
          <w:t xml:space="preserve"> </w:t>
        </w:r>
        <w:r w:rsidRPr="002E4993">
          <w:rPr>
            <w:rStyle w:val="Hipercze"/>
            <w:noProof/>
          </w:rPr>
          <w:t>Wewnątrzunijny rynek energii i społeczne aspekty transformacji</w:t>
        </w:r>
        <w:r>
          <w:rPr>
            <w:noProof/>
            <w:webHidden/>
          </w:rPr>
          <w:tab/>
        </w:r>
        <w:r>
          <w:rPr>
            <w:noProof/>
            <w:webHidden/>
          </w:rPr>
          <w:fldChar w:fldCharType="begin"/>
        </w:r>
        <w:r>
          <w:rPr>
            <w:noProof/>
            <w:webHidden/>
          </w:rPr>
          <w:instrText xml:space="preserve"> PAGEREF _Toc205203236 \h </w:instrText>
        </w:r>
        <w:r>
          <w:rPr>
            <w:noProof/>
            <w:webHidden/>
          </w:rPr>
        </w:r>
        <w:r>
          <w:rPr>
            <w:noProof/>
            <w:webHidden/>
          </w:rPr>
          <w:fldChar w:fldCharType="separate"/>
        </w:r>
        <w:r>
          <w:rPr>
            <w:noProof/>
            <w:webHidden/>
          </w:rPr>
          <w:t>237</w:t>
        </w:r>
        <w:r>
          <w:rPr>
            <w:noProof/>
            <w:webHidden/>
          </w:rPr>
          <w:fldChar w:fldCharType="end"/>
        </w:r>
      </w:hyperlink>
    </w:p>
    <w:p w14:paraId="6EC7ACA0" w14:textId="25313F71" w:rsidR="009E2381" w:rsidRDefault="009E2381" w:rsidP="00473117">
      <w:pPr>
        <w:pStyle w:val="Spistreci2"/>
        <w:rPr>
          <w:rFonts w:asciiTheme="minorHAnsi" w:eastAsiaTheme="minorEastAsia" w:hAnsiTheme="minorHAnsi"/>
          <w:noProof/>
          <w:sz w:val="24"/>
          <w:szCs w:val="24"/>
          <w:lang w:eastAsia="pl-PL"/>
        </w:rPr>
      </w:pPr>
      <w:hyperlink w:anchor="_Toc205203237" w:history="1">
        <w:r w:rsidRPr="002E4993">
          <w:rPr>
            <w:rStyle w:val="Hipercze"/>
            <w:noProof/>
          </w:rPr>
          <w:t>5.</w:t>
        </w:r>
        <w:r w:rsidRPr="002E4993">
          <w:rPr>
            <w:rStyle w:val="Hipercze"/>
            <w:noProof/>
            <w:lang w:eastAsia="pl-PL"/>
          </w:rPr>
          <w:t xml:space="preserve"> </w:t>
        </w:r>
        <w:r w:rsidRPr="002E4993">
          <w:rPr>
            <w:rStyle w:val="Hipercze"/>
            <w:noProof/>
          </w:rPr>
          <w:t>Badania naukowe, innowacje i konkurencyjność</w:t>
        </w:r>
        <w:r>
          <w:rPr>
            <w:noProof/>
            <w:webHidden/>
          </w:rPr>
          <w:tab/>
        </w:r>
        <w:r>
          <w:rPr>
            <w:noProof/>
            <w:webHidden/>
          </w:rPr>
          <w:fldChar w:fldCharType="begin"/>
        </w:r>
        <w:r>
          <w:rPr>
            <w:noProof/>
            <w:webHidden/>
          </w:rPr>
          <w:instrText xml:space="preserve"> PAGEREF _Toc205203237 \h </w:instrText>
        </w:r>
        <w:r>
          <w:rPr>
            <w:noProof/>
            <w:webHidden/>
          </w:rPr>
        </w:r>
        <w:r>
          <w:rPr>
            <w:noProof/>
            <w:webHidden/>
          </w:rPr>
          <w:fldChar w:fldCharType="separate"/>
        </w:r>
        <w:r>
          <w:rPr>
            <w:noProof/>
            <w:webHidden/>
          </w:rPr>
          <w:t>248</w:t>
        </w:r>
        <w:r>
          <w:rPr>
            <w:noProof/>
            <w:webHidden/>
          </w:rPr>
          <w:fldChar w:fldCharType="end"/>
        </w:r>
      </w:hyperlink>
    </w:p>
    <w:p w14:paraId="7D36664A" w14:textId="6DECFD62" w:rsidR="009E2381" w:rsidRDefault="009E2381">
      <w:pPr>
        <w:pStyle w:val="Spistreci1"/>
        <w:rPr>
          <w:rFonts w:asciiTheme="minorHAnsi" w:eastAsiaTheme="minorEastAsia" w:hAnsiTheme="minorHAnsi"/>
          <w:noProof/>
          <w:sz w:val="24"/>
          <w:szCs w:val="24"/>
          <w:lang w:eastAsia="pl-PL"/>
        </w:rPr>
      </w:pPr>
      <w:hyperlink w:anchor="_Toc205203238" w:history="1">
        <w:r w:rsidRPr="002E4993">
          <w:rPr>
            <w:rStyle w:val="Hipercze"/>
            <w:noProof/>
          </w:rPr>
          <w:t>IV.</w:t>
        </w:r>
        <w:r>
          <w:rPr>
            <w:rFonts w:asciiTheme="minorHAnsi" w:eastAsiaTheme="minorEastAsia" w:hAnsiTheme="minorHAnsi"/>
            <w:noProof/>
            <w:sz w:val="24"/>
            <w:szCs w:val="24"/>
            <w:lang w:eastAsia="pl-PL"/>
          </w:rPr>
          <w:tab/>
        </w:r>
        <w:r w:rsidRPr="002E4993">
          <w:rPr>
            <w:rStyle w:val="Hipercze"/>
            <w:noProof/>
          </w:rPr>
          <w:t>Sposób opracowania, realizacji i monitorowania aKPEiK</w:t>
        </w:r>
        <w:r>
          <w:rPr>
            <w:noProof/>
            <w:webHidden/>
          </w:rPr>
          <w:tab/>
        </w:r>
        <w:r>
          <w:rPr>
            <w:noProof/>
            <w:webHidden/>
          </w:rPr>
          <w:fldChar w:fldCharType="begin"/>
        </w:r>
        <w:r>
          <w:rPr>
            <w:noProof/>
            <w:webHidden/>
          </w:rPr>
          <w:instrText xml:space="preserve"> PAGEREF _Toc205203238 \h </w:instrText>
        </w:r>
        <w:r>
          <w:rPr>
            <w:noProof/>
            <w:webHidden/>
          </w:rPr>
        </w:r>
        <w:r>
          <w:rPr>
            <w:noProof/>
            <w:webHidden/>
          </w:rPr>
          <w:fldChar w:fldCharType="separate"/>
        </w:r>
        <w:r>
          <w:rPr>
            <w:noProof/>
            <w:webHidden/>
          </w:rPr>
          <w:t>253</w:t>
        </w:r>
        <w:r>
          <w:rPr>
            <w:noProof/>
            <w:webHidden/>
          </w:rPr>
          <w:fldChar w:fldCharType="end"/>
        </w:r>
      </w:hyperlink>
    </w:p>
    <w:p w14:paraId="2AFF21F1" w14:textId="1413A202" w:rsidR="009E2381" w:rsidRDefault="009E2381" w:rsidP="006322D4">
      <w:pPr>
        <w:pStyle w:val="Spistreci3"/>
        <w:rPr>
          <w:rFonts w:asciiTheme="minorHAnsi" w:eastAsiaTheme="minorEastAsia" w:hAnsiTheme="minorHAnsi"/>
          <w:noProof/>
          <w:sz w:val="24"/>
          <w:szCs w:val="24"/>
          <w:lang w:eastAsia="pl-PL"/>
        </w:rPr>
      </w:pPr>
      <w:hyperlink w:anchor="_Toc205203239" w:history="1">
        <w:r w:rsidRPr="002E4993">
          <w:rPr>
            <w:rStyle w:val="Hipercze"/>
            <w:noProof/>
          </w:rPr>
          <w:t>A) Proces przygotowania dokumentu</w:t>
        </w:r>
        <w:r>
          <w:rPr>
            <w:noProof/>
            <w:webHidden/>
          </w:rPr>
          <w:tab/>
        </w:r>
        <w:r>
          <w:rPr>
            <w:noProof/>
            <w:webHidden/>
          </w:rPr>
          <w:fldChar w:fldCharType="begin"/>
        </w:r>
        <w:r>
          <w:rPr>
            <w:noProof/>
            <w:webHidden/>
          </w:rPr>
          <w:instrText xml:space="preserve"> PAGEREF _Toc205203239 \h </w:instrText>
        </w:r>
        <w:r>
          <w:rPr>
            <w:noProof/>
            <w:webHidden/>
          </w:rPr>
        </w:r>
        <w:r>
          <w:rPr>
            <w:noProof/>
            <w:webHidden/>
          </w:rPr>
          <w:fldChar w:fldCharType="separate"/>
        </w:r>
        <w:r>
          <w:rPr>
            <w:noProof/>
            <w:webHidden/>
          </w:rPr>
          <w:t>253</w:t>
        </w:r>
        <w:r>
          <w:rPr>
            <w:noProof/>
            <w:webHidden/>
          </w:rPr>
          <w:fldChar w:fldCharType="end"/>
        </w:r>
      </w:hyperlink>
    </w:p>
    <w:p w14:paraId="18C5D42C" w14:textId="7C0B777C" w:rsidR="009E2381" w:rsidRDefault="009E2381" w:rsidP="006322D4">
      <w:pPr>
        <w:pStyle w:val="Spistreci3"/>
        <w:rPr>
          <w:rFonts w:asciiTheme="minorHAnsi" w:eastAsiaTheme="minorEastAsia" w:hAnsiTheme="minorHAnsi"/>
          <w:noProof/>
          <w:sz w:val="24"/>
          <w:szCs w:val="24"/>
          <w:lang w:eastAsia="pl-PL"/>
        </w:rPr>
      </w:pPr>
      <w:hyperlink w:anchor="_Toc205203240" w:history="1">
        <w:r w:rsidRPr="002E4993">
          <w:rPr>
            <w:rStyle w:val="Hipercze"/>
            <w:noProof/>
          </w:rPr>
          <w:t>B) Proces konsultacji</w:t>
        </w:r>
        <w:r>
          <w:rPr>
            <w:noProof/>
            <w:webHidden/>
          </w:rPr>
          <w:tab/>
        </w:r>
        <w:r>
          <w:rPr>
            <w:noProof/>
            <w:webHidden/>
          </w:rPr>
          <w:fldChar w:fldCharType="begin"/>
        </w:r>
        <w:r>
          <w:rPr>
            <w:noProof/>
            <w:webHidden/>
          </w:rPr>
          <w:instrText xml:space="preserve"> PAGEREF _Toc205203240 \h </w:instrText>
        </w:r>
        <w:r>
          <w:rPr>
            <w:noProof/>
            <w:webHidden/>
          </w:rPr>
        </w:r>
        <w:r>
          <w:rPr>
            <w:noProof/>
            <w:webHidden/>
          </w:rPr>
          <w:fldChar w:fldCharType="separate"/>
        </w:r>
        <w:r>
          <w:rPr>
            <w:noProof/>
            <w:webHidden/>
          </w:rPr>
          <w:t>256</w:t>
        </w:r>
        <w:r>
          <w:rPr>
            <w:noProof/>
            <w:webHidden/>
          </w:rPr>
          <w:fldChar w:fldCharType="end"/>
        </w:r>
      </w:hyperlink>
    </w:p>
    <w:p w14:paraId="7869699B" w14:textId="471680A0" w:rsidR="009E2381" w:rsidRDefault="009E2381" w:rsidP="006322D4">
      <w:pPr>
        <w:pStyle w:val="Spistreci3"/>
        <w:rPr>
          <w:rFonts w:asciiTheme="minorHAnsi" w:eastAsiaTheme="minorEastAsia" w:hAnsiTheme="minorHAnsi"/>
          <w:noProof/>
          <w:sz w:val="24"/>
          <w:szCs w:val="24"/>
          <w:lang w:eastAsia="pl-PL"/>
        </w:rPr>
      </w:pPr>
      <w:hyperlink w:anchor="_Toc205203241" w:history="1">
        <w:r w:rsidRPr="002E4993">
          <w:rPr>
            <w:rStyle w:val="Hipercze"/>
            <w:noProof/>
          </w:rPr>
          <w:t>C) Instytucje zaangażowane w opracowanie i realizację KPEiK</w:t>
        </w:r>
        <w:r>
          <w:rPr>
            <w:noProof/>
            <w:webHidden/>
          </w:rPr>
          <w:tab/>
        </w:r>
        <w:r>
          <w:rPr>
            <w:noProof/>
            <w:webHidden/>
          </w:rPr>
          <w:fldChar w:fldCharType="begin"/>
        </w:r>
        <w:r>
          <w:rPr>
            <w:noProof/>
            <w:webHidden/>
          </w:rPr>
          <w:instrText xml:space="preserve"> PAGEREF _Toc205203241 \h </w:instrText>
        </w:r>
        <w:r>
          <w:rPr>
            <w:noProof/>
            <w:webHidden/>
          </w:rPr>
        </w:r>
        <w:r>
          <w:rPr>
            <w:noProof/>
            <w:webHidden/>
          </w:rPr>
          <w:fldChar w:fldCharType="separate"/>
        </w:r>
        <w:r>
          <w:rPr>
            <w:noProof/>
            <w:webHidden/>
          </w:rPr>
          <w:t>258</w:t>
        </w:r>
        <w:r>
          <w:rPr>
            <w:noProof/>
            <w:webHidden/>
          </w:rPr>
          <w:fldChar w:fldCharType="end"/>
        </w:r>
      </w:hyperlink>
    </w:p>
    <w:p w14:paraId="7F056667" w14:textId="5BDE1E99" w:rsidR="009E2381" w:rsidRDefault="009E2381" w:rsidP="006322D4">
      <w:pPr>
        <w:pStyle w:val="Spistreci3"/>
        <w:rPr>
          <w:rFonts w:asciiTheme="minorHAnsi" w:eastAsiaTheme="minorEastAsia" w:hAnsiTheme="minorHAnsi"/>
          <w:noProof/>
          <w:sz w:val="24"/>
          <w:szCs w:val="24"/>
          <w:lang w:eastAsia="pl-PL"/>
        </w:rPr>
      </w:pPr>
      <w:hyperlink w:anchor="_Toc205203242" w:history="1">
        <w:r w:rsidRPr="002E4993">
          <w:rPr>
            <w:rStyle w:val="Hipercze"/>
            <w:noProof/>
          </w:rPr>
          <w:t>D) Monitorowanie realizacji aKPEiK</w:t>
        </w:r>
        <w:r>
          <w:rPr>
            <w:noProof/>
            <w:webHidden/>
          </w:rPr>
          <w:tab/>
        </w:r>
        <w:r>
          <w:rPr>
            <w:noProof/>
            <w:webHidden/>
          </w:rPr>
          <w:fldChar w:fldCharType="begin"/>
        </w:r>
        <w:r>
          <w:rPr>
            <w:noProof/>
            <w:webHidden/>
          </w:rPr>
          <w:instrText xml:space="preserve"> PAGEREF _Toc205203242 \h </w:instrText>
        </w:r>
        <w:r>
          <w:rPr>
            <w:noProof/>
            <w:webHidden/>
          </w:rPr>
        </w:r>
        <w:r>
          <w:rPr>
            <w:noProof/>
            <w:webHidden/>
          </w:rPr>
          <w:fldChar w:fldCharType="separate"/>
        </w:r>
        <w:r>
          <w:rPr>
            <w:noProof/>
            <w:webHidden/>
          </w:rPr>
          <w:t>259</w:t>
        </w:r>
        <w:r>
          <w:rPr>
            <w:noProof/>
            <w:webHidden/>
          </w:rPr>
          <w:fldChar w:fldCharType="end"/>
        </w:r>
      </w:hyperlink>
    </w:p>
    <w:p w14:paraId="0D366A71" w14:textId="4AE083FA" w:rsidR="009E2381" w:rsidRDefault="009E2381">
      <w:pPr>
        <w:pStyle w:val="Spistreci1"/>
        <w:rPr>
          <w:rFonts w:asciiTheme="minorHAnsi" w:eastAsiaTheme="minorEastAsia" w:hAnsiTheme="minorHAnsi"/>
          <w:noProof/>
          <w:sz w:val="24"/>
          <w:szCs w:val="24"/>
          <w:lang w:eastAsia="pl-PL"/>
        </w:rPr>
      </w:pPr>
      <w:hyperlink w:anchor="_Toc205203243" w:history="1">
        <w:r w:rsidRPr="002E4993">
          <w:rPr>
            <w:rStyle w:val="Hipercze"/>
            <w:noProof/>
          </w:rPr>
          <w:t>V.</w:t>
        </w:r>
        <w:r>
          <w:rPr>
            <w:rFonts w:asciiTheme="minorHAnsi" w:eastAsiaTheme="minorEastAsia" w:hAnsiTheme="minorHAnsi"/>
            <w:noProof/>
            <w:sz w:val="24"/>
            <w:szCs w:val="24"/>
            <w:lang w:eastAsia="pl-PL"/>
          </w:rPr>
          <w:tab/>
        </w:r>
        <w:r w:rsidRPr="002E4993">
          <w:rPr>
            <w:rStyle w:val="Hipercze"/>
            <w:noProof/>
          </w:rPr>
          <w:t>Współpraca w regionie europejskim</w:t>
        </w:r>
        <w:r>
          <w:rPr>
            <w:noProof/>
            <w:webHidden/>
          </w:rPr>
          <w:tab/>
        </w:r>
        <w:r>
          <w:rPr>
            <w:noProof/>
            <w:webHidden/>
          </w:rPr>
          <w:fldChar w:fldCharType="begin"/>
        </w:r>
        <w:r>
          <w:rPr>
            <w:noProof/>
            <w:webHidden/>
          </w:rPr>
          <w:instrText xml:space="preserve"> PAGEREF _Toc205203243 \h </w:instrText>
        </w:r>
        <w:r>
          <w:rPr>
            <w:noProof/>
            <w:webHidden/>
          </w:rPr>
        </w:r>
        <w:r>
          <w:rPr>
            <w:noProof/>
            <w:webHidden/>
          </w:rPr>
          <w:fldChar w:fldCharType="separate"/>
        </w:r>
        <w:r>
          <w:rPr>
            <w:noProof/>
            <w:webHidden/>
          </w:rPr>
          <w:t>259</w:t>
        </w:r>
        <w:r>
          <w:rPr>
            <w:noProof/>
            <w:webHidden/>
          </w:rPr>
          <w:fldChar w:fldCharType="end"/>
        </w:r>
      </w:hyperlink>
    </w:p>
    <w:p w14:paraId="7B9E2F9D" w14:textId="3D6A8322" w:rsidR="009E2381" w:rsidRDefault="009E2381">
      <w:pPr>
        <w:pStyle w:val="Spistreci1"/>
        <w:rPr>
          <w:rFonts w:asciiTheme="minorHAnsi" w:eastAsiaTheme="minorEastAsia" w:hAnsiTheme="minorHAnsi"/>
          <w:noProof/>
          <w:sz w:val="24"/>
          <w:szCs w:val="24"/>
          <w:lang w:eastAsia="pl-PL"/>
        </w:rPr>
      </w:pPr>
      <w:hyperlink w:anchor="_Toc205203244" w:history="1">
        <w:r w:rsidRPr="002E4993">
          <w:rPr>
            <w:rStyle w:val="Hipercze"/>
            <w:noProof/>
          </w:rPr>
          <w:t>Wykaz regulacji UE (i nazwy zwyczajowe)</w:t>
        </w:r>
        <w:r>
          <w:rPr>
            <w:noProof/>
            <w:webHidden/>
          </w:rPr>
          <w:tab/>
        </w:r>
        <w:r>
          <w:rPr>
            <w:noProof/>
            <w:webHidden/>
          </w:rPr>
          <w:fldChar w:fldCharType="begin"/>
        </w:r>
        <w:r>
          <w:rPr>
            <w:noProof/>
            <w:webHidden/>
          </w:rPr>
          <w:instrText xml:space="preserve"> PAGEREF _Toc205203244 \h </w:instrText>
        </w:r>
        <w:r>
          <w:rPr>
            <w:noProof/>
            <w:webHidden/>
          </w:rPr>
        </w:r>
        <w:r>
          <w:rPr>
            <w:noProof/>
            <w:webHidden/>
          </w:rPr>
          <w:fldChar w:fldCharType="separate"/>
        </w:r>
        <w:r>
          <w:rPr>
            <w:noProof/>
            <w:webHidden/>
          </w:rPr>
          <w:t>264</w:t>
        </w:r>
        <w:r>
          <w:rPr>
            <w:noProof/>
            <w:webHidden/>
          </w:rPr>
          <w:fldChar w:fldCharType="end"/>
        </w:r>
      </w:hyperlink>
    </w:p>
    <w:p w14:paraId="7E958D92" w14:textId="34471E2E" w:rsidR="009E2381" w:rsidRDefault="009E2381">
      <w:pPr>
        <w:pStyle w:val="Spistreci1"/>
        <w:rPr>
          <w:rFonts w:asciiTheme="minorHAnsi" w:eastAsiaTheme="minorEastAsia" w:hAnsiTheme="minorHAnsi"/>
          <w:noProof/>
          <w:sz w:val="24"/>
          <w:szCs w:val="24"/>
          <w:lang w:eastAsia="pl-PL"/>
        </w:rPr>
      </w:pPr>
      <w:hyperlink w:anchor="_Toc205203245" w:history="1">
        <w:r w:rsidRPr="002E4993">
          <w:rPr>
            <w:rStyle w:val="Hipercze"/>
            <w:noProof/>
          </w:rPr>
          <w:t>Wykaz skrótów</w:t>
        </w:r>
        <w:r>
          <w:rPr>
            <w:noProof/>
            <w:webHidden/>
          </w:rPr>
          <w:tab/>
        </w:r>
        <w:r>
          <w:rPr>
            <w:noProof/>
            <w:webHidden/>
          </w:rPr>
          <w:fldChar w:fldCharType="begin"/>
        </w:r>
        <w:r>
          <w:rPr>
            <w:noProof/>
            <w:webHidden/>
          </w:rPr>
          <w:instrText xml:space="preserve"> PAGEREF _Toc205203245 \h </w:instrText>
        </w:r>
        <w:r>
          <w:rPr>
            <w:noProof/>
            <w:webHidden/>
          </w:rPr>
        </w:r>
        <w:r>
          <w:rPr>
            <w:noProof/>
            <w:webHidden/>
          </w:rPr>
          <w:fldChar w:fldCharType="separate"/>
        </w:r>
        <w:r>
          <w:rPr>
            <w:noProof/>
            <w:webHidden/>
          </w:rPr>
          <w:t>268</w:t>
        </w:r>
        <w:r>
          <w:rPr>
            <w:noProof/>
            <w:webHidden/>
          </w:rPr>
          <w:fldChar w:fldCharType="end"/>
        </w:r>
      </w:hyperlink>
    </w:p>
    <w:p w14:paraId="4A651DD6" w14:textId="4B59AB1B" w:rsidR="009E2381" w:rsidRDefault="009E2381">
      <w:pPr>
        <w:pStyle w:val="Spistreci1"/>
        <w:rPr>
          <w:rFonts w:asciiTheme="minorHAnsi" w:eastAsiaTheme="minorEastAsia" w:hAnsiTheme="minorHAnsi"/>
          <w:noProof/>
          <w:sz w:val="24"/>
          <w:szCs w:val="24"/>
          <w:lang w:eastAsia="pl-PL"/>
        </w:rPr>
      </w:pPr>
      <w:hyperlink w:anchor="_Toc205203246" w:history="1">
        <w:r w:rsidRPr="002E4993">
          <w:rPr>
            <w:rStyle w:val="Hipercze"/>
            <w:noProof/>
          </w:rPr>
          <w:t>Wykaz wykresów i tabel</w:t>
        </w:r>
        <w:r>
          <w:rPr>
            <w:noProof/>
            <w:webHidden/>
          </w:rPr>
          <w:tab/>
        </w:r>
        <w:r>
          <w:rPr>
            <w:noProof/>
            <w:webHidden/>
          </w:rPr>
          <w:fldChar w:fldCharType="begin"/>
        </w:r>
        <w:r>
          <w:rPr>
            <w:noProof/>
            <w:webHidden/>
          </w:rPr>
          <w:instrText xml:space="preserve"> PAGEREF _Toc205203246 \h </w:instrText>
        </w:r>
        <w:r>
          <w:rPr>
            <w:noProof/>
            <w:webHidden/>
          </w:rPr>
        </w:r>
        <w:r>
          <w:rPr>
            <w:noProof/>
            <w:webHidden/>
          </w:rPr>
          <w:fldChar w:fldCharType="separate"/>
        </w:r>
        <w:r>
          <w:rPr>
            <w:noProof/>
            <w:webHidden/>
          </w:rPr>
          <w:t>270</w:t>
        </w:r>
        <w:r>
          <w:rPr>
            <w:noProof/>
            <w:webHidden/>
          </w:rPr>
          <w:fldChar w:fldCharType="end"/>
        </w:r>
      </w:hyperlink>
    </w:p>
    <w:p w14:paraId="53360017" w14:textId="24368811" w:rsidR="00BA46AC" w:rsidRDefault="00955EE6">
      <w:r>
        <w:rPr>
          <w:rFonts w:ascii="Bahnschrift" w:hAnsi="Bahnschrift"/>
          <w:sz w:val="22"/>
        </w:rPr>
        <w:fldChar w:fldCharType="end"/>
      </w:r>
    </w:p>
    <w:p w14:paraId="537E9E8B" w14:textId="77777777" w:rsidR="00BA46AC" w:rsidRDefault="00BA46AC" w:rsidP="008F3871">
      <w:pPr>
        <w:pStyle w:val="Nagwek1"/>
      </w:pPr>
      <w:r>
        <w:br w:type="page"/>
      </w:r>
    </w:p>
    <w:p w14:paraId="5C1B727E" w14:textId="3C57AE7D" w:rsidR="005401AE" w:rsidRDefault="005401AE" w:rsidP="005401AE">
      <w:pPr>
        <w:pStyle w:val="Nagwek1"/>
        <w:numPr>
          <w:ilvl w:val="0"/>
          <w:numId w:val="0"/>
        </w:numPr>
      </w:pPr>
      <w:bookmarkStart w:id="0" w:name="_Toc195897173"/>
      <w:bookmarkStart w:id="1" w:name="_Toc205203149"/>
      <w:bookmarkStart w:id="2" w:name="_Toc159598278"/>
      <w:r>
        <w:lastRenderedPageBreak/>
        <w:t>Słowo wstępu</w:t>
      </w:r>
      <w:bookmarkEnd w:id="0"/>
      <w:bookmarkEnd w:id="1"/>
    </w:p>
    <w:p w14:paraId="352B5000" w14:textId="77777777" w:rsidR="00F25F8F" w:rsidRPr="00F54102" w:rsidRDefault="00F25F8F" w:rsidP="00F25F8F">
      <w:pPr>
        <w:spacing w:before="120" w:after="240"/>
      </w:pPr>
      <w:r w:rsidRPr="00F54102">
        <w:t>Szanowni Państwo,</w:t>
      </w:r>
    </w:p>
    <w:p w14:paraId="59A8EC76" w14:textId="661F364D" w:rsidR="00F25F8F" w:rsidRPr="00F54102" w:rsidRDefault="00F25F8F" w:rsidP="00F25F8F">
      <w:pPr>
        <w:spacing w:before="120" w:line="276" w:lineRule="auto"/>
      </w:pPr>
      <w:r w:rsidRPr="00F54102">
        <w:t xml:space="preserve">Oddajemy w Państwa ręce aktualizację </w:t>
      </w:r>
      <w:r w:rsidRPr="00473117">
        <w:rPr>
          <w:i/>
          <w:iCs/>
        </w:rPr>
        <w:t>Krajowego plan</w:t>
      </w:r>
      <w:r w:rsidR="00473117">
        <w:rPr>
          <w:i/>
          <w:iCs/>
        </w:rPr>
        <w:t>u</w:t>
      </w:r>
      <w:r w:rsidRPr="00473117">
        <w:rPr>
          <w:i/>
          <w:iCs/>
        </w:rPr>
        <w:t xml:space="preserve"> na rzecz energii i klimatu na lata 2021–2030</w:t>
      </w:r>
      <w:r w:rsidRPr="00F54102">
        <w:t xml:space="preserve"> (aKPEiK). To dokument strategiczny, nadający kierunki i impuls polskiej transformacji. Powstrzymanie kryzysu klimatycznego poprzez transformację energetyczną i osiągnięcie neutralności klimatycznej to jedno z największych wyzwań cywilizacyjnych naszego wieku. To jednocześnie szansa na poprawę jakości naszego życia, postęp technologiczny i budowę długofalowego bezpieczeństwa żywnościowego, energetycznego i ekonomicznego. Aby osiągnąć te cele, musimy podejmować konkretne działania rozłożone w czasie na wiele lat. </w:t>
      </w:r>
      <w:r w:rsidRPr="00473117">
        <w:rPr>
          <w:i/>
          <w:iCs/>
        </w:rPr>
        <w:t>Krajowy Plan w dziedzinie Energii i Klimatu do 2030 r.</w:t>
      </w:r>
      <w:r w:rsidRPr="00F54102">
        <w:t xml:space="preserve"> (KPEiK) jest ważnym krokiem na rzecz dojścia do neutralności klimatycznej Unii Europejskiej do 2050 r. Przed nami pokoleniowa szansa na przyspieszenie zrównoważonego rozwoju gospodarczego i kształtowanie bezpiecznej przyszłości. </w:t>
      </w:r>
    </w:p>
    <w:p w14:paraId="40844A40" w14:textId="77777777" w:rsidR="00F25F8F" w:rsidRPr="00F54102" w:rsidRDefault="00F25F8F" w:rsidP="00F25F8F">
      <w:pPr>
        <w:spacing w:before="120" w:line="276" w:lineRule="auto"/>
      </w:pPr>
      <w:r w:rsidRPr="00F54102">
        <w:t xml:space="preserve">Inspiracją do powstania tego dokumentu byli ludzie, z ich konkretnymi potrzebami, marzeniami i często obawami. Rolą strategii jest stworzenie ram dla rozwoju kraju, który skutecznie chroni zdrowie i zapewnia dobrobyt swoim mieszkańcom, a jednocześnie zapewnia im bezpieczeństwo. Działamy, aby rozwiązywać problemy obywatelek i obywateli. A to w ich interesie jest dekarbonizacja i wzmacnianie gospodarki, innowacyjność i przeciwdziałanie zmianom klimatu. </w:t>
      </w:r>
    </w:p>
    <w:p w14:paraId="2E215BDB" w14:textId="77777777" w:rsidR="00F25F8F" w:rsidRPr="00F54102" w:rsidRDefault="00F25F8F" w:rsidP="00F25F8F">
      <w:pPr>
        <w:spacing w:before="120" w:line="276" w:lineRule="auto"/>
      </w:pPr>
      <w:r w:rsidRPr="00F54102">
        <w:t xml:space="preserve">Strategia aKPEiK oparta jest o scenariusz aktywnej transformacji, nazywany WAM (ang. with additional measures), którego szczegóły przedstawiono w załączniku 1. W załączniku 2 przedstawiamy także scenariusz business as usual (biznes jak zwykle), nazywany WEM (ang. with existing measures), który prognozuje rozwój sytuacji na podstawie już istniejących instrumentów i zaplanowanych polityk. </w:t>
      </w:r>
    </w:p>
    <w:p w14:paraId="50CDBBE5" w14:textId="77777777" w:rsidR="00F25F8F" w:rsidRPr="00F54102" w:rsidRDefault="00F25F8F" w:rsidP="00F25F8F">
      <w:pPr>
        <w:spacing w:before="120" w:line="276" w:lineRule="auto"/>
      </w:pPr>
      <w:r w:rsidRPr="00F54102">
        <w:t xml:space="preserve">Scenariusz WAM zakłada wdrażanie nowych instrumentów polityki klimatyczno-energetycznej, z założeniem przyspieszenia dekarbonizacji w sposób budujący siłę naszej gospodarki. Jego wdrożenie może przynieść redukcję emisji gazów cieplarnianych o 53,9% w 2030 r. w porównaniu do 1990 r. </w:t>
      </w:r>
      <w:r w:rsidRPr="00F54102">
        <w:br/>
        <w:t>To około 1,1 pkt. proc. mniej niż przyjęty w prawie klimatycznym unijny cel na poziomie 55%, ale wciąż ambitnie w kraju, który w 2025 r. wciąż pozostaje jednym z najbardziej uzależnionych od węgla krajów na świecie. Scenariusz WAM ma na celu pokazanie potencjału możliwego do osiągnięcia w poszczególnych sektorach gospodarki, przy zastosowaniu nowych narzędzi, rozwiązań legislacyjnych i dodatkowych inwestycji. Dla porównania, scenariusz WEM wskazuje na znacznie niższą redukcję emisji gazów cieplarnianych – o zaledwie 43,3% w stosunku do 1990 r., ale również na niższy wzrost PKB czy niższe tempo spadku cen energii, tak ważnej dla konkurencyjności polskiej gospodarki.  Wdrożenie scenariusza WAM wymaga konsekwentnej realizacji zaplanowanych działań, ale też planowania alternatywnych scenariuszy w odpowiedzi na zmieniające się otoczenie geopolityczne, w tym ryzyko ograniczenia dostępu do surowców krytycznych czy strategicznych. Takie podejście uzasadnia potrzebę ochrony złóż zasobów naturalnych i zachowania co najmniej częściowego dostępu do kopalnych surowców energetycznych, infrastruktury i kompetencji, co zostało uwzględnione w aKPEiK.</w:t>
      </w:r>
    </w:p>
    <w:p w14:paraId="7FAE2A23" w14:textId="5673078B" w:rsidR="00F25F8F" w:rsidRPr="00F54102" w:rsidRDefault="00F25F8F" w:rsidP="00F25F8F">
      <w:pPr>
        <w:spacing w:before="120" w:line="276" w:lineRule="auto"/>
      </w:pPr>
      <w:r w:rsidRPr="00F54102">
        <w:t>Po przeprowadzeniu konsultacji publicznych, uzgodnień międzyresortowych oraz opiniowania z właściwymi organami dokument został skorygowany w oparciu o wnioski z procesu. Finalny aKPEiK</w:t>
      </w:r>
      <w:r w:rsidR="00473117">
        <w:t xml:space="preserve"> </w:t>
      </w:r>
      <w:r w:rsidRPr="00F54102">
        <w:t>– w porównaniu do wersji z 11 października 2024 r. – zawiera zaktualizowane scenariusze WEM i WAM m.in. w zakresie zazieleniania ciepłownictwa i ogrzewnictwa, ze szczególnym naciskiem na elektryfikację; tempa termomodernizacji budynków; transformacji sektora elektroenergetycznego, racjonalizacji wykorzystania biomasy na cele energetyczne; potrzeb i możliwości sektora przemysłu i innych. Równocześnie dokonano głębokiego przeglądu i rozbudowy działań, uzupełniono treść dotychczasowych rozdziałów oraz wprowadzono nowe. Równolegle prowadzona była procedura strategicznego oddziaływania na środowisko.</w:t>
      </w:r>
    </w:p>
    <w:p w14:paraId="57937AC6" w14:textId="77777777" w:rsidR="00F25F8F" w:rsidRDefault="00F25F8F" w:rsidP="00F25F8F">
      <w:pPr>
        <w:spacing w:before="120" w:line="276" w:lineRule="auto"/>
      </w:pPr>
      <w:r w:rsidRPr="00F54102">
        <w:lastRenderedPageBreak/>
        <w:t xml:space="preserve">Państwa uwadze polecamy również streszczenie dokumentu, w którym zebrane zostały najistotniejsze dane i informacje. </w:t>
      </w:r>
    </w:p>
    <w:p w14:paraId="4FD9D3B9" w14:textId="77777777" w:rsidR="00F25F8F" w:rsidRDefault="00F25F8F" w:rsidP="00F25F8F">
      <w:pPr>
        <w:spacing w:before="120" w:line="276" w:lineRule="auto"/>
      </w:pPr>
      <w:r>
        <w:t>P</w:t>
      </w:r>
      <w:r w:rsidRPr="00F54102">
        <w:t>o zatwierdzeniu przez Rząd RP, dokument zostanie przekazany do Komisji Europejskiej.</w:t>
      </w:r>
    </w:p>
    <w:p w14:paraId="521F50A4" w14:textId="77777777" w:rsidR="00C03813" w:rsidRDefault="00C03813" w:rsidP="00B96443">
      <w:pPr>
        <w:spacing w:line="276" w:lineRule="auto"/>
        <w:rPr>
          <w:szCs w:val="20"/>
        </w:rPr>
      </w:pPr>
    </w:p>
    <w:p w14:paraId="07903F17" w14:textId="77777777" w:rsidR="00C03813" w:rsidRDefault="00C03813" w:rsidP="00B96443">
      <w:pPr>
        <w:spacing w:line="276" w:lineRule="auto"/>
        <w:rPr>
          <w:szCs w:val="20"/>
        </w:rPr>
      </w:pPr>
    </w:p>
    <w:p w14:paraId="2EBB2917" w14:textId="231241B7" w:rsidR="00223870" w:rsidRDefault="00223870" w:rsidP="00223870">
      <w:pPr>
        <w:spacing w:line="276" w:lineRule="auto"/>
        <w:ind w:left="5529"/>
        <w:jc w:val="center"/>
      </w:pPr>
      <w:r>
        <w:t>Urszula Sara Zielińska</w:t>
      </w:r>
    </w:p>
    <w:p w14:paraId="41B8BCF7" w14:textId="208454B4" w:rsidR="00223870" w:rsidRDefault="00223870" w:rsidP="00223870">
      <w:pPr>
        <w:spacing w:after="0" w:line="276" w:lineRule="auto"/>
        <w:ind w:left="5528"/>
        <w:jc w:val="center"/>
      </w:pPr>
      <w:r>
        <w:t>Sekretarz stanu</w:t>
      </w:r>
    </w:p>
    <w:p w14:paraId="49A8E1D6" w14:textId="66C72333" w:rsidR="00223870" w:rsidRDefault="00223870" w:rsidP="00223870">
      <w:pPr>
        <w:spacing w:line="276" w:lineRule="auto"/>
        <w:ind w:left="5529"/>
        <w:jc w:val="center"/>
      </w:pPr>
      <w:r>
        <w:t>w Ministerstwie Klimatu i Środowiska</w:t>
      </w:r>
    </w:p>
    <w:p w14:paraId="1DC0B3B3" w14:textId="6551A0BC" w:rsidR="00F44110" w:rsidRDefault="00F44110" w:rsidP="00B96443">
      <w:pPr>
        <w:spacing w:line="276" w:lineRule="auto"/>
      </w:pPr>
      <w:r>
        <w:br w:type="page"/>
      </w:r>
    </w:p>
    <w:p w14:paraId="3B6581FC" w14:textId="0F571677" w:rsidR="00487114" w:rsidRDefault="0060410E" w:rsidP="000625AC">
      <w:pPr>
        <w:pStyle w:val="Nagwek1"/>
        <w:numPr>
          <w:ilvl w:val="0"/>
          <w:numId w:val="175"/>
        </w:numPr>
      </w:pPr>
      <w:bookmarkStart w:id="3" w:name="_Toc174714908"/>
      <w:bookmarkStart w:id="4" w:name="_Toc175321007"/>
      <w:bookmarkStart w:id="5" w:name="_Toc175479028"/>
      <w:bookmarkStart w:id="6" w:name="_Toc175494504"/>
      <w:bookmarkStart w:id="7" w:name="_Toc195897174"/>
      <w:bookmarkStart w:id="8" w:name="_Toc205203150"/>
      <w:bookmarkEnd w:id="3"/>
      <w:bookmarkEnd w:id="4"/>
      <w:bookmarkEnd w:id="5"/>
      <w:bookmarkEnd w:id="6"/>
      <w:r w:rsidRPr="00D6225F">
        <w:lastRenderedPageBreak/>
        <w:t>W</w:t>
      </w:r>
      <w:r w:rsidR="00BA46AC" w:rsidRPr="00D6225F">
        <w:t>PROWADZENIE</w:t>
      </w:r>
      <w:bookmarkEnd w:id="2"/>
      <w:bookmarkEnd w:id="7"/>
      <w:bookmarkEnd w:id="8"/>
    </w:p>
    <w:p w14:paraId="68B7B035" w14:textId="1C21DDFD" w:rsidR="00AA5A87" w:rsidRDefault="009E2381" w:rsidP="009E2381">
      <w:pPr>
        <w:pStyle w:val="Nagwek2"/>
        <w:numPr>
          <w:ilvl w:val="0"/>
          <w:numId w:val="0"/>
        </w:numPr>
        <w:ind w:left="567" w:hanging="567"/>
      </w:pPr>
      <w:bookmarkStart w:id="9" w:name="_Toc159598279"/>
      <w:bookmarkStart w:id="10" w:name="_Toc195897175"/>
      <w:bookmarkStart w:id="11" w:name="_Toc205203151"/>
      <w:r>
        <w:t xml:space="preserve">A) </w:t>
      </w:r>
      <w:r w:rsidR="00AA5A87">
        <w:t>Czym jest KPEiK i w jakim celu został opracowany</w:t>
      </w:r>
      <w:bookmarkEnd w:id="9"/>
      <w:bookmarkEnd w:id="10"/>
      <w:bookmarkEnd w:id="11"/>
    </w:p>
    <w:p w14:paraId="3015DECC" w14:textId="493FED71" w:rsidR="005F5521" w:rsidRDefault="00B34B5F" w:rsidP="00A720CC">
      <w:r>
        <w:t>Zrównoważony rozwój sektora energii oraz działania związane z ochroną środowiska są niezbędne dla wzmacniania krajowej gospodarki i budowania jej konkurencyjności. Odpowiedzialna strategia energetyczna powinna respektować równoważne, wzajemnie oddziałujące i uzupełniające się cele: bezpieczeństwo energetyczne, konkurencyjność gospodarki, efektywność energetyczną i redukcję oddziaływania na środowisko. Oprócz rozwoju technologii zeroemisyjnych, transformacja energetyczno-klimatyczna w Polsce powinna zapewnić konsumentom stabilne dostawy energii po akceptowalnych cenach. Biorąc pod uwagę fakt, że przekształcenia będą procesem długotrwałym, kapitałochłonnym</w:t>
      </w:r>
      <w:r w:rsidR="00AC3125">
        <w:t xml:space="preserve"> i</w:t>
      </w:r>
      <w:r>
        <w:t xml:space="preserve"> obejmującym wszystkie sektory gospodarki – kluczowe jest, aby wprowadzane zmiany uwzględniały sprawiedliwy wymiar tj. zapewniały stabilne ramy strategiczne pozwalające na dostosowanie się sektorów, przekwalifikowanie pracowników branży, tworząc nowe możliwości rozwoju regionom i</w:t>
      </w:r>
      <w:r w:rsidR="00DC5106">
        <w:t> </w:t>
      </w:r>
      <w:r>
        <w:t>społecznościom dotkniętym przejściowymi</w:t>
      </w:r>
      <w:r w:rsidR="00EA719E">
        <w:t xml:space="preserve"> negatywnymi</w:t>
      </w:r>
      <w:r>
        <w:t xml:space="preserve"> skutkami tej transformacji. Transparentna i</w:t>
      </w:r>
      <w:r w:rsidR="00571E12">
        <w:t> </w:t>
      </w:r>
      <w:r>
        <w:t>długoterminowa strategia energetyczna tworzy stabilne ramy dla kształtowania mechanizmów systemowych, regulacji sektorowych oraz podejmowania decyzji inwestycyjnych wymagających zaangażowania kapitału prywatnego i publicznego. Uwzględniając powyższe oraz istotne zmiany sektorowe, ekonomiczne, regulacyjne i geopolityczne zaistniałe po 2020 r., rozpoczęto prace nad aktualizacją krajowej strategii wyznaczającej kierunki transformacji klimatyczno-energetycznej oraz wskazującej wkład do realizacji celów unijnych do 2030 r.</w:t>
      </w:r>
    </w:p>
    <w:p w14:paraId="2E1D315D" w14:textId="3484D527" w:rsidR="008B188E" w:rsidRDefault="00024875" w:rsidP="00024875">
      <w:r>
        <w:t>Uni</w:t>
      </w:r>
      <w:r w:rsidR="00E869D3">
        <w:t>a</w:t>
      </w:r>
      <w:r>
        <w:t xml:space="preserve"> Europejsk</w:t>
      </w:r>
      <w:r w:rsidR="00E869D3">
        <w:t>a</w:t>
      </w:r>
      <w:r>
        <w:t xml:space="preserve"> (UE) </w:t>
      </w:r>
      <w:r w:rsidR="00E869D3">
        <w:t xml:space="preserve">w sposób bardzo zaangażowany podchodzi </w:t>
      </w:r>
      <w:r>
        <w:t>do międzynarodowych porozumień klimatycznyc</w:t>
      </w:r>
      <w:r w:rsidR="00E869D3">
        <w:t>h</w:t>
      </w:r>
      <w:r w:rsidR="00C600E0">
        <w:t xml:space="preserve">. </w:t>
      </w:r>
      <w:r w:rsidR="00D66FA7">
        <w:t xml:space="preserve">W działaniach stanowiących </w:t>
      </w:r>
      <w:r w:rsidR="00153D02">
        <w:t>odpowiedź na zmian</w:t>
      </w:r>
      <w:r w:rsidR="00E321C1">
        <w:t>ę</w:t>
      </w:r>
      <w:r w:rsidR="00153D02">
        <w:t xml:space="preserve"> klimatu</w:t>
      </w:r>
      <w:r w:rsidR="00571E12">
        <w:t xml:space="preserve">, </w:t>
      </w:r>
      <w:r w:rsidR="00D66FA7">
        <w:t>UE</w:t>
      </w:r>
      <w:r w:rsidR="00571E12">
        <w:t xml:space="preserve"> </w:t>
      </w:r>
      <w:r w:rsidR="00095AC4">
        <w:t>–</w:t>
      </w:r>
      <w:r w:rsidR="00EA719E">
        <w:t xml:space="preserve"> w tym</w:t>
      </w:r>
      <w:r w:rsidR="00571E12">
        <w:t xml:space="preserve"> </w:t>
      </w:r>
      <w:r w:rsidR="00EA719E">
        <w:t xml:space="preserve">Polska, </w:t>
      </w:r>
      <w:r w:rsidR="00D66FA7">
        <w:t>dostrzega także</w:t>
      </w:r>
      <w:r w:rsidR="00153D02">
        <w:t xml:space="preserve"> szansę na</w:t>
      </w:r>
      <w:r w:rsidR="003432D5">
        <w:t> </w:t>
      </w:r>
      <w:r w:rsidR="00153D02">
        <w:t>budowanie przewag konkurencyjnych</w:t>
      </w:r>
      <w:r w:rsidR="00AC3125">
        <w:t xml:space="preserve"> i bezpieczeństwa energetycznego</w:t>
      </w:r>
      <w:r w:rsidR="00E869D3">
        <w:t xml:space="preserve">. </w:t>
      </w:r>
      <w:r w:rsidR="00D66FA7">
        <w:t xml:space="preserve">Jedną z cech wyróżniających </w:t>
      </w:r>
      <w:r w:rsidR="003432D5">
        <w:t>U</w:t>
      </w:r>
      <w:r w:rsidR="00D66FA7">
        <w:t>ni</w:t>
      </w:r>
      <w:r w:rsidR="003432D5">
        <w:t>ę</w:t>
      </w:r>
      <w:r w:rsidR="00D66FA7">
        <w:t xml:space="preserve"> jest zachowanie </w:t>
      </w:r>
      <w:r>
        <w:t>jednolitych zasad</w:t>
      </w:r>
      <w:r w:rsidR="00D66FA7">
        <w:t xml:space="preserve"> funkcjonowania rynków, które obejmują także </w:t>
      </w:r>
      <w:r>
        <w:t>gwarantowani</w:t>
      </w:r>
      <w:r w:rsidR="00D66FA7">
        <w:t>e</w:t>
      </w:r>
      <w:r>
        <w:t xml:space="preserve"> konsumentom – </w:t>
      </w:r>
      <w:r w:rsidR="003432D5" w:rsidRPr="003432D5">
        <w:rPr>
          <w:i/>
          <w:iCs/>
        </w:rPr>
        <w:t xml:space="preserve">w tym </w:t>
      </w:r>
      <w:r w:rsidRPr="00D66FA7">
        <w:rPr>
          <w:i/>
          <w:iCs/>
        </w:rPr>
        <w:t>gospodarstwom domowym i przedsiębiorstwom</w:t>
      </w:r>
      <w:r>
        <w:t xml:space="preserve"> – bezpiecznych, przyjaznych dla środowiska i dostępnych</w:t>
      </w:r>
      <w:r w:rsidRPr="00FA55EA">
        <w:t xml:space="preserve"> </w:t>
      </w:r>
      <w:r w:rsidR="003432D5">
        <w:t>cenowo</w:t>
      </w:r>
      <w:r>
        <w:t xml:space="preserve"> dostaw </w:t>
      </w:r>
      <w:r w:rsidRPr="00FA55EA">
        <w:t>energii</w:t>
      </w:r>
      <w:r w:rsidR="00D66FA7">
        <w:t>. Odpowiadając na te wyzwania w</w:t>
      </w:r>
      <w:r>
        <w:t xml:space="preserve"> 2015 r. </w:t>
      </w:r>
      <w:r w:rsidR="00153D02">
        <w:t xml:space="preserve">określono </w:t>
      </w:r>
      <w:r>
        <w:t>unijn</w:t>
      </w:r>
      <w:r w:rsidR="00153D02">
        <w:t>ą</w:t>
      </w:r>
      <w:r>
        <w:t xml:space="preserve"> </w:t>
      </w:r>
      <w:r w:rsidRPr="00793F4E">
        <w:rPr>
          <w:i/>
          <w:iCs/>
        </w:rPr>
        <w:t>Strategi</w:t>
      </w:r>
      <w:r w:rsidR="00153D02" w:rsidRPr="00793F4E">
        <w:rPr>
          <w:i/>
          <w:iCs/>
        </w:rPr>
        <w:t>ę</w:t>
      </w:r>
      <w:r w:rsidRPr="00793F4E">
        <w:rPr>
          <w:i/>
          <w:iCs/>
        </w:rPr>
        <w:t xml:space="preserve"> ramow</w:t>
      </w:r>
      <w:r w:rsidR="00153D02" w:rsidRPr="00793F4E">
        <w:rPr>
          <w:i/>
          <w:iCs/>
        </w:rPr>
        <w:t>ą</w:t>
      </w:r>
      <w:r w:rsidRPr="00793F4E">
        <w:rPr>
          <w:i/>
          <w:iCs/>
        </w:rPr>
        <w:t xml:space="preserve"> na</w:t>
      </w:r>
      <w:r w:rsidR="003432D5">
        <w:rPr>
          <w:i/>
          <w:iCs/>
        </w:rPr>
        <w:t> </w:t>
      </w:r>
      <w:r w:rsidRPr="00793F4E">
        <w:rPr>
          <w:i/>
          <w:iCs/>
        </w:rPr>
        <w:t>rzecz stabilnej unii energetycznej opartej na przyszłościowej polityce w</w:t>
      </w:r>
      <w:r w:rsidR="00153D02" w:rsidRPr="00793F4E">
        <w:rPr>
          <w:i/>
          <w:iCs/>
        </w:rPr>
        <w:t> </w:t>
      </w:r>
      <w:r w:rsidRPr="00793F4E">
        <w:rPr>
          <w:i/>
          <w:iCs/>
        </w:rPr>
        <w:t>dziedzinie klimatu</w:t>
      </w:r>
      <w:r>
        <w:t>.</w:t>
      </w:r>
      <w:r w:rsidR="003432D5">
        <w:t xml:space="preserve"> </w:t>
      </w:r>
      <w:r>
        <w:t xml:space="preserve">Unię energetyczną oparto na </w:t>
      </w:r>
      <w:r w:rsidRPr="00153D02">
        <w:rPr>
          <w:b/>
          <w:bCs/>
        </w:rPr>
        <w:t>pięciu powiązanych i wzajemnie wzmacniających się wymiarach</w:t>
      </w:r>
      <w:r>
        <w:t>: bezpieczeństwo energetyczne, wewnętrzny rynek energii, efektywność energetyczn</w:t>
      </w:r>
      <w:r w:rsidR="003C499A">
        <w:t>a</w:t>
      </w:r>
      <w:r>
        <w:t xml:space="preserve">, obniżenie emisyjności </w:t>
      </w:r>
      <w:r w:rsidR="00153D02">
        <w:t>(ze</w:t>
      </w:r>
      <w:r w:rsidR="003432D5">
        <w:t> </w:t>
      </w:r>
      <w:r w:rsidR="00153D02">
        <w:t>szczególną rolą odnawialnych źródeł energii (OZE)</w:t>
      </w:r>
      <w:r w:rsidR="006E709D">
        <w:t>)</w:t>
      </w:r>
      <w:r w:rsidR="00153D02">
        <w:t xml:space="preserve"> </w:t>
      </w:r>
      <w:r>
        <w:t>oraz badania naukowe, innowacyjność i</w:t>
      </w:r>
      <w:r w:rsidR="00153D02">
        <w:t> </w:t>
      </w:r>
      <w:r>
        <w:t>konkurencyjność.</w:t>
      </w:r>
    </w:p>
    <w:p w14:paraId="5A62B66D" w14:textId="78A832E6" w:rsidR="00024875" w:rsidRDefault="00153D02" w:rsidP="00024875">
      <w:r>
        <w:t xml:space="preserve">W 2018 r. przyjęto rozporządzenie UE 2018/1999 </w:t>
      </w:r>
      <w:r w:rsidRPr="006B783C">
        <w:rPr>
          <w:i/>
          <w:iCs/>
        </w:rPr>
        <w:t>o zarządzaniu unią energetyczną</w:t>
      </w:r>
      <w:r>
        <w:t>, oblig</w:t>
      </w:r>
      <w:r w:rsidR="003432D5">
        <w:t>ujące</w:t>
      </w:r>
      <w:r>
        <w:t xml:space="preserve"> państwa członkowskie do opracowywania krajowych planów w dziedzinie energii i klimatu</w:t>
      </w:r>
      <w:r w:rsidR="00FA05D7">
        <w:rPr>
          <w:rStyle w:val="Odwoanieprzypisudolnego"/>
        </w:rPr>
        <w:footnoteReference w:id="2"/>
      </w:r>
      <w:r>
        <w:t xml:space="preserve">, które podlegają okresowej aktualizacji i sprawozdawczości. </w:t>
      </w:r>
      <w:r w:rsidR="000855B2">
        <w:t>Opracowanie tych dokumentów stanowi podstawę mechanizmu zarządzania unią energetyczną</w:t>
      </w:r>
      <w:r w:rsidR="00541635">
        <w:t xml:space="preserve"> – </w:t>
      </w:r>
      <w:r w:rsidR="000855B2">
        <w:t xml:space="preserve">pozwala na </w:t>
      </w:r>
      <w:r w:rsidR="00583F68">
        <w:t xml:space="preserve">analizę </w:t>
      </w:r>
      <w:r w:rsidR="00541635">
        <w:t>tego czy</w:t>
      </w:r>
      <w:r w:rsidR="00583F68">
        <w:t>, w oparciu o wkłady z państw członkowskich, UE</w:t>
      </w:r>
      <w:r w:rsidR="00541635">
        <w:t xml:space="preserve"> wywiąże się ze swoich </w:t>
      </w:r>
      <w:r w:rsidR="003432D5">
        <w:t>celów klimatyczno-energetycznych</w:t>
      </w:r>
      <w:r w:rsidR="00541635">
        <w:t xml:space="preserve">. Jednoznaczne określenie zakresu </w:t>
      </w:r>
      <w:r w:rsidR="006E2892">
        <w:t xml:space="preserve">dokumentu </w:t>
      </w:r>
      <w:r w:rsidR="00541635">
        <w:t>ma na celu zapewnienie</w:t>
      </w:r>
      <w:r w:rsidR="000855B2">
        <w:t xml:space="preserve"> przejrzystości, spójności, porównywalności i kompletności oraz szczegółowości </w:t>
      </w:r>
      <w:r w:rsidR="00541635">
        <w:t>informacji.</w:t>
      </w:r>
    </w:p>
    <w:p w14:paraId="46BD22C8" w14:textId="5117D1A8" w:rsidR="0015304E" w:rsidRDefault="0015304E" w:rsidP="00024875">
      <w:r>
        <w:t xml:space="preserve">Choć obowiązek </w:t>
      </w:r>
      <w:r w:rsidRPr="005C7A1F">
        <w:t xml:space="preserve">opracowania </w:t>
      </w:r>
      <w:r w:rsidR="005C7A1F" w:rsidRPr="005C7A1F">
        <w:t>dokument</w:t>
      </w:r>
      <w:r w:rsidR="005C7A1F">
        <w:t xml:space="preserve">u </w:t>
      </w:r>
      <w:r>
        <w:t xml:space="preserve">wynika z regulacji UE, </w:t>
      </w:r>
      <w:r w:rsidR="005C7A1F" w:rsidRPr="005C7A1F">
        <w:rPr>
          <w:b/>
          <w:bCs/>
        </w:rPr>
        <w:t xml:space="preserve">KPEiK </w:t>
      </w:r>
      <w:r w:rsidRPr="0015304E">
        <w:rPr>
          <w:b/>
          <w:bCs/>
        </w:rPr>
        <w:t>ma przede wszystkim służyć potrzebom krajowym</w:t>
      </w:r>
      <w:r>
        <w:t>. Obowiązkowy zakres jest bardzo obszerny, ale zdecydowano o włączeniu dodatkowych zagadnień tak, aby jak najlepiej odpowiadał potrzebom Polski w sposób możliwie kompleksowy.</w:t>
      </w:r>
    </w:p>
    <w:p w14:paraId="588F4A20" w14:textId="1B1450EE" w:rsidR="00A80E8F" w:rsidRDefault="00DA00F5" w:rsidP="001C7FF4">
      <w:pPr>
        <w:spacing w:before="960"/>
      </w:pPr>
      <w:r>
        <w:lastRenderedPageBreak/>
        <w:t xml:space="preserve">Niniejszy dokument stanowi </w:t>
      </w:r>
      <w:r w:rsidRPr="00641AE7">
        <w:rPr>
          <w:b/>
          <w:bCs/>
        </w:rPr>
        <w:t xml:space="preserve">aktualizację </w:t>
      </w:r>
      <w:r w:rsidRPr="00641AE7">
        <w:rPr>
          <w:b/>
          <w:bCs/>
          <w:i/>
          <w:iCs/>
        </w:rPr>
        <w:t>Krajowego planu na rzecz energii i klimatu na lata 2021–2030</w:t>
      </w:r>
      <w:r w:rsidR="00641AE7">
        <w:rPr>
          <w:b/>
          <w:bCs/>
          <w:i/>
          <w:iCs/>
        </w:rPr>
        <w:t xml:space="preserve"> </w:t>
      </w:r>
      <w:r w:rsidR="00641AE7" w:rsidRPr="00641AE7">
        <w:rPr>
          <w:b/>
          <w:bCs/>
        </w:rPr>
        <w:t>(aKPEiK)</w:t>
      </w:r>
      <w:r>
        <w:t xml:space="preserve"> </w:t>
      </w:r>
      <w:r w:rsidR="006324C5">
        <w:t xml:space="preserve">z </w:t>
      </w:r>
      <w:r>
        <w:t>2019 r.</w:t>
      </w:r>
      <w:r w:rsidR="00CC0A90">
        <w:t xml:space="preserve"> – nadano mu nazwę </w:t>
      </w:r>
      <w:r w:rsidR="00CC0A90" w:rsidRPr="00CC0A90">
        <w:rPr>
          <w:i/>
          <w:iCs/>
        </w:rPr>
        <w:t>Krajowy Plan w dziedzinie Energii i Klimatu</w:t>
      </w:r>
      <w:r w:rsidR="00CC0A90">
        <w:rPr>
          <w:i/>
          <w:iCs/>
        </w:rPr>
        <w:t xml:space="preserve"> do 2030 r.</w:t>
      </w:r>
      <w:r w:rsidR="00CC0A90">
        <w:t xml:space="preserve"> </w:t>
      </w:r>
      <w:r w:rsidR="003832D8" w:rsidRPr="0028369E">
        <w:rPr>
          <w:i/>
          <w:iCs/>
        </w:rPr>
        <w:t>z perspektywą do 2040 r</w:t>
      </w:r>
      <w:r w:rsidR="003832D8">
        <w:rPr>
          <w:i/>
          <w:iCs/>
        </w:rPr>
        <w:t>.</w:t>
      </w:r>
      <w:r w:rsidR="003832D8">
        <w:t xml:space="preserve"> </w:t>
      </w:r>
      <w:r w:rsidR="002E2342">
        <w:t>(KPEiK)</w:t>
      </w:r>
      <w:r w:rsidR="00CF5020" w:rsidRPr="0028369E">
        <w:rPr>
          <w:i/>
          <w:iCs/>
        </w:rPr>
        <w:t>.</w:t>
      </w:r>
      <w:r w:rsidR="002E2342">
        <w:rPr>
          <w:rStyle w:val="Odwoanieprzypisudolnego"/>
        </w:rPr>
        <w:footnoteReference w:id="3"/>
      </w:r>
      <w:r w:rsidR="002E2342">
        <w:t>.</w:t>
      </w:r>
      <w:r>
        <w:t xml:space="preserve"> Opracowanie dokumentu wynika wprost z </w:t>
      </w:r>
      <w:r w:rsidR="00641AE7">
        <w:t xml:space="preserve">art. </w:t>
      </w:r>
      <w:r w:rsidR="00583F68">
        <w:t>14</w:t>
      </w:r>
      <w:r w:rsidR="00641AE7">
        <w:t xml:space="preserve"> </w:t>
      </w:r>
      <w:r>
        <w:t>rozporządzeni</w:t>
      </w:r>
      <w:r w:rsidR="00641AE7">
        <w:t>a</w:t>
      </w:r>
      <w:r>
        <w:t xml:space="preserve"> UE 2018/1999, a art. 15ab ustawy – </w:t>
      </w:r>
      <w:r w:rsidRPr="00641AE7">
        <w:rPr>
          <w:i/>
          <w:iCs/>
        </w:rPr>
        <w:t>Prawo energetyczne</w:t>
      </w:r>
      <w:r>
        <w:t xml:space="preserve"> wskazuje, że za opracowanie</w:t>
      </w:r>
      <w:r w:rsidR="00641AE7">
        <w:t xml:space="preserve"> KPEiK, jego aktualizacji i</w:t>
      </w:r>
      <w:r w:rsidR="00314CA1">
        <w:t> </w:t>
      </w:r>
      <w:r w:rsidR="00641AE7">
        <w:t>sprawozdań odpowiada</w:t>
      </w:r>
      <w:r>
        <w:t xml:space="preserve"> </w:t>
      </w:r>
      <w:r w:rsidR="00641AE7">
        <w:t>m</w:t>
      </w:r>
      <w:r w:rsidR="00641AE7" w:rsidRPr="00641AE7">
        <w:t>inister właściwy do spraw energii, we współpracy z ministrem właściwym do</w:t>
      </w:r>
      <w:r w:rsidR="00314CA1">
        <w:t> </w:t>
      </w:r>
      <w:r w:rsidR="00641AE7" w:rsidRPr="00641AE7">
        <w:t>spraw klimatu</w:t>
      </w:r>
      <w:r w:rsidR="00641AE7">
        <w:t>.</w:t>
      </w:r>
      <w:r w:rsidR="00B15954">
        <w:t xml:space="preserve"> Aktualnie zadania obu działów wykonuje </w:t>
      </w:r>
      <w:r w:rsidR="00B15954" w:rsidRPr="00B15954">
        <w:t>Minister Klimatu i Środowiska</w:t>
      </w:r>
      <w:r w:rsidR="00B15954">
        <w:t xml:space="preserve">. </w:t>
      </w:r>
    </w:p>
    <w:p w14:paraId="0485B6CC" w14:textId="603386A7" w:rsidR="00641AE7" w:rsidRDefault="00DE0CED" w:rsidP="00DA00F5">
      <w:pPr>
        <w:spacing w:before="360"/>
      </w:pPr>
      <w:r>
        <w:rPr>
          <w:noProof/>
          <w:lang w:eastAsia="pl-PL"/>
        </w:rPr>
        <mc:AlternateContent>
          <mc:Choice Requires="wpg">
            <w:drawing>
              <wp:anchor distT="0" distB="0" distL="114300" distR="114300" simplePos="0" relativeHeight="251616768" behindDoc="0" locked="0" layoutInCell="1" allowOverlap="1" wp14:anchorId="29F6DF0B" wp14:editId="5939C5D1">
                <wp:simplePos x="0" y="0"/>
                <wp:positionH relativeFrom="column">
                  <wp:posOffset>128270</wp:posOffset>
                </wp:positionH>
                <wp:positionV relativeFrom="paragraph">
                  <wp:posOffset>148590</wp:posOffset>
                </wp:positionV>
                <wp:extent cx="5329555" cy="2778760"/>
                <wp:effectExtent l="0" t="0" r="0" b="0"/>
                <wp:wrapNone/>
                <wp:docPr id="805494744" name="Grupa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9555" cy="2778760"/>
                          <a:chOff x="0" y="0"/>
                          <a:chExt cx="5491630" cy="2816900"/>
                        </a:xfrm>
                      </wpg:grpSpPr>
                      <wps:wsp>
                        <wps:cNvPr id="336657226" name="Prostokąt: zaokrąglone rogi 336657226"/>
                        <wps:cNvSpPr/>
                        <wps:spPr>
                          <a:xfrm>
                            <a:off x="2467550" y="658418"/>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298B2C8B"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obniżenie emisyjności</w:t>
                              </w:r>
                            </w:p>
                          </w:txbxContent>
                        </wps:txbx>
                        <wps:bodyPr rtlCol="0" anchor="ctr"/>
                      </wps:wsp>
                      <wps:wsp>
                        <wps:cNvPr id="924596139" name="Prostokąt: zaokrąglone rogi 924596139"/>
                        <wps:cNvSpPr/>
                        <wps:spPr>
                          <a:xfrm>
                            <a:off x="2521750" y="1078724"/>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5B38A071"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efektywność energetyczna</w:t>
                              </w:r>
                            </w:p>
                          </w:txbxContent>
                        </wps:txbx>
                        <wps:bodyPr rtlCol="0" anchor="ctr"/>
                      </wps:wsp>
                      <wps:wsp>
                        <wps:cNvPr id="1857466661" name="Prostokąt: zaokrąglone rogi 1857466661"/>
                        <wps:cNvSpPr/>
                        <wps:spPr>
                          <a:xfrm>
                            <a:off x="2467550" y="1499030"/>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267007FD"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bezpieczeństwo energetyczne</w:t>
                              </w:r>
                            </w:p>
                          </w:txbxContent>
                        </wps:txbx>
                        <wps:bodyPr rtlCol="0" anchor="ctr"/>
                      </wps:wsp>
                      <wps:wsp>
                        <wps:cNvPr id="1981903612" name="Prostokąt: zaokrąglone rogi 1981903612"/>
                        <wps:cNvSpPr/>
                        <wps:spPr>
                          <a:xfrm>
                            <a:off x="2528850" y="1919336"/>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32EF2ED5"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wewnątrzunijny rynek energii</w:t>
                              </w:r>
                            </w:p>
                          </w:txbxContent>
                        </wps:txbx>
                        <wps:bodyPr rtlCol="0" anchor="ctr"/>
                      </wps:wsp>
                      <wps:wsp>
                        <wps:cNvPr id="254388489" name="Prostokąt: zaokrąglone rogi 254388489"/>
                        <wps:cNvSpPr/>
                        <wps:spPr>
                          <a:xfrm>
                            <a:off x="2467550" y="2339644"/>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1CE46484"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badania, innowacje, konkurencyjność</w:t>
                              </w:r>
                            </w:p>
                          </w:txbxContent>
                        </wps:txbx>
                        <wps:bodyPr rtlCol="0" anchor="ctr"/>
                      </wps:wsp>
                      <wpg:grpSp>
                        <wpg:cNvPr id="31902104" name="Grupa 31902104"/>
                        <wpg:cNvGrpSpPr/>
                        <wpg:grpSpPr>
                          <a:xfrm>
                            <a:off x="1930100" y="522263"/>
                            <a:ext cx="648000" cy="601863"/>
                            <a:chOff x="1930100" y="522263"/>
                            <a:chExt cx="648000" cy="601863"/>
                          </a:xfrm>
                        </wpg:grpSpPr>
                        <wps:wsp>
                          <wps:cNvPr id="1180372833" name="Owal 1180372833"/>
                          <wps:cNvSpPr/>
                          <wps:spPr>
                            <a:xfrm>
                              <a:off x="1930100" y="522263"/>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1068284685" name="Grafika 17" descr="Znaczek 1 z wypełnieniem pełnym"/>
                            <pic:cNvPicPr>
                              <a:picLocks noChangeAspect="1"/>
                            </pic:cNvPicPr>
                          </pic:nvPicPr>
                          <pic:blipFill>
                            <a:blip r:embed="rId15"/>
                            <a:stretch>
                              <a:fillRect/>
                            </a:stretch>
                          </pic:blipFill>
                          <pic:spPr>
                            <a:xfrm>
                              <a:off x="2003450" y="589137"/>
                              <a:ext cx="504000" cy="468115"/>
                            </a:xfrm>
                            <a:prstGeom prst="rect">
                              <a:avLst/>
                            </a:prstGeom>
                          </pic:spPr>
                        </pic:pic>
                      </wpg:grpSp>
                      <wpg:grpSp>
                        <wpg:cNvPr id="149511348" name="Grupa 149511348"/>
                        <wpg:cNvGrpSpPr/>
                        <wpg:grpSpPr>
                          <a:xfrm>
                            <a:off x="4812270" y="939793"/>
                            <a:ext cx="648000" cy="601863"/>
                            <a:chOff x="4812270" y="939793"/>
                            <a:chExt cx="648000" cy="601863"/>
                          </a:xfrm>
                        </wpg:grpSpPr>
                        <wps:wsp>
                          <wps:cNvPr id="1948532357" name="Owal 1948532357"/>
                          <wps:cNvSpPr/>
                          <wps:spPr>
                            <a:xfrm>
                              <a:off x="4812270" y="939793"/>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1533648319" name="Grafika 19" descr="Znaczek z wypełnieniem pełnym"/>
                            <pic:cNvPicPr>
                              <a:picLocks noChangeAspect="1"/>
                            </pic:cNvPicPr>
                          </pic:nvPicPr>
                          <pic:blipFill>
                            <a:blip r:embed="rId16"/>
                            <a:stretch>
                              <a:fillRect/>
                            </a:stretch>
                          </pic:blipFill>
                          <pic:spPr>
                            <a:xfrm>
                              <a:off x="4884270" y="1006667"/>
                              <a:ext cx="504000" cy="468115"/>
                            </a:xfrm>
                            <a:prstGeom prst="rect">
                              <a:avLst/>
                            </a:prstGeom>
                          </pic:spPr>
                        </pic:pic>
                      </wpg:grpSp>
                      <wpg:grpSp>
                        <wpg:cNvPr id="1851364703" name="Grupa 1851364703"/>
                        <wpg:cNvGrpSpPr/>
                        <wpg:grpSpPr>
                          <a:xfrm>
                            <a:off x="4843630" y="1780404"/>
                            <a:ext cx="648000" cy="601863"/>
                            <a:chOff x="4843630" y="1780404"/>
                            <a:chExt cx="648000" cy="601863"/>
                          </a:xfrm>
                        </wpg:grpSpPr>
                        <wps:wsp>
                          <wps:cNvPr id="2076026566" name="Owal 2076026566"/>
                          <wps:cNvSpPr/>
                          <wps:spPr>
                            <a:xfrm>
                              <a:off x="4843630" y="1780404"/>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2076921889" name="Grafika 23" descr="Znaczek 4 z wypełnieniem pełnym"/>
                            <pic:cNvPicPr>
                              <a:picLocks noChangeAspect="1"/>
                            </pic:cNvPicPr>
                          </pic:nvPicPr>
                          <pic:blipFill>
                            <a:blip r:embed="rId17"/>
                            <a:stretch>
                              <a:fillRect/>
                            </a:stretch>
                          </pic:blipFill>
                          <pic:spPr>
                            <a:xfrm>
                              <a:off x="4915630" y="1847278"/>
                              <a:ext cx="504000" cy="468115"/>
                            </a:xfrm>
                            <a:prstGeom prst="rect">
                              <a:avLst/>
                            </a:prstGeom>
                          </pic:spPr>
                        </pic:pic>
                      </wpg:grpSp>
                      <wpg:grpSp>
                        <wpg:cNvPr id="1004969855" name="Grupa 1004969855"/>
                        <wpg:cNvGrpSpPr/>
                        <wpg:grpSpPr>
                          <a:xfrm>
                            <a:off x="1949912" y="2215037"/>
                            <a:ext cx="648000" cy="601863"/>
                            <a:chOff x="1949912" y="2215037"/>
                            <a:chExt cx="648000" cy="601863"/>
                          </a:xfrm>
                        </wpg:grpSpPr>
                        <wps:wsp>
                          <wps:cNvPr id="850547100" name="Owal 850547100"/>
                          <wps:cNvSpPr/>
                          <wps:spPr>
                            <a:xfrm>
                              <a:off x="1949912" y="2215037"/>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22315766" name="Grafika 25" descr="Znaczek 5 z wypełnieniem pełnym"/>
                            <pic:cNvPicPr>
                              <a:picLocks noChangeAspect="1"/>
                            </pic:cNvPicPr>
                          </pic:nvPicPr>
                          <pic:blipFill>
                            <a:blip r:embed="rId18"/>
                            <a:stretch>
                              <a:fillRect/>
                            </a:stretch>
                          </pic:blipFill>
                          <pic:spPr>
                            <a:xfrm>
                              <a:off x="2021912" y="2281910"/>
                              <a:ext cx="504000" cy="468115"/>
                            </a:xfrm>
                            <a:prstGeom prst="rect">
                              <a:avLst/>
                            </a:prstGeom>
                          </pic:spPr>
                        </pic:pic>
                      </wpg:grpSp>
                      <wpg:grpSp>
                        <wpg:cNvPr id="2126474685" name="Grupa 2126474685"/>
                        <wpg:cNvGrpSpPr/>
                        <wpg:grpSpPr>
                          <a:xfrm>
                            <a:off x="1949912" y="1357890"/>
                            <a:ext cx="648000" cy="601863"/>
                            <a:chOff x="1949912" y="1357890"/>
                            <a:chExt cx="648000" cy="601863"/>
                          </a:xfrm>
                        </wpg:grpSpPr>
                        <wps:wsp>
                          <wps:cNvPr id="482879580" name="Owal 482879580"/>
                          <wps:cNvSpPr/>
                          <wps:spPr>
                            <a:xfrm>
                              <a:off x="1949912" y="1357890"/>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1039006368" name="Grafika 27" descr="Znaczek 3 z wypełnieniem pełnym"/>
                            <pic:cNvPicPr>
                              <a:picLocks noChangeAspect="1"/>
                            </pic:cNvPicPr>
                          </pic:nvPicPr>
                          <pic:blipFill>
                            <a:blip r:embed="rId19"/>
                            <a:stretch>
                              <a:fillRect/>
                            </a:stretch>
                          </pic:blipFill>
                          <pic:spPr>
                            <a:xfrm>
                              <a:off x="2021912" y="1424763"/>
                              <a:ext cx="504000" cy="468115"/>
                            </a:xfrm>
                            <a:prstGeom prst="rect">
                              <a:avLst/>
                            </a:prstGeom>
                          </pic:spPr>
                        </pic:pic>
                      </wpg:grpSp>
                      <wps:wsp>
                        <wps:cNvPr id="1818252759" name="pole tekstowe 28"/>
                        <wps:cNvSpPr txBox="1"/>
                        <wps:spPr>
                          <a:xfrm>
                            <a:off x="0" y="0"/>
                            <a:ext cx="5156200" cy="427355"/>
                          </a:xfrm>
                          <a:prstGeom prst="rect">
                            <a:avLst/>
                          </a:prstGeom>
                          <a:noFill/>
                        </wps:spPr>
                        <wps:txbx>
                          <w:txbxContent>
                            <w:p w14:paraId="00F0EC35" w14:textId="77777777" w:rsidR="00C36C5C" w:rsidRDefault="00C36C5C" w:rsidP="00314CA1">
                              <w:pPr>
                                <w:jc w:val="center"/>
                                <w:rPr>
                                  <w:rFonts w:asciiTheme="majorHAnsi" w:hAnsi="Calibri Light"/>
                                  <w:b/>
                                  <w:bCs/>
                                  <w:color w:val="000000" w:themeColor="text1"/>
                                  <w:kern w:val="24"/>
                                  <w:sz w:val="28"/>
                                  <w:szCs w:val="28"/>
                                  <w14:ligatures w14:val="none"/>
                                </w:rPr>
                              </w:pPr>
                              <w:r>
                                <w:rPr>
                                  <w:rFonts w:asciiTheme="majorHAnsi" w:hAnsi="Calibri Light"/>
                                  <w:b/>
                                  <w:bCs/>
                                  <w:color w:val="000000" w:themeColor="text1"/>
                                  <w:kern w:val="24"/>
                                  <w:sz w:val="28"/>
                                  <w:szCs w:val="28"/>
                                </w:rPr>
                                <w:t>Unia energetyczna Unii Europejskiej</w:t>
                              </w:r>
                            </w:p>
                          </w:txbxContent>
                        </wps:txbx>
                        <wps:bodyPr wrap="square" rtlCol="0">
                          <a:noAutofit/>
                        </wps:bodyPr>
                      </wps:wsp>
                      <wps:wsp>
                        <wps:cNvPr id="316068971" name="Prostokąt: zaokrąglone rogi 316068971"/>
                        <wps:cNvSpPr/>
                        <wps:spPr>
                          <a:xfrm>
                            <a:off x="265369" y="1745621"/>
                            <a:ext cx="1419601" cy="912478"/>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35A24EF9" w14:textId="2348740C" w:rsidR="00C36C5C" w:rsidRPr="00B15954" w:rsidRDefault="00C36C5C" w:rsidP="00314CA1">
                              <w:pPr>
                                <w:jc w:val="center"/>
                                <w:textAlignment w:val="baseline"/>
                                <w:rPr>
                                  <w:rFonts w:eastAsia="Calibri"/>
                                  <w:b/>
                                  <w:bCs/>
                                  <w:color w:val="000000"/>
                                  <w:sz w:val="18"/>
                                  <w:szCs w:val="18"/>
                                  <w14:ligatures w14:val="none"/>
                                </w:rPr>
                              </w:pPr>
                              <w:r>
                                <w:rPr>
                                  <w:rFonts w:eastAsia="Calibri"/>
                                  <w:b/>
                                  <w:bCs/>
                                  <w:i/>
                                  <w:iCs/>
                                  <w:color w:val="000000"/>
                                  <w:sz w:val="18"/>
                                  <w:szCs w:val="18"/>
                                </w:rPr>
                                <w:t xml:space="preserve">regulacja: </w:t>
                              </w:r>
                              <w:r w:rsidRPr="00B15954">
                                <w:rPr>
                                  <w:rFonts w:eastAsia="Calibri"/>
                                  <w:b/>
                                  <w:bCs/>
                                  <w:color w:val="000000"/>
                                  <w:sz w:val="18"/>
                                  <w:szCs w:val="18"/>
                                </w:rPr>
                                <w:t>rozporządzenie UE 2018/1999 o</w:t>
                              </w:r>
                              <w:r>
                                <w:rPr>
                                  <w:rFonts w:eastAsia="Calibri"/>
                                  <w:b/>
                                  <w:bCs/>
                                  <w:color w:val="000000"/>
                                  <w:sz w:val="18"/>
                                  <w:szCs w:val="18"/>
                                </w:rPr>
                                <w:t> z</w:t>
                              </w:r>
                              <w:r w:rsidRPr="00B15954">
                                <w:rPr>
                                  <w:rFonts w:eastAsia="Calibri"/>
                                  <w:b/>
                                  <w:bCs/>
                                  <w:color w:val="000000"/>
                                  <w:sz w:val="18"/>
                                  <w:szCs w:val="18"/>
                                </w:rPr>
                                <w:t>arządzeniu unią energetyczną</w:t>
                              </w:r>
                            </w:p>
                          </w:txbxContent>
                        </wps:txbx>
                        <wps:bodyPr rtlCol="0" anchor="ctr"/>
                      </wps:wsp>
                      <wps:wsp>
                        <wps:cNvPr id="1889587894" name="Prostokąt: zaokrąglone rogi 1889587894"/>
                        <wps:cNvSpPr/>
                        <wps:spPr>
                          <a:xfrm>
                            <a:off x="265369" y="563868"/>
                            <a:ext cx="1427275" cy="10873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2EBC7642" w14:textId="211CFA82" w:rsidR="00C36C5C" w:rsidRDefault="00C36C5C" w:rsidP="00314CA1">
                              <w:pPr>
                                <w:jc w:val="center"/>
                                <w:rPr>
                                  <w:rFonts w:eastAsia="Calibri"/>
                                  <w:b/>
                                  <w:bCs/>
                                  <w:color w:val="000000"/>
                                  <w:sz w:val="18"/>
                                  <w:szCs w:val="18"/>
                                  <w14:ligatures w14:val="none"/>
                                </w:rPr>
                              </w:pPr>
                              <w:r>
                                <w:rPr>
                                  <w:rFonts w:eastAsia="Calibri"/>
                                  <w:b/>
                                  <w:bCs/>
                                  <w:color w:val="000000"/>
                                  <w:sz w:val="18"/>
                                  <w:szCs w:val="18"/>
                                </w:rPr>
                                <w:t xml:space="preserve">27 państwach członkowskich UE opracowuje krajowe plany w dziedzinie energii i klimatu </w:t>
                              </w:r>
                              <w:r>
                                <w:rPr>
                                  <w:rFonts w:eastAsia="Calibri"/>
                                  <w:b/>
                                  <w:bCs/>
                                  <w:color w:val="000000"/>
                                  <w:sz w:val="18"/>
                                  <w:szCs w:val="18"/>
                                </w:rPr>
                                <w:br/>
                                <w:t xml:space="preserve">w 5 wymiarach </w:t>
                              </w:r>
                            </w:p>
                          </w:txbxContent>
                        </wps:txbx>
                        <wps:bodyPr rtlCol="0" anchor="ctr"/>
                      </wps:wsp>
                      <wps:wsp>
                        <wps:cNvPr id="1610639769" name="pole tekstowe 31"/>
                        <wps:cNvSpPr txBox="1"/>
                        <wps:spPr>
                          <a:xfrm>
                            <a:off x="2467483" y="354337"/>
                            <a:ext cx="2511425" cy="360045"/>
                          </a:xfrm>
                          <a:prstGeom prst="rect">
                            <a:avLst/>
                          </a:prstGeom>
                          <a:noFill/>
                        </wps:spPr>
                        <wps:txbx>
                          <w:txbxContent>
                            <w:p w14:paraId="0F119214" w14:textId="77777777" w:rsidR="00C36C5C" w:rsidRPr="00E70754" w:rsidRDefault="00C36C5C" w:rsidP="00314CA1">
                              <w:pPr>
                                <w:jc w:val="center"/>
                                <w:rPr>
                                  <w:color w:val="000000" w:themeColor="text1"/>
                                  <w:kern w:val="24"/>
                                  <w:szCs w:val="20"/>
                                  <w14:ligatures w14:val="none"/>
                                </w:rPr>
                              </w:pPr>
                              <w:r w:rsidRPr="00E70754">
                                <w:rPr>
                                  <w:color w:val="000000" w:themeColor="text1"/>
                                  <w:kern w:val="24"/>
                                  <w:szCs w:val="20"/>
                                </w:rPr>
                                <w:t>wymiary</w:t>
                              </w:r>
                            </w:p>
                          </w:txbxContent>
                        </wps:txbx>
                        <wps:bodyPr wrap="square" rtlCol="0">
                          <a:noAutofit/>
                        </wps:bodyPr>
                      </wps:wsp>
                      <wps:wsp>
                        <wps:cNvPr id="1256316213" name="Łącznik prosty 1256316213"/>
                        <wps:cNvCnPr/>
                        <wps:spPr>
                          <a:xfrm flipH="1">
                            <a:off x="1817833" y="496540"/>
                            <a:ext cx="7100" cy="2268725"/>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F6DF0B" id="Grupa 89" o:spid="_x0000_s1029" style="position:absolute;left:0;text-align:left;margin-left:10.1pt;margin-top:11.7pt;width:419.65pt;height:218.8pt;z-index:251616768;mso-width-relative:margin;mso-height-relative:margin" coordsize="54916,28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">
                <v:roundrect id="Prostokąt: zaokrąglone rogi 336657226" o:spid="_x0000_s1030" style="position:absolute;left:24675;top:6584;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" fillcolor="#ededed [662]" stroked="f">
                  <v:textbox>
                    <w:txbxContent>
                      <w:p w14:paraId="298B2C8B"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obniżenie emisyjności</w:t>
                        </w:r>
                      </w:p>
                    </w:txbxContent>
                  </v:textbox>
                </v:roundrect>
                <v:roundrect id="Prostokąt: zaokrąglone rogi 924596139" o:spid="_x0000_s1031" style="position:absolute;left:25217;top:10787;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" fillcolor="#ededed [662]" stroked="f">
                  <v:textbox>
                    <w:txbxContent>
                      <w:p w14:paraId="5B38A071"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efektywność energetyczna</w:t>
                        </w:r>
                      </w:p>
                    </w:txbxContent>
                  </v:textbox>
                </v:roundrect>
                <v:roundrect id="Prostokąt: zaokrąglone rogi 1857466661" o:spid="_x0000_s1032" style="position:absolute;left:24675;top:14990;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" fillcolor="#ededed [662]" stroked="f">
                  <v:textbox>
                    <w:txbxContent>
                      <w:p w14:paraId="267007FD"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bezpieczeństwo energetyczne</w:t>
                        </w:r>
                      </w:p>
                    </w:txbxContent>
                  </v:textbox>
                </v:roundrect>
                <v:roundrect id="Prostokąt: zaokrąglone rogi 1981903612" o:spid="_x0000_s1033" style="position:absolute;left:25288;top:19193;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" fillcolor="#ededed [662]" stroked="f">
                  <v:textbox>
                    <w:txbxContent>
                      <w:p w14:paraId="32EF2ED5"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wewnątrzunijny rynek energii</w:t>
                        </w:r>
                      </w:p>
                    </w:txbxContent>
                  </v:textbox>
                </v:roundrect>
                <v:roundrect id="Prostokąt: zaokrąglone rogi 254388489" o:spid="_x0000_s1034" style="position:absolute;left:24675;top:23396;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" fillcolor="#ededed [662]" stroked="f">
                  <v:textbox>
                    <w:txbxContent>
                      <w:p w14:paraId="1CE46484" w14:textId="77777777" w:rsidR="00C36C5C" w:rsidRDefault="00C36C5C" w:rsidP="00E70754">
                        <w:pPr>
                          <w:spacing w:after="0"/>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badania, innowacje, konkurencyjność</w:t>
                        </w:r>
                      </w:p>
                    </w:txbxContent>
                  </v:textbox>
                </v:roundrect>
                <v:group id="Grupa 31902104" o:spid="_x0000_s1035" style="position:absolute;left:19301;top:5222;width:6480;height:6019" coordorigin="19301,5222"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">
                  <v:oval id="Owal 1180372833" o:spid="_x0000_s1036" style="position:absolute;left:19301;top:5222;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" fillcolor="#ededed [66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a 17" o:spid="_x0000_s1037" type="#_x0000_t75" alt="Znaczek 1 z wypełnieniem pełnym" style="position:absolute;left:20034;top:5891;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">
                    <v:imagedata r:id="rId20" o:title="Znaczek 1 z wypełnieniem pełnym"/>
                  </v:shape>
                </v:group>
                <v:group id="Grupa 149511348" o:spid="_x0000_s1038" style="position:absolute;left:48122;top:9397;width:6480;height:6019" coordorigin="48122,9397"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">
                  <v:oval id="Owal 1948532357" o:spid="_x0000_s1039" style="position:absolute;left:48122;top:9397;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" fillcolor="#ededed [662]" stroked="f"/>
                  <v:shape id="Grafika 19" o:spid="_x0000_s1040" type="#_x0000_t75" alt="Znaczek z wypełnieniem pełnym" style="position:absolute;left:48842;top:10066;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">
                    <v:imagedata r:id="rId21" o:title="Znaczek z wypełnieniem pełnym"/>
                  </v:shape>
                </v:group>
                <v:group id="Grupa 1851364703" o:spid="_x0000_s1041" style="position:absolute;left:48436;top:17804;width:6480;height:6018" coordorigin="48436,17804"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">
                  <v:oval id="Owal 2076026566" o:spid="_x0000_s1042" style="position:absolute;left:48436;top:17804;width:6480;height:6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" fillcolor="#ededed [662]" stroked="f"/>
                  <v:shape id="Grafika 23" o:spid="_x0000_s1043" type="#_x0000_t75" alt="Znaczek 4 z wypełnieniem pełnym" style="position:absolute;left:49156;top:18472;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">
                    <v:imagedata r:id="rId22" o:title="Znaczek 4 z wypełnieniem pełnym"/>
                  </v:shape>
                </v:group>
                <v:group id="Grupa 1004969855" o:spid="_x0000_s1044" style="position:absolute;left:19499;top:22150;width:6480;height:6019" coordorigin="19499,22150"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">
                  <v:oval id="Owal 850547100" o:spid="_x0000_s1045" style="position:absolute;left:19499;top:22150;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" fillcolor="#ededed [662]" stroked="f"/>
                  <v:shape id="Grafika 25" o:spid="_x0000_s1046" type="#_x0000_t75" alt="Znaczek 5 z wypełnieniem pełnym" style="position:absolute;left:20219;top:22819;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">
                    <v:imagedata r:id="rId23" o:title="Znaczek 5 z wypełnieniem pełnym"/>
                  </v:shape>
                </v:group>
                <v:group id="Grupa 2126474685" o:spid="_x0000_s1047" style="position:absolute;left:19499;top:13578;width:6480;height:6019" coordorigin="19499,13578"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">
                  <v:oval id="Owal 482879580" o:spid="_x0000_s1048" style="position:absolute;left:19499;top:13578;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" fillcolor="#ededed [662]" stroked="f"/>
                  <v:shape id="Grafika 27" o:spid="_x0000_s1049" type="#_x0000_t75" alt="Znaczek 3 z wypełnieniem pełnym" style="position:absolute;left:20219;top:14247;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">
                    <v:imagedata r:id="rId24" o:title="Znaczek 3 z wypełnieniem pełnym"/>
                  </v:shape>
                </v:group>
                <v:shape id="pole tekstowe 28" o:spid="_x0000_s1050" type="#_x0000_t202" style="position:absolute;width:51562;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" filled="f" stroked="f">
                  <v:textbox>
                    <w:txbxContent>
                      <w:p w14:paraId="00F0EC35" w14:textId="77777777" w:rsidR="00C36C5C" w:rsidRDefault="00C36C5C" w:rsidP="00314CA1">
                        <w:pPr>
                          <w:jc w:val="center"/>
                          <w:rPr>
                            <w:rFonts w:asciiTheme="majorHAnsi" w:hAnsi="Calibri Light"/>
                            <w:b/>
                            <w:bCs/>
                            <w:color w:val="000000" w:themeColor="text1"/>
                            <w:kern w:val="24"/>
                            <w:sz w:val="28"/>
                            <w:szCs w:val="28"/>
                            <w14:ligatures w14:val="none"/>
                          </w:rPr>
                        </w:pPr>
                        <w:r>
                          <w:rPr>
                            <w:rFonts w:asciiTheme="majorHAnsi" w:hAnsi="Calibri Light"/>
                            <w:b/>
                            <w:bCs/>
                            <w:color w:val="000000" w:themeColor="text1"/>
                            <w:kern w:val="24"/>
                            <w:sz w:val="28"/>
                            <w:szCs w:val="28"/>
                          </w:rPr>
                          <w:t>Unia energetyczna Unii Europejskiej</w:t>
                        </w:r>
                      </w:p>
                    </w:txbxContent>
                  </v:textbox>
                </v:shape>
                <v:roundrect id="Prostokąt: zaokrąglone rogi 316068971" o:spid="_x0000_s1051" style="position:absolute;left:2653;top:17456;width:14196;height: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" fillcolor="#ededed [662]" stroked="f">
                  <v:textbox>
                    <w:txbxContent>
                      <w:p w14:paraId="35A24EF9" w14:textId="2348740C" w:rsidR="00C36C5C" w:rsidRPr="00B15954" w:rsidRDefault="00C36C5C" w:rsidP="00314CA1">
                        <w:pPr>
                          <w:jc w:val="center"/>
                          <w:textAlignment w:val="baseline"/>
                          <w:rPr>
                            <w:rFonts w:eastAsia="Calibri"/>
                            <w:b/>
                            <w:bCs/>
                            <w:color w:val="000000"/>
                            <w:sz w:val="18"/>
                            <w:szCs w:val="18"/>
                            <w14:ligatures w14:val="none"/>
                          </w:rPr>
                        </w:pPr>
                        <w:r>
                          <w:rPr>
                            <w:rFonts w:eastAsia="Calibri"/>
                            <w:b/>
                            <w:bCs/>
                            <w:i/>
                            <w:iCs/>
                            <w:color w:val="000000"/>
                            <w:sz w:val="18"/>
                            <w:szCs w:val="18"/>
                          </w:rPr>
                          <w:t xml:space="preserve">regulacja: </w:t>
                        </w:r>
                        <w:r w:rsidRPr="00B15954">
                          <w:rPr>
                            <w:rFonts w:eastAsia="Calibri"/>
                            <w:b/>
                            <w:bCs/>
                            <w:color w:val="000000"/>
                            <w:sz w:val="18"/>
                            <w:szCs w:val="18"/>
                          </w:rPr>
                          <w:t>rozporządzenie UE 2018/1999 o</w:t>
                        </w:r>
                        <w:r>
                          <w:rPr>
                            <w:rFonts w:eastAsia="Calibri"/>
                            <w:b/>
                            <w:bCs/>
                            <w:color w:val="000000"/>
                            <w:sz w:val="18"/>
                            <w:szCs w:val="18"/>
                          </w:rPr>
                          <w:t> z</w:t>
                        </w:r>
                        <w:r w:rsidRPr="00B15954">
                          <w:rPr>
                            <w:rFonts w:eastAsia="Calibri"/>
                            <w:b/>
                            <w:bCs/>
                            <w:color w:val="000000"/>
                            <w:sz w:val="18"/>
                            <w:szCs w:val="18"/>
                          </w:rPr>
                          <w:t>arządzeniu unią energetyczną</w:t>
                        </w:r>
                      </w:p>
                    </w:txbxContent>
                  </v:textbox>
                </v:roundrect>
                <v:roundrect id="Prostokąt: zaokrąglone rogi 1889587894" o:spid="_x0000_s1052" style="position:absolute;left:2653;top:5638;width:14273;height:108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" fillcolor="#ededed [662]" stroked="f">
                  <v:textbox>
                    <w:txbxContent>
                      <w:p w14:paraId="2EBC7642" w14:textId="211CFA82" w:rsidR="00C36C5C" w:rsidRDefault="00C36C5C" w:rsidP="00314CA1">
                        <w:pPr>
                          <w:jc w:val="center"/>
                          <w:rPr>
                            <w:rFonts w:eastAsia="Calibri"/>
                            <w:b/>
                            <w:bCs/>
                            <w:color w:val="000000"/>
                            <w:sz w:val="18"/>
                            <w:szCs w:val="18"/>
                            <w14:ligatures w14:val="none"/>
                          </w:rPr>
                        </w:pPr>
                        <w:r>
                          <w:rPr>
                            <w:rFonts w:eastAsia="Calibri"/>
                            <w:b/>
                            <w:bCs/>
                            <w:color w:val="000000"/>
                            <w:sz w:val="18"/>
                            <w:szCs w:val="18"/>
                          </w:rPr>
                          <w:t xml:space="preserve">27 państwach członkowskich UE opracowuje krajowe plany w dziedzinie energii i klimatu </w:t>
                        </w:r>
                        <w:r>
                          <w:rPr>
                            <w:rFonts w:eastAsia="Calibri"/>
                            <w:b/>
                            <w:bCs/>
                            <w:color w:val="000000"/>
                            <w:sz w:val="18"/>
                            <w:szCs w:val="18"/>
                          </w:rPr>
                          <w:br/>
                          <w:t xml:space="preserve">w 5 wymiarach </w:t>
                        </w:r>
                      </w:p>
                    </w:txbxContent>
                  </v:textbox>
                </v:roundrect>
                <v:shape id="pole tekstowe 31" o:spid="_x0000_s1053" type="#_x0000_t202" style="position:absolute;left:24674;top:3543;width:2511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" filled="f" stroked="f">
                  <v:textbox>
                    <w:txbxContent>
                      <w:p w14:paraId="0F119214" w14:textId="77777777" w:rsidR="00C36C5C" w:rsidRPr="00E70754" w:rsidRDefault="00C36C5C" w:rsidP="00314CA1">
                        <w:pPr>
                          <w:jc w:val="center"/>
                          <w:rPr>
                            <w:color w:val="000000" w:themeColor="text1"/>
                            <w:kern w:val="24"/>
                            <w:szCs w:val="20"/>
                            <w14:ligatures w14:val="none"/>
                          </w:rPr>
                        </w:pPr>
                        <w:r w:rsidRPr="00E70754">
                          <w:rPr>
                            <w:color w:val="000000" w:themeColor="text1"/>
                            <w:kern w:val="24"/>
                            <w:szCs w:val="20"/>
                          </w:rPr>
                          <w:t>wymiary</w:t>
                        </w:r>
                      </w:p>
                    </w:txbxContent>
                  </v:textbox>
                </v:shape>
                <v:line id="Łącznik prosty 1256316213" o:spid="_x0000_s1054" style="position:absolute;flip:x;visibility:visible;mso-wrap-style:square" from="18178,4965" to="18249,2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" strokecolor="#a5a5a5 [3206]" strokeweight=".5pt">
                  <v:stroke dashstyle="dash" joinstyle="miter"/>
                </v:line>
              </v:group>
            </w:pict>
          </mc:Fallback>
        </mc:AlternateContent>
      </w:r>
    </w:p>
    <w:p w14:paraId="46B7871E" w14:textId="77777777" w:rsidR="001C7FF4" w:rsidRDefault="001C7FF4" w:rsidP="00DA00F5">
      <w:pPr>
        <w:spacing w:before="360"/>
      </w:pPr>
    </w:p>
    <w:p w14:paraId="3FDFEBA1" w14:textId="77777777" w:rsidR="001C7FF4" w:rsidRDefault="001C7FF4" w:rsidP="00DA00F5">
      <w:pPr>
        <w:spacing w:before="360"/>
      </w:pPr>
    </w:p>
    <w:p w14:paraId="7A4FC23D" w14:textId="77777777" w:rsidR="001C7FF4" w:rsidRDefault="001C7FF4" w:rsidP="00DA00F5">
      <w:pPr>
        <w:spacing w:before="360"/>
      </w:pPr>
    </w:p>
    <w:p w14:paraId="3BC11643" w14:textId="77777777" w:rsidR="001C7FF4" w:rsidRDefault="001C7FF4" w:rsidP="00DA00F5">
      <w:pPr>
        <w:spacing w:before="360"/>
      </w:pPr>
    </w:p>
    <w:p w14:paraId="4319FF80" w14:textId="310256B1" w:rsidR="001C7FF4" w:rsidRDefault="001C7FF4" w:rsidP="00DA00F5">
      <w:pPr>
        <w:spacing w:before="360"/>
      </w:pPr>
    </w:p>
    <w:p w14:paraId="3621D0C1" w14:textId="77777777" w:rsidR="001C7FF4" w:rsidRDefault="001C7FF4" w:rsidP="00DA00F5">
      <w:pPr>
        <w:spacing w:before="360"/>
      </w:pPr>
    </w:p>
    <w:p w14:paraId="04CD2B0E" w14:textId="54B61C81" w:rsidR="00AA5A87" w:rsidRDefault="009E2381" w:rsidP="009E2381">
      <w:pPr>
        <w:pStyle w:val="Nagwek2"/>
        <w:numPr>
          <w:ilvl w:val="0"/>
          <w:numId w:val="0"/>
        </w:numPr>
        <w:spacing w:before="960"/>
        <w:ind w:left="567" w:hanging="567"/>
      </w:pPr>
      <w:bookmarkStart w:id="12" w:name="_Toc159598280"/>
      <w:bookmarkStart w:id="13" w:name="_Toc195897176"/>
      <w:bookmarkStart w:id="14" w:name="_Toc205203152"/>
      <w:r>
        <w:t xml:space="preserve">B) </w:t>
      </w:r>
      <w:r w:rsidR="00D442B9">
        <w:t>Jak zbudowany jest KPEiK</w:t>
      </w:r>
      <w:bookmarkEnd w:id="12"/>
      <w:bookmarkEnd w:id="13"/>
      <w:bookmarkEnd w:id="14"/>
    </w:p>
    <w:p w14:paraId="66E5A5DD" w14:textId="5A746FEE" w:rsidR="000855B2" w:rsidRDefault="00432A9E" w:rsidP="00314CA1">
      <w:pPr>
        <w:spacing w:after="240"/>
      </w:pPr>
      <w:r>
        <w:t>Zakres</w:t>
      </w:r>
      <w:r w:rsidR="003B48D6">
        <w:t xml:space="preserve"> </w:t>
      </w:r>
      <w:r>
        <w:t xml:space="preserve">krajowych planów w dziedzinie energii i klimatu </w:t>
      </w:r>
      <w:r w:rsidR="003B48D6">
        <w:t xml:space="preserve">reguluje </w:t>
      </w:r>
      <w:r>
        <w:t>załącznik I</w:t>
      </w:r>
      <w:r w:rsidR="00AC3125">
        <w:t xml:space="preserve"> </w:t>
      </w:r>
      <w:r>
        <w:t xml:space="preserve">do </w:t>
      </w:r>
      <w:r w:rsidR="003B48D6">
        <w:t>rozporządzeni</w:t>
      </w:r>
      <w:r>
        <w:t>a</w:t>
      </w:r>
      <w:r w:rsidR="003B48D6">
        <w:t xml:space="preserve"> </w:t>
      </w:r>
      <w:r>
        <w:t xml:space="preserve">UE </w:t>
      </w:r>
      <w:r w:rsidR="003B48D6">
        <w:t>2018/1999</w:t>
      </w:r>
      <w:r>
        <w:t>. KPEiK powinien zawierać</w:t>
      </w:r>
      <w:r w:rsidR="000855B2">
        <w:t>:</w:t>
      </w:r>
    </w:p>
    <w:tbl>
      <w:tblPr>
        <w:tblStyle w:val="Tabela-Siatk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520"/>
      </w:tblGrid>
      <w:tr w:rsidR="00530C4D" w14:paraId="725A05A5" w14:textId="77777777" w:rsidTr="00530C4D">
        <w:tc>
          <w:tcPr>
            <w:tcW w:w="2802" w:type="dxa"/>
          </w:tcPr>
          <w:p w14:paraId="2885E5FB" w14:textId="77777777" w:rsidR="00530C4D" w:rsidRDefault="00530C4D" w:rsidP="003530A9">
            <w:pPr>
              <w:pStyle w:val="Akapitzlist"/>
              <w:numPr>
                <w:ilvl w:val="0"/>
                <w:numId w:val="6"/>
              </w:numPr>
              <w:spacing w:after="40"/>
              <w:ind w:left="567" w:hanging="357"/>
              <w:contextualSpacing w:val="0"/>
            </w:pPr>
            <w:r>
              <w:t xml:space="preserve">zarys ogólny, </w:t>
            </w:r>
          </w:p>
          <w:p w14:paraId="33D49418" w14:textId="77777777" w:rsidR="00530C4D" w:rsidRDefault="00530C4D" w:rsidP="003530A9">
            <w:pPr>
              <w:pStyle w:val="Akapitzlist"/>
              <w:numPr>
                <w:ilvl w:val="0"/>
                <w:numId w:val="6"/>
              </w:numPr>
              <w:spacing w:after="40"/>
              <w:ind w:left="567" w:hanging="357"/>
              <w:contextualSpacing w:val="0"/>
            </w:pPr>
            <w:r>
              <w:t xml:space="preserve">założenia i cele, </w:t>
            </w:r>
          </w:p>
          <w:p w14:paraId="1C251020" w14:textId="42D8E619" w:rsidR="00530C4D" w:rsidRDefault="00530C4D" w:rsidP="003530A9">
            <w:pPr>
              <w:pStyle w:val="Akapitzlist"/>
              <w:numPr>
                <w:ilvl w:val="0"/>
                <w:numId w:val="6"/>
              </w:numPr>
              <w:spacing w:after="40"/>
              <w:ind w:left="567" w:hanging="357"/>
              <w:contextualSpacing w:val="0"/>
            </w:pPr>
            <w:r>
              <w:t>polityki i działania</w:t>
            </w:r>
            <w:r>
              <w:rPr>
                <w:rStyle w:val="Odwoanieprzypisudolnego"/>
              </w:rPr>
              <w:footnoteReference w:id="4"/>
            </w:r>
            <w:r>
              <w:t>,</w:t>
            </w:r>
          </w:p>
        </w:tc>
        <w:tc>
          <w:tcPr>
            <w:tcW w:w="6520" w:type="dxa"/>
          </w:tcPr>
          <w:p w14:paraId="71CF3113" w14:textId="0239A3D4" w:rsidR="00530C4D" w:rsidRDefault="00530C4D" w:rsidP="003530A9">
            <w:pPr>
              <w:pStyle w:val="Akapitzlist"/>
              <w:numPr>
                <w:ilvl w:val="0"/>
                <w:numId w:val="6"/>
              </w:numPr>
              <w:spacing w:after="40"/>
              <w:ind w:left="426" w:hanging="357"/>
              <w:contextualSpacing w:val="0"/>
              <w:jc w:val="left"/>
            </w:pPr>
            <w:r>
              <w:t xml:space="preserve">podstawę analityczną przy wdrożonych politykach i działaniach – scenariusz WEM (ang. </w:t>
            </w:r>
            <w:r w:rsidRPr="000855B2">
              <w:rPr>
                <w:i/>
                <w:iCs/>
              </w:rPr>
              <w:t>with existing measure</w:t>
            </w:r>
            <w:r>
              <w:t xml:space="preserve">s), </w:t>
            </w:r>
          </w:p>
          <w:p w14:paraId="54E8643B" w14:textId="5F230562" w:rsidR="00530C4D" w:rsidRDefault="00530C4D" w:rsidP="003530A9">
            <w:pPr>
              <w:pStyle w:val="Akapitzlist"/>
              <w:numPr>
                <w:ilvl w:val="0"/>
                <w:numId w:val="6"/>
              </w:numPr>
              <w:spacing w:after="80"/>
              <w:ind w:left="426" w:hanging="357"/>
              <w:contextualSpacing w:val="0"/>
            </w:pPr>
            <w:r>
              <w:t xml:space="preserve">podstawę analityczną stanowiącą ocenę skutków dodatkowych polityk i działań – scenariusz WAM (ang. </w:t>
            </w:r>
            <w:r w:rsidRPr="000855B2">
              <w:rPr>
                <w:i/>
                <w:iCs/>
              </w:rPr>
              <w:t>with additional measure</w:t>
            </w:r>
            <w:r>
              <w:t xml:space="preserve">s). </w:t>
            </w:r>
          </w:p>
        </w:tc>
      </w:tr>
    </w:tbl>
    <w:p w14:paraId="47C33875" w14:textId="66F20F7C" w:rsidR="00432A9E" w:rsidRDefault="006B783C" w:rsidP="00314CA1">
      <w:pPr>
        <w:spacing w:before="240"/>
      </w:pPr>
      <w:r>
        <w:t xml:space="preserve">Aby ułatwić odbiór </w:t>
      </w:r>
      <w:r w:rsidR="003369C8">
        <w:t>treści aktualizacji KPEiK</w:t>
      </w:r>
      <w:r w:rsidR="00641AE7">
        <w:t>,</w:t>
      </w:r>
      <w:r>
        <w:t xml:space="preserve"> opracowano </w:t>
      </w:r>
      <w:r w:rsidR="003369C8">
        <w:t>ją</w:t>
      </w:r>
      <w:r>
        <w:t xml:space="preserve"> w nieco zmodyfikowany sposób w</w:t>
      </w:r>
      <w:r w:rsidR="003369C8">
        <w:t> </w:t>
      </w:r>
      <w:r>
        <w:t>porównaniu do</w:t>
      </w:r>
      <w:r w:rsidR="00583F68">
        <w:t> </w:t>
      </w:r>
      <w:r w:rsidRPr="006B783C">
        <w:rPr>
          <w:i/>
          <w:iCs/>
        </w:rPr>
        <w:t xml:space="preserve">Krajowego planu na rzecz energii i </w:t>
      </w:r>
      <w:r w:rsidR="00C32B22" w:rsidRPr="006B783C">
        <w:rPr>
          <w:i/>
          <w:iCs/>
        </w:rPr>
        <w:t>klimatu</w:t>
      </w:r>
      <w:r w:rsidRPr="006B783C">
        <w:rPr>
          <w:i/>
          <w:iCs/>
        </w:rPr>
        <w:t xml:space="preserve"> na lata 2021–2030</w:t>
      </w:r>
      <w:r w:rsidR="00C234E4">
        <w:t xml:space="preserve"> z 2019 r.</w:t>
      </w:r>
      <w:r w:rsidR="00793F4E">
        <w:t xml:space="preserve"> Poniższy </w:t>
      </w:r>
      <w:r w:rsidR="00AC3125">
        <w:t xml:space="preserve">schemat </w:t>
      </w:r>
      <w:r w:rsidR="00793F4E">
        <w:t xml:space="preserve">przedstawia w uproszczony sposób </w:t>
      </w:r>
      <w:r w:rsidR="0088560C">
        <w:t xml:space="preserve">elementy i </w:t>
      </w:r>
      <w:r w:rsidR="00793F4E">
        <w:t>budowę dokumentu</w:t>
      </w:r>
      <w:r w:rsidR="0088560C">
        <w:t>. W</w:t>
      </w:r>
      <w:r w:rsidR="00793F4E">
        <w:t xml:space="preserve"> części zasadniczej </w:t>
      </w:r>
      <w:r w:rsidR="0088560C">
        <w:t>(</w:t>
      </w:r>
      <w:r w:rsidR="005C7A1F">
        <w:t>a</w:t>
      </w:r>
      <w:r w:rsidR="0088560C">
        <w:t xml:space="preserve">KPEiK) </w:t>
      </w:r>
      <w:r w:rsidR="00793F4E">
        <w:t xml:space="preserve">przedstawiono </w:t>
      </w:r>
      <w:r w:rsidR="00D6225F">
        <w:t>(II</w:t>
      </w:r>
      <w:r w:rsidR="00C27477">
        <w:t>)</w:t>
      </w:r>
      <w:r w:rsidR="00D6225F">
        <w:t> </w:t>
      </w:r>
      <w:r w:rsidR="0088560C" w:rsidRPr="0088560C">
        <w:rPr>
          <w:b/>
          <w:bCs/>
        </w:rPr>
        <w:t>ZAŁOŻENIA I CELE</w:t>
      </w:r>
      <w:r w:rsidR="0088560C">
        <w:t xml:space="preserve"> </w:t>
      </w:r>
      <w:r w:rsidR="00B97B50">
        <w:t xml:space="preserve">w pięciu wymiarach unii energetycznej w podziale na </w:t>
      </w:r>
      <w:r w:rsidR="00B97B50" w:rsidRPr="0088560C">
        <w:rPr>
          <w:b/>
          <w:bCs/>
        </w:rPr>
        <w:t>obszary</w:t>
      </w:r>
      <w:r w:rsidR="00B97B50">
        <w:t>, w</w:t>
      </w:r>
      <w:r w:rsidR="00C27477">
        <w:t> </w:t>
      </w:r>
      <w:r w:rsidR="00B97B50">
        <w:t xml:space="preserve">ramach których zgrupowano poszczególne </w:t>
      </w:r>
      <w:r w:rsidR="00B97B50" w:rsidRPr="0088560C">
        <w:rPr>
          <w:b/>
          <w:bCs/>
        </w:rPr>
        <w:t>cele</w:t>
      </w:r>
      <w:r w:rsidR="00B97B50">
        <w:t xml:space="preserve"> w ujęciu tematycznym</w:t>
      </w:r>
      <w:r w:rsidR="0088560C">
        <w:t xml:space="preserve">. </w:t>
      </w:r>
      <w:r w:rsidR="0088560C" w:rsidRPr="0088560C">
        <w:rPr>
          <w:b/>
          <w:bCs/>
        </w:rPr>
        <w:t>C</w:t>
      </w:r>
      <w:r w:rsidR="00B97B50" w:rsidRPr="0088560C">
        <w:rPr>
          <w:b/>
          <w:bCs/>
        </w:rPr>
        <w:t>el</w:t>
      </w:r>
      <w:r w:rsidR="0088560C">
        <w:rPr>
          <w:b/>
          <w:bCs/>
        </w:rPr>
        <w:t xml:space="preserve">e </w:t>
      </w:r>
      <w:r w:rsidR="0088560C">
        <w:t>(oznaczone szarym polem)</w:t>
      </w:r>
      <w:r w:rsidR="00B97B50">
        <w:t xml:space="preserve"> </w:t>
      </w:r>
      <w:r w:rsidR="0088560C">
        <w:t xml:space="preserve">poprzedza krótki </w:t>
      </w:r>
      <w:r w:rsidR="00B97B50">
        <w:t xml:space="preserve">opis </w:t>
      </w:r>
      <w:r w:rsidR="0088560C">
        <w:t xml:space="preserve">kontekstowy, a następnie zwięźle określono </w:t>
      </w:r>
      <w:r w:rsidR="0088560C" w:rsidRPr="0088560C">
        <w:rPr>
          <w:b/>
          <w:bCs/>
        </w:rPr>
        <w:t>politykę</w:t>
      </w:r>
      <w:r w:rsidR="00C27477">
        <w:t xml:space="preserve"> w zakresie ich osiągania</w:t>
      </w:r>
      <w:r w:rsidR="0088560C">
        <w:t xml:space="preserve"> oraz wylistowano </w:t>
      </w:r>
      <w:r w:rsidR="0088560C" w:rsidRPr="0088560C">
        <w:rPr>
          <w:b/>
          <w:bCs/>
        </w:rPr>
        <w:t>kluczow</w:t>
      </w:r>
      <w:r w:rsidR="0088560C">
        <w:rPr>
          <w:b/>
          <w:bCs/>
        </w:rPr>
        <w:t>e</w:t>
      </w:r>
      <w:r w:rsidR="0088560C">
        <w:t xml:space="preserve"> </w:t>
      </w:r>
      <w:r w:rsidR="0088560C" w:rsidRPr="00FB43D9">
        <w:rPr>
          <w:b/>
          <w:bCs/>
        </w:rPr>
        <w:t>działa</w:t>
      </w:r>
      <w:r w:rsidR="000840AF" w:rsidRPr="00FB43D9">
        <w:rPr>
          <w:b/>
          <w:bCs/>
        </w:rPr>
        <w:t>nia</w:t>
      </w:r>
      <w:r w:rsidR="0088560C" w:rsidRPr="00FB43D9">
        <w:t>.</w:t>
      </w:r>
      <w:r w:rsidR="001B04FC">
        <w:t xml:space="preserve"> Nazwy poszczególnych działań stanowią hiperłącza, które pozwalają na przeniesienie się do części (III) </w:t>
      </w:r>
      <w:r w:rsidR="001B04FC">
        <w:rPr>
          <w:b/>
          <w:bCs/>
        </w:rPr>
        <w:t>DZIAŁANIA</w:t>
      </w:r>
      <w:r w:rsidR="001B04FC">
        <w:t>, gdzie zabrane są wszystkie działania</w:t>
      </w:r>
      <w:r w:rsidR="001B04FC" w:rsidRPr="00FB43D9">
        <w:t xml:space="preserve"> </w:t>
      </w:r>
      <w:r w:rsidR="001B04FC">
        <w:t>wraz z opisami</w:t>
      </w:r>
      <w:r w:rsidR="000840AF" w:rsidRPr="000840AF">
        <w:t>.</w:t>
      </w:r>
      <w:r w:rsidR="00D6225F">
        <w:t xml:space="preserve"> Zostały one przyporządkowane do wymiaru unii energetycznej, ale mog</w:t>
      </w:r>
      <w:r w:rsidR="00A373B1">
        <w:t>ą</w:t>
      </w:r>
      <w:r w:rsidR="00D6225F">
        <w:t xml:space="preserve"> odnosić się również do innych wymiarów.</w:t>
      </w:r>
      <w:r w:rsidR="001B04FC" w:rsidRPr="001B04FC">
        <w:t xml:space="preserve"> </w:t>
      </w:r>
      <w:r w:rsidR="001B04FC">
        <w:t>Odwzorowanie opisanej powyżej struktury stanowi w uproszczeniu grafika poniżej.</w:t>
      </w:r>
    </w:p>
    <w:p w14:paraId="0CEB6A4A" w14:textId="3F5A9BE4" w:rsidR="00432A9E" w:rsidRDefault="00147709" w:rsidP="00D54B26">
      <w:r w:rsidRPr="00927D7E">
        <w:rPr>
          <w:noProof/>
        </w:rPr>
        <w:lastRenderedPageBreak/>
        <w:drawing>
          <wp:anchor distT="0" distB="0" distL="114300" distR="114300" simplePos="0" relativeHeight="251907584" behindDoc="0" locked="0" layoutInCell="1" allowOverlap="1" wp14:anchorId="0CE4E4B9" wp14:editId="0AA07D3D">
            <wp:simplePos x="0" y="0"/>
            <wp:positionH relativeFrom="margin">
              <wp:posOffset>33655</wp:posOffset>
            </wp:positionH>
            <wp:positionV relativeFrom="paragraph">
              <wp:posOffset>262255</wp:posOffset>
            </wp:positionV>
            <wp:extent cx="2072005" cy="2743200"/>
            <wp:effectExtent l="0" t="0" r="4445" b="0"/>
            <wp:wrapSquare wrapText="bothSides"/>
            <wp:docPr id="1564428756" name="Obraz 1" descr="Obraz zawierający tekst, zrzut ekranu, roślin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28756" name="Obraz 1" descr="Obraz zawierający tekst, zrzut ekranu, roślina&#10;&#10;Zawartość wygenerowana przez AI może być niepoprawn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2005" cy="2743200"/>
                    </a:xfrm>
                    <a:prstGeom prst="rect">
                      <a:avLst/>
                    </a:prstGeom>
                  </pic:spPr>
                </pic:pic>
              </a:graphicData>
            </a:graphic>
            <wp14:sizeRelH relativeFrom="margin">
              <wp14:pctWidth>0</wp14:pctWidth>
            </wp14:sizeRelH>
          </wp:anchor>
        </w:drawing>
      </w:r>
      <w:r w:rsidR="00927D7E" w:rsidRPr="00927D7E">
        <w:rPr>
          <w:noProof/>
        </w:rPr>
        <w:t xml:space="preserve"> </w:t>
      </w:r>
    </w:p>
    <w:p w14:paraId="034911CC" w14:textId="429DE55C" w:rsidR="00432A9E" w:rsidRDefault="007F3216" w:rsidP="00D54B26">
      <w:r w:rsidRPr="001D264E">
        <w:rPr>
          <w:noProof/>
          <w:lang w:eastAsia="pl-PL"/>
        </w:rPr>
        <w:drawing>
          <wp:anchor distT="0" distB="0" distL="114300" distR="114300" simplePos="0" relativeHeight="251592192" behindDoc="0" locked="0" layoutInCell="1" allowOverlap="1" wp14:anchorId="51AB0BF0" wp14:editId="27E7F48C">
            <wp:simplePos x="0" y="0"/>
            <wp:positionH relativeFrom="margin">
              <wp:align>right</wp:align>
            </wp:positionH>
            <wp:positionV relativeFrom="paragraph">
              <wp:posOffset>223702</wp:posOffset>
            </wp:positionV>
            <wp:extent cx="3397250" cy="4350385"/>
            <wp:effectExtent l="38100" t="38100" r="31750" b="31115"/>
            <wp:wrapTight wrapText="bothSides">
              <wp:wrapPolygon edited="0">
                <wp:start x="-242" y="-189"/>
                <wp:lineTo x="-242" y="21660"/>
                <wp:lineTo x="21681" y="21660"/>
                <wp:lineTo x="21681" y="-189"/>
                <wp:lineTo x="-242" y="-189"/>
              </wp:wrapPolygon>
            </wp:wrapTight>
            <wp:docPr id="1236898118" name="Obraz 1"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98118" name="Obraz 1" descr="Obraz zawierający tekst, zrzut ekranu, Czcionka&#10;&#10;Opis wygenerowany automatycznie"/>
                    <pic:cNvPicPr/>
                  </pic:nvPicPr>
                  <pic:blipFill rotWithShape="1">
                    <a:blip r:embed="rId26"/>
                    <a:srcRect t="-6949" b="-1"/>
                    <a:stretch/>
                  </pic:blipFill>
                  <pic:spPr bwMode="auto">
                    <a:xfrm>
                      <a:off x="0" y="0"/>
                      <a:ext cx="3397250" cy="4350385"/>
                    </a:xfrm>
                    <a:prstGeom prst="rect">
                      <a:avLst/>
                    </a:prstGeom>
                    <a:ln w="38100"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500032" behindDoc="0" locked="0" layoutInCell="1" allowOverlap="1" wp14:anchorId="67A75307" wp14:editId="1C22E5D2">
                <wp:simplePos x="0" y="0"/>
                <wp:positionH relativeFrom="column">
                  <wp:posOffset>46355</wp:posOffset>
                </wp:positionH>
                <wp:positionV relativeFrom="paragraph">
                  <wp:posOffset>2815590</wp:posOffset>
                </wp:positionV>
                <wp:extent cx="2062480" cy="2038350"/>
                <wp:effectExtent l="19050" t="19050" r="13970" b="19050"/>
                <wp:wrapNone/>
                <wp:docPr id="32072002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2480" cy="2038350"/>
                        </a:xfrm>
                        <a:prstGeom prst="rect">
                          <a:avLst/>
                        </a:prstGeom>
                        <a:solidFill>
                          <a:schemeClr val="bg1">
                            <a:lumMod val="100000"/>
                            <a:lumOff val="0"/>
                          </a:schemeClr>
                        </a:solidFill>
                        <a:ln w="38100">
                          <a:solidFill>
                            <a:schemeClr val="accent3">
                              <a:lumMod val="100000"/>
                              <a:lumOff val="0"/>
                            </a:schemeClr>
                          </a:solidFill>
                          <a:miter lim="800000"/>
                          <a:headEnd/>
                          <a:tailEnd/>
                        </a:ln>
                      </wps:spPr>
                      <wps:txbx>
                        <w:txbxContent>
                          <w:p w14:paraId="4AE5E19B" w14:textId="1408187A" w:rsidR="00C36C5C" w:rsidRPr="00793F4E" w:rsidRDefault="00C36C5C" w:rsidP="00C32B22">
                            <w:pPr>
                              <w:ind w:left="142"/>
                              <w:jc w:val="left"/>
                              <w:rPr>
                                <w:rFonts w:ascii="Bahnschrift" w:hAnsi="Bahnschrift"/>
                                <w:b/>
                                <w:bCs/>
                                <w:color w:val="000000" w:themeColor="text1"/>
                                <w:sz w:val="32"/>
                                <w:szCs w:val="36"/>
                              </w:rPr>
                            </w:pPr>
                            <w:r w:rsidRPr="00793F4E">
                              <w:rPr>
                                <w:rFonts w:ascii="Bahnschrift" w:hAnsi="Bahnschrift"/>
                                <w:b/>
                                <w:bCs/>
                                <w:color w:val="000000" w:themeColor="text1"/>
                                <w:sz w:val="32"/>
                                <w:szCs w:val="36"/>
                              </w:rPr>
                              <w:t>aKPEiK</w:t>
                            </w:r>
                          </w:p>
                          <w:p w14:paraId="0146631A" w14:textId="1580AD8E" w:rsidR="00C36C5C" w:rsidRPr="00EA1B3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Wprowadzenie</w:t>
                            </w:r>
                          </w:p>
                          <w:p w14:paraId="048EFD65" w14:textId="2B752DB8" w:rsidR="00C36C5C" w:rsidRPr="00EA1B3C" w:rsidRDefault="00C36C5C" w:rsidP="003530A9">
                            <w:pPr>
                              <w:pStyle w:val="Akapitzlist"/>
                              <w:numPr>
                                <w:ilvl w:val="0"/>
                                <w:numId w:val="10"/>
                              </w:numPr>
                              <w:spacing w:after="0"/>
                              <w:ind w:left="425" w:hanging="153"/>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Założenie i cele oraz polityki obszarowe</w:t>
                            </w:r>
                          </w:p>
                          <w:p w14:paraId="0B291AE8" w14:textId="30085FD6" w:rsidR="00C36C5C" w:rsidRPr="00EA1B3C" w:rsidRDefault="00C36C5C" w:rsidP="00D6225F">
                            <w:pPr>
                              <w:pStyle w:val="Akapitzlist"/>
                              <w:spacing w:after="60"/>
                              <w:ind w:left="425"/>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w 5 wymiarach</w:t>
                            </w:r>
                          </w:p>
                          <w:p w14:paraId="4E3877BF" w14:textId="37DDC1ED" w:rsidR="00C36C5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Działania</w:t>
                            </w:r>
                          </w:p>
                          <w:p w14:paraId="5FFD8D51" w14:textId="5CB8D5F1" w:rsidR="00C36C5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Pr>
                                <w:rFonts w:ascii="Bahnschrift" w:hAnsi="Bahnschrift"/>
                                <w:color w:val="404040" w:themeColor="text1" w:themeTint="BF"/>
                                <w:sz w:val="19"/>
                                <w:szCs w:val="19"/>
                              </w:rPr>
                              <w:t>Sposób opracowania, realizacji i monitorowania</w:t>
                            </w:r>
                          </w:p>
                          <w:p w14:paraId="66E98A2D" w14:textId="370A3FD9" w:rsidR="00C36C5C" w:rsidRPr="00EA1B3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Pr>
                                <w:rFonts w:ascii="Bahnschrift" w:hAnsi="Bahnschrift"/>
                                <w:color w:val="404040" w:themeColor="text1" w:themeTint="BF"/>
                                <w:sz w:val="19"/>
                                <w:szCs w:val="19"/>
                              </w:rPr>
                              <w:t>Współpraca regionalna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A75307" id="Rectangle 202" o:spid="_x0000_s1055" style="position:absolute;left:0;text-align:left;margin-left:3.65pt;margin-top:221.7pt;width:162.4pt;height:160.5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" fillcolor="white [3212]" strokecolor="#a5a5a5 [3206]" strokeweight="3pt">
                <v:textbox>
                  <w:txbxContent>
                    <w:p w14:paraId="4AE5E19B" w14:textId="1408187A" w:rsidR="00C36C5C" w:rsidRPr="00793F4E" w:rsidRDefault="00C36C5C" w:rsidP="00C32B22">
                      <w:pPr>
                        <w:ind w:left="142"/>
                        <w:jc w:val="left"/>
                        <w:rPr>
                          <w:rFonts w:ascii="Bahnschrift" w:hAnsi="Bahnschrift"/>
                          <w:b/>
                          <w:bCs/>
                          <w:color w:val="000000" w:themeColor="text1"/>
                          <w:sz w:val="32"/>
                          <w:szCs w:val="36"/>
                        </w:rPr>
                      </w:pPr>
                      <w:r w:rsidRPr="00793F4E">
                        <w:rPr>
                          <w:rFonts w:ascii="Bahnschrift" w:hAnsi="Bahnschrift"/>
                          <w:b/>
                          <w:bCs/>
                          <w:color w:val="000000" w:themeColor="text1"/>
                          <w:sz w:val="32"/>
                          <w:szCs w:val="36"/>
                        </w:rPr>
                        <w:t>aKPEiK</w:t>
                      </w:r>
                    </w:p>
                    <w:p w14:paraId="0146631A" w14:textId="1580AD8E" w:rsidR="00C36C5C" w:rsidRPr="00EA1B3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Wprowadzenie</w:t>
                      </w:r>
                    </w:p>
                    <w:p w14:paraId="048EFD65" w14:textId="2B752DB8" w:rsidR="00C36C5C" w:rsidRPr="00EA1B3C" w:rsidRDefault="00C36C5C" w:rsidP="003530A9">
                      <w:pPr>
                        <w:pStyle w:val="Akapitzlist"/>
                        <w:numPr>
                          <w:ilvl w:val="0"/>
                          <w:numId w:val="10"/>
                        </w:numPr>
                        <w:spacing w:after="0"/>
                        <w:ind w:left="425" w:hanging="153"/>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Założenie i cele oraz polityki obszarowe</w:t>
                      </w:r>
                    </w:p>
                    <w:p w14:paraId="0B291AE8" w14:textId="30085FD6" w:rsidR="00C36C5C" w:rsidRPr="00EA1B3C" w:rsidRDefault="00C36C5C" w:rsidP="00D6225F">
                      <w:pPr>
                        <w:pStyle w:val="Akapitzlist"/>
                        <w:spacing w:after="60"/>
                        <w:ind w:left="425"/>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w 5 wymiarach</w:t>
                      </w:r>
                    </w:p>
                    <w:p w14:paraId="4E3877BF" w14:textId="37DDC1ED" w:rsidR="00C36C5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sidRPr="00EA1B3C">
                        <w:rPr>
                          <w:rFonts w:ascii="Bahnschrift" w:hAnsi="Bahnschrift"/>
                          <w:color w:val="404040" w:themeColor="text1" w:themeTint="BF"/>
                          <w:sz w:val="19"/>
                          <w:szCs w:val="19"/>
                        </w:rPr>
                        <w:t>Działania</w:t>
                      </w:r>
                    </w:p>
                    <w:p w14:paraId="5FFD8D51" w14:textId="5CB8D5F1" w:rsidR="00C36C5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Pr>
                          <w:rFonts w:ascii="Bahnschrift" w:hAnsi="Bahnschrift"/>
                          <w:color w:val="404040" w:themeColor="text1" w:themeTint="BF"/>
                          <w:sz w:val="19"/>
                          <w:szCs w:val="19"/>
                        </w:rPr>
                        <w:t>Sposób opracowania, realizacji i monitorowania</w:t>
                      </w:r>
                    </w:p>
                    <w:p w14:paraId="66E98A2D" w14:textId="370A3FD9" w:rsidR="00C36C5C" w:rsidRPr="00EA1B3C" w:rsidRDefault="00C36C5C" w:rsidP="003530A9">
                      <w:pPr>
                        <w:pStyle w:val="Akapitzlist"/>
                        <w:numPr>
                          <w:ilvl w:val="0"/>
                          <w:numId w:val="10"/>
                        </w:numPr>
                        <w:spacing w:after="60"/>
                        <w:ind w:left="425" w:hanging="153"/>
                        <w:contextualSpacing w:val="0"/>
                        <w:jc w:val="left"/>
                        <w:rPr>
                          <w:rFonts w:ascii="Bahnschrift" w:hAnsi="Bahnschrift"/>
                          <w:color w:val="404040" w:themeColor="text1" w:themeTint="BF"/>
                          <w:sz w:val="19"/>
                          <w:szCs w:val="19"/>
                        </w:rPr>
                      </w:pPr>
                      <w:r>
                        <w:rPr>
                          <w:rFonts w:ascii="Bahnschrift" w:hAnsi="Bahnschrift"/>
                          <w:color w:val="404040" w:themeColor="text1" w:themeTint="BF"/>
                          <w:sz w:val="19"/>
                          <w:szCs w:val="19"/>
                        </w:rPr>
                        <w:t>Współpraca regionalna</w:t>
                      </w:r>
                    </w:p>
                  </w:txbxContent>
                </v:textbox>
              </v:rect>
            </w:pict>
          </mc:Fallback>
        </mc:AlternateContent>
      </w:r>
    </w:p>
    <w:p w14:paraId="42D115DA" w14:textId="6389CF76" w:rsidR="00212281" w:rsidRDefault="00212281" w:rsidP="00D54B26"/>
    <w:p w14:paraId="0F3B0840" w14:textId="229F3D5F" w:rsidR="00677406" w:rsidRDefault="00677406" w:rsidP="00D54B26"/>
    <w:p w14:paraId="664502C8" w14:textId="3B0350E5" w:rsidR="00677406" w:rsidRDefault="00677406" w:rsidP="00D54B26"/>
    <w:p w14:paraId="11E4716A" w14:textId="121B577E" w:rsidR="00677406" w:rsidRDefault="007F3216" w:rsidP="00D54B26">
      <w:r>
        <w:rPr>
          <w:rFonts w:ascii="Bahnschrift" w:hAnsi="Bahnschrift"/>
          <w:b/>
          <w:bCs/>
          <w:noProof/>
          <w:color w:val="000000" w:themeColor="text1"/>
          <w:lang w:eastAsia="pl-PL"/>
        </w:rPr>
        <w:drawing>
          <wp:anchor distT="0" distB="0" distL="114300" distR="114300" simplePos="0" relativeHeight="251593216" behindDoc="0" locked="0" layoutInCell="1" allowOverlap="1" wp14:anchorId="60DB4FFF" wp14:editId="089D7854">
            <wp:simplePos x="0" y="0"/>
            <wp:positionH relativeFrom="column">
              <wp:posOffset>1806484</wp:posOffset>
            </wp:positionH>
            <wp:positionV relativeFrom="paragraph">
              <wp:posOffset>11158</wp:posOffset>
            </wp:positionV>
            <wp:extent cx="673967" cy="673967"/>
            <wp:effectExtent l="0" t="0" r="0" b="0"/>
            <wp:wrapNone/>
            <wp:docPr id="911553509" name="Grafika 3" descr="Strzałka: zakrzywiona w prawo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53509" name="Grafika 911553509" descr="Strzałka: zakrzywiona w prawo z wypełnieniem pełnym"/>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rot="3045772" flipH="1">
                      <a:off x="0" y="0"/>
                      <a:ext cx="673967" cy="673967"/>
                    </a:xfrm>
                    <a:prstGeom prst="rect">
                      <a:avLst/>
                    </a:prstGeom>
                  </pic:spPr>
                </pic:pic>
              </a:graphicData>
            </a:graphic>
            <wp14:sizeRelH relativeFrom="page">
              <wp14:pctWidth>0</wp14:pctWidth>
            </wp14:sizeRelH>
            <wp14:sizeRelV relativeFrom="page">
              <wp14:pctHeight>0</wp14:pctHeight>
            </wp14:sizeRelV>
          </wp:anchor>
        </w:drawing>
      </w:r>
    </w:p>
    <w:p w14:paraId="376AE47A" w14:textId="15F2BAD0" w:rsidR="00677406" w:rsidRDefault="00677406" w:rsidP="00D54B26"/>
    <w:p w14:paraId="47A8344C" w14:textId="5A57787A" w:rsidR="00677406" w:rsidRDefault="00677406" w:rsidP="00D54B26"/>
    <w:p w14:paraId="205BD405" w14:textId="77777777" w:rsidR="007F3216" w:rsidRDefault="007F3216" w:rsidP="00D54B26"/>
    <w:p w14:paraId="4A271203" w14:textId="77777777" w:rsidR="007F3216" w:rsidRDefault="007F3216" w:rsidP="00D54B26"/>
    <w:p w14:paraId="5C1EA2BA" w14:textId="77777777" w:rsidR="007F3216" w:rsidRDefault="007F3216" w:rsidP="009D2834">
      <w:pPr>
        <w:spacing w:before="240"/>
      </w:pPr>
    </w:p>
    <w:p w14:paraId="361E4CCC" w14:textId="5555EAD4" w:rsidR="001A4FCA" w:rsidRDefault="001A4FCA" w:rsidP="009D2834">
      <w:pPr>
        <w:spacing w:before="240"/>
      </w:pPr>
      <w:r>
        <w:t>Do dokumentu zasadniczego opracowano sześć załączników</w:t>
      </w:r>
      <w:r w:rsidR="00614188">
        <w:t>:</w:t>
      </w:r>
    </w:p>
    <w:p w14:paraId="24B3696E" w14:textId="50A07D31" w:rsidR="00614188" w:rsidRDefault="00614188" w:rsidP="000625AC">
      <w:pPr>
        <w:pStyle w:val="Akapitzlist"/>
        <w:numPr>
          <w:ilvl w:val="0"/>
          <w:numId w:val="37"/>
        </w:numPr>
        <w:spacing w:before="80" w:after="80"/>
        <w:ind w:left="426" w:hanging="357"/>
        <w:contextualSpacing w:val="0"/>
      </w:pPr>
      <w:r>
        <w:t xml:space="preserve">Załącznik 1. </w:t>
      </w:r>
      <w:r w:rsidRPr="00D50314">
        <w:rPr>
          <w:b/>
          <w:bCs/>
        </w:rPr>
        <w:t xml:space="preserve">Scenariusz WAM </w:t>
      </w:r>
      <w:r w:rsidRPr="00614F6C">
        <w:t>–</w:t>
      </w:r>
      <w:r w:rsidR="00AC4EB6">
        <w:t xml:space="preserve"> </w:t>
      </w:r>
      <w:r w:rsidR="003509D1">
        <w:t xml:space="preserve">prognozy </w:t>
      </w:r>
      <w:r w:rsidR="00EA719E">
        <w:t xml:space="preserve">aktywnej </w:t>
      </w:r>
      <w:r>
        <w:t>transformacji (cele bieżącego dokumentu odnoszą się do scenariusza WAM);</w:t>
      </w:r>
      <w:r w:rsidR="00AC4EB6">
        <w:t xml:space="preserve"> </w:t>
      </w:r>
    </w:p>
    <w:p w14:paraId="11E078DB" w14:textId="0E3A8B1B" w:rsidR="00614188" w:rsidRDefault="00614188" w:rsidP="000625AC">
      <w:pPr>
        <w:pStyle w:val="Akapitzlist"/>
        <w:numPr>
          <w:ilvl w:val="0"/>
          <w:numId w:val="37"/>
        </w:numPr>
        <w:spacing w:before="80" w:after="80"/>
        <w:ind w:left="426" w:hanging="357"/>
        <w:contextualSpacing w:val="0"/>
      </w:pPr>
      <w:r>
        <w:t xml:space="preserve">Załącznik 2. </w:t>
      </w:r>
      <w:r w:rsidRPr="00D50314">
        <w:rPr>
          <w:b/>
          <w:bCs/>
        </w:rPr>
        <w:t>Scenariusz WEM</w:t>
      </w:r>
      <w:r>
        <w:t xml:space="preserve"> – </w:t>
      </w:r>
      <w:r w:rsidR="00664522">
        <w:t xml:space="preserve">prognozy </w:t>
      </w:r>
      <w:r w:rsidR="00EE4871">
        <w:t>transformacji w ścieżce zbliżonej do</w:t>
      </w:r>
      <w:r w:rsidR="00EA719E">
        <w:t xml:space="preserve"> „biznes jak zwykle” (</w:t>
      </w:r>
      <w:r w:rsidR="00EA719E" w:rsidRPr="00EE4871">
        <w:rPr>
          <w:i/>
          <w:iCs/>
        </w:rPr>
        <w:t>business as usual</w:t>
      </w:r>
      <w:r w:rsidR="00EA719E">
        <w:t>)</w:t>
      </w:r>
      <w:r>
        <w:t>;</w:t>
      </w:r>
    </w:p>
    <w:p w14:paraId="5E11A37A" w14:textId="33F55E40" w:rsidR="00614188" w:rsidRDefault="00614188" w:rsidP="000625AC">
      <w:pPr>
        <w:pStyle w:val="Akapitzlist"/>
        <w:numPr>
          <w:ilvl w:val="0"/>
          <w:numId w:val="37"/>
        </w:numPr>
        <w:spacing w:before="80" w:after="80"/>
        <w:ind w:left="426" w:hanging="357"/>
        <w:contextualSpacing w:val="0"/>
      </w:pPr>
      <w:r>
        <w:t>Załącznik 3</w:t>
      </w:r>
      <w:r w:rsidRPr="00D50314">
        <w:t xml:space="preserve">. </w:t>
      </w:r>
      <w:r w:rsidRPr="00D50314">
        <w:rPr>
          <w:b/>
          <w:bCs/>
        </w:rPr>
        <w:t>Założenia analityczn</w:t>
      </w:r>
      <w:r w:rsidR="007F3216">
        <w:rPr>
          <w:b/>
          <w:bCs/>
        </w:rPr>
        <w:t>e</w:t>
      </w:r>
      <w:r w:rsidRPr="00D50314">
        <w:rPr>
          <w:b/>
          <w:bCs/>
        </w:rPr>
        <w:t xml:space="preserve"> </w:t>
      </w:r>
      <w:bookmarkStart w:id="15" w:name="_Hlk175214991"/>
      <w:r w:rsidRPr="00D50314">
        <w:rPr>
          <w:b/>
          <w:bCs/>
        </w:rPr>
        <w:t>i metodyka prognozowani</w:t>
      </w:r>
      <w:bookmarkEnd w:id="15"/>
      <w:r w:rsidRPr="00D50314">
        <w:rPr>
          <w:b/>
          <w:bCs/>
        </w:rPr>
        <w:t>a</w:t>
      </w:r>
      <w:r>
        <w:t xml:space="preserve"> (dla obu scenariuszy);</w:t>
      </w:r>
    </w:p>
    <w:p w14:paraId="65DE80CC" w14:textId="0C6F51A6" w:rsidR="001A4FCA" w:rsidRDefault="005B1896" w:rsidP="000625AC">
      <w:pPr>
        <w:pStyle w:val="Akapitzlist"/>
        <w:numPr>
          <w:ilvl w:val="0"/>
          <w:numId w:val="37"/>
        </w:numPr>
        <w:spacing w:before="80" w:after="80"/>
        <w:ind w:left="426" w:hanging="357"/>
        <w:contextualSpacing w:val="0"/>
      </w:pPr>
      <w:r w:rsidRPr="00FB43D9">
        <w:t xml:space="preserve">Załącznik </w:t>
      </w:r>
      <w:r w:rsidR="001A4FCA">
        <w:t>4</w:t>
      </w:r>
      <w:r w:rsidR="00614188">
        <w:t xml:space="preserve">. </w:t>
      </w:r>
      <w:r w:rsidR="00614188" w:rsidRPr="00D50314">
        <w:rPr>
          <w:b/>
          <w:bCs/>
        </w:rPr>
        <w:t>Opis środków poprawy efektywności energetycznej i współczynnika PEF w sieci elektroenergetycznej</w:t>
      </w:r>
      <w:r w:rsidRPr="00FB43D9">
        <w:t xml:space="preserve"> </w:t>
      </w:r>
      <w:r w:rsidR="00614188">
        <w:t>(</w:t>
      </w:r>
      <w:r w:rsidRPr="00FB43D9">
        <w:t>opisuje środki mające na celu realizację wymaganych oszczędności końcowego zużycia energii, o których mowa w art. 8 ust. 1 dyrektywy 2023/1791 oraz wartości współczynnika nakładu energii pierwotnej dla energii elektrycznej z sieci elektroenergetycznej (</w:t>
      </w:r>
      <w:r w:rsidR="006E4EA1">
        <w:t xml:space="preserve">PEF, </w:t>
      </w:r>
      <w:r w:rsidRPr="00FB43D9">
        <w:t xml:space="preserve">ang. </w:t>
      </w:r>
      <w:r w:rsidRPr="006E4EA1">
        <w:rPr>
          <w:i/>
        </w:rPr>
        <w:t>Primary Energy Factor</w:t>
      </w:r>
      <w:r w:rsidRPr="00FB43D9">
        <w:t>) dla Polski</w:t>
      </w:r>
      <w:r w:rsidR="0080523D" w:rsidRPr="00FB43D9">
        <w:t xml:space="preserve">, na podstawie art. </w:t>
      </w:r>
      <w:r w:rsidR="00F42BD5" w:rsidRPr="00FB43D9">
        <w:t>31</w:t>
      </w:r>
      <w:r w:rsidR="0080523D" w:rsidRPr="00FB43D9">
        <w:t xml:space="preserve"> dyrektywy 2023/1791</w:t>
      </w:r>
      <w:r w:rsidR="00614188">
        <w:t>);</w:t>
      </w:r>
    </w:p>
    <w:p w14:paraId="334B9BC6" w14:textId="474E56C2" w:rsidR="000D00EF" w:rsidRDefault="000D00EF" w:rsidP="000625AC">
      <w:pPr>
        <w:pStyle w:val="Akapitzlist"/>
        <w:numPr>
          <w:ilvl w:val="0"/>
          <w:numId w:val="37"/>
        </w:numPr>
        <w:spacing w:before="80" w:after="80"/>
        <w:ind w:left="426" w:hanging="357"/>
        <w:contextualSpacing w:val="0"/>
      </w:pPr>
      <w:r>
        <w:t>Załącznik 5</w:t>
      </w:r>
      <w:r w:rsidR="00614188">
        <w:t>.</w:t>
      </w:r>
      <w:r>
        <w:t xml:space="preserve"> </w:t>
      </w:r>
      <w:r w:rsidR="00614188" w:rsidRPr="00D50314">
        <w:rPr>
          <w:b/>
          <w:bCs/>
        </w:rPr>
        <w:t>F</w:t>
      </w:r>
      <w:r w:rsidRPr="00D50314">
        <w:rPr>
          <w:b/>
          <w:bCs/>
        </w:rPr>
        <w:t xml:space="preserve">inansowanie transformacji klimatyczno-energetycznej </w:t>
      </w:r>
      <w:r w:rsidR="00614188">
        <w:t>(</w:t>
      </w:r>
      <w:r>
        <w:t xml:space="preserve">w tym </w:t>
      </w:r>
      <w:r w:rsidR="00614188">
        <w:t xml:space="preserve">opis </w:t>
      </w:r>
      <w:r>
        <w:t>potrzeb inwestycyjn</w:t>
      </w:r>
      <w:r w:rsidR="00614188">
        <w:t>ych)</w:t>
      </w:r>
      <w:r w:rsidR="00E051C9">
        <w:t>;</w:t>
      </w:r>
    </w:p>
    <w:p w14:paraId="5B3DE947" w14:textId="561A069A" w:rsidR="000D00EF" w:rsidRDefault="000D00EF" w:rsidP="000625AC">
      <w:pPr>
        <w:pStyle w:val="Akapitzlist"/>
        <w:numPr>
          <w:ilvl w:val="0"/>
          <w:numId w:val="37"/>
        </w:numPr>
        <w:spacing w:before="80" w:after="80"/>
        <w:ind w:left="426" w:hanging="357"/>
        <w:contextualSpacing w:val="0"/>
      </w:pPr>
      <w:r>
        <w:t>Załącznik 6</w:t>
      </w:r>
      <w:r w:rsidR="00614188">
        <w:t>.</w:t>
      </w:r>
      <w:r>
        <w:t xml:space="preserve"> </w:t>
      </w:r>
      <w:r w:rsidR="00614188" w:rsidRPr="00D50314">
        <w:rPr>
          <w:b/>
          <w:bCs/>
        </w:rPr>
        <w:t>O</w:t>
      </w:r>
      <w:r w:rsidRPr="00D50314">
        <w:rPr>
          <w:b/>
          <w:bCs/>
        </w:rPr>
        <w:t>dniesienie do zaleceń Komisji Europejskiej do projektu aKPEiK z 29 lutego 2024 r.</w:t>
      </w:r>
    </w:p>
    <w:p w14:paraId="0CB68240" w14:textId="1C227CE2" w:rsidR="001A4FCA" w:rsidRDefault="001A4FCA" w:rsidP="009D2834">
      <w:pPr>
        <w:spacing w:before="240"/>
      </w:pPr>
    </w:p>
    <w:p w14:paraId="113960F4" w14:textId="18F9C44B" w:rsidR="001A4FCA" w:rsidRDefault="001A4FCA" w:rsidP="009D2834">
      <w:pPr>
        <w:spacing w:before="240"/>
      </w:pPr>
    </w:p>
    <w:p w14:paraId="7289A6A7" w14:textId="544B67EE" w:rsidR="001A4FCA" w:rsidRDefault="001A4FCA" w:rsidP="009D2834">
      <w:pPr>
        <w:spacing w:before="240"/>
      </w:pPr>
    </w:p>
    <w:p w14:paraId="529059A4" w14:textId="5F79A4BA" w:rsidR="001A4FCA" w:rsidRDefault="001A4FCA" w:rsidP="009D2834">
      <w:pPr>
        <w:spacing w:before="240"/>
      </w:pPr>
    </w:p>
    <w:p w14:paraId="79234F8F" w14:textId="259BFF22" w:rsidR="001A4FCA" w:rsidRDefault="006F1524" w:rsidP="009D2834">
      <w:pPr>
        <w:spacing w:before="240"/>
      </w:pPr>
      <w:r w:rsidRPr="006F1524">
        <w:rPr>
          <w:noProof/>
          <w:lang w:eastAsia="pl-PL"/>
        </w:rPr>
        <w:drawing>
          <wp:anchor distT="0" distB="0" distL="114300" distR="114300" simplePos="0" relativeHeight="251572736" behindDoc="1" locked="0" layoutInCell="1" allowOverlap="1" wp14:anchorId="438D3E56" wp14:editId="163A82F5">
            <wp:simplePos x="0" y="0"/>
            <wp:positionH relativeFrom="column">
              <wp:posOffset>3583305</wp:posOffset>
            </wp:positionH>
            <wp:positionV relativeFrom="paragraph">
              <wp:posOffset>66040</wp:posOffset>
            </wp:positionV>
            <wp:extent cx="2101850" cy="2879725"/>
            <wp:effectExtent l="0" t="0" r="0" b="0"/>
            <wp:wrapNone/>
            <wp:docPr id="1137300807" name="Obraz 1" descr="Obraz zawierający tekst, osoba, zrzut ekranu, komput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00807" name="Obraz 1" descr="Obraz zawierający tekst, osoba, zrzut ekranu, komputer&#10;&#10;Opis wygenerowany automatycznie"/>
                    <pic:cNvPicPr/>
                  </pic:nvPicPr>
                  <pic:blipFill>
                    <a:blip r:embed="rId29"/>
                    <a:stretch>
                      <a:fillRect/>
                    </a:stretch>
                  </pic:blipFill>
                  <pic:spPr>
                    <a:xfrm>
                      <a:off x="0" y="0"/>
                      <a:ext cx="2101850" cy="2879725"/>
                    </a:xfrm>
                    <a:prstGeom prst="rect">
                      <a:avLst/>
                    </a:prstGeom>
                  </pic:spPr>
                </pic:pic>
              </a:graphicData>
            </a:graphic>
            <wp14:sizeRelH relativeFrom="margin">
              <wp14:pctWidth>0</wp14:pctWidth>
            </wp14:sizeRelH>
            <wp14:sizeRelV relativeFrom="margin">
              <wp14:pctHeight>0</wp14:pctHeight>
            </wp14:sizeRelV>
          </wp:anchor>
        </w:drawing>
      </w:r>
    </w:p>
    <w:p w14:paraId="7002A60D" w14:textId="6686A070" w:rsidR="001A4FCA" w:rsidRDefault="00614F6C" w:rsidP="009D2834">
      <w:pPr>
        <w:spacing w:before="240"/>
      </w:pPr>
      <w:r w:rsidRPr="00614F6C">
        <w:rPr>
          <w:noProof/>
          <w:lang w:eastAsia="pl-PL"/>
        </w:rPr>
        <w:drawing>
          <wp:anchor distT="0" distB="0" distL="114300" distR="114300" simplePos="0" relativeHeight="251573760" behindDoc="0" locked="0" layoutInCell="1" allowOverlap="1" wp14:anchorId="1F33CDE5" wp14:editId="5DBE9CD6">
            <wp:simplePos x="0" y="0"/>
            <wp:positionH relativeFrom="column">
              <wp:posOffset>502920</wp:posOffset>
            </wp:positionH>
            <wp:positionV relativeFrom="paragraph">
              <wp:posOffset>-252095</wp:posOffset>
            </wp:positionV>
            <wp:extent cx="2014964" cy="2880000"/>
            <wp:effectExtent l="0" t="0" r="4445" b="0"/>
            <wp:wrapTight wrapText="bothSides">
              <wp:wrapPolygon edited="0">
                <wp:start x="0" y="0"/>
                <wp:lineTo x="0" y="21433"/>
                <wp:lineTo x="21443" y="21433"/>
                <wp:lineTo x="21443" y="0"/>
                <wp:lineTo x="0" y="0"/>
              </wp:wrapPolygon>
            </wp:wrapTight>
            <wp:docPr id="1060613351" name="Obraz 1" descr="Obraz zawierający tekst, osoba, zrzut ekranu, komput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13351" name="Obraz 1" descr="Obraz zawierający tekst, osoba, zrzut ekranu, komputer&#10;&#10;Opis wygenerowany automatycznie"/>
                    <pic:cNvPicPr/>
                  </pic:nvPicPr>
                  <pic:blipFill>
                    <a:blip r:embed="rId30"/>
                    <a:stretch>
                      <a:fillRect/>
                    </a:stretch>
                  </pic:blipFill>
                  <pic:spPr>
                    <a:xfrm>
                      <a:off x="0" y="0"/>
                      <a:ext cx="2014964" cy="2880000"/>
                    </a:xfrm>
                    <a:prstGeom prst="rect">
                      <a:avLst/>
                    </a:prstGeom>
                  </pic:spPr>
                </pic:pic>
              </a:graphicData>
            </a:graphic>
            <wp14:sizeRelH relativeFrom="margin">
              <wp14:pctWidth>0</wp14:pctWidth>
            </wp14:sizeRelH>
            <wp14:sizeRelV relativeFrom="margin">
              <wp14:pctHeight>0</wp14:pctHeight>
            </wp14:sizeRelV>
          </wp:anchor>
        </w:drawing>
      </w:r>
    </w:p>
    <w:p w14:paraId="396169D5" w14:textId="5ADE841B" w:rsidR="001A4FCA" w:rsidRDefault="001A4FCA" w:rsidP="009D2834">
      <w:pPr>
        <w:spacing w:before="240"/>
      </w:pPr>
    </w:p>
    <w:p w14:paraId="304EFE96" w14:textId="49DE7E41" w:rsidR="001A4FCA" w:rsidRDefault="001A4FCA" w:rsidP="009D2834">
      <w:pPr>
        <w:spacing w:before="240"/>
      </w:pPr>
    </w:p>
    <w:p w14:paraId="26BB335F" w14:textId="5A1E95D0" w:rsidR="001A4FCA" w:rsidRDefault="001A4FCA" w:rsidP="009D2834">
      <w:pPr>
        <w:spacing w:before="240"/>
      </w:pPr>
    </w:p>
    <w:p w14:paraId="328661DC" w14:textId="66767AAA" w:rsidR="001A4FCA" w:rsidRDefault="00EE4871" w:rsidP="009D2834">
      <w:pPr>
        <w:spacing w:before="240"/>
      </w:pPr>
      <w:r w:rsidRPr="00EE4871">
        <w:rPr>
          <w:noProof/>
          <w:lang w:eastAsia="pl-PL"/>
        </w:rPr>
        <w:drawing>
          <wp:anchor distT="0" distB="0" distL="114300" distR="114300" simplePos="0" relativeHeight="251575808" behindDoc="0" locked="0" layoutInCell="1" allowOverlap="1" wp14:anchorId="1C226ACA" wp14:editId="5A37EF11">
            <wp:simplePos x="0" y="0"/>
            <wp:positionH relativeFrom="column">
              <wp:posOffset>2057400</wp:posOffset>
            </wp:positionH>
            <wp:positionV relativeFrom="paragraph">
              <wp:posOffset>147320</wp:posOffset>
            </wp:positionV>
            <wp:extent cx="2024348" cy="2880000"/>
            <wp:effectExtent l="0" t="0" r="0" b="0"/>
            <wp:wrapTight wrapText="bothSides">
              <wp:wrapPolygon edited="0">
                <wp:start x="0" y="0"/>
                <wp:lineTo x="0" y="21433"/>
                <wp:lineTo x="21349" y="21433"/>
                <wp:lineTo x="21349" y="0"/>
                <wp:lineTo x="0" y="0"/>
              </wp:wrapPolygon>
            </wp:wrapTight>
            <wp:docPr id="474468349" name="Obraz 1" descr="Obraz zawierający tekst, osoba, komputer,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68349" name="Obraz 1" descr="Obraz zawierający tekst, osoba, komputer, zrzut ekranu&#10;&#10;Opis wygenerowany automatycznie"/>
                    <pic:cNvPicPr/>
                  </pic:nvPicPr>
                  <pic:blipFill>
                    <a:blip r:embed="rId31"/>
                    <a:stretch>
                      <a:fillRect/>
                    </a:stretch>
                  </pic:blipFill>
                  <pic:spPr>
                    <a:xfrm>
                      <a:off x="0" y="0"/>
                      <a:ext cx="2024348" cy="2880000"/>
                    </a:xfrm>
                    <a:prstGeom prst="rect">
                      <a:avLst/>
                    </a:prstGeom>
                  </pic:spPr>
                </pic:pic>
              </a:graphicData>
            </a:graphic>
            <wp14:sizeRelH relativeFrom="margin">
              <wp14:pctWidth>0</wp14:pctWidth>
            </wp14:sizeRelH>
            <wp14:sizeRelV relativeFrom="margin">
              <wp14:pctHeight>0</wp14:pctHeight>
            </wp14:sizeRelV>
          </wp:anchor>
        </w:drawing>
      </w:r>
    </w:p>
    <w:p w14:paraId="757BEA62" w14:textId="6CDF0BA5" w:rsidR="001A4FCA" w:rsidRDefault="001A4FCA" w:rsidP="009D2834">
      <w:pPr>
        <w:spacing w:before="240"/>
      </w:pPr>
    </w:p>
    <w:p w14:paraId="0559E43B" w14:textId="18BC5768" w:rsidR="00614188" w:rsidRDefault="000268B6" w:rsidP="00614188">
      <w:pPr>
        <w:jc w:val="left"/>
      </w:pPr>
      <w:r w:rsidRPr="000268B6">
        <w:rPr>
          <w:noProof/>
        </w:rPr>
        <w:t xml:space="preserve"> </w:t>
      </w:r>
    </w:p>
    <w:p w14:paraId="7470A304" w14:textId="355451F6" w:rsidR="00614188" w:rsidRDefault="00614188" w:rsidP="00614188">
      <w:pPr>
        <w:jc w:val="left"/>
      </w:pPr>
    </w:p>
    <w:p w14:paraId="6FB97D90" w14:textId="13378378" w:rsidR="00614188" w:rsidRDefault="00614188" w:rsidP="00614188">
      <w:pPr>
        <w:jc w:val="left"/>
      </w:pPr>
    </w:p>
    <w:p w14:paraId="4D0AA5CC" w14:textId="4933FEF2" w:rsidR="00614188" w:rsidRDefault="00614188" w:rsidP="00614188">
      <w:pPr>
        <w:jc w:val="left"/>
      </w:pPr>
    </w:p>
    <w:p w14:paraId="59EABA3E" w14:textId="7071704E" w:rsidR="00614188" w:rsidRDefault="00614188" w:rsidP="00614188">
      <w:pPr>
        <w:jc w:val="left"/>
      </w:pPr>
    </w:p>
    <w:p w14:paraId="1D4DA1A6" w14:textId="6CAD583F" w:rsidR="00677406" w:rsidRDefault="00DD4568" w:rsidP="00614188">
      <w:pPr>
        <w:jc w:val="left"/>
      </w:pPr>
      <w:r w:rsidRPr="00DC32A1">
        <w:rPr>
          <w:noProof/>
          <w:lang w:eastAsia="pl-PL"/>
        </w:rPr>
        <w:drawing>
          <wp:anchor distT="0" distB="0" distL="114300" distR="114300" simplePos="0" relativeHeight="251574784" behindDoc="0" locked="0" layoutInCell="1" allowOverlap="1" wp14:anchorId="513A4F7D" wp14:editId="7493A18B">
            <wp:simplePos x="0" y="0"/>
            <wp:positionH relativeFrom="margin">
              <wp:posOffset>1643380</wp:posOffset>
            </wp:positionH>
            <wp:positionV relativeFrom="paragraph">
              <wp:posOffset>2437765</wp:posOffset>
            </wp:positionV>
            <wp:extent cx="2880000" cy="2017040"/>
            <wp:effectExtent l="0" t="0" r="0" b="2540"/>
            <wp:wrapTight wrapText="bothSides">
              <wp:wrapPolygon edited="0">
                <wp:start x="0" y="0"/>
                <wp:lineTo x="0" y="21423"/>
                <wp:lineTo x="21433" y="21423"/>
                <wp:lineTo x="21433" y="0"/>
                <wp:lineTo x="0" y="0"/>
              </wp:wrapPolygon>
            </wp:wrapTight>
            <wp:docPr id="1030926216" name="Obraz 1" descr="Obraz zawierający tekst, zrzut ekranu,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26216" name="Obraz 1" descr="Obraz zawierający tekst, zrzut ekranu, design&#10;&#10;Opis wygenerowany automatycznie"/>
                    <pic:cNvPicPr/>
                  </pic:nvPicPr>
                  <pic:blipFill>
                    <a:blip r:embed="rId32"/>
                    <a:stretch>
                      <a:fillRect/>
                    </a:stretch>
                  </pic:blipFill>
                  <pic:spPr>
                    <a:xfrm>
                      <a:off x="0" y="0"/>
                      <a:ext cx="2880000" cy="2017040"/>
                    </a:xfrm>
                    <a:prstGeom prst="rect">
                      <a:avLst/>
                    </a:prstGeom>
                  </pic:spPr>
                </pic:pic>
              </a:graphicData>
            </a:graphic>
            <wp14:sizeRelH relativeFrom="margin">
              <wp14:pctWidth>0</wp14:pctWidth>
            </wp14:sizeRelH>
            <wp14:sizeRelV relativeFrom="margin">
              <wp14:pctHeight>0</wp14:pctHeight>
            </wp14:sizeRelV>
          </wp:anchor>
        </w:drawing>
      </w:r>
      <w:r w:rsidR="00DC32A1" w:rsidRPr="006F1524">
        <w:rPr>
          <w:noProof/>
          <w:lang w:eastAsia="pl-PL"/>
        </w:rPr>
        <w:drawing>
          <wp:anchor distT="0" distB="0" distL="114300" distR="114300" simplePos="0" relativeHeight="251577856" behindDoc="0" locked="0" layoutInCell="1" allowOverlap="1" wp14:anchorId="014CBCB9" wp14:editId="0DF3245A">
            <wp:simplePos x="0" y="0"/>
            <wp:positionH relativeFrom="margin">
              <wp:posOffset>3464560</wp:posOffset>
            </wp:positionH>
            <wp:positionV relativeFrom="paragraph">
              <wp:posOffset>11430</wp:posOffset>
            </wp:positionV>
            <wp:extent cx="2042160" cy="2879725"/>
            <wp:effectExtent l="0" t="0" r="0" b="0"/>
            <wp:wrapTight wrapText="bothSides">
              <wp:wrapPolygon edited="0">
                <wp:start x="0" y="0"/>
                <wp:lineTo x="0" y="21433"/>
                <wp:lineTo x="21358" y="21433"/>
                <wp:lineTo x="21358" y="0"/>
                <wp:lineTo x="0" y="0"/>
              </wp:wrapPolygon>
            </wp:wrapTight>
            <wp:docPr id="1125185452" name="Obraz 1" descr="Obraz zawierający tekst, zrzut ekranu, roślina, donic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5452" name="Obraz 1" descr="Obraz zawierający tekst, zrzut ekranu, roślina, donica&#10;&#10;Opis wygenerowany automatycznie"/>
                    <pic:cNvPicPr/>
                  </pic:nvPicPr>
                  <pic:blipFill>
                    <a:blip r:embed="rId33"/>
                    <a:stretch>
                      <a:fillRect/>
                    </a:stretch>
                  </pic:blipFill>
                  <pic:spPr>
                    <a:xfrm>
                      <a:off x="0" y="0"/>
                      <a:ext cx="2042160" cy="2879725"/>
                    </a:xfrm>
                    <a:prstGeom prst="rect">
                      <a:avLst/>
                    </a:prstGeom>
                  </pic:spPr>
                </pic:pic>
              </a:graphicData>
            </a:graphic>
            <wp14:sizeRelH relativeFrom="margin">
              <wp14:pctWidth>0</wp14:pctWidth>
            </wp14:sizeRelH>
            <wp14:sizeRelV relativeFrom="margin">
              <wp14:pctHeight>0</wp14:pctHeight>
            </wp14:sizeRelV>
          </wp:anchor>
        </w:drawing>
      </w:r>
      <w:r w:rsidR="00DC32A1" w:rsidRPr="006F1524">
        <w:rPr>
          <w:noProof/>
          <w:lang w:eastAsia="pl-PL"/>
        </w:rPr>
        <w:drawing>
          <wp:anchor distT="0" distB="0" distL="114300" distR="114300" simplePos="0" relativeHeight="251576832" behindDoc="0" locked="0" layoutInCell="1" allowOverlap="1" wp14:anchorId="0DB590E6" wp14:editId="205F9566">
            <wp:simplePos x="0" y="0"/>
            <wp:positionH relativeFrom="column">
              <wp:posOffset>622300</wp:posOffset>
            </wp:positionH>
            <wp:positionV relativeFrom="paragraph">
              <wp:posOffset>14605</wp:posOffset>
            </wp:positionV>
            <wp:extent cx="2107710" cy="2880000"/>
            <wp:effectExtent l="0" t="0" r="6985" b="0"/>
            <wp:wrapTight wrapText="bothSides">
              <wp:wrapPolygon edited="0">
                <wp:start x="0" y="0"/>
                <wp:lineTo x="0" y="21433"/>
                <wp:lineTo x="21476" y="21433"/>
                <wp:lineTo x="21476" y="0"/>
                <wp:lineTo x="0" y="0"/>
              </wp:wrapPolygon>
            </wp:wrapTight>
            <wp:docPr id="1160259474" name="Obraz 1" descr="Obraz zawierający tekst, zrzut ekranu, projekt graficzny,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59474" name="Obraz 1" descr="Obraz zawierający tekst, zrzut ekranu, projekt graficzny, design&#10;&#10;Opis wygenerowany automatycznie"/>
                    <pic:cNvPicPr/>
                  </pic:nvPicPr>
                  <pic:blipFill>
                    <a:blip r:embed="rId34"/>
                    <a:stretch>
                      <a:fillRect/>
                    </a:stretch>
                  </pic:blipFill>
                  <pic:spPr>
                    <a:xfrm>
                      <a:off x="0" y="0"/>
                      <a:ext cx="2107710" cy="2880000"/>
                    </a:xfrm>
                    <a:prstGeom prst="rect">
                      <a:avLst/>
                    </a:prstGeom>
                  </pic:spPr>
                </pic:pic>
              </a:graphicData>
            </a:graphic>
            <wp14:sizeRelH relativeFrom="margin">
              <wp14:pctWidth>0</wp14:pctWidth>
            </wp14:sizeRelH>
            <wp14:sizeRelV relativeFrom="margin">
              <wp14:pctHeight>0</wp14:pctHeight>
            </wp14:sizeRelV>
          </wp:anchor>
        </w:drawing>
      </w:r>
      <w:r w:rsidR="00677406">
        <w:br w:type="page"/>
      </w:r>
    </w:p>
    <w:p w14:paraId="43A0539D" w14:textId="0465C10B" w:rsidR="00AA5A87" w:rsidRDefault="009E2381" w:rsidP="009E2381">
      <w:pPr>
        <w:pStyle w:val="Nagwek2"/>
        <w:numPr>
          <w:ilvl w:val="0"/>
          <w:numId w:val="0"/>
        </w:numPr>
        <w:ind w:left="567" w:hanging="567"/>
      </w:pPr>
      <w:bookmarkStart w:id="16" w:name="_Toc159598281"/>
      <w:bookmarkStart w:id="17" w:name="_Toc195897177"/>
      <w:bookmarkStart w:id="18" w:name="_Toc205203153"/>
      <w:r>
        <w:lastRenderedPageBreak/>
        <w:t xml:space="preserve">C) </w:t>
      </w:r>
      <w:r w:rsidR="00677406">
        <w:t>Scenariusz WEM i WAM</w:t>
      </w:r>
      <w:bookmarkEnd w:id="16"/>
      <w:bookmarkEnd w:id="17"/>
      <w:bookmarkEnd w:id="18"/>
    </w:p>
    <w:p w14:paraId="258E1635" w14:textId="5F50BAA1" w:rsidR="00677406" w:rsidRDefault="00677406" w:rsidP="00677406">
      <w:r>
        <w:t xml:space="preserve">Rozporządzenie UE 2018/1999 wskazuje, że KPEiK </w:t>
      </w:r>
      <w:r w:rsidR="00793F4E">
        <w:t>zawiera</w:t>
      </w:r>
      <w:r>
        <w:t xml:space="preserve"> dwa scenariusze</w:t>
      </w:r>
      <w:r w:rsidR="00793F4E">
        <w:t xml:space="preserve"> analityczne</w:t>
      </w:r>
      <w:r>
        <w:t xml:space="preserve">: scenariusz WEM – </w:t>
      </w:r>
      <w:r w:rsidR="00071177">
        <w:t xml:space="preserve">prognozy </w:t>
      </w:r>
      <w:r>
        <w:t xml:space="preserve">z istniejącymi politykami i środkami; oraz scenariusz WAM – </w:t>
      </w:r>
      <w:r w:rsidR="00071177">
        <w:t xml:space="preserve">prognozy </w:t>
      </w:r>
      <w:r>
        <w:t>z dodatkowymi politykami i</w:t>
      </w:r>
      <w:r w:rsidR="00530C4D">
        <w:t> </w:t>
      </w:r>
      <w:r>
        <w:t>środkami.</w:t>
      </w:r>
    </w:p>
    <w:p w14:paraId="2D947715" w14:textId="38D66732" w:rsidR="00D50314" w:rsidRDefault="00D50314" w:rsidP="00677406">
      <w:r>
        <w:t xml:space="preserve">Aby ułatwić odbiór i jednoznacznie wskazać, że Polska chce realizować </w:t>
      </w:r>
      <w:r w:rsidR="00EA719E">
        <w:t xml:space="preserve">aktywną </w:t>
      </w:r>
      <w:r>
        <w:t xml:space="preserve">politykę </w:t>
      </w:r>
      <w:r w:rsidR="00EA719E">
        <w:t>transformacji energetyczno-klimatycznej</w:t>
      </w:r>
      <w:r>
        <w:t xml:space="preserve">, inaczej niż </w:t>
      </w:r>
      <w:r w:rsidR="00DA2CCD">
        <w:t xml:space="preserve">we wcześniejszej wersji KPEiK </w:t>
      </w:r>
      <w:r w:rsidR="009F20A2">
        <w:t>oznaczono scenariusz WAM jako załącznik 1, a</w:t>
      </w:r>
      <w:r w:rsidR="00571E12">
        <w:t> </w:t>
      </w:r>
      <w:r w:rsidR="009F20A2">
        <w:t>scenariusz WEM jako załącznik 2.</w:t>
      </w:r>
      <w:r>
        <w:t xml:space="preserve"> </w:t>
      </w:r>
    </w:p>
    <w:p w14:paraId="67D96C2A" w14:textId="77777777" w:rsidR="00530C4D" w:rsidRDefault="00530C4D" w:rsidP="00CA6554">
      <w:pPr>
        <w:pStyle w:val="Bezodstpw"/>
      </w:pPr>
    </w:p>
    <w:p w14:paraId="1A467340" w14:textId="6F21341F" w:rsidR="00677406" w:rsidRDefault="00793F4E" w:rsidP="00C7414A">
      <w:pPr>
        <w:spacing w:after="120"/>
      </w:pPr>
      <w:r>
        <w:t>W</w:t>
      </w:r>
      <w:r w:rsidR="00710199">
        <w:t> </w:t>
      </w:r>
      <w:r>
        <w:t>aKPEIK</w:t>
      </w:r>
      <w:r w:rsidR="003352F5">
        <w:t xml:space="preserve"> </w:t>
      </w:r>
      <w:r w:rsidR="007636C1">
        <w:t xml:space="preserve">scenariusze </w:t>
      </w:r>
      <w:r w:rsidR="003352F5">
        <w:t xml:space="preserve">są </w:t>
      </w:r>
      <w:r>
        <w:t>rozumi</w:t>
      </w:r>
      <w:r w:rsidR="003352F5">
        <w:t>ane</w:t>
      </w:r>
      <w:r>
        <w:t xml:space="preserve"> w </w:t>
      </w:r>
      <w:r w:rsidR="00B97B50">
        <w:t>następujący</w:t>
      </w:r>
      <w:r>
        <w:t xml:space="preserve"> sposób:</w:t>
      </w:r>
    </w:p>
    <w:p w14:paraId="500E0495" w14:textId="3BEA8DBA" w:rsidR="00FC07BC" w:rsidRPr="003839A0" w:rsidRDefault="00FC07BC" w:rsidP="00FC07BC">
      <w:r w:rsidRPr="00B97B50">
        <w:rPr>
          <w:rFonts w:ascii="Bahnschrift" w:hAnsi="Bahnschrift"/>
          <w:b/>
          <w:bCs/>
          <w:color w:val="008000"/>
          <w:sz w:val="24"/>
          <w:szCs w:val="28"/>
        </w:rPr>
        <w:t>Scenariusz WAM</w:t>
      </w:r>
      <w:r w:rsidRPr="00B97B50">
        <w:rPr>
          <w:sz w:val="24"/>
          <w:szCs w:val="28"/>
        </w:rPr>
        <w:t xml:space="preserve"> </w:t>
      </w:r>
      <w:r w:rsidRPr="00B97B50">
        <w:t xml:space="preserve">(załącznik </w:t>
      </w:r>
      <w:r>
        <w:t>1</w:t>
      </w:r>
      <w:r w:rsidRPr="00B97B50">
        <w:t>)</w:t>
      </w:r>
      <w:r>
        <w:rPr>
          <w:sz w:val="24"/>
          <w:szCs w:val="28"/>
        </w:rPr>
        <w:t xml:space="preserve"> </w:t>
      </w:r>
      <w:r>
        <w:t xml:space="preserve">rozumiany jest </w:t>
      </w:r>
      <w:r w:rsidRPr="003839A0">
        <w:t xml:space="preserve">jako </w:t>
      </w:r>
      <w:r w:rsidRPr="0005231E">
        <w:rPr>
          <w:b/>
          <w:bCs/>
        </w:rPr>
        <w:t xml:space="preserve">scenariusz </w:t>
      </w:r>
      <w:r w:rsidR="00EA719E" w:rsidRPr="0005231E">
        <w:rPr>
          <w:b/>
          <w:bCs/>
        </w:rPr>
        <w:t xml:space="preserve">aktywnej </w:t>
      </w:r>
      <w:r w:rsidRPr="0005231E">
        <w:rPr>
          <w:b/>
          <w:bCs/>
        </w:rPr>
        <w:t>transformacji</w:t>
      </w:r>
      <w:r>
        <w:t>, dążący do</w:t>
      </w:r>
      <w:r w:rsidR="00DC5106">
        <w:t> </w:t>
      </w:r>
      <w:r>
        <w:t xml:space="preserve">realizacji założeń i celów </w:t>
      </w:r>
      <w:r w:rsidRPr="004A21D2">
        <w:rPr>
          <w:i/>
          <w:iCs/>
        </w:rPr>
        <w:t>Fit for 55</w:t>
      </w:r>
      <w:r>
        <w:t>.</w:t>
      </w:r>
      <w:r w:rsidRPr="003839A0">
        <w:t xml:space="preserve"> </w:t>
      </w:r>
      <w:r>
        <w:t xml:space="preserve">Przewiduje </w:t>
      </w:r>
      <w:r w:rsidRPr="003839A0">
        <w:t xml:space="preserve">wdrażanie nowych </w:t>
      </w:r>
      <w:r w:rsidRPr="00E70F29">
        <w:t>instrumentów polityki klimatyczno-energetycznej</w:t>
      </w:r>
      <w:r>
        <w:t xml:space="preserve"> w stosunku do </w:t>
      </w:r>
      <w:r w:rsidR="002F3F8A">
        <w:t>dotychczasowych rozwiązań</w:t>
      </w:r>
      <w:r w:rsidRPr="00E70F29">
        <w:t xml:space="preserve">, celem przyspieszenia </w:t>
      </w:r>
      <w:r w:rsidR="00B30588">
        <w:t>rozwoju i</w:t>
      </w:r>
      <w:r w:rsidR="00571E12">
        <w:t> </w:t>
      </w:r>
      <w:r w:rsidR="00B30588">
        <w:t>konkurencyjności oraz</w:t>
      </w:r>
      <w:r w:rsidRPr="00E70F29">
        <w:t xml:space="preserve"> dążenia do neutralności klimatycznej. </w:t>
      </w:r>
      <w:r w:rsidR="000C60E4">
        <w:t xml:space="preserve">Mimo tego, że scenariusz WAM wskazuje </w:t>
      </w:r>
      <w:r w:rsidR="00B30588">
        <w:t xml:space="preserve">szerszy wachlarz rozwiązań i działań inwestycyjnych, </w:t>
      </w:r>
      <w:r w:rsidR="001E018F">
        <w:t xml:space="preserve">opracowane prognozy wskazują, że </w:t>
      </w:r>
      <w:r w:rsidR="00B30588">
        <w:t>Polska osiąga w</w:t>
      </w:r>
      <w:r w:rsidR="00056F39">
        <w:t> </w:t>
      </w:r>
      <w:r w:rsidR="00B30588">
        <w:t xml:space="preserve">nim tylko część wskaźników i celów zawartych w pakiecie Fit for 55, w tym </w:t>
      </w:r>
      <w:r w:rsidR="000C60E4">
        <w:t>5</w:t>
      </w:r>
      <w:r w:rsidR="00C81E5A">
        <w:t>3,9</w:t>
      </w:r>
      <w:r w:rsidR="000C60E4">
        <w:t>% redukcji emisji gazów cieplarnianych</w:t>
      </w:r>
      <w:r w:rsidR="00B30588">
        <w:t xml:space="preserve"> (w</w:t>
      </w:r>
      <w:r w:rsidR="00571E12">
        <w:t> </w:t>
      </w:r>
      <w:r w:rsidR="00B30588">
        <w:t>porównaniu do celu UE na poziomie 55%). Wynika to ze znacznego zapóźnienia w</w:t>
      </w:r>
      <w:r w:rsidR="00056F39">
        <w:t> </w:t>
      </w:r>
      <w:r w:rsidR="00B30588">
        <w:t>procesie transformacji i niedługiego horyzontu czasowego pozostałego do 2030</w:t>
      </w:r>
      <w:r w:rsidR="00E07C7E">
        <w:t xml:space="preserve"> r.</w:t>
      </w:r>
      <w:r w:rsidR="00B30588">
        <w:t>, co znacząco determinuje możliwości wdrożenia nowych inwestycji i rozwiązań. Niemniej jednak w perspektywie do 2040</w:t>
      </w:r>
      <w:r w:rsidR="00571E12">
        <w:t xml:space="preserve"> r.</w:t>
      </w:r>
      <w:r w:rsidR="00B30588">
        <w:t xml:space="preserve"> Polska jest w stanie znacząco przyspieszyć proces transformacji, a co za tym idzie – wyraźnie poprawić główne wskaźniki gospodarcze i klimatyczne oraz znacząco obniżyć koszty wytwarzania energii. </w:t>
      </w:r>
    </w:p>
    <w:p w14:paraId="53626168" w14:textId="6295A6CA" w:rsidR="00A8085C" w:rsidRDefault="00793F4E" w:rsidP="00B97B50">
      <w:pPr>
        <w:spacing w:after="80"/>
      </w:pPr>
      <w:r w:rsidRPr="00B97B50">
        <w:rPr>
          <w:rFonts w:ascii="Bahnschrift" w:hAnsi="Bahnschrift"/>
          <w:b/>
          <w:bCs/>
          <w:color w:val="0070C0"/>
          <w:sz w:val="24"/>
          <w:szCs w:val="28"/>
        </w:rPr>
        <w:t>Scenariusz WEM</w:t>
      </w:r>
      <w:r w:rsidRPr="00B97B50">
        <w:rPr>
          <w:color w:val="0070C0"/>
          <w:sz w:val="24"/>
          <w:szCs w:val="28"/>
        </w:rPr>
        <w:t xml:space="preserve"> </w:t>
      </w:r>
      <w:r w:rsidR="00B97B50">
        <w:t xml:space="preserve">(załącznik </w:t>
      </w:r>
      <w:r w:rsidR="00DC0C8A">
        <w:t>2</w:t>
      </w:r>
      <w:r w:rsidR="00B97B50">
        <w:t xml:space="preserve">) </w:t>
      </w:r>
      <w:r>
        <w:t>rozumiany jest jako</w:t>
      </w:r>
      <w:r w:rsidR="001C0370">
        <w:t xml:space="preserve"> </w:t>
      </w:r>
      <w:r w:rsidRPr="00B97B50">
        <w:rPr>
          <w:b/>
          <w:bCs/>
        </w:rPr>
        <w:t>scenariusz transformacji</w:t>
      </w:r>
      <w:r w:rsidR="00571E12">
        <w:rPr>
          <w:b/>
          <w:bCs/>
        </w:rPr>
        <w:t xml:space="preserve"> </w:t>
      </w:r>
      <w:r w:rsidR="0067520E" w:rsidRPr="00F44110">
        <w:rPr>
          <w:i/>
          <w:iCs/>
        </w:rPr>
        <w:t>business as usual</w:t>
      </w:r>
      <w:r w:rsidR="0067520E">
        <w:rPr>
          <w:i/>
          <w:iCs/>
        </w:rPr>
        <w:t xml:space="preserve"> (biznes jak zwykle)</w:t>
      </w:r>
      <w:r w:rsidR="0067520E" w:rsidRPr="00A20883">
        <w:t xml:space="preserve"> </w:t>
      </w:r>
      <w:r w:rsidRPr="00A20883">
        <w:t>– prognozy</w:t>
      </w:r>
      <w:r>
        <w:t xml:space="preserve"> </w:t>
      </w:r>
      <w:r w:rsidR="009F20A2">
        <w:t xml:space="preserve">opierają się na </w:t>
      </w:r>
      <w:r w:rsidR="00B34B5F">
        <w:t xml:space="preserve">założeniu zbliżonego do aktualnego </w:t>
      </w:r>
      <w:r w:rsidR="009F20A2">
        <w:t xml:space="preserve">tempa rozwoju </w:t>
      </w:r>
      <w:r>
        <w:t>techniczn</w:t>
      </w:r>
      <w:r w:rsidR="009F20A2">
        <w:t>ego</w:t>
      </w:r>
      <w:r>
        <w:t>, organizacyjn</w:t>
      </w:r>
      <w:r w:rsidR="009F20A2">
        <w:t>ego</w:t>
      </w:r>
      <w:r>
        <w:t xml:space="preserve"> i</w:t>
      </w:r>
      <w:r w:rsidR="00530C4D">
        <w:t> </w:t>
      </w:r>
      <w:r>
        <w:t>ekonomiczn</w:t>
      </w:r>
      <w:r w:rsidR="00A8085C">
        <w:t>ego</w:t>
      </w:r>
      <w:r w:rsidR="00B97B50">
        <w:t xml:space="preserve">. </w:t>
      </w:r>
    </w:p>
    <w:p w14:paraId="1DD15C06" w14:textId="77777777" w:rsidR="00A8085C" w:rsidRDefault="00A8085C" w:rsidP="00B97B50">
      <w:pPr>
        <w:spacing w:after="80"/>
      </w:pPr>
    </w:p>
    <w:p w14:paraId="2A0E00E5" w14:textId="0544A037" w:rsidR="00793F4E" w:rsidRDefault="00A8085C" w:rsidP="00B97B50">
      <w:pPr>
        <w:spacing w:after="80"/>
      </w:pPr>
      <w:r>
        <w:t>Warto podkreślić, że w obu scenariuszach – o</w:t>
      </w:r>
      <w:r w:rsidR="00793F4E">
        <w:t xml:space="preserve">bok trendów związanych z dążeniem do </w:t>
      </w:r>
      <w:r w:rsidR="00B30588">
        <w:t>zero</w:t>
      </w:r>
      <w:r w:rsidR="00793F4E">
        <w:t>emisyjności</w:t>
      </w:r>
      <w:r w:rsidR="00422A69">
        <w:t>,</w:t>
      </w:r>
      <w:r w:rsidR="00793F4E">
        <w:t xml:space="preserve"> pod uwagę brane </w:t>
      </w:r>
      <w:r>
        <w:t>były również inne aspekty</w:t>
      </w:r>
      <w:r w:rsidR="006E709D">
        <w:t>,</w:t>
      </w:r>
      <w:r>
        <w:t xml:space="preserve"> </w:t>
      </w:r>
      <w:r w:rsidR="00793F4E">
        <w:t>w szczególności:</w:t>
      </w:r>
    </w:p>
    <w:p w14:paraId="33A7194D" w14:textId="34C32384" w:rsidR="00B97B50" w:rsidRDefault="00793F4E" w:rsidP="003530A9">
      <w:pPr>
        <w:pStyle w:val="Akapitzlist"/>
        <w:numPr>
          <w:ilvl w:val="2"/>
          <w:numId w:val="7"/>
        </w:numPr>
        <w:spacing w:after="80"/>
        <w:ind w:left="426"/>
        <w:contextualSpacing w:val="0"/>
      </w:pPr>
      <w:r>
        <w:t xml:space="preserve">w sektorze energetycznym – technicznie możliwe tempo odstawień źródeł węglowych, tak aby przyrostowi mocy zeroemisyjnych towarzyszył </w:t>
      </w:r>
      <w:r w:rsidR="007636C1">
        <w:t xml:space="preserve">adekwatny poziom mocy dyspozycyjnych oraz </w:t>
      </w:r>
      <w:r>
        <w:t xml:space="preserve">rozwój technologii i rozwiązań gwarantujących </w:t>
      </w:r>
      <w:r w:rsidRPr="007509CC">
        <w:rPr>
          <w:b/>
          <w:bCs/>
        </w:rPr>
        <w:t>pewnoś</w:t>
      </w:r>
      <w:r w:rsidR="007636C1">
        <w:rPr>
          <w:b/>
          <w:bCs/>
        </w:rPr>
        <w:t>ć i stabilność</w:t>
      </w:r>
      <w:r w:rsidRPr="007509CC">
        <w:rPr>
          <w:b/>
          <w:bCs/>
        </w:rPr>
        <w:t xml:space="preserve"> dostaw energii</w:t>
      </w:r>
      <w:r>
        <w:t xml:space="preserve"> (wystarczalność mocy); </w:t>
      </w:r>
      <w:r w:rsidR="007636C1">
        <w:t>bran</w:t>
      </w:r>
      <w:r w:rsidR="00284572">
        <w:t xml:space="preserve">e są pod uwagę trwające i planowane inwestycje, </w:t>
      </w:r>
      <w:r>
        <w:t>dostępność nowych technologii, które zagwarantują rezerwowanie OZE</w:t>
      </w:r>
      <w:r w:rsidR="006D6589">
        <w:t>,</w:t>
      </w:r>
      <w:r>
        <w:t xml:space="preserve"> </w:t>
      </w:r>
      <w:r w:rsidR="00FC6BEA">
        <w:t xml:space="preserve">przeprowadzona jest </w:t>
      </w:r>
      <w:r w:rsidR="00284572">
        <w:t xml:space="preserve">optymalizacja ekonomiczna w symulacjach prognostycznych opartych na modelach sektorowych, </w:t>
      </w:r>
    </w:p>
    <w:p w14:paraId="1E4E61F3" w14:textId="38E26707" w:rsidR="00B97B50" w:rsidRPr="001D643A" w:rsidRDefault="00793F4E" w:rsidP="003530A9">
      <w:pPr>
        <w:pStyle w:val="Akapitzlist"/>
        <w:numPr>
          <w:ilvl w:val="2"/>
          <w:numId w:val="7"/>
        </w:numPr>
        <w:spacing w:after="80"/>
        <w:ind w:left="426"/>
        <w:contextualSpacing w:val="0"/>
      </w:pPr>
      <w:r>
        <w:t>w przemyśle – ocena</w:t>
      </w:r>
      <w:r w:rsidR="00A8085C">
        <w:t xml:space="preserve"> </w:t>
      </w:r>
      <w:r>
        <w:t>tempa i głębokości zmian, które mogą zajść w przedsiębiorstwach – mając na względzie nakłady, techniczną możliwość zmiany urządzeń</w:t>
      </w:r>
      <w:r w:rsidR="006D6589">
        <w:t xml:space="preserve"> i procesów</w:t>
      </w:r>
      <w:r>
        <w:t xml:space="preserve"> </w:t>
      </w:r>
      <w:r w:rsidRPr="00B97B50">
        <w:t>oraz dostępność nowych</w:t>
      </w:r>
      <w:r>
        <w:t xml:space="preserve"> </w:t>
      </w:r>
      <w:r w:rsidRPr="001D643A">
        <w:t>technologii</w:t>
      </w:r>
      <w:r w:rsidR="006D6589">
        <w:t>,</w:t>
      </w:r>
    </w:p>
    <w:p w14:paraId="3009F91B" w14:textId="1430D2EC" w:rsidR="00B97B50" w:rsidRPr="001D643A" w:rsidRDefault="00793F4E" w:rsidP="003530A9">
      <w:pPr>
        <w:pStyle w:val="Akapitzlist"/>
        <w:numPr>
          <w:ilvl w:val="2"/>
          <w:numId w:val="7"/>
        </w:numPr>
        <w:spacing w:after="80"/>
        <w:ind w:left="426"/>
        <w:contextualSpacing w:val="0"/>
      </w:pPr>
      <w:r w:rsidRPr="001D643A">
        <w:t>wpływ na rynek pracy – poza wsparciem pracowników związanych z gospodarką węglową uwzględni</w:t>
      </w:r>
      <w:r w:rsidR="001D643A" w:rsidRPr="001D643A">
        <w:t>a się</w:t>
      </w:r>
      <w:r w:rsidRPr="001D643A">
        <w:t xml:space="preserve"> to, że wygenerowane w ramach transformacji miejsca pracy powinny być trwałe</w:t>
      </w:r>
      <w:r w:rsidR="00C908A2">
        <w:t xml:space="preserve">, o wysokiej wartości dodanej </w:t>
      </w:r>
      <w:r w:rsidR="00815A26">
        <w:t>i</w:t>
      </w:r>
      <w:r w:rsidR="00C908A2">
        <w:t> </w:t>
      </w:r>
      <w:r w:rsidR="009C618B">
        <w:t xml:space="preserve">wzmacniające rozwój </w:t>
      </w:r>
      <w:r w:rsidR="00D33059">
        <w:t>kompetencj</w:t>
      </w:r>
      <w:r w:rsidR="009C618B">
        <w:t>i</w:t>
      </w:r>
      <w:r w:rsidR="00815A26">
        <w:t>,</w:t>
      </w:r>
      <w:r w:rsidR="001078E9">
        <w:t xml:space="preserve"> </w:t>
      </w:r>
    </w:p>
    <w:p w14:paraId="2BD687C7" w14:textId="4A0B28CA" w:rsidR="00530C4D" w:rsidRDefault="00793F4E" w:rsidP="003530A9">
      <w:pPr>
        <w:pStyle w:val="Akapitzlist"/>
        <w:numPr>
          <w:ilvl w:val="0"/>
          <w:numId w:val="8"/>
        </w:numPr>
        <w:spacing w:after="80"/>
        <w:ind w:left="425" w:hanging="357"/>
        <w:contextualSpacing w:val="0"/>
        <w:sectPr w:rsidR="00530C4D" w:rsidSect="005209BA">
          <w:headerReference w:type="even" r:id="rId35"/>
          <w:headerReference w:type="default" r:id="rId36"/>
          <w:headerReference w:type="first" r:id="rId37"/>
          <w:pgSz w:w="11906" w:h="16838"/>
          <w:pgMar w:top="1417" w:right="1417" w:bottom="1417" w:left="1417" w:header="708" w:footer="708" w:gutter="0"/>
          <w:cols w:space="708"/>
          <w:docGrid w:linePitch="360"/>
        </w:sectPr>
      </w:pPr>
      <w:r>
        <w:t xml:space="preserve">wpływ na rozwój gospodarczy – przyjmuje się, że </w:t>
      </w:r>
      <w:r w:rsidR="00795826">
        <w:t xml:space="preserve">dążenie do </w:t>
      </w:r>
      <w:r w:rsidR="00FE3A61">
        <w:t xml:space="preserve">redukcji emisji gazów cieplarnianych oraz obniżenia </w:t>
      </w:r>
      <w:r w:rsidR="00795826">
        <w:t>zużycia energii</w:t>
      </w:r>
      <w:r w:rsidR="00C600E0">
        <w:t xml:space="preserve"> </w:t>
      </w:r>
      <w:r w:rsidR="00795826">
        <w:t xml:space="preserve">nie powinno </w:t>
      </w:r>
      <w:r w:rsidR="001D643A">
        <w:t>ograniczać</w:t>
      </w:r>
      <w:r w:rsidR="00795826">
        <w:t xml:space="preserve"> rozw</w:t>
      </w:r>
      <w:r w:rsidR="001D643A">
        <w:t>oju</w:t>
      </w:r>
      <w:r w:rsidR="00795826">
        <w:t xml:space="preserve"> gospodarcz</w:t>
      </w:r>
      <w:r w:rsidR="001D643A">
        <w:t>ego</w:t>
      </w:r>
      <w:r w:rsidR="00795826">
        <w:t xml:space="preserve"> Polski</w:t>
      </w:r>
      <w:r w:rsidR="0020457B">
        <w:t>, wręcz przeciwnie – ma sprzyjać rozwojowi i poprawie konkurencyjności na arenie europejskiej i globalnej</w:t>
      </w:r>
      <w:r w:rsidR="00795826">
        <w:t>.</w:t>
      </w:r>
    </w:p>
    <w:p w14:paraId="163D5CCE" w14:textId="7FB4CBA8" w:rsidR="00BE10C2" w:rsidRDefault="00CE5AEF" w:rsidP="00FF5725">
      <w:r w:rsidRPr="00D165C3">
        <w:rPr>
          <w:noProof/>
          <w:lang w:eastAsia="pl-PL"/>
        </w:rPr>
        <w:lastRenderedPageBreak/>
        <w:drawing>
          <wp:anchor distT="0" distB="0" distL="114300" distR="114300" simplePos="0" relativeHeight="251437568" behindDoc="0" locked="0" layoutInCell="1" allowOverlap="1" wp14:anchorId="277C3B23" wp14:editId="0DF99F49">
            <wp:simplePos x="0" y="0"/>
            <wp:positionH relativeFrom="margin">
              <wp:align>center</wp:align>
            </wp:positionH>
            <wp:positionV relativeFrom="paragraph">
              <wp:posOffset>-582295</wp:posOffset>
            </wp:positionV>
            <wp:extent cx="6983730" cy="7580630"/>
            <wp:effectExtent l="0" t="0" r="7620" b="1270"/>
            <wp:wrapNone/>
            <wp:docPr id="10" name="Obraz 9" descr="Obraz zawierający osoba, paznokieć, w pomieszczeniu, tekst&#10;&#10;Opis wygenerowany automatycznie">
              <a:extLst xmlns:a="http://schemas.openxmlformats.org/drawingml/2006/main">
                <a:ext uri="{FF2B5EF4-FFF2-40B4-BE49-F238E27FC236}">
                  <a16:creationId xmlns:a16="http://schemas.microsoft.com/office/drawing/2014/main" id="{4A91F2C6-AF31-BFD0-E940-5161F468A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9" descr="Obraz zawierający osoba, paznokieć, w pomieszczeniu, tekst&#10;&#10;Opis wygenerowany automatycznie">
                      <a:extLst>
                        <a:ext uri="{FF2B5EF4-FFF2-40B4-BE49-F238E27FC236}">
                          <a16:creationId xmlns:a16="http://schemas.microsoft.com/office/drawing/2014/main" id="{4A91F2C6-AF31-BFD0-E940-5161F468AE66}"/>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a:stretch/>
                  </pic:blipFill>
                  <pic:spPr>
                    <a:xfrm>
                      <a:off x="0" y="0"/>
                      <a:ext cx="6983730" cy="7580630"/>
                    </a:xfrm>
                    <a:prstGeom prst="rect">
                      <a:avLst/>
                    </a:prstGeom>
                  </pic:spPr>
                </pic:pic>
              </a:graphicData>
            </a:graphic>
            <wp14:sizeRelH relativeFrom="page">
              <wp14:pctWidth>0</wp14:pctWidth>
            </wp14:sizeRelH>
            <wp14:sizeRelV relativeFrom="page">
              <wp14:pctHeight>0</wp14:pctHeight>
            </wp14:sizeRelV>
          </wp:anchor>
        </w:drawing>
      </w:r>
    </w:p>
    <w:p w14:paraId="23280032" w14:textId="06A8403B" w:rsidR="00E4780F" w:rsidRDefault="00E4780F" w:rsidP="00E4780F"/>
    <w:p w14:paraId="3B734584" w14:textId="46BDB8D0" w:rsidR="00200D01" w:rsidRDefault="004429F3" w:rsidP="00E4780F">
      <w:pPr>
        <w:pStyle w:val="Nagwek1"/>
        <w:jc w:val="center"/>
      </w:pPr>
      <w:bookmarkStart w:id="19" w:name="_Toc159598282"/>
      <w:bookmarkStart w:id="20" w:name="_Toc195897178"/>
      <w:bookmarkStart w:id="21" w:name="_Toc205203154"/>
      <w:r>
        <w:t>Z</w:t>
      </w:r>
      <w:r w:rsidR="00200D01">
        <w:t>AŁOŻENIA I CEL</w:t>
      </w:r>
      <w:r>
        <w:t>E</w:t>
      </w:r>
      <w:r w:rsidR="00EF4A99">
        <w:t xml:space="preserve"> ORAZ POLITYKI OBSZAROWE</w:t>
      </w:r>
      <w:bookmarkEnd w:id="19"/>
      <w:bookmarkEnd w:id="20"/>
      <w:bookmarkEnd w:id="21"/>
    </w:p>
    <w:p w14:paraId="640F22FD" w14:textId="6E1828B9" w:rsidR="00E80B03" w:rsidRPr="00E80B03" w:rsidRDefault="00E80B03" w:rsidP="00E80B03"/>
    <w:p w14:paraId="4464D53C" w14:textId="5C953360" w:rsidR="008D7F51" w:rsidRDefault="00CE5AEF" w:rsidP="00E4780F">
      <w:r>
        <w:rPr>
          <w:noProof/>
          <w:lang w:eastAsia="pl-PL"/>
        </w:rPr>
        <mc:AlternateContent>
          <mc:Choice Requires="wps">
            <w:drawing>
              <wp:anchor distT="0" distB="0" distL="114300" distR="114300" simplePos="0" relativeHeight="251400704" behindDoc="0" locked="0" layoutInCell="1" allowOverlap="1" wp14:anchorId="6D4BD5B6" wp14:editId="7FD4C7EF">
                <wp:simplePos x="0" y="0"/>
                <wp:positionH relativeFrom="margin">
                  <wp:align>left</wp:align>
                </wp:positionH>
                <wp:positionV relativeFrom="paragraph">
                  <wp:posOffset>6724650</wp:posOffset>
                </wp:positionV>
                <wp:extent cx="5606415" cy="540385"/>
                <wp:effectExtent l="0" t="0" r="0" b="0"/>
                <wp:wrapNone/>
                <wp:docPr id="15342629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540385"/>
                        </a:xfrm>
                        <a:prstGeom prst="rect">
                          <a:avLst/>
                        </a:prstGeom>
                      </wps:spPr>
                      <wps:txbx>
                        <w:txbxContent>
                          <w:p w14:paraId="35AB4B7D" w14:textId="77777777" w:rsidR="00C36C5C" w:rsidRDefault="00C36C5C" w:rsidP="00EF4A99">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 5 wymiarach unii energetycznej</w:t>
                            </w:r>
                          </w:p>
                        </w:txbxContent>
                      </wps:txbx>
                      <wps:bodyPr vert="horz" lIns="91440" tIns="45720" rIns="91440" bIns="45720" rtlCol="0" anchor="ctr">
                        <a:noAutofit/>
                      </wps:bodyPr>
                    </wps:wsp>
                  </a:graphicData>
                </a:graphic>
                <wp14:sizeRelH relativeFrom="page">
                  <wp14:pctWidth>0</wp14:pctWidth>
                </wp14:sizeRelH>
                <wp14:sizeRelV relativeFrom="margin">
                  <wp14:pctHeight>0</wp14:pctHeight>
                </wp14:sizeRelV>
              </wp:anchor>
            </w:drawing>
          </mc:Choice>
          <mc:Fallback>
            <w:pict>
              <v:shape w14:anchorId="6D4BD5B6" id="Pole tekstowe 82" o:spid="_x0000_s1056" type="#_x0000_t202" style="position:absolute;left:0;text-align:left;margin-left:0;margin-top:529.5pt;width:441.45pt;height:42.55pt;z-index:25140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" filled="f" stroked="f">
                <v:textbox>
                  <w:txbxContent>
                    <w:p w14:paraId="35AB4B7D" w14:textId="77777777" w:rsidR="00C36C5C" w:rsidRDefault="00C36C5C" w:rsidP="00EF4A99">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 5 wymiarach unii energetycznej</w:t>
                      </w:r>
                    </w:p>
                  </w:txbxContent>
                </v:textbox>
                <w10:wrap anchorx="margin"/>
              </v:shape>
            </w:pict>
          </mc:Fallback>
        </mc:AlternateContent>
      </w:r>
      <w:r>
        <w:rPr>
          <w:noProof/>
          <w:lang w:eastAsia="pl-PL"/>
        </w:rPr>
        <mc:AlternateContent>
          <mc:Choice Requires="wps">
            <w:drawing>
              <wp:anchor distT="0" distB="0" distL="114300" distR="114300" simplePos="0" relativeHeight="251399680" behindDoc="0" locked="0" layoutInCell="1" allowOverlap="1" wp14:anchorId="2466A23A" wp14:editId="705ECC69">
                <wp:simplePos x="0" y="0"/>
                <wp:positionH relativeFrom="margin">
                  <wp:align>center</wp:align>
                </wp:positionH>
                <wp:positionV relativeFrom="paragraph">
                  <wp:posOffset>5534025</wp:posOffset>
                </wp:positionV>
                <wp:extent cx="5606415" cy="1219200"/>
                <wp:effectExtent l="0" t="0" r="0" b="0"/>
                <wp:wrapNone/>
                <wp:docPr id="1326142748" name="Pole tekstow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1219200"/>
                        </a:xfrm>
                        <a:prstGeom prst="rect">
                          <a:avLst/>
                        </a:prstGeom>
                      </wps:spPr>
                      <wps:txbx>
                        <w:txbxContent>
                          <w:p w14:paraId="74ABF24E" w14:textId="7D79B35A" w:rsidR="00C36C5C" w:rsidRPr="00EF4A99" w:rsidRDefault="00C36C5C" w:rsidP="00EF4A99">
                            <w:pPr>
                              <w:spacing w:line="240" w:lineRule="auto"/>
                              <w:jc w:val="center"/>
                              <w:rPr>
                                <w:rFonts w:ascii="Bahnschrift" w:hAnsi="Bahnschrift"/>
                                <w:b/>
                                <w:bCs/>
                                <w:color w:val="444661"/>
                                <w:kern w:val="24"/>
                                <w:sz w:val="64"/>
                                <w:szCs w:val="64"/>
                                <w14:ligatures w14:val="none"/>
                              </w:rPr>
                            </w:pPr>
                            <w:r>
                              <w:rPr>
                                <w:rFonts w:ascii="Bahnschrift" w:hAnsi="Bahnschrift"/>
                                <w:b/>
                                <w:bCs/>
                                <w:color w:val="444661"/>
                                <w:kern w:val="24"/>
                                <w:sz w:val="64"/>
                                <w:szCs w:val="64"/>
                              </w:rPr>
                              <w:t xml:space="preserve">II. </w:t>
                            </w:r>
                            <w:r w:rsidRPr="00EF4A99">
                              <w:rPr>
                                <w:rFonts w:ascii="Bahnschrift" w:hAnsi="Bahnschrift"/>
                                <w:b/>
                                <w:bCs/>
                                <w:color w:val="444661"/>
                                <w:kern w:val="24"/>
                                <w:sz w:val="64"/>
                                <w:szCs w:val="64"/>
                              </w:rPr>
                              <w:t xml:space="preserve">ZAŁOŻENIA I CELE </w:t>
                            </w:r>
                            <w:r w:rsidRPr="00EF4A99">
                              <w:rPr>
                                <w:rFonts w:ascii="Bahnschrift" w:hAnsi="Bahnschrift"/>
                                <w:b/>
                                <w:bCs/>
                                <w:color w:val="444661"/>
                                <w:kern w:val="24"/>
                                <w:sz w:val="64"/>
                                <w:szCs w:val="64"/>
                              </w:rPr>
                              <w:br/>
                              <w:t>oraz POLITYKI OBSZAROWE</w:t>
                            </w:r>
                          </w:p>
                        </w:txbxContent>
                      </wps:txbx>
                      <wps:bodyPr vert="horz" lIns="91440" tIns="45720" rIns="91440" bIns="45720" rtlCol="0" anchor="ctr">
                        <a:noAutofit/>
                      </wps:bodyPr>
                    </wps:wsp>
                  </a:graphicData>
                </a:graphic>
                <wp14:sizeRelH relativeFrom="page">
                  <wp14:pctWidth>0</wp14:pctWidth>
                </wp14:sizeRelH>
                <wp14:sizeRelV relativeFrom="margin">
                  <wp14:pctHeight>0</wp14:pctHeight>
                </wp14:sizeRelV>
              </wp:anchor>
            </w:drawing>
          </mc:Choice>
          <mc:Fallback>
            <w:pict>
              <v:shape w14:anchorId="2466A23A" id="Pole tekstowe 83" o:spid="_x0000_s1057" type="#_x0000_t202" style="position:absolute;left:0;text-align:left;margin-left:0;margin-top:435.75pt;width:441.45pt;height:96pt;z-index:25139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" filled="f" stroked="f">
                <v:textbox>
                  <w:txbxContent>
                    <w:p w14:paraId="74ABF24E" w14:textId="7D79B35A" w:rsidR="00C36C5C" w:rsidRPr="00EF4A99" w:rsidRDefault="00C36C5C" w:rsidP="00EF4A99">
                      <w:pPr>
                        <w:spacing w:line="240" w:lineRule="auto"/>
                        <w:jc w:val="center"/>
                        <w:rPr>
                          <w:rFonts w:ascii="Bahnschrift" w:hAnsi="Bahnschrift"/>
                          <w:b/>
                          <w:bCs/>
                          <w:color w:val="444661"/>
                          <w:kern w:val="24"/>
                          <w:sz w:val="64"/>
                          <w:szCs w:val="64"/>
                          <w14:ligatures w14:val="none"/>
                        </w:rPr>
                      </w:pPr>
                      <w:r>
                        <w:rPr>
                          <w:rFonts w:ascii="Bahnschrift" w:hAnsi="Bahnschrift"/>
                          <w:b/>
                          <w:bCs/>
                          <w:color w:val="444661"/>
                          <w:kern w:val="24"/>
                          <w:sz w:val="64"/>
                          <w:szCs w:val="64"/>
                        </w:rPr>
                        <w:t xml:space="preserve">II. </w:t>
                      </w:r>
                      <w:r w:rsidRPr="00EF4A99">
                        <w:rPr>
                          <w:rFonts w:ascii="Bahnschrift" w:hAnsi="Bahnschrift"/>
                          <w:b/>
                          <w:bCs/>
                          <w:color w:val="444661"/>
                          <w:kern w:val="24"/>
                          <w:sz w:val="64"/>
                          <w:szCs w:val="64"/>
                        </w:rPr>
                        <w:t xml:space="preserve">ZAŁOŻENIA I CELE </w:t>
                      </w:r>
                      <w:r w:rsidRPr="00EF4A99">
                        <w:rPr>
                          <w:rFonts w:ascii="Bahnschrift" w:hAnsi="Bahnschrift"/>
                          <w:b/>
                          <w:bCs/>
                          <w:color w:val="444661"/>
                          <w:kern w:val="24"/>
                          <w:sz w:val="64"/>
                          <w:szCs w:val="64"/>
                        </w:rPr>
                        <w:br/>
                        <w:t>oraz POLITYKI OBSZAROWE</w:t>
                      </w:r>
                    </w:p>
                  </w:txbxContent>
                </v:textbox>
                <w10:wrap anchorx="margin"/>
              </v:shape>
            </w:pict>
          </mc:Fallback>
        </mc:AlternateContent>
      </w:r>
      <w:r>
        <w:rPr>
          <w:noProof/>
          <w:lang w:eastAsia="pl-PL"/>
        </w:rPr>
        <mc:AlternateContent>
          <mc:Choice Requires="wps">
            <w:drawing>
              <wp:anchor distT="0" distB="0" distL="114300" distR="114300" simplePos="0" relativeHeight="251398656" behindDoc="0" locked="0" layoutInCell="1" allowOverlap="1" wp14:anchorId="6D5C3D3C" wp14:editId="26038700">
                <wp:simplePos x="0" y="0"/>
                <wp:positionH relativeFrom="margin">
                  <wp:align>center</wp:align>
                </wp:positionH>
                <wp:positionV relativeFrom="paragraph">
                  <wp:posOffset>5323205</wp:posOffset>
                </wp:positionV>
                <wp:extent cx="6983730" cy="2291080"/>
                <wp:effectExtent l="0" t="0" r="7620" b="0"/>
                <wp:wrapNone/>
                <wp:docPr id="604550274" name="Prostokąt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229108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A076D55" id="Prostokąt 81" o:spid="_x0000_s1026" style="position:absolute;margin-left:0;margin-top:419.15pt;width:549.9pt;height:180.4pt;z-index:25139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" fillcolor="#e7e6e6 [3214]" stroked="f" strokeweight="1pt">
                <w10:wrap anchorx="margin"/>
              </v:rect>
            </w:pict>
          </mc:Fallback>
        </mc:AlternateContent>
      </w:r>
      <w:r w:rsidR="008D7F51">
        <w:br w:type="page"/>
      </w:r>
    </w:p>
    <w:p w14:paraId="63B9020A" w14:textId="19059956" w:rsidR="00841C4F" w:rsidRDefault="0026186D" w:rsidP="00841C4F">
      <w:r w:rsidRPr="00194461">
        <w:rPr>
          <w:noProof/>
          <w:lang w:eastAsia="pl-PL"/>
        </w:rPr>
        <w:lastRenderedPageBreak/>
        <w:drawing>
          <wp:anchor distT="0" distB="0" distL="114300" distR="114300" simplePos="0" relativeHeight="251499008" behindDoc="0" locked="0" layoutInCell="1" allowOverlap="1" wp14:anchorId="253425F5" wp14:editId="2CFAB651">
            <wp:simplePos x="0" y="0"/>
            <wp:positionH relativeFrom="margin">
              <wp:posOffset>-591977</wp:posOffset>
            </wp:positionH>
            <wp:positionV relativeFrom="paragraph">
              <wp:posOffset>-573870</wp:posOffset>
            </wp:positionV>
            <wp:extent cx="6983730" cy="3927475"/>
            <wp:effectExtent l="0" t="0" r="7620" b="0"/>
            <wp:wrapNone/>
            <wp:docPr id="5" name="Obraz 4" descr="Obraz zawierający trawa, na wolnym powietrzu, roślina, agrokultura&#10;&#10;Opis wygenerowany automatycznie">
              <a:extLst xmlns:a="http://schemas.openxmlformats.org/drawingml/2006/main">
                <a:ext uri="{FF2B5EF4-FFF2-40B4-BE49-F238E27FC236}">
                  <a16:creationId xmlns:a16="http://schemas.microsoft.com/office/drawing/2014/main" id="{287FC8E0-ACE7-A950-AA10-67F9EC69B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Obraz zawierający trawa, na wolnym powietrzu, roślina, agrokultura&#10;&#10;Opis wygenerowany automatycznie">
                      <a:extLst>
                        <a:ext uri="{FF2B5EF4-FFF2-40B4-BE49-F238E27FC236}">
                          <a16:creationId xmlns:a16="http://schemas.microsoft.com/office/drawing/2014/main" id="{287FC8E0-ACE7-A950-AA10-67F9EC69BFFC}"/>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6983730" cy="3927475"/>
                    </a:xfrm>
                    <a:prstGeom prst="rect">
                      <a:avLst/>
                    </a:prstGeom>
                  </pic:spPr>
                </pic:pic>
              </a:graphicData>
            </a:graphic>
            <wp14:sizeRelH relativeFrom="page">
              <wp14:pctWidth>0</wp14:pctWidth>
            </wp14:sizeRelH>
            <wp14:sizeRelV relativeFrom="page">
              <wp14:pctHeight>0</wp14:pctHeight>
            </wp14:sizeRelV>
          </wp:anchor>
        </w:drawing>
      </w:r>
      <w:r w:rsidR="00194461" w:rsidRPr="00194461">
        <w:t xml:space="preserve"> </w:t>
      </w:r>
    </w:p>
    <w:p w14:paraId="71B515B6" w14:textId="0059CFAD" w:rsidR="00841C4F" w:rsidRDefault="00841C4F" w:rsidP="00841C4F"/>
    <w:p w14:paraId="15430CBF" w14:textId="77777777" w:rsidR="00841C4F" w:rsidRDefault="00841C4F" w:rsidP="00841C4F"/>
    <w:p w14:paraId="4EB2A8D9" w14:textId="77777777" w:rsidR="00841C4F" w:rsidRDefault="00841C4F" w:rsidP="00841C4F"/>
    <w:p w14:paraId="4036D6E5" w14:textId="6F9968B3" w:rsidR="00841C4F" w:rsidRDefault="00841C4F" w:rsidP="00841C4F"/>
    <w:p w14:paraId="0E6A94E4" w14:textId="77777777" w:rsidR="00841C4F" w:rsidRDefault="00841C4F" w:rsidP="00841C4F"/>
    <w:p w14:paraId="3B7F9009" w14:textId="77777777" w:rsidR="00841C4F" w:rsidRDefault="00841C4F" w:rsidP="00841C4F"/>
    <w:p w14:paraId="391C383D" w14:textId="06AA0CFA" w:rsidR="00841C4F" w:rsidRDefault="00841C4F" w:rsidP="00841C4F"/>
    <w:p w14:paraId="20FF74D4" w14:textId="77777777" w:rsidR="008E4C8A" w:rsidRDefault="008E4C8A" w:rsidP="004429F3"/>
    <w:p w14:paraId="5322467F" w14:textId="56AA6393" w:rsidR="00691EA7" w:rsidRDefault="00691EA7" w:rsidP="007F22F4">
      <w:pPr>
        <w:pStyle w:val="Nagwek2"/>
        <w:shd w:val="clear" w:color="auto" w:fill="C5E0B3" w:themeFill="accent6" w:themeFillTint="66"/>
      </w:pPr>
      <w:bookmarkStart w:id="22" w:name="_Toc159598283"/>
      <w:bookmarkStart w:id="23" w:name="_Toc195897179"/>
      <w:bookmarkStart w:id="24" w:name="_Toc205203155"/>
      <w:bookmarkStart w:id="25" w:name="_Hlk156765133"/>
      <w:r>
        <w:t>Obniżenie emisyjności</w:t>
      </w:r>
      <w:bookmarkEnd w:id="22"/>
      <w:bookmarkEnd w:id="23"/>
      <w:bookmarkEnd w:id="24"/>
    </w:p>
    <w:bookmarkEnd w:id="25"/>
    <w:p w14:paraId="3D227D13" w14:textId="7D503397" w:rsidR="0026186D" w:rsidRDefault="0026186D" w:rsidP="00C74F3E"/>
    <w:p w14:paraId="7B10F770" w14:textId="4A52500D" w:rsidR="0026186D" w:rsidRDefault="00DE0CED" w:rsidP="00C74F3E">
      <w:r>
        <w:rPr>
          <w:noProof/>
          <w:lang w:eastAsia="pl-PL"/>
        </w:rPr>
        <mc:AlternateContent>
          <mc:Choice Requires="wps">
            <w:drawing>
              <wp:anchor distT="0" distB="0" distL="114300" distR="114300" simplePos="0" relativeHeight="251397632" behindDoc="0" locked="0" layoutInCell="1" allowOverlap="1" wp14:anchorId="17A7D1BF" wp14:editId="7BE1F1BB">
                <wp:simplePos x="0" y="0"/>
                <wp:positionH relativeFrom="margin">
                  <wp:posOffset>-588645</wp:posOffset>
                </wp:positionH>
                <wp:positionV relativeFrom="paragraph">
                  <wp:posOffset>208915</wp:posOffset>
                </wp:positionV>
                <wp:extent cx="6983730" cy="1814195"/>
                <wp:effectExtent l="0" t="0" r="0" b="0"/>
                <wp:wrapNone/>
                <wp:docPr id="639118065" name="Prostokąt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1814195"/>
                        </a:xfrm>
                        <a:prstGeom prst="rect">
                          <a:avLst/>
                        </a:prstGeom>
                        <a:solidFill>
                          <a:srgbClr val="70AD47">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E3821E" w14:textId="73C958FD" w:rsidR="00C36C5C" w:rsidRDefault="00C36C5C" w:rsidP="0026186D">
                            <w:pPr>
                              <w:spacing w:after="0"/>
                              <w:ind w:left="993" w:right="706"/>
                              <w:jc w:val="left"/>
                              <w:rPr>
                                <w:rFonts w:ascii="Bahnschrift" w:hAnsi="Bahnschrift"/>
                                <w:color w:val="FFFFFF" w:themeColor="light1"/>
                                <w:kern w:val="24"/>
                                <w:sz w:val="56"/>
                                <w:szCs w:val="56"/>
                                <w14:ligatures w14:val="none"/>
                              </w:rPr>
                            </w:pPr>
                            <w:r>
                              <w:rPr>
                                <w:rFonts w:ascii="Bahnschrift" w:hAnsi="Bahnschrift"/>
                                <w:color w:val="FFFFFF" w:themeColor="light1"/>
                                <w:kern w:val="24"/>
                                <w:sz w:val="56"/>
                                <w:szCs w:val="56"/>
                              </w:rPr>
                              <w:t xml:space="preserve">Wymiar 1. </w:t>
                            </w:r>
                            <w:r>
                              <w:rPr>
                                <w:rFonts w:ascii="Bahnschrift" w:hAnsi="Bahnschrift"/>
                                <w:color w:val="FFFFFF" w:themeColor="light1"/>
                                <w:kern w:val="24"/>
                                <w:sz w:val="72"/>
                                <w:szCs w:val="72"/>
                              </w:rPr>
                              <w:br/>
                            </w:r>
                            <w:r>
                              <w:rPr>
                                <w:rFonts w:ascii="Bahnschrift" w:hAnsi="Bahnschrift"/>
                                <w:color w:val="FFFFFF" w:themeColor="light1"/>
                                <w:kern w:val="24"/>
                                <w:sz w:val="64"/>
                                <w:szCs w:val="64"/>
                              </w:rPr>
                              <w:t>Obniżenie emisyjności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7A7D1BF" id="Prostokąt 80" o:spid="_x0000_s1058" style="position:absolute;left:0;text-align:left;margin-left:-46.35pt;margin-top:16.45pt;width:549.9pt;height:142.85pt;z-index:25139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" fillcolor="#70ad47" stroked="f" strokeweight="1pt">
                <v:fill opacity="52428f"/>
                <v:textbox>
                  <w:txbxContent>
                    <w:p w14:paraId="4DE3821E" w14:textId="73C958FD" w:rsidR="00C36C5C" w:rsidRDefault="00C36C5C" w:rsidP="0026186D">
                      <w:pPr>
                        <w:spacing w:after="0"/>
                        <w:ind w:left="993" w:right="706"/>
                        <w:jc w:val="left"/>
                        <w:rPr>
                          <w:rFonts w:ascii="Bahnschrift" w:hAnsi="Bahnschrift"/>
                          <w:color w:val="FFFFFF" w:themeColor="light1"/>
                          <w:kern w:val="24"/>
                          <w:sz w:val="56"/>
                          <w:szCs w:val="56"/>
                          <w14:ligatures w14:val="none"/>
                        </w:rPr>
                      </w:pPr>
                      <w:r>
                        <w:rPr>
                          <w:rFonts w:ascii="Bahnschrift" w:hAnsi="Bahnschrift"/>
                          <w:color w:val="FFFFFF" w:themeColor="light1"/>
                          <w:kern w:val="24"/>
                          <w:sz w:val="56"/>
                          <w:szCs w:val="56"/>
                        </w:rPr>
                        <w:t xml:space="preserve">Wymiar 1. </w:t>
                      </w:r>
                      <w:r>
                        <w:rPr>
                          <w:rFonts w:ascii="Bahnschrift" w:hAnsi="Bahnschrift"/>
                          <w:color w:val="FFFFFF" w:themeColor="light1"/>
                          <w:kern w:val="24"/>
                          <w:sz w:val="72"/>
                          <w:szCs w:val="72"/>
                        </w:rPr>
                        <w:br/>
                      </w:r>
                      <w:r>
                        <w:rPr>
                          <w:rFonts w:ascii="Bahnschrift" w:hAnsi="Bahnschrift"/>
                          <w:color w:val="FFFFFF" w:themeColor="light1"/>
                          <w:kern w:val="24"/>
                          <w:sz w:val="64"/>
                          <w:szCs w:val="64"/>
                        </w:rPr>
                        <w:t>Obniżenie emisyjności</w:t>
                      </w:r>
                    </w:p>
                  </w:txbxContent>
                </v:textbox>
                <w10:wrap anchorx="margin"/>
              </v:rect>
            </w:pict>
          </mc:Fallback>
        </mc:AlternateContent>
      </w:r>
    </w:p>
    <w:p w14:paraId="4E9D27C0" w14:textId="1BC63964" w:rsidR="0026186D" w:rsidRDefault="0026186D" w:rsidP="00C74F3E"/>
    <w:p w14:paraId="7EA0794F" w14:textId="42BB8966" w:rsidR="0026186D" w:rsidRDefault="0026186D" w:rsidP="00C74F3E"/>
    <w:p w14:paraId="4F1970FE" w14:textId="5AE0FA2B" w:rsidR="0026186D" w:rsidRDefault="0026186D" w:rsidP="00C74F3E"/>
    <w:p w14:paraId="226F8973" w14:textId="552BA55F" w:rsidR="00C74F3E" w:rsidRDefault="00C74F3E" w:rsidP="00C74F3E"/>
    <w:p w14:paraId="04073BC2" w14:textId="1277F1B6" w:rsidR="003772B3" w:rsidRDefault="003772B3" w:rsidP="005F4621"/>
    <w:p w14:paraId="58F0C326" w14:textId="7CA308AD" w:rsidR="0026186D" w:rsidRDefault="0026186D" w:rsidP="003772B3"/>
    <w:p w14:paraId="4D87EEC1" w14:textId="77777777" w:rsidR="0026186D" w:rsidRDefault="0026186D" w:rsidP="003772B3"/>
    <w:p w14:paraId="20D4CCFA" w14:textId="304BDA3F" w:rsidR="00FC6BEA" w:rsidRDefault="003772B3" w:rsidP="00184647">
      <w:pPr>
        <w:spacing w:after="60"/>
      </w:pPr>
      <w:r w:rsidRPr="00ED0C69">
        <w:rPr>
          <w:b/>
          <w:bCs/>
        </w:rPr>
        <w:t>Obniżenie emisyjności</w:t>
      </w:r>
      <w:r w:rsidRPr="003772B3">
        <w:t xml:space="preserve"> </w:t>
      </w:r>
      <w:r>
        <w:t>zostało potraktowane przez UE jako nadrzędny cel działań</w:t>
      </w:r>
      <w:r w:rsidR="00966AE9">
        <w:t xml:space="preserve"> klimatyczno-energetycznych</w:t>
      </w:r>
      <w:r>
        <w:t xml:space="preserve">, </w:t>
      </w:r>
      <w:r w:rsidR="00966AE9">
        <w:t xml:space="preserve">m.in. </w:t>
      </w:r>
      <w:r>
        <w:t xml:space="preserve">dlatego określone zostało </w:t>
      </w:r>
      <w:r w:rsidR="009A1852" w:rsidRPr="009A1852">
        <w:rPr>
          <w:b/>
          <w:bCs/>
        </w:rPr>
        <w:t>pierwszym</w:t>
      </w:r>
      <w:r w:rsidRPr="003772B3">
        <w:rPr>
          <w:b/>
          <w:bCs/>
        </w:rPr>
        <w:t xml:space="preserve"> wymiarem unii energetycznej</w:t>
      </w:r>
      <w:r>
        <w:t xml:space="preserve">. </w:t>
      </w:r>
      <w:r w:rsidR="00FC6BEA">
        <w:t xml:space="preserve">Z perspektywy krajowej cel ten jest </w:t>
      </w:r>
      <w:r w:rsidR="00184647">
        <w:t>rozumiany</w:t>
      </w:r>
      <w:r w:rsidR="00FC6BEA">
        <w:t xml:space="preserve"> równorzędnie z innymi </w:t>
      </w:r>
      <w:r w:rsidR="00184647">
        <w:t>wymiarami</w:t>
      </w:r>
      <w:r w:rsidR="00FC6BEA">
        <w:t xml:space="preserve"> transformacji klimatyczno-energetycznej, przy czym kryzys wywołany skutkami agresji Rosji na Ukrainę uwydatnił kluczowe znaczenie bezpieczeństwa energetycznego</w:t>
      </w:r>
      <w:r w:rsidR="00184647">
        <w:t xml:space="preserve"> dla gospodarki, </w:t>
      </w:r>
      <w:r w:rsidR="00FC6BEA">
        <w:t xml:space="preserve">w tym wzmacniania </w:t>
      </w:r>
      <w:r w:rsidR="00EE6E5A">
        <w:t xml:space="preserve">niezależności </w:t>
      </w:r>
      <w:r w:rsidR="00FC6BEA">
        <w:t xml:space="preserve">energetycznej. </w:t>
      </w:r>
      <w:r w:rsidR="00184647" w:rsidRPr="00184647">
        <w:t>Bez</w:t>
      </w:r>
      <w:r w:rsidR="00184647">
        <w:t xml:space="preserve"> </w:t>
      </w:r>
      <w:r w:rsidR="00184647" w:rsidRPr="00184647">
        <w:t xml:space="preserve">odpowiednio odpornego systemu energetycznego nie będzie </w:t>
      </w:r>
      <w:r w:rsidR="00184647">
        <w:t xml:space="preserve">możliwości przeprowadzenia </w:t>
      </w:r>
      <w:r w:rsidR="00184647" w:rsidRPr="00184647">
        <w:t xml:space="preserve">transformacji </w:t>
      </w:r>
      <w:r w:rsidR="00184647">
        <w:t>gospodarki w kierunku zeroemisyjnym.</w:t>
      </w:r>
    </w:p>
    <w:p w14:paraId="60A23B71" w14:textId="120CDFBB" w:rsidR="000973FB" w:rsidRDefault="003772B3" w:rsidP="00184647">
      <w:pPr>
        <w:spacing w:after="60"/>
      </w:pPr>
      <w:r>
        <w:t>Wpływ na</w:t>
      </w:r>
      <w:r w:rsidR="00966AE9">
        <w:t> </w:t>
      </w:r>
      <w:r w:rsidR="00545062">
        <w:t>poziom emisyjności mają wszystkie sektory</w:t>
      </w:r>
      <w:r w:rsidR="000973FB">
        <w:t xml:space="preserve">, choć w różnym stopniu. </w:t>
      </w:r>
      <w:r w:rsidR="008B6AFC">
        <w:t>Tempo</w:t>
      </w:r>
      <w:r w:rsidR="00F34A9D">
        <w:t xml:space="preserve"> </w:t>
      </w:r>
      <w:r w:rsidR="00F34A9D" w:rsidRPr="00675FB1">
        <w:t>redukcji emisji gazów cieplarnianych</w:t>
      </w:r>
      <w:r w:rsidR="00F34A9D">
        <w:t xml:space="preserve"> (</w:t>
      </w:r>
      <w:r w:rsidR="00AD0FB0">
        <w:t>GHG</w:t>
      </w:r>
      <w:r w:rsidR="00F34A9D">
        <w:t>)</w:t>
      </w:r>
      <w:r w:rsidR="00F34A9D" w:rsidRPr="00675FB1">
        <w:t xml:space="preserve"> różni się w zależności od branży</w:t>
      </w:r>
      <w:r w:rsidR="004E7B0B">
        <w:t>, a</w:t>
      </w:r>
      <w:r w:rsidR="005A0EA7">
        <w:t> </w:t>
      </w:r>
      <w:r w:rsidR="004E7B0B">
        <w:t xml:space="preserve">uniknięcie </w:t>
      </w:r>
      <w:r w:rsidR="000973FB">
        <w:t xml:space="preserve">części </w:t>
      </w:r>
      <w:r w:rsidR="004E7B0B">
        <w:t>emisji w</w:t>
      </w:r>
      <w:r w:rsidR="00184647">
        <w:t> </w:t>
      </w:r>
      <w:r w:rsidR="004E7B0B">
        <w:t xml:space="preserve">niektórych obszarach </w:t>
      </w:r>
      <w:r w:rsidR="00D3312B">
        <w:t xml:space="preserve">– </w:t>
      </w:r>
      <w:r w:rsidR="000973FB">
        <w:t>w</w:t>
      </w:r>
      <w:r w:rsidR="005A0EA7">
        <w:t>edług</w:t>
      </w:r>
      <w:r w:rsidR="000973FB">
        <w:t xml:space="preserve"> aktualnej wiedzy</w:t>
      </w:r>
      <w:r w:rsidR="00966AE9">
        <w:t xml:space="preserve"> i dostępności technologii</w:t>
      </w:r>
      <w:r w:rsidR="000973FB">
        <w:t xml:space="preserve"> </w:t>
      </w:r>
      <w:r w:rsidR="00D3312B">
        <w:t>–</w:t>
      </w:r>
      <w:r w:rsidR="00D03F53">
        <w:t xml:space="preserve"> </w:t>
      </w:r>
      <w:r w:rsidR="000973FB">
        <w:t>jest</w:t>
      </w:r>
      <w:r w:rsidR="00D03F53">
        <w:t xml:space="preserve"> niezwykle trudne</w:t>
      </w:r>
      <w:r w:rsidR="00D3312B">
        <w:t>. D</w:t>
      </w:r>
      <w:r w:rsidR="004E7B0B">
        <w:t>latego</w:t>
      </w:r>
      <w:r w:rsidR="002057D7">
        <w:t> </w:t>
      </w:r>
      <w:r w:rsidR="000973FB">
        <w:t>dąży się do neutralności klimatycznej</w:t>
      </w:r>
      <w:r w:rsidR="00FD61F3">
        <w:t xml:space="preserve"> netto</w:t>
      </w:r>
      <w:r w:rsidR="00173360">
        <w:t>, którą zapewnić może</w:t>
      </w:r>
      <w:r w:rsidR="00966AE9">
        <w:t xml:space="preserve"> również</w:t>
      </w:r>
      <w:r w:rsidR="00173360">
        <w:t xml:space="preserve"> pochłanianie emisji</w:t>
      </w:r>
      <w:r w:rsidR="00966AE9">
        <w:t xml:space="preserve"> CO</w:t>
      </w:r>
      <w:r w:rsidR="00966AE9" w:rsidRPr="00901FEA">
        <w:rPr>
          <w:vertAlign w:val="subscript"/>
        </w:rPr>
        <w:t>2</w:t>
      </w:r>
      <w:r w:rsidR="00173360">
        <w:t>.</w:t>
      </w:r>
    </w:p>
    <w:p w14:paraId="289124E4" w14:textId="12EFC075" w:rsidR="00832E72" w:rsidRDefault="003772B3" w:rsidP="00184647">
      <w:pPr>
        <w:spacing w:after="60"/>
      </w:pPr>
      <w:r>
        <w:t xml:space="preserve">W </w:t>
      </w:r>
      <w:r w:rsidR="000973FB">
        <w:t xml:space="preserve">tej części </w:t>
      </w:r>
      <w:r w:rsidR="00184647">
        <w:t>a</w:t>
      </w:r>
      <w:r w:rsidR="000973FB">
        <w:t xml:space="preserve">KPEiK </w:t>
      </w:r>
      <w:r w:rsidRPr="003772B3">
        <w:t xml:space="preserve">ujęto </w:t>
      </w:r>
      <w:r w:rsidR="00832E72">
        <w:t xml:space="preserve">założenia i cele </w:t>
      </w:r>
      <w:r w:rsidRPr="003772B3">
        <w:t xml:space="preserve">związane z </w:t>
      </w:r>
      <w:r w:rsidR="000973FB">
        <w:t xml:space="preserve">redukcją </w:t>
      </w:r>
      <w:r w:rsidRPr="003772B3">
        <w:t>emisj</w:t>
      </w:r>
      <w:r w:rsidR="000973FB">
        <w:t>i</w:t>
      </w:r>
      <w:r w:rsidRPr="003772B3">
        <w:t xml:space="preserve"> gazów cieplarnianych</w:t>
      </w:r>
      <w:r w:rsidR="00832E72">
        <w:t xml:space="preserve"> w ujęciu ogólnym, jak również z </w:t>
      </w:r>
      <w:r w:rsidR="00832E72" w:rsidRPr="003772B3">
        <w:t>wykorzystani</w:t>
      </w:r>
      <w:r w:rsidR="00832E72">
        <w:t>em</w:t>
      </w:r>
      <w:r w:rsidR="00832E72" w:rsidRPr="003772B3">
        <w:t xml:space="preserve"> odnawialnych źródeł energii</w:t>
      </w:r>
      <w:r w:rsidR="00832E72">
        <w:t>, które</w:t>
      </w:r>
      <w:r w:rsidR="000973FB">
        <w:t xml:space="preserve"> Unia Europejska </w:t>
      </w:r>
      <w:r w:rsidR="00832E72">
        <w:t xml:space="preserve">uznała </w:t>
      </w:r>
      <w:r w:rsidR="000973FB">
        <w:t xml:space="preserve">jako szczególny środek do redukcji </w:t>
      </w:r>
      <w:r w:rsidR="00AD0FB0">
        <w:t>GHG</w:t>
      </w:r>
      <w:r w:rsidRPr="003772B3">
        <w:t xml:space="preserve">. </w:t>
      </w:r>
      <w:r w:rsidR="00832E72">
        <w:t xml:space="preserve">Określono cele szczególne w obszarze dekarbonizacji </w:t>
      </w:r>
      <w:r w:rsidR="00966AE9">
        <w:t>elektro</w:t>
      </w:r>
      <w:r w:rsidR="00832E72">
        <w:t>energetyki,</w:t>
      </w:r>
      <w:r w:rsidR="00966AE9">
        <w:t xml:space="preserve"> ciepłownictwa, transportu</w:t>
      </w:r>
      <w:r w:rsidR="002057D7">
        <w:t>,</w:t>
      </w:r>
      <w:r w:rsidR="00832E72">
        <w:t xml:space="preserve"> przemysłu i rolnictwa. Oceniono także potencjał </w:t>
      </w:r>
      <w:r w:rsidR="00A87780">
        <w:t>redukcji emisji w</w:t>
      </w:r>
      <w:r w:rsidR="00C111EB">
        <w:t xml:space="preserve"> obszarze </w:t>
      </w:r>
      <w:r w:rsidR="00832E72" w:rsidRPr="00832E72">
        <w:t>użytkowani</w:t>
      </w:r>
      <w:r w:rsidR="00743A88">
        <w:t>a</w:t>
      </w:r>
      <w:r w:rsidR="00832E72" w:rsidRPr="00832E72">
        <w:t xml:space="preserve"> gruntów</w:t>
      </w:r>
      <w:r w:rsidR="006602D2">
        <w:t>,</w:t>
      </w:r>
      <w:r w:rsidR="00832E72" w:rsidRPr="00832E72">
        <w:t xml:space="preserve"> zmiany użytkowania gruntów i</w:t>
      </w:r>
      <w:r w:rsidR="00B613FC">
        <w:t> </w:t>
      </w:r>
      <w:r w:rsidR="00832E72" w:rsidRPr="00832E72">
        <w:t xml:space="preserve">leśnictwo (LULUCF, ang. </w:t>
      </w:r>
      <w:r w:rsidR="00832E72" w:rsidRPr="00743A88">
        <w:rPr>
          <w:i/>
          <w:iCs/>
        </w:rPr>
        <w:t>land use, land-use change, and forestry</w:t>
      </w:r>
      <w:r w:rsidR="00832E72" w:rsidRPr="00832E72">
        <w:t>)</w:t>
      </w:r>
      <w:r w:rsidR="002057D7">
        <w:t>,</w:t>
      </w:r>
      <w:r w:rsidR="00743A88">
        <w:t xml:space="preserve"> jako sektora kompensującego część emisji z pozostałych sektorów.</w:t>
      </w:r>
    </w:p>
    <w:p w14:paraId="6C706D1C" w14:textId="12B712D6" w:rsidR="001928BC" w:rsidRDefault="003772B3" w:rsidP="00184647">
      <w:pPr>
        <w:spacing w:after="60"/>
      </w:pPr>
      <w:r w:rsidRPr="003772B3">
        <w:t xml:space="preserve">Ze względu na pojawiające się coraz częściej ekstremalne zjawiska pogodowe, uwzględniono </w:t>
      </w:r>
      <w:r w:rsidR="00122156">
        <w:t xml:space="preserve">także w sposób horyzontalny </w:t>
      </w:r>
      <w:r w:rsidRPr="003772B3">
        <w:t>zagadnienie adaptacji do zmian</w:t>
      </w:r>
      <w:r w:rsidR="00FD61F3">
        <w:t>y</w:t>
      </w:r>
      <w:r w:rsidRPr="003772B3">
        <w:t xml:space="preserve"> klimatu</w:t>
      </w:r>
      <w:r w:rsidR="007C40B3">
        <w:t xml:space="preserve">, </w:t>
      </w:r>
      <w:r w:rsidR="00173360">
        <w:t>jak również</w:t>
      </w:r>
      <w:r w:rsidR="007C40B3">
        <w:t xml:space="preserve"> cele dotyczące poprawy jakości środowiska, w tym powietrza.</w:t>
      </w:r>
      <w:r w:rsidR="00F77C02">
        <w:br w:type="page"/>
      </w:r>
    </w:p>
    <w:p w14:paraId="26D7C178" w14:textId="39AAE657" w:rsidR="00691EA7" w:rsidRPr="00AB47C0" w:rsidRDefault="004E000C" w:rsidP="00384755">
      <w:pPr>
        <w:pStyle w:val="Nagwek3"/>
        <w:rPr>
          <w:color w:val="70AD47" w:themeColor="accent6"/>
        </w:rPr>
      </w:pPr>
      <w:bookmarkStart w:id="26" w:name="_Toc159598284"/>
      <w:bookmarkStart w:id="27" w:name="_Toc195897180"/>
      <w:bookmarkStart w:id="28" w:name="_Toc205203156"/>
      <w:r w:rsidRPr="00AB47C0">
        <w:rPr>
          <w:color w:val="70AD47" w:themeColor="accent6"/>
        </w:rPr>
        <w:lastRenderedPageBreak/>
        <w:t>Redukcja e</w:t>
      </w:r>
      <w:r w:rsidR="00691EA7" w:rsidRPr="00AB47C0">
        <w:rPr>
          <w:color w:val="70AD47" w:themeColor="accent6"/>
        </w:rPr>
        <w:t>misj</w:t>
      </w:r>
      <w:r w:rsidRPr="00AB47C0">
        <w:rPr>
          <w:color w:val="70AD47" w:themeColor="accent6"/>
        </w:rPr>
        <w:t>i</w:t>
      </w:r>
      <w:r w:rsidR="00691EA7" w:rsidRPr="00AB47C0">
        <w:rPr>
          <w:color w:val="70AD47" w:themeColor="accent6"/>
        </w:rPr>
        <w:t xml:space="preserve"> gazów cieplarnianych</w:t>
      </w:r>
      <w:r w:rsidR="00217F28">
        <w:rPr>
          <w:color w:val="70AD47" w:themeColor="accent6"/>
        </w:rPr>
        <w:t xml:space="preserve"> i wzrost wykorzystania odnawialnych źródeł energii</w:t>
      </w:r>
      <w:r w:rsidR="00810DCA" w:rsidRPr="00AB47C0">
        <w:rPr>
          <w:color w:val="70AD47" w:themeColor="accent6"/>
        </w:rPr>
        <w:t xml:space="preserve"> (cel</w:t>
      </w:r>
      <w:r w:rsidR="00713E45">
        <w:rPr>
          <w:color w:val="70AD47" w:themeColor="accent6"/>
        </w:rPr>
        <w:t>e</w:t>
      </w:r>
      <w:r w:rsidR="00810DCA" w:rsidRPr="00AB47C0">
        <w:rPr>
          <w:color w:val="70AD47" w:themeColor="accent6"/>
        </w:rPr>
        <w:t xml:space="preserve"> ogóln</w:t>
      </w:r>
      <w:r w:rsidR="00713E45">
        <w:rPr>
          <w:color w:val="70AD47" w:themeColor="accent6"/>
        </w:rPr>
        <w:t>e</w:t>
      </w:r>
      <w:r w:rsidR="00810DCA" w:rsidRPr="00AB47C0">
        <w:rPr>
          <w:color w:val="70AD47" w:themeColor="accent6"/>
        </w:rPr>
        <w:t>)</w:t>
      </w:r>
      <w:bookmarkEnd w:id="26"/>
      <w:bookmarkEnd w:id="27"/>
      <w:bookmarkEnd w:id="28"/>
    </w:p>
    <w:p w14:paraId="77F10103" w14:textId="587BB430" w:rsidR="00C16FF6" w:rsidRDefault="00DE0CED" w:rsidP="00CF407B">
      <w:r>
        <w:rPr>
          <w:noProof/>
          <w:lang w:eastAsia="pl-PL"/>
        </w:rPr>
        <mc:AlternateContent>
          <mc:Choice Requires="wps">
            <w:drawing>
              <wp:anchor distT="0" distB="0" distL="114300" distR="114300" simplePos="0" relativeHeight="251441664" behindDoc="1" locked="0" layoutInCell="1" allowOverlap="1" wp14:anchorId="6BEB65F3" wp14:editId="5B3F0095">
                <wp:simplePos x="0" y="0"/>
                <wp:positionH relativeFrom="margin">
                  <wp:align>right</wp:align>
                </wp:positionH>
                <wp:positionV relativeFrom="paragraph">
                  <wp:posOffset>71755</wp:posOffset>
                </wp:positionV>
                <wp:extent cx="3498850" cy="2119630"/>
                <wp:effectExtent l="19050" t="57150" r="101600" b="52070"/>
                <wp:wrapSquare wrapText="bothSides"/>
                <wp:docPr id="2037235201" name="Prostokąt: zaokrąglone rogi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8850" cy="2119630"/>
                        </a:xfrm>
                        <a:prstGeom prst="roundRect">
                          <a:avLst>
                            <a:gd name="adj" fmla="val 11857"/>
                          </a:avLst>
                        </a:prstGeom>
                        <a:solidFill>
                          <a:schemeClr val="bg1"/>
                        </a:solidFill>
                        <a:ln w="6350">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5576" w14:textId="239CD078" w:rsidR="00C36C5C" w:rsidRPr="00B64F0D" w:rsidRDefault="00C36C5C" w:rsidP="00B64F0D">
                            <w:pPr>
                              <w:pStyle w:val="Ramka"/>
                            </w:pPr>
                            <w:r w:rsidRPr="00B64F0D">
                              <w:t xml:space="preserve">Na </w:t>
                            </w:r>
                            <w:r>
                              <w:t xml:space="preserve">krajowe </w:t>
                            </w:r>
                            <w:r w:rsidRPr="00B64F0D">
                              <w:t xml:space="preserve">emisje </w:t>
                            </w:r>
                            <w:r>
                              <w:t>GHG</w:t>
                            </w:r>
                            <w:r w:rsidRPr="00B64F0D">
                              <w:t xml:space="preserve"> składają się emisje z różnych sektorów gospodarki, które dzieli się według dwóch wiodących metodyk.</w:t>
                            </w:r>
                          </w:p>
                          <w:p w14:paraId="3655D439" w14:textId="72043F75" w:rsidR="00C36C5C" w:rsidRPr="00B64F0D" w:rsidRDefault="00C36C5C" w:rsidP="00B64F0D">
                            <w:pPr>
                              <w:pStyle w:val="Ramka"/>
                            </w:pPr>
                            <w:r w:rsidRPr="00B64F0D">
                              <w:t xml:space="preserve">Według metodyki przyjętej przez </w:t>
                            </w:r>
                            <w:r w:rsidRPr="00402433">
                              <w:t xml:space="preserve">Międzyrządowy Zespół ds. Zmian Klimatu (IPCC, ang. </w:t>
                            </w:r>
                            <w:r w:rsidRPr="00402433">
                              <w:rPr>
                                <w:i/>
                                <w:iCs/>
                              </w:rPr>
                              <w:t>Intergovernmental Panel on Climate Change</w:t>
                            </w:r>
                            <w:r w:rsidRPr="00402433">
                              <w:t>) emisje przypisuje się do se</w:t>
                            </w:r>
                            <w:r w:rsidRPr="00B64F0D">
                              <w:t xml:space="preserve">ktorów: </w:t>
                            </w:r>
                            <w:r>
                              <w:t xml:space="preserve">(1) </w:t>
                            </w:r>
                            <w:r w:rsidRPr="00B64F0D">
                              <w:t xml:space="preserve">energii; </w:t>
                            </w:r>
                            <w:r>
                              <w:t>(2) </w:t>
                            </w:r>
                            <w:r w:rsidRPr="00B64F0D">
                              <w:t xml:space="preserve">procesów przemysłowych i użytkowania produktów; </w:t>
                            </w:r>
                            <w:r>
                              <w:t>(3) </w:t>
                            </w:r>
                            <w:r w:rsidRPr="00B64F0D">
                              <w:t xml:space="preserve">rolnictwa; </w:t>
                            </w:r>
                            <w:r>
                              <w:t>(5) </w:t>
                            </w:r>
                            <w:r w:rsidRPr="00B64F0D">
                              <w:t xml:space="preserve">odpadów; </w:t>
                            </w:r>
                            <w:r>
                              <w:t>przy czym</w:t>
                            </w:r>
                            <w:r w:rsidRPr="00B64F0D">
                              <w:t xml:space="preserve"> </w:t>
                            </w:r>
                            <w:r>
                              <w:t xml:space="preserve">(4) </w:t>
                            </w:r>
                            <w:r w:rsidRPr="00B64F0D">
                              <w:t>LULUCF może prowadzić do kompensowania emisji z</w:t>
                            </w:r>
                            <w:r>
                              <w:t> p</w:t>
                            </w:r>
                            <w:r w:rsidRPr="00B64F0D">
                              <w:t>ozostałych sektorów.</w:t>
                            </w:r>
                          </w:p>
                          <w:p w14:paraId="15BB6973" w14:textId="0A93DB72" w:rsidR="00C36C5C" w:rsidRPr="00B64F0D" w:rsidRDefault="00C36C5C" w:rsidP="00B64F0D">
                            <w:pPr>
                              <w:pStyle w:val="Ramka"/>
                            </w:pPr>
                            <w:r w:rsidRPr="00B64F0D">
                              <w:t>Drugi podział związany jest z unijnym systemem handlu uprawnieniami do emisji –</w:t>
                            </w:r>
                            <w:r>
                              <w:t xml:space="preserve"> na sektory objęte</w:t>
                            </w:r>
                            <w:r w:rsidRPr="00B64F0D">
                              <w:t xml:space="preserve"> EU ETS oraz nieobjęte tym systemem – non-ETS.</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BEB65F3" id="Prostokąt: zaokrąglone rogi 79" o:spid="_x0000_s1059" style="position:absolute;left:0;text-align:left;margin-left:224.3pt;margin-top:5.65pt;width:275.5pt;height:166.9pt;z-index:-251874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" fillcolor="white [3212]" strokecolor="#70ad47 [3209]" strokeweight=".5pt">
                <v:stroke joinstyle="miter"/>
                <v:shadow on="t" color="black" opacity="26214f" origin="-.5" offset="3pt,0"/>
                <v:path arrowok="t"/>
                <v:textbox style="mso-fit-shape-to-text:t" inset="2mm,2.5mm,2mm,0">
                  <w:txbxContent>
                    <w:p w14:paraId="52195576" w14:textId="239CD078" w:rsidR="00C36C5C" w:rsidRPr="00B64F0D" w:rsidRDefault="00C36C5C" w:rsidP="00B64F0D">
                      <w:pPr>
                        <w:pStyle w:val="Ramka"/>
                      </w:pPr>
                      <w:r w:rsidRPr="00B64F0D">
                        <w:t xml:space="preserve">Na </w:t>
                      </w:r>
                      <w:r>
                        <w:t xml:space="preserve">krajowe </w:t>
                      </w:r>
                      <w:r w:rsidRPr="00B64F0D">
                        <w:t xml:space="preserve">emisje </w:t>
                      </w:r>
                      <w:r>
                        <w:t>GHG</w:t>
                      </w:r>
                      <w:r w:rsidRPr="00B64F0D">
                        <w:t xml:space="preserve"> składają się emisje z różnych sektorów gospodarki, które dzieli się według dwóch wiodących metodyk.</w:t>
                      </w:r>
                    </w:p>
                    <w:p w14:paraId="3655D439" w14:textId="72043F75" w:rsidR="00C36C5C" w:rsidRPr="00B64F0D" w:rsidRDefault="00C36C5C" w:rsidP="00B64F0D">
                      <w:pPr>
                        <w:pStyle w:val="Ramka"/>
                      </w:pPr>
                      <w:r w:rsidRPr="00B64F0D">
                        <w:t xml:space="preserve">Według metodyki przyjętej przez </w:t>
                      </w:r>
                      <w:r w:rsidRPr="00402433">
                        <w:t xml:space="preserve">Międzyrządowy Zespół ds. Zmian Klimatu (IPCC, ang. </w:t>
                      </w:r>
                      <w:proofErr w:type="spellStart"/>
                      <w:r w:rsidRPr="00402433">
                        <w:rPr>
                          <w:i/>
                          <w:iCs/>
                        </w:rPr>
                        <w:t>Intergovernmental</w:t>
                      </w:r>
                      <w:proofErr w:type="spellEnd"/>
                      <w:r w:rsidRPr="00402433">
                        <w:rPr>
                          <w:i/>
                          <w:iCs/>
                        </w:rPr>
                        <w:t xml:space="preserve"> Panel on </w:t>
                      </w:r>
                      <w:proofErr w:type="spellStart"/>
                      <w:r w:rsidRPr="00402433">
                        <w:rPr>
                          <w:i/>
                          <w:iCs/>
                        </w:rPr>
                        <w:t>Climate</w:t>
                      </w:r>
                      <w:proofErr w:type="spellEnd"/>
                      <w:r w:rsidRPr="00402433">
                        <w:rPr>
                          <w:i/>
                          <w:iCs/>
                        </w:rPr>
                        <w:t xml:space="preserve"> </w:t>
                      </w:r>
                      <w:proofErr w:type="spellStart"/>
                      <w:r w:rsidRPr="00402433">
                        <w:rPr>
                          <w:i/>
                          <w:iCs/>
                        </w:rPr>
                        <w:t>Change</w:t>
                      </w:r>
                      <w:proofErr w:type="spellEnd"/>
                      <w:r w:rsidRPr="00402433">
                        <w:t>) emisje przypisuje się do se</w:t>
                      </w:r>
                      <w:r w:rsidRPr="00B64F0D">
                        <w:t xml:space="preserve">ktorów: </w:t>
                      </w:r>
                      <w:r>
                        <w:t xml:space="preserve">(1) </w:t>
                      </w:r>
                      <w:r w:rsidRPr="00B64F0D">
                        <w:t xml:space="preserve">energii; </w:t>
                      </w:r>
                      <w:r>
                        <w:t>(2) </w:t>
                      </w:r>
                      <w:r w:rsidRPr="00B64F0D">
                        <w:t xml:space="preserve">procesów przemysłowych i użytkowania produktów; </w:t>
                      </w:r>
                      <w:r>
                        <w:t>(3) </w:t>
                      </w:r>
                      <w:r w:rsidRPr="00B64F0D">
                        <w:t xml:space="preserve">rolnictwa; </w:t>
                      </w:r>
                      <w:r>
                        <w:t>(5) </w:t>
                      </w:r>
                      <w:r w:rsidRPr="00B64F0D">
                        <w:t xml:space="preserve">odpadów; </w:t>
                      </w:r>
                      <w:r>
                        <w:t>przy czym</w:t>
                      </w:r>
                      <w:r w:rsidRPr="00B64F0D">
                        <w:t xml:space="preserve"> </w:t>
                      </w:r>
                      <w:r>
                        <w:t xml:space="preserve">(4) </w:t>
                      </w:r>
                      <w:r w:rsidRPr="00B64F0D">
                        <w:t>LULUCF może prowadzić do kompensowania emisji z</w:t>
                      </w:r>
                      <w:r>
                        <w:t> p</w:t>
                      </w:r>
                      <w:r w:rsidRPr="00B64F0D">
                        <w:t>ozostałych sektorów.</w:t>
                      </w:r>
                    </w:p>
                    <w:p w14:paraId="15BB6973" w14:textId="0A93DB72" w:rsidR="00C36C5C" w:rsidRPr="00B64F0D" w:rsidRDefault="00C36C5C" w:rsidP="00B64F0D">
                      <w:pPr>
                        <w:pStyle w:val="Ramka"/>
                      </w:pPr>
                      <w:r w:rsidRPr="00B64F0D">
                        <w:t>Drugi podział związany jest z unijnym systemem handlu uprawnieniami do emisji –</w:t>
                      </w:r>
                      <w:r>
                        <w:t xml:space="preserve"> na sektory objęte</w:t>
                      </w:r>
                      <w:r w:rsidRPr="00B64F0D">
                        <w:t xml:space="preserve"> EU ETS oraz nieobjęte tym systemem – non-ETS.</w:t>
                      </w:r>
                    </w:p>
                  </w:txbxContent>
                </v:textbox>
                <w10:wrap type="square" anchorx="margin"/>
              </v:roundrect>
            </w:pict>
          </mc:Fallback>
        </mc:AlternateContent>
      </w:r>
      <w:r w:rsidR="00C16FF6">
        <w:t xml:space="preserve">W tej części wskazano </w:t>
      </w:r>
      <w:r w:rsidR="00C16FF6" w:rsidRPr="00F1593B">
        <w:rPr>
          <w:b/>
          <w:bCs/>
        </w:rPr>
        <w:t xml:space="preserve">cel redukcji emisji </w:t>
      </w:r>
      <w:r w:rsidR="00AD0FB0">
        <w:rPr>
          <w:b/>
          <w:bCs/>
        </w:rPr>
        <w:t>GHG</w:t>
      </w:r>
      <w:r w:rsidR="00C16FF6" w:rsidRPr="00F1593B">
        <w:rPr>
          <w:b/>
          <w:bCs/>
        </w:rPr>
        <w:t xml:space="preserve"> dla całej gospodarki oraz dla sektorów non-ETS</w:t>
      </w:r>
      <w:r w:rsidR="0036616A">
        <w:rPr>
          <w:rStyle w:val="Odwoanieprzypisudolnego"/>
          <w:b/>
          <w:bCs/>
        </w:rPr>
        <w:footnoteReference w:id="5"/>
      </w:r>
      <w:r w:rsidR="00C16FF6">
        <w:t xml:space="preserve">. Oba cele wskazano na podstawie analiz prognostycznych. </w:t>
      </w:r>
      <w:r w:rsidR="007C40B3" w:rsidRPr="00F1593B">
        <w:rPr>
          <w:b/>
          <w:bCs/>
        </w:rPr>
        <w:t>W</w:t>
      </w:r>
      <w:r w:rsidR="00C16FF6" w:rsidRPr="00F1593B">
        <w:rPr>
          <w:b/>
          <w:bCs/>
        </w:rPr>
        <w:t>artość redukcji emisji w</w:t>
      </w:r>
      <w:r w:rsidR="00966AE9">
        <w:rPr>
          <w:b/>
          <w:bCs/>
        </w:rPr>
        <w:t xml:space="preserve"> </w:t>
      </w:r>
      <w:r w:rsidR="00C16FF6" w:rsidRPr="00F1593B">
        <w:rPr>
          <w:b/>
          <w:bCs/>
        </w:rPr>
        <w:t xml:space="preserve">sektorach objętych </w:t>
      </w:r>
      <w:r w:rsidR="006C6123" w:rsidRPr="00F1593B">
        <w:rPr>
          <w:b/>
          <w:bCs/>
        </w:rPr>
        <w:t>systemem handlu uprawnieniami do emisji –</w:t>
      </w:r>
      <w:r w:rsidR="00C16FF6" w:rsidRPr="00F1593B">
        <w:rPr>
          <w:b/>
          <w:bCs/>
        </w:rPr>
        <w:t xml:space="preserve"> </w:t>
      </w:r>
      <w:r w:rsidR="006C6123" w:rsidRPr="00F1593B">
        <w:rPr>
          <w:rFonts w:cs="Calibri"/>
          <w:b/>
          <w:bCs/>
        </w:rPr>
        <w:t>EU ETS</w:t>
      </w:r>
      <w:r w:rsidR="006C6123">
        <w:rPr>
          <w:rFonts w:cs="Calibri"/>
          <w:bCs/>
        </w:rPr>
        <w:t xml:space="preserve"> (</w:t>
      </w:r>
      <w:r w:rsidR="006C6123" w:rsidRPr="00B5086C">
        <w:t xml:space="preserve">ang. </w:t>
      </w:r>
      <w:r w:rsidR="006C6123" w:rsidRPr="002A6DFA">
        <w:rPr>
          <w:i/>
        </w:rPr>
        <w:t>European Union Emissions Trading System</w:t>
      </w:r>
      <w:r w:rsidR="006C6123">
        <w:rPr>
          <w:rFonts w:cs="Calibri"/>
          <w:bCs/>
        </w:rPr>
        <w:t xml:space="preserve">) </w:t>
      </w:r>
      <w:r w:rsidR="00C16FF6">
        <w:t xml:space="preserve">nie została określona jako cel, </w:t>
      </w:r>
      <w:r w:rsidR="007C40B3">
        <w:t>lecz jako prognoza skutków podejmowanych działań.</w:t>
      </w:r>
      <w:r w:rsidR="00402433">
        <w:t xml:space="preserve"> </w:t>
      </w:r>
    </w:p>
    <w:p w14:paraId="1090F4F0" w14:textId="77777777" w:rsidR="00FD61F3" w:rsidRDefault="00FD61F3" w:rsidP="00CF407B">
      <w:pPr>
        <w:rPr>
          <w:i/>
          <w:iCs/>
        </w:rPr>
      </w:pPr>
    </w:p>
    <w:p w14:paraId="1BE751B4" w14:textId="719A9B28" w:rsidR="00402433" w:rsidRDefault="00402433" w:rsidP="00CF407B">
      <w:pPr>
        <w:rPr>
          <w:i/>
          <w:iCs/>
        </w:rPr>
      </w:pPr>
      <w:r w:rsidRPr="00402433">
        <w:rPr>
          <w:i/>
          <w:iCs/>
        </w:rPr>
        <w:t>W dalszej części dokumentu określono też cele i działania w podziale na sektory gospodarki rozumiane</w:t>
      </w:r>
      <w:r w:rsidR="006F7B0C">
        <w:rPr>
          <w:i/>
          <w:iCs/>
        </w:rPr>
        <w:t xml:space="preserve"> w sposób zbliżony do </w:t>
      </w:r>
      <w:r w:rsidR="006F7B0C" w:rsidRPr="00402433">
        <w:rPr>
          <w:i/>
          <w:iCs/>
        </w:rPr>
        <w:t xml:space="preserve">klasyfikacji </w:t>
      </w:r>
      <w:r w:rsidR="00BC3AD5">
        <w:rPr>
          <w:i/>
          <w:iCs/>
        </w:rPr>
        <w:t xml:space="preserve">IPCC, </w:t>
      </w:r>
      <w:r>
        <w:rPr>
          <w:i/>
          <w:iCs/>
        </w:rPr>
        <w:t>dzięki</w:t>
      </w:r>
      <w:r w:rsidR="002057D7">
        <w:rPr>
          <w:i/>
          <w:iCs/>
        </w:rPr>
        <w:t> </w:t>
      </w:r>
      <w:r>
        <w:rPr>
          <w:i/>
          <w:iCs/>
        </w:rPr>
        <w:t xml:space="preserve">czemu </w:t>
      </w:r>
      <w:r w:rsidR="00783334">
        <w:rPr>
          <w:i/>
          <w:iCs/>
        </w:rPr>
        <w:t xml:space="preserve">łatwiejsze będzie określenie w jaki sposób </w:t>
      </w:r>
      <w:r w:rsidR="00FD61F3">
        <w:rPr>
          <w:i/>
          <w:iCs/>
        </w:rPr>
        <w:t xml:space="preserve">osiągnięty zostanie </w:t>
      </w:r>
      <w:r w:rsidR="00783334">
        <w:rPr>
          <w:i/>
          <w:iCs/>
        </w:rPr>
        <w:t xml:space="preserve">cel </w:t>
      </w:r>
      <w:r w:rsidR="00B613FC">
        <w:rPr>
          <w:i/>
          <w:iCs/>
        </w:rPr>
        <w:t>ogólny</w:t>
      </w:r>
      <w:r w:rsidR="00783334">
        <w:rPr>
          <w:i/>
          <w:iCs/>
        </w:rPr>
        <w:t xml:space="preserve">. </w:t>
      </w:r>
    </w:p>
    <w:p w14:paraId="60E589C4" w14:textId="30F1F789" w:rsidR="001928BC" w:rsidRDefault="00DE0CED" w:rsidP="00CF407B">
      <w:pPr>
        <w:rPr>
          <w:i/>
          <w:iCs/>
        </w:rPr>
      </w:pPr>
      <w:r>
        <w:rPr>
          <w:noProof/>
          <w:lang w:eastAsia="pl-PL"/>
        </w:rPr>
        <mc:AlternateContent>
          <mc:Choice Requires="wps">
            <w:drawing>
              <wp:anchor distT="0" distB="0" distL="114300" distR="114300" simplePos="0" relativeHeight="251523584" behindDoc="1" locked="0" layoutInCell="1" allowOverlap="1" wp14:anchorId="261982A5" wp14:editId="0B813AC9">
                <wp:simplePos x="0" y="0"/>
                <wp:positionH relativeFrom="margin">
                  <wp:align>right</wp:align>
                </wp:positionH>
                <wp:positionV relativeFrom="paragraph">
                  <wp:posOffset>265430</wp:posOffset>
                </wp:positionV>
                <wp:extent cx="2741295" cy="2060575"/>
                <wp:effectExtent l="19050" t="57150" r="97155" b="59690"/>
                <wp:wrapSquare wrapText="bothSides"/>
                <wp:docPr id="2114936255" name="Prostokąt: zaokrąglone rogi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1295" cy="206057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710FE52" w14:textId="53CFBC48" w:rsidR="00C36C5C" w:rsidRDefault="00C36C5C" w:rsidP="00AC3BAF">
                            <w:pPr>
                              <w:jc w:val="center"/>
                              <w:rPr>
                                <w:color w:val="000000" w:themeColor="text1"/>
                                <w:sz w:val="18"/>
                                <w:szCs w:val="18"/>
                              </w:rPr>
                            </w:pPr>
                            <w:r>
                              <w:rPr>
                                <w:color w:val="000000" w:themeColor="text1"/>
                                <w:sz w:val="18"/>
                                <w:szCs w:val="18"/>
                              </w:rPr>
                              <w:t>Na cel wykorzystania OZE w finalnym zużyciu energii brutto (cel ogólny) składa się wykorzystanie OZE w:</w:t>
                            </w:r>
                            <w:r>
                              <w:rPr>
                                <w:color w:val="000000" w:themeColor="text1"/>
                                <w:sz w:val="18"/>
                                <w:szCs w:val="18"/>
                              </w:rPr>
                              <w:br/>
                              <w:t xml:space="preserve"> (1) </w:t>
                            </w:r>
                            <w:r w:rsidDel="00FD61F3">
                              <w:rPr>
                                <w:color w:val="000000" w:themeColor="text1"/>
                                <w:sz w:val="18"/>
                                <w:szCs w:val="18"/>
                              </w:rPr>
                              <w:t xml:space="preserve"> </w:t>
                            </w:r>
                            <w:r>
                              <w:rPr>
                                <w:color w:val="000000" w:themeColor="text1"/>
                                <w:sz w:val="18"/>
                                <w:szCs w:val="18"/>
                              </w:rPr>
                              <w:t xml:space="preserve">elektroenergetyce, </w:t>
                            </w:r>
                            <w:r>
                              <w:rPr>
                                <w:color w:val="000000" w:themeColor="text1"/>
                                <w:sz w:val="18"/>
                                <w:szCs w:val="18"/>
                              </w:rPr>
                              <w:br/>
                              <w:t xml:space="preserve">(2)  ciepłownictwie i chłodnictwie oraz </w:t>
                            </w:r>
                            <w:r>
                              <w:rPr>
                                <w:color w:val="000000" w:themeColor="text1"/>
                                <w:sz w:val="18"/>
                                <w:szCs w:val="18"/>
                              </w:rPr>
                              <w:br/>
                              <w:t>(3) transporcie</w:t>
                            </w:r>
                            <w:r w:rsidRPr="004E21CF">
                              <w:rPr>
                                <w:color w:val="000000" w:themeColor="text1"/>
                                <w:sz w:val="18"/>
                                <w:szCs w:val="18"/>
                              </w:rPr>
                              <w:t>.</w:t>
                            </w:r>
                            <w:r>
                              <w:rPr>
                                <w:color w:val="000000" w:themeColor="text1"/>
                                <w:sz w:val="18"/>
                                <w:szCs w:val="18"/>
                              </w:rPr>
                              <w:t xml:space="preserve"> </w:t>
                            </w:r>
                          </w:p>
                          <w:p w14:paraId="61F996E2" w14:textId="31C445AA" w:rsidR="00C36C5C" w:rsidRPr="004E21CF" w:rsidRDefault="00C36C5C" w:rsidP="001928BC">
                            <w:pPr>
                              <w:jc w:val="center"/>
                              <w:rPr>
                                <w:color w:val="000000" w:themeColor="text1"/>
                                <w:sz w:val="18"/>
                                <w:szCs w:val="18"/>
                              </w:rPr>
                            </w:pPr>
                            <w:r>
                              <w:rPr>
                                <w:color w:val="000000" w:themeColor="text1"/>
                                <w:sz w:val="18"/>
                                <w:szCs w:val="18"/>
                              </w:rPr>
                              <w:t xml:space="preserve">Największa ilość energii wykorzystywana jest w Polsce na cele ciepłownicze, dlatego przyrost OZE w tym sektorze o np. 1 pkt proc. oznacza w wartościach bezwzględnych znacznie większą ilość OZE niż w pozostałych sektorach.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261982A5" id="Prostokąt: zaokrąglone rogi 78" o:spid="_x0000_s1060" style="position:absolute;left:0;text-align:left;margin-left:164.65pt;margin-top:20.9pt;width:215.85pt;height:162.25pt;z-index:-251792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" fillcolor="white [3212]" strokecolor="#70ad47 [3209]">
                <v:stroke joinstyle="miter"/>
                <v:shadow on="t" color="black" opacity="26214f" origin="-.5" offset="3pt,0"/>
                <v:path arrowok="t"/>
                <v:textbox style="mso-fit-shape-to-text:t" inset="2mm,2.5mm,2mm,0">
                  <w:txbxContent>
                    <w:p w14:paraId="7710FE52" w14:textId="53CFBC48" w:rsidR="00C36C5C" w:rsidRDefault="00C36C5C" w:rsidP="00AC3BAF">
                      <w:pPr>
                        <w:jc w:val="center"/>
                        <w:rPr>
                          <w:color w:val="000000" w:themeColor="text1"/>
                          <w:sz w:val="18"/>
                          <w:szCs w:val="18"/>
                        </w:rPr>
                      </w:pPr>
                      <w:r>
                        <w:rPr>
                          <w:color w:val="000000" w:themeColor="text1"/>
                          <w:sz w:val="18"/>
                          <w:szCs w:val="18"/>
                        </w:rPr>
                        <w:t>Na cel wykorzystania OZE w finalnym zużyciu energii brutto (cel ogólny) składa się wykorzystanie OZE w:</w:t>
                      </w:r>
                      <w:r>
                        <w:rPr>
                          <w:color w:val="000000" w:themeColor="text1"/>
                          <w:sz w:val="18"/>
                          <w:szCs w:val="18"/>
                        </w:rPr>
                        <w:br/>
                        <w:t xml:space="preserve"> (1</w:t>
                      </w:r>
                      <w:proofErr w:type="gramStart"/>
                      <w:r>
                        <w:rPr>
                          <w:color w:val="000000" w:themeColor="text1"/>
                          <w:sz w:val="18"/>
                          <w:szCs w:val="18"/>
                        </w:rPr>
                        <w:t>) </w:t>
                      </w:r>
                      <w:r w:rsidDel="00FD61F3">
                        <w:rPr>
                          <w:color w:val="000000" w:themeColor="text1"/>
                          <w:sz w:val="18"/>
                          <w:szCs w:val="18"/>
                        </w:rPr>
                        <w:t xml:space="preserve"> </w:t>
                      </w:r>
                      <w:r>
                        <w:rPr>
                          <w:color w:val="000000" w:themeColor="text1"/>
                          <w:sz w:val="18"/>
                          <w:szCs w:val="18"/>
                        </w:rPr>
                        <w:t>elektroenergetyce</w:t>
                      </w:r>
                      <w:proofErr w:type="gramEnd"/>
                      <w:r>
                        <w:rPr>
                          <w:color w:val="000000" w:themeColor="text1"/>
                          <w:sz w:val="18"/>
                          <w:szCs w:val="18"/>
                        </w:rPr>
                        <w:t xml:space="preserve">, </w:t>
                      </w:r>
                      <w:r>
                        <w:rPr>
                          <w:color w:val="000000" w:themeColor="text1"/>
                          <w:sz w:val="18"/>
                          <w:szCs w:val="18"/>
                        </w:rPr>
                        <w:br/>
                        <w:t>(2</w:t>
                      </w:r>
                      <w:proofErr w:type="gramStart"/>
                      <w:r>
                        <w:rPr>
                          <w:color w:val="000000" w:themeColor="text1"/>
                          <w:sz w:val="18"/>
                          <w:szCs w:val="18"/>
                        </w:rPr>
                        <w:t>)  ciepłownictwie</w:t>
                      </w:r>
                      <w:proofErr w:type="gramEnd"/>
                      <w:r>
                        <w:rPr>
                          <w:color w:val="000000" w:themeColor="text1"/>
                          <w:sz w:val="18"/>
                          <w:szCs w:val="18"/>
                        </w:rPr>
                        <w:t xml:space="preserve"> i chłodnictwie oraz </w:t>
                      </w:r>
                      <w:r>
                        <w:rPr>
                          <w:color w:val="000000" w:themeColor="text1"/>
                          <w:sz w:val="18"/>
                          <w:szCs w:val="18"/>
                        </w:rPr>
                        <w:br/>
                        <w:t>(3) transporcie</w:t>
                      </w:r>
                      <w:r w:rsidRPr="004E21CF">
                        <w:rPr>
                          <w:color w:val="000000" w:themeColor="text1"/>
                          <w:sz w:val="18"/>
                          <w:szCs w:val="18"/>
                        </w:rPr>
                        <w:t>.</w:t>
                      </w:r>
                      <w:r>
                        <w:rPr>
                          <w:color w:val="000000" w:themeColor="text1"/>
                          <w:sz w:val="18"/>
                          <w:szCs w:val="18"/>
                        </w:rPr>
                        <w:t xml:space="preserve"> </w:t>
                      </w:r>
                    </w:p>
                    <w:p w14:paraId="61F996E2" w14:textId="31C445AA" w:rsidR="00C36C5C" w:rsidRPr="004E21CF" w:rsidRDefault="00C36C5C" w:rsidP="001928BC">
                      <w:pPr>
                        <w:jc w:val="center"/>
                        <w:rPr>
                          <w:color w:val="000000" w:themeColor="text1"/>
                          <w:sz w:val="18"/>
                          <w:szCs w:val="18"/>
                        </w:rPr>
                      </w:pPr>
                      <w:r>
                        <w:rPr>
                          <w:color w:val="000000" w:themeColor="text1"/>
                          <w:sz w:val="18"/>
                          <w:szCs w:val="18"/>
                        </w:rPr>
                        <w:t xml:space="preserve">Największa ilość energii wykorzystywana jest w Polsce na cele ciepłownicze, dlatego przyrost OZE w tym sektorze o np. 1 pkt proc. oznacza w wartościach bezwzględnych znacznie większą ilość OZE niż w pozostałych sektorach. </w:t>
                      </w:r>
                    </w:p>
                  </w:txbxContent>
                </v:textbox>
                <w10:wrap type="square" anchorx="margin"/>
              </v:roundrect>
            </w:pict>
          </mc:Fallback>
        </mc:AlternateContent>
      </w:r>
    </w:p>
    <w:p w14:paraId="3F1E491F" w14:textId="533F46D7" w:rsidR="001928BC" w:rsidRDefault="00C349E3" w:rsidP="001928BC">
      <w:r>
        <w:t xml:space="preserve">Szczególną rolę w redukcji </w:t>
      </w:r>
      <w:r w:rsidR="00AD0FB0">
        <w:t>GHG</w:t>
      </w:r>
      <w:r>
        <w:t xml:space="preserve"> </w:t>
      </w:r>
      <w:r w:rsidR="00FD61F3">
        <w:t>będzie mieć</w:t>
      </w:r>
      <w:r>
        <w:t xml:space="preserve"> wykorzystani</w:t>
      </w:r>
      <w:r w:rsidR="00FD61F3">
        <w:t>e</w:t>
      </w:r>
      <w:r>
        <w:t xml:space="preserve"> OZE. Dlatego w</w:t>
      </w:r>
      <w:r w:rsidR="001928BC">
        <w:t xml:space="preserve"> tej części wskazano również cel w </w:t>
      </w:r>
      <w:r w:rsidR="001928BC" w:rsidRPr="00F1593B">
        <w:rPr>
          <w:b/>
          <w:bCs/>
        </w:rPr>
        <w:t xml:space="preserve">zakresie </w:t>
      </w:r>
      <w:r w:rsidR="006602D2">
        <w:rPr>
          <w:b/>
          <w:bCs/>
        </w:rPr>
        <w:t>udziału</w:t>
      </w:r>
      <w:r w:rsidR="001928BC" w:rsidRPr="00F1593B">
        <w:rPr>
          <w:b/>
          <w:bCs/>
        </w:rPr>
        <w:t xml:space="preserve"> odnawialnych źródeł energii w finalnym zużyciu energii brutto</w:t>
      </w:r>
      <w:r w:rsidR="001928BC">
        <w:t xml:space="preserve">. </w:t>
      </w:r>
    </w:p>
    <w:p w14:paraId="6C98B81B" w14:textId="78E53369" w:rsidR="001928BC" w:rsidRDefault="001928BC" w:rsidP="001928BC">
      <w:r>
        <w:t>Dotychczasowa dyrektywa RED II i</w:t>
      </w:r>
      <w:r w:rsidR="000A7B74">
        <w:t xml:space="preserve"> </w:t>
      </w:r>
      <w:r>
        <w:t xml:space="preserve">nowa dyrektywa RED III wskazują cele sektorowe (i szczegółowe) w obszarze ciepłownictwa i chłodnictwa oraz transportu. </w:t>
      </w:r>
      <w:bookmarkStart w:id="29" w:name="_Hlk159523834"/>
      <w:r>
        <w:t xml:space="preserve">Dla sektora wytwarzania energii </w:t>
      </w:r>
      <w:r w:rsidR="0036745E">
        <w:t xml:space="preserve">elektrycznej </w:t>
      </w:r>
      <w:r>
        <w:t>zostały określone cele na poziomie regulacji UE, a</w:t>
      </w:r>
      <w:r w:rsidR="00F1593B">
        <w:t> </w:t>
      </w:r>
      <w:r w:rsidRPr="003C553E">
        <w:t>Polska podaje szacunkowy udział OZE w</w:t>
      </w:r>
      <w:r>
        <w:t> </w:t>
      </w:r>
      <w:r w:rsidRPr="003C553E">
        <w:t>tym sektorze</w:t>
      </w:r>
      <w:bookmarkEnd w:id="29"/>
      <w:r w:rsidRPr="003C553E">
        <w:t>.</w:t>
      </w:r>
      <w:r w:rsidR="00C349E3" w:rsidRPr="00C349E3">
        <w:rPr>
          <w:i/>
          <w:iCs/>
        </w:rPr>
        <w:t xml:space="preserve"> </w:t>
      </w:r>
      <w:r w:rsidR="00652402">
        <w:t>Nowe regulacje w ramach dyrektywy RED III odnoszą się również do określenia celów w sektor</w:t>
      </w:r>
      <w:r w:rsidR="00FD61F3">
        <w:t>ach</w:t>
      </w:r>
      <w:r w:rsidR="00652402">
        <w:t xml:space="preserve"> budownictwa i przemy</w:t>
      </w:r>
      <w:r w:rsidR="00FD61F3">
        <w:t>słu</w:t>
      </w:r>
      <w:r w:rsidR="00652402">
        <w:t>.</w:t>
      </w:r>
      <w:r w:rsidR="00652402" w:rsidRPr="001928BC">
        <w:rPr>
          <w:i/>
          <w:iCs/>
        </w:rPr>
        <w:t xml:space="preserve"> </w:t>
      </w:r>
      <w:r w:rsidR="00C349E3" w:rsidRPr="001928BC">
        <w:rPr>
          <w:i/>
          <w:iCs/>
        </w:rPr>
        <w:t>Cele i</w:t>
      </w:r>
      <w:r w:rsidR="002057D7">
        <w:rPr>
          <w:i/>
          <w:iCs/>
        </w:rPr>
        <w:t> </w:t>
      </w:r>
      <w:r w:rsidR="00C349E3" w:rsidRPr="001928BC">
        <w:rPr>
          <w:i/>
          <w:iCs/>
        </w:rPr>
        <w:t>założenia dotyczące udziału OZE w poszczególnych sektorach – które wpływają na cel ogólny – omówiono w częściach dotyczących dekarbonizacji tych sektorów.</w:t>
      </w:r>
    </w:p>
    <w:p w14:paraId="39DBC537" w14:textId="6A0DFE31" w:rsidR="001928BC" w:rsidRDefault="001928BC" w:rsidP="001928BC">
      <w:r>
        <w:t>Zagadnienia dotyczące społeczności lokalnych i prosumentów zostały określone w 4.</w:t>
      </w:r>
      <w:r w:rsidR="00FF6A41">
        <w:t xml:space="preserve"> </w:t>
      </w:r>
      <w:hyperlink w:anchor="_Wewnątrzunijny_rynek_energii" w:history="1">
        <w:r w:rsidR="00FF6A41" w:rsidRPr="00FF6A41">
          <w:t>Wewnątrzunijny rynek energii oraz społeczny aspekt transformacji</w:t>
        </w:r>
      </w:hyperlink>
      <w:r w:rsidR="00EE4039">
        <w:t>.</w:t>
      </w:r>
    </w:p>
    <w:p w14:paraId="4CAAC351" w14:textId="79A49E31" w:rsidR="008F02EE" w:rsidRPr="005B0F98" w:rsidRDefault="005A0EA7" w:rsidP="000456B8">
      <w:pPr>
        <w:pStyle w:val="Nagwek4"/>
        <w:rPr>
          <w:color w:val="70AD47" w:themeColor="accent6"/>
        </w:rPr>
      </w:pPr>
      <w:bookmarkStart w:id="30" w:name="_Toc159598285"/>
      <w:bookmarkStart w:id="31" w:name="_Toc195897181"/>
      <w:bookmarkStart w:id="32" w:name="_Toc205203157"/>
      <w:r w:rsidRPr="005B0F98">
        <w:rPr>
          <w:color w:val="70AD47" w:themeColor="accent6"/>
        </w:rPr>
        <w:lastRenderedPageBreak/>
        <w:t>O</w:t>
      </w:r>
      <w:r w:rsidR="001C4F5B" w:rsidRPr="005B0F98">
        <w:rPr>
          <w:color w:val="70AD47" w:themeColor="accent6"/>
        </w:rPr>
        <w:t>granicz</w:t>
      </w:r>
      <w:r w:rsidRPr="005B0F98">
        <w:rPr>
          <w:color w:val="70AD47" w:themeColor="accent6"/>
        </w:rPr>
        <w:t>anie</w:t>
      </w:r>
      <w:r w:rsidR="001C4F5B" w:rsidRPr="005B0F98">
        <w:rPr>
          <w:color w:val="70AD47" w:themeColor="accent6"/>
        </w:rPr>
        <w:t xml:space="preserve"> </w:t>
      </w:r>
      <w:r w:rsidR="00C74F3E" w:rsidRPr="005B0F98">
        <w:rPr>
          <w:color w:val="70AD47" w:themeColor="accent6"/>
        </w:rPr>
        <w:t>emisji gazów cieplarnianych</w:t>
      </w:r>
      <w:r w:rsidR="0057684D" w:rsidRPr="005B0F98">
        <w:rPr>
          <w:color w:val="70AD47" w:themeColor="accent6"/>
        </w:rPr>
        <w:t xml:space="preserve"> z gospodarki</w:t>
      </w:r>
      <w:r w:rsidR="00C349E3" w:rsidRPr="005B0F98">
        <w:rPr>
          <w:color w:val="70AD47" w:themeColor="accent6"/>
        </w:rPr>
        <w:t xml:space="preserve"> (cel ogólny)</w:t>
      </w:r>
      <w:bookmarkEnd w:id="30"/>
      <w:bookmarkEnd w:id="31"/>
      <w:bookmarkEnd w:id="32"/>
    </w:p>
    <w:p w14:paraId="4BA4B07E" w14:textId="1860F440" w:rsidR="008F02EE" w:rsidRPr="00CB005F" w:rsidRDefault="00EC25FC" w:rsidP="00F77C02">
      <w:pPr>
        <w:rPr>
          <w:i/>
          <w:iCs/>
        </w:rPr>
      </w:pPr>
      <w:r>
        <w:t>W ostatnich latach Polska znajduje się w procesie zdynamizowanych zmian gospodarczych i sektorowych, wpisując się w globalne trendy dążenia do niskoemisyjności przy uwzględnieniu specyficznych krajowych uwarunkowań. Niemniej, r</w:t>
      </w:r>
      <w:r w:rsidR="008F02EE">
        <w:t>ównoczesny rozwój gospodar</w:t>
      </w:r>
      <w:r w:rsidR="00A26E30">
        <w:t>czy</w:t>
      </w:r>
      <w:r w:rsidR="008F02EE">
        <w:t xml:space="preserve"> i redukcja intensywności emisyjności oraz emisji gazów cieplarnianych to duże wyzwanie</w:t>
      </w:r>
      <w:r w:rsidR="000A7B74">
        <w:t xml:space="preserve"> dla Polski</w:t>
      </w:r>
      <w:r w:rsidR="008F02EE">
        <w:t xml:space="preserve">. W grudniu 2020 r. Rada </w:t>
      </w:r>
      <w:r w:rsidR="00A26E30">
        <w:t>Europejska</w:t>
      </w:r>
      <w:r w:rsidR="008F02EE">
        <w:t xml:space="preserve"> </w:t>
      </w:r>
      <w:r w:rsidR="00A26E30">
        <w:t xml:space="preserve">zwiększyła </w:t>
      </w:r>
      <w:r w:rsidR="002164B8">
        <w:t>d</w:t>
      </w:r>
      <w:r w:rsidR="008F02EE">
        <w:t xml:space="preserve">otychczasowy </w:t>
      </w:r>
      <w:r w:rsidR="008F02EE" w:rsidRPr="00CB005F">
        <w:rPr>
          <w:b/>
          <w:bCs/>
        </w:rPr>
        <w:t xml:space="preserve">cel UE </w:t>
      </w:r>
      <w:r w:rsidR="002164B8" w:rsidRPr="00CB005F">
        <w:rPr>
          <w:b/>
          <w:bCs/>
        </w:rPr>
        <w:t>w</w:t>
      </w:r>
      <w:r>
        <w:rPr>
          <w:b/>
          <w:bCs/>
        </w:rPr>
        <w:t> </w:t>
      </w:r>
      <w:r w:rsidR="002164B8" w:rsidRPr="00CB005F">
        <w:rPr>
          <w:b/>
          <w:bCs/>
        </w:rPr>
        <w:t>zakresie ograniczenia emisji gazów cieplarnianych</w:t>
      </w:r>
      <w:r w:rsidR="002164B8">
        <w:t xml:space="preserve"> z poziomu</w:t>
      </w:r>
      <w:r w:rsidR="008F02EE">
        <w:t xml:space="preserve"> 40% </w:t>
      </w:r>
      <w:r w:rsidR="002164B8">
        <w:t xml:space="preserve">do </w:t>
      </w:r>
      <w:r w:rsidR="002164B8" w:rsidRPr="00CB005F">
        <w:rPr>
          <w:b/>
          <w:bCs/>
        </w:rPr>
        <w:t>55% w</w:t>
      </w:r>
      <w:r>
        <w:rPr>
          <w:b/>
          <w:bCs/>
        </w:rPr>
        <w:t> </w:t>
      </w:r>
      <w:r w:rsidR="002164B8" w:rsidRPr="00CB005F">
        <w:rPr>
          <w:b/>
          <w:bCs/>
        </w:rPr>
        <w:t>stosunku do poziomu z</w:t>
      </w:r>
      <w:r w:rsidR="00470BAE">
        <w:rPr>
          <w:b/>
          <w:bCs/>
        </w:rPr>
        <w:t xml:space="preserve"> </w:t>
      </w:r>
      <w:r w:rsidR="002164B8" w:rsidRPr="00CB005F">
        <w:rPr>
          <w:b/>
          <w:bCs/>
        </w:rPr>
        <w:t>1990 r.</w:t>
      </w:r>
      <w:r w:rsidR="002164B8">
        <w:t xml:space="preserve"> Zwiększenie ambicji miało na celu stanie się </w:t>
      </w:r>
      <w:r w:rsidR="000A7B74">
        <w:t xml:space="preserve">przez UE </w:t>
      </w:r>
      <w:r w:rsidR="002164B8">
        <w:t xml:space="preserve">liderem w realizacji tzw. </w:t>
      </w:r>
      <w:r w:rsidR="002164B8" w:rsidRPr="002164B8">
        <w:rPr>
          <w:b/>
          <w:bCs/>
        </w:rPr>
        <w:t>porozumienia paryskiego</w:t>
      </w:r>
      <w:r w:rsidR="002164B8">
        <w:t xml:space="preserve">, którego operacjonalizacja ma prowadzić do zatrzymania wzrostu globalnej temperatury </w:t>
      </w:r>
      <w:r w:rsidR="000A7B74">
        <w:t>n</w:t>
      </w:r>
      <w:r w:rsidR="002164B8">
        <w:t>a</w:t>
      </w:r>
      <w:r>
        <w:t> </w:t>
      </w:r>
      <w:r w:rsidR="002164B8">
        <w:t>poziomie poniżej 2ºC w stosunku do poziomów sprzed epoki przemysłowej, a starać się należy, by było to nie więcej niż 1,5º C.</w:t>
      </w:r>
      <w:r w:rsidR="00CB005F">
        <w:t xml:space="preserve"> </w:t>
      </w:r>
    </w:p>
    <w:p w14:paraId="41AFBAE3" w14:textId="171A6AC8" w:rsidR="008F02EE" w:rsidRDefault="00A20FD2" w:rsidP="00F77C02">
      <w:r>
        <w:t xml:space="preserve">Podobnie jak dotychczas, regulacje UE nie określają celów dla </w:t>
      </w:r>
      <w:r w:rsidR="002E068E">
        <w:t xml:space="preserve">poszczególnych </w:t>
      </w:r>
      <w:r>
        <w:t xml:space="preserve">państw członkowskich w odniesieniu do całkowitych emisji </w:t>
      </w:r>
      <w:r w:rsidR="00AD0FB0">
        <w:t>GHG</w:t>
      </w:r>
      <w:r>
        <w:t xml:space="preserve"> – państwa</w:t>
      </w:r>
      <w:r w:rsidR="00F14CAE">
        <w:t xml:space="preserve"> deklarują</w:t>
      </w:r>
      <w:r>
        <w:t xml:space="preserve"> </w:t>
      </w:r>
      <w:r w:rsidR="00C601B0" w:rsidRPr="0016455E">
        <w:rPr>
          <w:b/>
          <w:bCs/>
        </w:rPr>
        <w:t>kontrybucj</w:t>
      </w:r>
      <w:r w:rsidR="00F14CAE">
        <w:rPr>
          <w:b/>
          <w:bCs/>
        </w:rPr>
        <w:t>ę</w:t>
      </w:r>
      <w:r w:rsidR="00C601B0" w:rsidRPr="0016455E">
        <w:rPr>
          <w:b/>
          <w:bCs/>
        </w:rPr>
        <w:t xml:space="preserve"> w stosunku do celu unijnego na poziom</w:t>
      </w:r>
      <w:r w:rsidR="002E068E">
        <w:rPr>
          <w:b/>
          <w:bCs/>
        </w:rPr>
        <w:t>i</w:t>
      </w:r>
      <w:r w:rsidR="00C601B0" w:rsidRPr="0016455E">
        <w:rPr>
          <w:b/>
          <w:bCs/>
        </w:rPr>
        <w:t>e 55% w</w:t>
      </w:r>
      <w:r w:rsidR="0016455E" w:rsidRPr="0016455E">
        <w:rPr>
          <w:b/>
          <w:bCs/>
        </w:rPr>
        <w:t> </w:t>
      </w:r>
      <w:r w:rsidR="00C601B0" w:rsidRPr="0016455E">
        <w:rPr>
          <w:b/>
          <w:bCs/>
        </w:rPr>
        <w:t>2030 r.</w:t>
      </w:r>
      <w:r w:rsidR="00C601B0" w:rsidRPr="00A20FD2">
        <w:t xml:space="preserve"> w stosunku do poziomu z 1990 r.</w:t>
      </w:r>
      <w:r>
        <w:t xml:space="preserve">, który uregulowano w rozporządzeniu UE 2021/1119 – </w:t>
      </w:r>
      <w:r w:rsidR="000E24E3">
        <w:t xml:space="preserve">tj. </w:t>
      </w:r>
      <w:r>
        <w:t>Europejskim prawie o klimacie</w:t>
      </w:r>
      <w:r w:rsidR="00783334">
        <w:rPr>
          <w:rStyle w:val="Odwoanieprzypisudolnego"/>
        </w:rPr>
        <w:footnoteReference w:id="6"/>
      </w:r>
      <w:r>
        <w:t>.</w:t>
      </w:r>
      <w:r w:rsidR="000A5A45">
        <w:t xml:space="preserve"> </w:t>
      </w:r>
      <w:r w:rsidR="00EC25FC" w:rsidRPr="00EC25FC">
        <w:rPr>
          <w:b/>
          <w:bCs/>
        </w:rPr>
        <w:t xml:space="preserve">Przy wyznaczaniu kontrybucji krajowej kluczowe jest </w:t>
      </w:r>
      <w:bookmarkStart w:id="33" w:name="_Hlk159524883"/>
      <w:r w:rsidR="00EC25FC" w:rsidRPr="00EC25FC">
        <w:rPr>
          <w:b/>
          <w:bCs/>
        </w:rPr>
        <w:t>uwzględnienie krajowych uwarunkowań, punktu startowego i realnych możliwości redukcji emisji</w:t>
      </w:r>
      <w:r w:rsidR="0020457B">
        <w:rPr>
          <w:b/>
          <w:bCs/>
        </w:rPr>
        <w:t xml:space="preserve"> w</w:t>
      </w:r>
      <w:r w:rsidR="00095AC4">
        <w:rPr>
          <w:b/>
          <w:bCs/>
        </w:rPr>
        <w:t> </w:t>
      </w:r>
      <w:r w:rsidR="0020457B">
        <w:rPr>
          <w:b/>
          <w:bCs/>
        </w:rPr>
        <w:t>danym horyzoncie czasowym</w:t>
      </w:r>
      <w:r w:rsidR="00EC25FC">
        <w:t xml:space="preserve">. </w:t>
      </w:r>
    </w:p>
    <w:bookmarkEnd w:id="33"/>
    <w:p w14:paraId="5D842422" w14:textId="3B573E2A" w:rsidR="00F775EA" w:rsidRPr="00EC25FC" w:rsidRDefault="00C51B11" w:rsidP="007961FA">
      <w:pPr>
        <w:pStyle w:val="Cele"/>
      </w:pPr>
      <w:r>
        <w:rPr>
          <w:noProof/>
        </w:rPr>
        <mc:AlternateContent>
          <mc:Choice Requires="wps">
            <w:drawing>
              <wp:anchor distT="0" distB="0" distL="114300" distR="114300" simplePos="0" relativeHeight="251627008" behindDoc="1" locked="1" layoutInCell="1" allowOverlap="1" wp14:anchorId="49F7F802" wp14:editId="2B4A30A3">
                <wp:simplePos x="0" y="0"/>
                <wp:positionH relativeFrom="column">
                  <wp:posOffset>82550</wp:posOffset>
                </wp:positionH>
                <wp:positionV relativeFrom="paragraph">
                  <wp:posOffset>4313555</wp:posOffset>
                </wp:positionV>
                <wp:extent cx="5760000" cy="266400"/>
                <wp:effectExtent l="0" t="0" r="0" b="0"/>
                <wp:wrapTight wrapText="bothSides">
                  <wp:wrapPolygon edited="0">
                    <wp:start x="0" y="0"/>
                    <wp:lineTo x="0" y="20057"/>
                    <wp:lineTo x="21505" y="20057"/>
                    <wp:lineTo x="21505" y="0"/>
                    <wp:lineTo x="0" y="0"/>
                  </wp:wrapPolygon>
                </wp:wrapTight>
                <wp:docPr id="479514330" name="Pole tekstowe 1"/>
                <wp:cNvGraphicFramePr/>
                <a:graphic xmlns:a="http://schemas.openxmlformats.org/drawingml/2006/main">
                  <a:graphicData uri="http://schemas.microsoft.com/office/word/2010/wordprocessingShape">
                    <wps:wsp>
                      <wps:cNvSpPr txBox="1"/>
                      <wps:spPr>
                        <a:xfrm>
                          <a:off x="0" y="0"/>
                          <a:ext cx="5760000" cy="266400"/>
                        </a:xfrm>
                        <a:prstGeom prst="rect">
                          <a:avLst/>
                        </a:prstGeom>
                        <a:solidFill>
                          <a:prstClr val="white"/>
                        </a:solidFill>
                        <a:ln>
                          <a:noFill/>
                        </a:ln>
                      </wps:spPr>
                      <wps:txbx>
                        <w:txbxContent>
                          <w:p w14:paraId="46B888D9" w14:textId="25493CE3" w:rsidR="00383ADB" w:rsidRPr="008B3C80" w:rsidRDefault="00383ADB" w:rsidP="00383ADB">
                            <w:pPr>
                              <w:pStyle w:val="Legenda"/>
                              <w:rPr>
                                <w:b/>
                                <w:color w:val="323E4F" w:themeColor="text2" w:themeShade="BF"/>
                                <w:sz w:val="32"/>
                                <w:szCs w:val="36"/>
                              </w:rPr>
                            </w:pPr>
                            <w:bookmarkStart w:id="34" w:name="_Toc205204439"/>
                            <w:r w:rsidRPr="008B3C80">
                              <w:rPr>
                                <w:szCs w:val="20"/>
                              </w:rPr>
                              <w:t xml:space="preserve">Wykres </w:t>
                            </w:r>
                            <w:r w:rsidRPr="008B3C80">
                              <w:rPr>
                                <w:szCs w:val="20"/>
                              </w:rPr>
                              <w:fldChar w:fldCharType="begin"/>
                            </w:r>
                            <w:r w:rsidRPr="008B3C80">
                              <w:rPr>
                                <w:szCs w:val="20"/>
                              </w:rPr>
                              <w:instrText xml:space="preserve"> SEQ Wykres \* ARABIC </w:instrText>
                            </w:r>
                            <w:r w:rsidRPr="008B3C80">
                              <w:rPr>
                                <w:szCs w:val="20"/>
                              </w:rPr>
                              <w:fldChar w:fldCharType="separate"/>
                            </w:r>
                            <w:r w:rsidR="00871DD5">
                              <w:rPr>
                                <w:noProof/>
                                <w:szCs w:val="20"/>
                              </w:rPr>
                              <w:t>1</w:t>
                            </w:r>
                            <w:r w:rsidRPr="008B3C80">
                              <w:rPr>
                                <w:szCs w:val="20"/>
                              </w:rPr>
                              <w:fldChar w:fldCharType="end"/>
                            </w:r>
                            <w:r w:rsidRPr="008B3C80">
                              <w:rPr>
                                <w:szCs w:val="20"/>
                              </w:rPr>
                              <w:t>. Redukcja emisji gazów cieplarnianych</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F7F802" id="Pole tekstowe 1" o:spid="_x0000_s1061" type="#_x0000_t202" style="position:absolute;left:0;text-align:left;margin-left:6.5pt;margin-top:339.65pt;width:453.55pt;height:2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" stroked="f">
                <v:textbox style="mso-fit-shape-to-text:t" inset="0,0,0,0">
                  <w:txbxContent>
                    <w:p w14:paraId="46B888D9" w14:textId="25493CE3" w:rsidR="00383ADB" w:rsidRPr="008B3C80" w:rsidRDefault="00383ADB" w:rsidP="00383ADB">
                      <w:pPr>
                        <w:pStyle w:val="Legenda"/>
                        <w:rPr>
                          <w:b/>
                          <w:color w:val="323E4F" w:themeColor="text2" w:themeShade="BF"/>
                          <w:sz w:val="32"/>
                          <w:szCs w:val="36"/>
                        </w:rPr>
                      </w:pPr>
                      <w:bookmarkStart w:id="35" w:name="_Toc205204439"/>
                      <w:r w:rsidRPr="008B3C80">
                        <w:rPr>
                          <w:szCs w:val="20"/>
                        </w:rPr>
                        <w:t xml:space="preserve">Wykres </w:t>
                      </w:r>
                      <w:r w:rsidRPr="008B3C80">
                        <w:rPr>
                          <w:szCs w:val="20"/>
                        </w:rPr>
                        <w:fldChar w:fldCharType="begin"/>
                      </w:r>
                      <w:r w:rsidRPr="008B3C80">
                        <w:rPr>
                          <w:szCs w:val="20"/>
                        </w:rPr>
                        <w:instrText xml:space="preserve"> SEQ Wykres \* ARABIC </w:instrText>
                      </w:r>
                      <w:r w:rsidRPr="008B3C80">
                        <w:rPr>
                          <w:szCs w:val="20"/>
                        </w:rPr>
                        <w:fldChar w:fldCharType="separate"/>
                      </w:r>
                      <w:r w:rsidR="00871DD5">
                        <w:rPr>
                          <w:noProof/>
                          <w:szCs w:val="20"/>
                        </w:rPr>
                        <w:t>1</w:t>
                      </w:r>
                      <w:r w:rsidRPr="008B3C80">
                        <w:rPr>
                          <w:szCs w:val="20"/>
                        </w:rPr>
                        <w:fldChar w:fldCharType="end"/>
                      </w:r>
                      <w:r w:rsidRPr="008B3C80">
                        <w:rPr>
                          <w:szCs w:val="20"/>
                        </w:rPr>
                        <w:t>. Redukcja emisji gazów cieplarnianych</w:t>
                      </w:r>
                      <w:bookmarkEnd w:id="35"/>
                    </w:p>
                  </w:txbxContent>
                </v:textbox>
                <w10:wrap type="tight"/>
                <w10:anchorlock/>
              </v:shape>
            </w:pict>
          </mc:Fallback>
        </mc:AlternateContent>
      </w:r>
      <w:r>
        <w:rPr>
          <w:noProof/>
          <w:lang w:eastAsia="pl-PL"/>
        </w:rPr>
        <w:drawing>
          <wp:anchor distT="0" distB="0" distL="114300" distR="114300" simplePos="0" relativeHeight="251763200" behindDoc="0" locked="0" layoutInCell="1" allowOverlap="1" wp14:anchorId="6576841B" wp14:editId="6685151F">
            <wp:simplePos x="0" y="0"/>
            <wp:positionH relativeFrom="margin">
              <wp:posOffset>-1297</wp:posOffset>
            </wp:positionH>
            <wp:positionV relativeFrom="paragraph">
              <wp:posOffset>1156169</wp:posOffset>
            </wp:positionV>
            <wp:extent cx="5760720" cy="3148330"/>
            <wp:effectExtent l="0" t="0" r="0" b="0"/>
            <wp:wrapTight wrapText="bothSides">
              <wp:wrapPolygon edited="0">
                <wp:start x="0" y="0"/>
                <wp:lineTo x="0" y="21434"/>
                <wp:lineTo x="21500" y="21434"/>
                <wp:lineTo x="21500" y="0"/>
                <wp:lineTo x="0" y="0"/>
              </wp:wrapPolygon>
            </wp:wrapTight>
            <wp:docPr id="879443799" name="Wykres 1">
              <a:extLst xmlns:a="http://schemas.openxmlformats.org/drawingml/2006/main">
                <a:ext uri="{FF2B5EF4-FFF2-40B4-BE49-F238E27FC236}">
                  <a16:creationId xmlns:a16="http://schemas.microsoft.com/office/drawing/2014/main" id="{B2B05180-0980-45CA-469E-FB4812854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3B1AA4" w:rsidRPr="004A2F82">
        <w:rPr>
          <w:b/>
        </w:rPr>
        <w:t xml:space="preserve">Zgodnie z </w:t>
      </w:r>
      <w:r w:rsidR="00211C8B" w:rsidRPr="004A2F82">
        <w:rPr>
          <w:b/>
        </w:rPr>
        <w:t>prognozami</w:t>
      </w:r>
      <w:r w:rsidR="00337C0E" w:rsidRPr="004A2F82">
        <w:rPr>
          <w:b/>
        </w:rPr>
        <w:t xml:space="preserve"> </w:t>
      </w:r>
      <w:r w:rsidR="0016455E" w:rsidRPr="007961FA">
        <w:rPr>
          <w:b/>
          <w:bCs/>
        </w:rPr>
        <w:t xml:space="preserve">Polska może osiągnąć redukcję </w:t>
      </w:r>
      <w:r w:rsidR="009D07C3">
        <w:rPr>
          <w:b/>
          <w:bCs/>
        </w:rPr>
        <w:t xml:space="preserve">emisji </w:t>
      </w:r>
      <w:r w:rsidR="0016455E" w:rsidRPr="007961FA">
        <w:rPr>
          <w:b/>
          <w:bCs/>
        </w:rPr>
        <w:t xml:space="preserve">gazów cieplarnianych </w:t>
      </w:r>
      <w:r w:rsidR="00A36F28">
        <w:rPr>
          <w:b/>
          <w:bCs/>
        </w:rPr>
        <w:t>w</w:t>
      </w:r>
      <w:r w:rsidR="006D69C9">
        <w:rPr>
          <w:b/>
          <w:bCs/>
        </w:rPr>
        <w:t> </w:t>
      </w:r>
      <w:r w:rsidR="00A36F28">
        <w:rPr>
          <w:b/>
          <w:bCs/>
        </w:rPr>
        <w:t xml:space="preserve">całej gospodarce </w:t>
      </w:r>
      <w:r w:rsidR="00CE0A65">
        <w:rPr>
          <w:b/>
          <w:bCs/>
        </w:rPr>
        <w:t xml:space="preserve">o </w:t>
      </w:r>
      <w:r w:rsidR="00470BAE">
        <w:rPr>
          <w:b/>
          <w:bCs/>
        </w:rPr>
        <w:t xml:space="preserve">ok. </w:t>
      </w:r>
      <w:r w:rsidR="00151B1F">
        <w:rPr>
          <w:b/>
          <w:bCs/>
        </w:rPr>
        <w:t>53,9</w:t>
      </w:r>
      <w:r w:rsidR="00CE0A65">
        <w:rPr>
          <w:b/>
          <w:bCs/>
        </w:rPr>
        <w:t>%</w:t>
      </w:r>
      <w:r w:rsidR="0016455E" w:rsidRPr="007961FA">
        <w:rPr>
          <w:b/>
          <w:bCs/>
        </w:rPr>
        <w:t xml:space="preserve"> w</w:t>
      </w:r>
      <w:r w:rsidR="00F77C02" w:rsidRPr="007961FA">
        <w:rPr>
          <w:b/>
          <w:bCs/>
        </w:rPr>
        <w:t> </w:t>
      </w:r>
      <w:r w:rsidR="0016455E" w:rsidRPr="007961FA">
        <w:rPr>
          <w:b/>
          <w:bCs/>
        </w:rPr>
        <w:t xml:space="preserve">2030 r. </w:t>
      </w:r>
      <w:r w:rsidR="00CE0A65">
        <w:rPr>
          <w:b/>
          <w:bCs/>
        </w:rPr>
        <w:t xml:space="preserve">(do poziomu ok. </w:t>
      </w:r>
      <w:r w:rsidR="00151B1F">
        <w:rPr>
          <w:b/>
          <w:bCs/>
        </w:rPr>
        <w:t xml:space="preserve">206 </w:t>
      </w:r>
      <w:r w:rsidR="00CE0A65">
        <w:rPr>
          <w:b/>
          <w:bCs/>
        </w:rPr>
        <w:t xml:space="preserve">mln </w:t>
      </w:r>
      <w:bookmarkStart w:id="35" w:name="_Hlk158902345"/>
      <w:r w:rsidR="00CE0A65">
        <w:rPr>
          <w:b/>
          <w:bCs/>
        </w:rPr>
        <w:t>t ekw. CO</w:t>
      </w:r>
      <w:r w:rsidR="00CE0A65" w:rsidRPr="00CE0A65">
        <w:rPr>
          <w:b/>
          <w:bCs/>
          <w:vertAlign w:val="subscript"/>
        </w:rPr>
        <w:t>2</w:t>
      </w:r>
      <w:bookmarkEnd w:id="35"/>
      <w:r w:rsidR="00D763A9">
        <w:rPr>
          <w:b/>
          <w:bCs/>
          <w:vertAlign w:val="subscript"/>
        </w:rPr>
        <w:t xml:space="preserve"> </w:t>
      </w:r>
      <w:r w:rsidR="00D763A9">
        <w:rPr>
          <w:b/>
          <w:bCs/>
        </w:rPr>
        <w:t>z</w:t>
      </w:r>
      <w:r w:rsidR="009D774D">
        <w:rPr>
          <w:b/>
          <w:bCs/>
        </w:rPr>
        <w:t> </w:t>
      </w:r>
      <w:r w:rsidR="00D763A9">
        <w:rPr>
          <w:b/>
          <w:bCs/>
        </w:rPr>
        <w:t>uwzględnieniem pochłaniania</w:t>
      </w:r>
      <w:r w:rsidR="00CE0A65">
        <w:rPr>
          <w:b/>
          <w:bCs/>
        </w:rPr>
        <w:t xml:space="preserve">) </w:t>
      </w:r>
      <w:r w:rsidR="00B54094">
        <w:rPr>
          <w:b/>
          <w:bCs/>
        </w:rPr>
        <w:t>i </w:t>
      </w:r>
      <w:r w:rsidR="00F34A9D">
        <w:rPr>
          <w:b/>
          <w:bCs/>
        </w:rPr>
        <w:t>ok. </w:t>
      </w:r>
      <w:r w:rsidR="00151B1F">
        <w:rPr>
          <w:b/>
          <w:bCs/>
        </w:rPr>
        <w:t>75,8</w:t>
      </w:r>
      <w:r w:rsidR="00B54094">
        <w:rPr>
          <w:b/>
          <w:bCs/>
        </w:rPr>
        <w:t xml:space="preserve">% w 2040 r. </w:t>
      </w:r>
      <w:r w:rsidR="0016455E" w:rsidRPr="007961FA">
        <w:rPr>
          <w:b/>
          <w:bCs/>
        </w:rPr>
        <w:t>w</w:t>
      </w:r>
      <w:r w:rsidR="00470BAE">
        <w:rPr>
          <w:b/>
          <w:bCs/>
        </w:rPr>
        <w:t> </w:t>
      </w:r>
      <w:r w:rsidR="0016455E" w:rsidRPr="007961FA">
        <w:rPr>
          <w:b/>
          <w:bCs/>
        </w:rPr>
        <w:t xml:space="preserve">stosunku </w:t>
      </w:r>
      <w:r w:rsidR="0016455E" w:rsidRPr="00CE0A65">
        <w:rPr>
          <w:b/>
          <w:bCs/>
        </w:rPr>
        <w:t>do 1990 r.</w:t>
      </w:r>
      <w:r w:rsidR="00B54094">
        <w:rPr>
          <w:b/>
          <w:bCs/>
        </w:rPr>
        <w:t xml:space="preserve"> </w:t>
      </w:r>
      <w:bookmarkStart w:id="36" w:name="_Hlk159525283"/>
      <w:r w:rsidR="00EB4493">
        <w:rPr>
          <w:b/>
          <w:bCs/>
        </w:rPr>
        <w:br/>
      </w:r>
      <w:r w:rsidR="00B626B4" w:rsidRPr="00080BA7">
        <w:rPr>
          <w:i/>
          <w:iCs/>
        </w:rPr>
        <w:t>[szacunki nie mają charakteru celu]</w:t>
      </w:r>
    </w:p>
    <w:bookmarkEnd w:id="36"/>
    <w:p w14:paraId="16EC8051" w14:textId="1BC59741" w:rsidR="000A461A" w:rsidRDefault="00B33039" w:rsidP="00370DAB">
      <w:r>
        <w:t>W</w:t>
      </w:r>
      <w:r w:rsidR="003717B1">
        <w:t>arto podkreślić, że do</w:t>
      </w:r>
      <w:r>
        <w:t xml:space="preserve"> 202</w:t>
      </w:r>
      <w:r w:rsidR="00C349E8">
        <w:t>2</w:t>
      </w:r>
      <w:r>
        <w:t xml:space="preserve"> r. ograniczenie </w:t>
      </w:r>
      <w:r w:rsidR="003717B1">
        <w:t xml:space="preserve">krajowej </w:t>
      </w:r>
      <w:r>
        <w:t xml:space="preserve">emisji </w:t>
      </w:r>
      <w:r w:rsidR="00AD0FB0">
        <w:t>GHG</w:t>
      </w:r>
      <w:r>
        <w:t xml:space="preserve"> w porównaniu z 1990 r. wyniosło </w:t>
      </w:r>
      <w:r w:rsidR="00C349E8">
        <w:t>23</w:t>
      </w:r>
      <w:r>
        <w:t>%</w:t>
      </w:r>
      <w:r w:rsidR="003717B1">
        <w:t xml:space="preserve">. </w:t>
      </w:r>
      <w:r>
        <w:t xml:space="preserve">Zatem </w:t>
      </w:r>
      <w:r w:rsidR="0020457B">
        <w:t>wskazan</w:t>
      </w:r>
      <w:r w:rsidR="00571E12">
        <w:t>a</w:t>
      </w:r>
      <w:r w:rsidR="0020457B">
        <w:t xml:space="preserve"> </w:t>
      </w:r>
      <w:r w:rsidR="00AA7033">
        <w:t>–</w:t>
      </w:r>
      <w:r w:rsidR="00571E12">
        <w:t xml:space="preserve"> </w:t>
      </w:r>
      <w:r w:rsidR="0020457B">
        <w:t xml:space="preserve">jako </w:t>
      </w:r>
      <w:r w:rsidR="00A24095">
        <w:t xml:space="preserve">wartość </w:t>
      </w:r>
      <w:r w:rsidR="0020457B">
        <w:t xml:space="preserve">wynikowa </w:t>
      </w:r>
      <w:r w:rsidR="00A24095">
        <w:t xml:space="preserve">działań </w:t>
      </w:r>
      <w:r w:rsidR="0020457B">
        <w:t xml:space="preserve">przyjętych w scenariuszu WAM </w:t>
      </w:r>
      <w:r w:rsidR="00AA7033">
        <w:t>–</w:t>
      </w:r>
      <w:r w:rsidR="0020457B">
        <w:t xml:space="preserve"> </w:t>
      </w:r>
      <w:r w:rsidR="0020457B" w:rsidRPr="00370DAB">
        <w:t xml:space="preserve">redukcja emisji </w:t>
      </w:r>
      <w:r w:rsidR="003717B1" w:rsidRPr="00370DAB">
        <w:t xml:space="preserve">na poziomie </w:t>
      </w:r>
      <w:r w:rsidR="00AA48CC" w:rsidRPr="00370DAB">
        <w:t>53,9</w:t>
      </w:r>
      <w:r w:rsidR="007D17A8" w:rsidRPr="00370DAB">
        <w:t>%</w:t>
      </w:r>
      <w:r w:rsidRPr="00370DAB">
        <w:t xml:space="preserve"> </w:t>
      </w:r>
      <w:r w:rsidR="007D17A8" w:rsidRPr="00370DAB">
        <w:t>do</w:t>
      </w:r>
      <w:r w:rsidRPr="00370DAB">
        <w:t xml:space="preserve"> 2030 r. </w:t>
      </w:r>
      <w:r w:rsidR="0020457B" w:rsidRPr="00370DAB">
        <w:t>to efekt znacznej intensyfikacji działań</w:t>
      </w:r>
      <w:r w:rsidR="003717B1" w:rsidRPr="00370DAB">
        <w:t xml:space="preserve"> na przestrzeni niespełna dekady </w:t>
      </w:r>
      <w:r w:rsidR="003717B1" w:rsidRPr="00370DAB">
        <w:lastRenderedPageBreak/>
        <w:t>(</w:t>
      </w:r>
      <w:r w:rsidR="003A45DD" w:rsidRPr="00370DAB">
        <w:t>31</w:t>
      </w:r>
      <w:r w:rsidRPr="00370DAB">
        <w:t> pkt. proc</w:t>
      </w:r>
      <w:r>
        <w:t>.</w:t>
      </w:r>
      <w:r w:rsidR="003717B1">
        <w:t>).</w:t>
      </w:r>
      <w:r>
        <w:t xml:space="preserve"> </w:t>
      </w:r>
      <w:r w:rsidR="00E9399E">
        <w:t xml:space="preserve">Największy udział w emisjach </w:t>
      </w:r>
      <w:r w:rsidR="00AD0FB0">
        <w:t>GHG</w:t>
      </w:r>
      <w:r w:rsidR="00E9399E">
        <w:t xml:space="preserve"> ma sektor </w:t>
      </w:r>
      <w:r w:rsidR="00E9399E" w:rsidRPr="00E9399E">
        <w:t xml:space="preserve">energii, </w:t>
      </w:r>
      <w:r w:rsidR="00E9399E">
        <w:t xml:space="preserve">ale </w:t>
      </w:r>
      <w:r w:rsidR="003D777B">
        <w:t>równocześnie</w:t>
      </w:r>
      <w:r w:rsidR="00E9399E">
        <w:t xml:space="preserve"> największa redukcj</w:t>
      </w:r>
      <w:r w:rsidR="008B71F5">
        <w:t>a</w:t>
      </w:r>
      <w:r w:rsidR="00E9399E">
        <w:t xml:space="preserve"> emisji </w:t>
      </w:r>
      <w:r w:rsidR="00AD0FB0">
        <w:t>GHG</w:t>
      </w:r>
      <w:r w:rsidR="006F7B0C">
        <w:t xml:space="preserve"> </w:t>
      </w:r>
      <w:r w:rsidR="00E9399E">
        <w:t>osiągnięta zostanie w tym sektorze</w:t>
      </w:r>
      <w:r w:rsidR="00424ACA">
        <w:t xml:space="preserve"> </w:t>
      </w:r>
      <w:r w:rsidR="006F7B0C">
        <w:t>(</w:t>
      </w:r>
      <w:r w:rsidR="00424ACA">
        <w:t xml:space="preserve">o ok. </w:t>
      </w:r>
      <w:r w:rsidR="00B54094">
        <w:t>4</w:t>
      </w:r>
      <w:r w:rsidR="003A45DD">
        <w:t>8</w:t>
      </w:r>
      <w:r w:rsidR="00424ACA">
        <w:t>% w stosunku do 1990 r.</w:t>
      </w:r>
      <w:r w:rsidR="00B137DC">
        <w:t>,</w:t>
      </w:r>
      <w:r w:rsidR="00424ACA">
        <w:t xml:space="preserve"> do poziomu ok. </w:t>
      </w:r>
      <w:r w:rsidR="00B54094">
        <w:t>203</w:t>
      </w:r>
      <w:r w:rsidR="00424ACA">
        <w:t xml:space="preserve"> mln t</w:t>
      </w:r>
      <w:r w:rsidR="00424ACA" w:rsidRPr="00370DAB">
        <w:t xml:space="preserve"> </w:t>
      </w:r>
      <w:r w:rsidR="00424ACA" w:rsidRPr="006F7B0C">
        <w:t>ekw.</w:t>
      </w:r>
      <w:r w:rsidR="00424ACA">
        <w:t> </w:t>
      </w:r>
      <w:r w:rsidR="00424ACA" w:rsidRPr="006F7B0C">
        <w:t>CO</w:t>
      </w:r>
      <w:r w:rsidR="00424ACA" w:rsidRPr="00370DAB">
        <w:t>2</w:t>
      </w:r>
      <w:r w:rsidR="00424ACA">
        <w:t>).</w:t>
      </w:r>
      <w:r w:rsidR="003D777B">
        <w:t xml:space="preserve"> Główny wkład wniesie szeroko pojęty sektor produkcji energii elektrycznej i</w:t>
      </w:r>
      <w:r w:rsidR="006F7412">
        <w:t> </w:t>
      </w:r>
      <w:r w:rsidR="003D777B">
        <w:t>ciepła. Jednocześnie p</w:t>
      </w:r>
      <w:r w:rsidR="006F7B0C">
        <w:t xml:space="preserve">rognozy wskazują, że redukcja emisji </w:t>
      </w:r>
      <w:r w:rsidR="00AD0FB0">
        <w:t>GHG</w:t>
      </w:r>
      <w:r w:rsidR="006F7B0C">
        <w:t xml:space="preserve"> w pozostałych sektorach jest trudn</w:t>
      </w:r>
      <w:r w:rsidR="0020457B">
        <w:t>iejsza</w:t>
      </w:r>
      <w:r w:rsidR="006F7B0C">
        <w:t>, ze względu na ograniczon</w:t>
      </w:r>
      <w:r w:rsidR="0020457B">
        <w:t>ą wciąż wiedzę co do</w:t>
      </w:r>
      <w:r w:rsidR="006F7B0C">
        <w:t xml:space="preserve"> zmian możliwych do wprowadzenia (np. rolnictwo)</w:t>
      </w:r>
      <w:r w:rsidR="0020457B">
        <w:t>, zbyt niskie wykorzystanie innowacji</w:t>
      </w:r>
      <w:r w:rsidR="006F7B0C">
        <w:t xml:space="preserve"> lub ze względu na to, że osiągane redukcje emisyjności poszczególnych procesów nie przekładają się na zmniejszenie </w:t>
      </w:r>
      <w:r w:rsidR="00424ACA">
        <w:t xml:space="preserve">całkowitego poziomu </w:t>
      </w:r>
      <w:r w:rsidR="006F7B0C">
        <w:t>emisji, ponieważ rośnie aktywność w tych sektorach (np. transport, przemysł).</w:t>
      </w:r>
    </w:p>
    <w:p w14:paraId="5D890230" w14:textId="12FD65E4" w:rsidR="00BD41AF" w:rsidRPr="008B3C80" w:rsidRDefault="00BD41AF" w:rsidP="00BD41AF">
      <w:pPr>
        <w:pStyle w:val="Legenda"/>
        <w:keepNext/>
        <w:rPr>
          <w:szCs w:val="20"/>
        </w:rPr>
      </w:pPr>
      <w:bookmarkStart w:id="37" w:name="_Toc205204367"/>
      <w:r w:rsidRPr="008B3C80">
        <w:rPr>
          <w:szCs w:val="20"/>
        </w:rPr>
        <w:t xml:space="preserve">Tabela </w:t>
      </w:r>
      <w:r w:rsidRPr="008B3C80">
        <w:rPr>
          <w:szCs w:val="20"/>
        </w:rPr>
        <w:fldChar w:fldCharType="begin"/>
      </w:r>
      <w:r w:rsidRPr="008B3C80">
        <w:rPr>
          <w:szCs w:val="20"/>
        </w:rPr>
        <w:instrText xml:space="preserve"> SEQ Tabela \* ARABIC </w:instrText>
      </w:r>
      <w:r w:rsidRPr="008B3C80">
        <w:rPr>
          <w:szCs w:val="20"/>
        </w:rPr>
        <w:fldChar w:fldCharType="separate"/>
      </w:r>
      <w:r w:rsidR="00871DD5">
        <w:rPr>
          <w:noProof/>
          <w:szCs w:val="20"/>
        </w:rPr>
        <w:t>1</w:t>
      </w:r>
      <w:r w:rsidRPr="008B3C80">
        <w:rPr>
          <w:szCs w:val="20"/>
        </w:rPr>
        <w:fldChar w:fldCharType="end"/>
      </w:r>
      <w:r w:rsidRPr="008B3C80">
        <w:rPr>
          <w:szCs w:val="20"/>
        </w:rPr>
        <w:t>. Prognozy emisji gazów cieplarnianych w 2030 i 2040 r. na tle 1990 i 2022 r.</w:t>
      </w:r>
      <w:bookmarkEnd w:id="37"/>
    </w:p>
    <w:tbl>
      <w:tblPr>
        <w:tblW w:w="9067" w:type="dxa"/>
        <w:tblLayout w:type="fixed"/>
        <w:tblCellMar>
          <w:left w:w="70" w:type="dxa"/>
          <w:right w:w="70" w:type="dxa"/>
        </w:tblCellMar>
        <w:tblLook w:val="04A0" w:firstRow="1" w:lastRow="0" w:firstColumn="1" w:lastColumn="0" w:noHBand="0" w:noVBand="1"/>
      </w:tblPr>
      <w:tblGrid>
        <w:gridCol w:w="3114"/>
        <w:gridCol w:w="933"/>
        <w:gridCol w:w="933"/>
        <w:gridCol w:w="933"/>
        <w:gridCol w:w="933"/>
        <w:gridCol w:w="1110"/>
        <w:gridCol w:w="1111"/>
      </w:tblGrid>
      <w:tr w:rsidR="00B54094" w:rsidRPr="00B54094" w14:paraId="74B895A5" w14:textId="77777777" w:rsidTr="00414664">
        <w:trPr>
          <w:trHeight w:val="300"/>
        </w:trPr>
        <w:tc>
          <w:tcPr>
            <w:tcW w:w="3114" w:type="dxa"/>
            <w:tcBorders>
              <w:top w:val="single" w:sz="4" w:space="0" w:color="auto"/>
              <w:left w:val="single" w:sz="4" w:space="0" w:color="auto"/>
              <w:bottom w:val="single" w:sz="4" w:space="0" w:color="auto"/>
            </w:tcBorders>
            <w:shd w:val="clear" w:color="000000" w:fill="70AD47"/>
            <w:noWrap/>
            <w:vAlign w:val="center"/>
            <w:hideMark/>
          </w:tcPr>
          <w:p w14:paraId="3D2EA405" w14:textId="145EC570" w:rsidR="00B54094" w:rsidRPr="00B54094" w:rsidRDefault="004F7AD9" w:rsidP="004F7AD9">
            <w:pPr>
              <w:spacing w:after="0" w:line="240" w:lineRule="auto"/>
              <w:rPr>
                <w:rFonts w:eastAsia="Times New Roman" w:cs="Times New Roman"/>
                <w:b/>
                <w:bCs/>
                <w:kern w:val="0"/>
                <w:sz w:val="18"/>
                <w:szCs w:val="18"/>
                <w:vertAlign w:val="superscript"/>
                <w:lang w:eastAsia="pl-PL"/>
                <w14:ligatures w14:val="none"/>
              </w:rPr>
            </w:pPr>
            <w:bookmarkStart w:id="38" w:name="_Hlk177141835"/>
            <w:r w:rsidRPr="004F7AD9">
              <w:rPr>
                <w:rFonts w:eastAsia="Times New Roman" w:cs="Times New Roman"/>
                <w:b/>
                <w:bCs/>
                <w:kern w:val="0"/>
                <w:sz w:val="18"/>
                <w:szCs w:val="18"/>
                <w:lang w:eastAsia="pl-PL"/>
                <w14:ligatures w14:val="none"/>
              </w:rPr>
              <w:t xml:space="preserve">[mln t </w:t>
            </w:r>
            <w:r>
              <w:rPr>
                <w:rFonts w:eastAsia="Times New Roman" w:cs="Times New Roman"/>
                <w:b/>
                <w:bCs/>
                <w:kern w:val="0"/>
                <w:sz w:val="18"/>
                <w:szCs w:val="18"/>
                <w:lang w:eastAsia="pl-PL"/>
                <w14:ligatures w14:val="none"/>
              </w:rPr>
              <w:t>ekw. CO</w:t>
            </w:r>
            <w:r w:rsidRPr="004F7AD9">
              <w:rPr>
                <w:rFonts w:eastAsia="Times New Roman" w:cs="Times New Roman"/>
                <w:b/>
                <w:bCs/>
                <w:kern w:val="0"/>
                <w:sz w:val="18"/>
                <w:szCs w:val="18"/>
                <w:vertAlign w:val="subscript"/>
                <w:lang w:eastAsia="pl-PL"/>
                <w14:ligatures w14:val="none"/>
              </w:rPr>
              <w:t>2</w:t>
            </w:r>
            <w:r w:rsidRPr="004F7AD9">
              <w:rPr>
                <w:rFonts w:eastAsia="Times New Roman" w:cs="Times New Roman"/>
                <w:b/>
                <w:bCs/>
                <w:kern w:val="0"/>
                <w:sz w:val="18"/>
                <w:szCs w:val="18"/>
                <w:lang w:eastAsia="pl-PL"/>
                <w14:ligatures w14:val="none"/>
              </w:rPr>
              <w:t>]</w:t>
            </w:r>
          </w:p>
        </w:tc>
        <w:tc>
          <w:tcPr>
            <w:tcW w:w="933" w:type="dxa"/>
            <w:tcBorders>
              <w:top w:val="single" w:sz="4" w:space="0" w:color="auto"/>
              <w:bottom w:val="single" w:sz="4" w:space="0" w:color="auto"/>
            </w:tcBorders>
            <w:shd w:val="clear" w:color="000000" w:fill="70AD47"/>
            <w:noWrap/>
            <w:vAlign w:val="center"/>
            <w:hideMark/>
          </w:tcPr>
          <w:p w14:paraId="41571A40" w14:textId="77777777" w:rsidR="00B54094" w:rsidRPr="00B54094" w:rsidRDefault="00B54094" w:rsidP="00B54094">
            <w:pPr>
              <w:spacing w:after="0" w:line="240" w:lineRule="auto"/>
              <w:jc w:val="center"/>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1990</w:t>
            </w:r>
          </w:p>
        </w:tc>
        <w:tc>
          <w:tcPr>
            <w:tcW w:w="933" w:type="dxa"/>
            <w:tcBorders>
              <w:top w:val="single" w:sz="4" w:space="0" w:color="auto"/>
              <w:bottom w:val="single" w:sz="4" w:space="0" w:color="auto"/>
            </w:tcBorders>
            <w:shd w:val="clear" w:color="000000" w:fill="70AD47"/>
            <w:noWrap/>
            <w:vAlign w:val="center"/>
            <w:hideMark/>
          </w:tcPr>
          <w:p w14:paraId="4596D933" w14:textId="592BD828" w:rsidR="00B54094" w:rsidRPr="00B54094" w:rsidRDefault="00B54094" w:rsidP="00B54094">
            <w:pPr>
              <w:spacing w:after="0" w:line="240" w:lineRule="auto"/>
              <w:jc w:val="center"/>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202</w:t>
            </w:r>
            <w:r w:rsidR="00725682">
              <w:rPr>
                <w:rFonts w:eastAsia="Times New Roman" w:cs="Times New Roman"/>
                <w:b/>
                <w:bCs/>
                <w:kern w:val="0"/>
                <w:sz w:val="18"/>
                <w:szCs w:val="18"/>
                <w:lang w:eastAsia="pl-PL"/>
                <w14:ligatures w14:val="none"/>
              </w:rPr>
              <w:t>2</w:t>
            </w:r>
          </w:p>
        </w:tc>
        <w:tc>
          <w:tcPr>
            <w:tcW w:w="933" w:type="dxa"/>
            <w:tcBorders>
              <w:top w:val="single" w:sz="4" w:space="0" w:color="auto"/>
              <w:bottom w:val="single" w:sz="4" w:space="0" w:color="auto"/>
            </w:tcBorders>
            <w:shd w:val="clear" w:color="000000" w:fill="70AD47"/>
            <w:noWrap/>
            <w:vAlign w:val="center"/>
            <w:hideMark/>
          </w:tcPr>
          <w:p w14:paraId="47174C19" w14:textId="77777777" w:rsidR="00B54094" w:rsidRPr="00B54094" w:rsidRDefault="00B54094" w:rsidP="00B54094">
            <w:pPr>
              <w:spacing w:after="0" w:line="240" w:lineRule="auto"/>
              <w:jc w:val="center"/>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2030</w:t>
            </w:r>
          </w:p>
        </w:tc>
        <w:tc>
          <w:tcPr>
            <w:tcW w:w="933" w:type="dxa"/>
            <w:tcBorders>
              <w:top w:val="single" w:sz="4" w:space="0" w:color="auto"/>
              <w:bottom w:val="single" w:sz="4" w:space="0" w:color="auto"/>
              <w:right w:val="dotted" w:sz="4" w:space="0" w:color="000000" w:themeColor="text1"/>
            </w:tcBorders>
            <w:shd w:val="clear" w:color="000000" w:fill="70AD47"/>
            <w:noWrap/>
            <w:vAlign w:val="center"/>
            <w:hideMark/>
          </w:tcPr>
          <w:p w14:paraId="63CF3B5D" w14:textId="77777777" w:rsidR="00B54094" w:rsidRPr="00B54094" w:rsidRDefault="00B54094" w:rsidP="00B54094">
            <w:pPr>
              <w:spacing w:after="0" w:line="240" w:lineRule="auto"/>
              <w:jc w:val="center"/>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2040</w:t>
            </w:r>
          </w:p>
        </w:tc>
        <w:tc>
          <w:tcPr>
            <w:tcW w:w="1110" w:type="dxa"/>
            <w:tcBorders>
              <w:top w:val="single" w:sz="4" w:space="0" w:color="auto"/>
              <w:left w:val="dotted" w:sz="4" w:space="0" w:color="000000" w:themeColor="text1"/>
              <w:bottom w:val="single" w:sz="4" w:space="0" w:color="auto"/>
            </w:tcBorders>
            <w:shd w:val="clear" w:color="000000" w:fill="FFC000"/>
            <w:noWrap/>
            <w:vAlign w:val="center"/>
            <w:hideMark/>
          </w:tcPr>
          <w:p w14:paraId="20254849" w14:textId="77777777" w:rsidR="00B54094" w:rsidRPr="00B54094" w:rsidRDefault="00B54094" w:rsidP="00B54094">
            <w:pPr>
              <w:spacing w:after="0" w:line="240" w:lineRule="auto"/>
              <w:jc w:val="center"/>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2030/1990</w:t>
            </w:r>
          </w:p>
        </w:tc>
        <w:tc>
          <w:tcPr>
            <w:tcW w:w="1111" w:type="dxa"/>
            <w:tcBorders>
              <w:top w:val="single" w:sz="4" w:space="0" w:color="auto"/>
              <w:bottom w:val="single" w:sz="4" w:space="0" w:color="auto"/>
              <w:right w:val="single" w:sz="4" w:space="0" w:color="auto"/>
            </w:tcBorders>
            <w:shd w:val="clear" w:color="000000" w:fill="FFC000"/>
            <w:noWrap/>
            <w:vAlign w:val="center"/>
            <w:hideMark/>
          </w:tcPr>
          <w:p w14:paraId="5152E8C4" w14:textId="77777777" w:rsidR="00B54094" w:rsidRPr="00B54094" w:rsidRDefault="00B54094" w:rsidP="00B54094">
            <w:pPr>
              <w:spacing w:after="0" w:line="240" w:lineRule="auto"/>
              <w:jc w:val="center"/>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2040/1990</w:t>
            </w:r>
          </w:p>
        </w:tc>
      </w:tr>
      <w:tr w:rsidR="00BD1F88" w:rsidRPr="00B54094" w14:paraId="5BA7CEE6" w14:textId="77777777" w:rsidTr="00414664">
        <w:trPr>
          <w:trHeight w:val="306"/>
        </w:trPr>
        <w:tc>
          <w:tcPr>
            <w:tcW w:w="3114" w:type="dxa"/>
            <w:tcBorders>
              <w:top w:val="single" w:sz="4" w:space="0" w:color="auto"/>
              <w:left w:val="single" w:sz="4" w:space="0" w:color="auto"/>
            </w:tcBorders>
            <w:noWrap/>
            <w:vAlign w:val="center"/>
            <w:hideMark/>
          </w:tcPr>
          <w:p w14:paraId="6851D11A" w14:textId="61CBAA41" w:rsidR="00BD1F88" w:rsidRPr="00B54094" w:rsidRDefault="00BD1F88" w:rsidP="00BD1F88">
            <w:pPr>
              <w:spacing w:after="0" w:line="240" w:lineRule="auto"/>
              <w:jc w:val="left"/>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Energia</w:t>
            </w:r>
          </w:p>
        </w:tc>
        <w:tc>
          <w:tcPr>
            <w:tcW w:w="933" w:type="dxa"/>
            <w:tcBorders>
              <w:top w:val="single" w:sz="4" w:space="0" w:color="auto"/>
            </w:tcBorders>
            <w:noWrap/>
            <w:vAlign w:val="center"/>
          </w:tcPr>
          <w:p w14:paraId="25CFBD85" w14:textId="4B8A3EF2" w:rsidR="00BD1F88" w:rsidRPr="00423AAF" w:rsidRDefault="00BD1F88" w:rsidP="00BD1F88">
            <w:pPr>
              <w:spacing w:after="0" w:line="240" w:lineRule="auto"/>
              <w:jc w:val="center"/>
              <w:rPr>
                <w:rFonts w:eastAsia="Times New Roman" w:cs="Times New Roman"/>
                <w:kern w:val="0"/>
                <w:sz w:val="18"/>
                <w:szCs w:val="18"/>
                <w:lang w:eastAsia="pl-PL"/>
                <w14:ligatures w14:val="none"/>
              </w:rPr>
            </w:pPr>
            <w:r w:rsidRPr="00423AAF">
              <w:rPr>
                <w:sz w:val="18"/>
                <w:szCs w:val="18"/>
              </w:rPr>
              <w:t>385,1</w:t>
            </w:r>
          </w:p>
        </w:tc>
        <w:tc>
          <w:tcPr>
            <w:tcW w:w="933" w:type="dxa"/>
            <w:tcBorders>
              <w:top w:val="single" w:sz="4" w:space="0" w:color="auto"/>
            </w:tcBorders>
            <w:noWrap/>
            <w:vAlign w:val="center"/>
          </w:tcPr>
          <w:p w14:paraId="2DA66073" w14:textId="4912B033" w:rsidR="00BD1F88" w:rsidRPr="00BD1F88" w:rsidRDefault="00BD1F88" w:rsidP="00BD1F88">
            <w:pPr>
              <w:spacing w:after="0" w:line="240" w:lineRule="auto"/>
              <w:jc w:val="center"/>
              <w:rPr>
                <w:rFonts w:eastAsia="Times New Roman" w:cs="Times New Roman"/>
                <w:kern w:val="0"/>
                <w:sz w:val="18"/>
                <w:szCs w:val="18"/>
                <w:lang w:eastAsia="pl-PL"/>
                <w14:ligatures w14:val="none"/>
              </w:rPr>
            </w:pPr>
            <w:r w:rsidRPr="00BD1F88">
              <w:rPr>
                <w:sz w:val="18"/>
                <w:szCs w:val="18"/>
              </w:rPr>
              <w:t>336,2</w:t>
            </w:r>
          </w:p>
        </w:tc>
        <w:tc>
          <w:tcPr>
            <w:tcW w:w="933" w:type="dxa"/>
            <w:tcBorders>
              <w:top w:val="single" w:sz="4" w:space="0" w:color="auto"/>
            </w:tcBorders>
            <w:noWrap/>
            <w:vAlign w:val="center"/>
          </w:tcPr>
          <w:p w14:paraId="62CEDA0A" w14:textId="6CFE60F4" w:rsidR="00BD1F88" w:rsidRPr="00BD1F88" w:rsidRDefault="00BD1F88" w:rsidP="00BD1F88">
            <w:pPr>
              <w:spacing w:after="0" w:line="240" w:lineRule="auto"/>
              <w:jc w:val="center"/>
              <w:rPr>
                <w:rFonts w:eastAsia="Times New Roman" w:cs="Times New Roman"/>
                <w:kern w:val="0"/>
                <w:sz w:val="18"/>
                <w:szCs w:val="18"/>
                <w:lang w:eastAsia="pl-PL"/>
                <w14:ligatures w14:val="none"/>
              </w:rPr>
            </w:pPr>
            <w:r w:rsidRPr="00BD1F88">
              <w:rPr>
                <w:sz w:val="18"/>
                <w:szCs w:val="18"/>
              </w:rPr>
              <w:t>202,9</w:t>
            </w:r>
          </w:p>
        </w:tc>
        <w:tc>
          <w:tcPr>
            <w:tcW w:w="933" w:type="dxa"/>
            <w:tcBorders>
              <w:top w:val="single" w:sz="4" w:space="0" w:color="auto"/>
              <w:right w:val="dotted" w:sz="4" w:space="0" w:color="000000" w:themeColor="text1"/>
            </w:tcBorders>
            <w:noWrap/>
            <w:vAlign w:val="center"/>
          </w:tcPr>
          <w:p w14:paraId="348FAFAA" w14:textId="75DA54F7" w:rsidR="00BD1F88" w:rsidRPr="00BD1F88" w:rsidRDefault="00BD1F88" w:rsidP="00BD1F88">
            <w:pPr>
              <w:spacing w:after="0" w:line="240" w:lineRule="auto"/>
              <w:jc w:val="center"/>
              <w:rPr>
                <w:rFonts w:eastAsia="Times New Roman" w:cs="Times New Roman"/>
                <w:kern w:val="0"/>
                <w:sz w:val="18"/>
                <w:szCs w:val="18"/>
                <w:lang w:eastAsia="pl-PL"/>
                <w14:ligatures w14:val="none"/>
              </w:rPr>
            </w:pPr>
            <w:r w:rsidRPr="00BD1F88">
              <w:rPr>
                <w:sz w:val="18"/>
                <w:szCs w:val="18"/>
              </w:rPr>
              <w:t>105,3</w:t>
            </w:r>
          </w:p>
        </w:tc>
        <w:tc>
          <w:tcPr>
            <w:tcW w:w="1110" w:type="dxa"/>
            <w:tcBorders>
              <w:top w:val="single" w:sz="4" w:space="0" w:color="auto"/>
              <w:left w:val="dotted" w:sz="4" w:space="0" w:color="000000" w:themeColor="text1"/>
            </w:tcBorders>
            <w:noWrap/>
            <w:vAlign w:val="center"/>
            <w:hideMark/>
          </w:tcPr>
          <w:p w14:paraId="0752D42B" w14:textId="550039F4" w:rsidR="00BD1F88" w:rsidRPr="00B54094" w:rsidRDefault="00BD1F88" w:rsidP="00BD1F88">
            <w:pPr>
              <w:spacing w:after="0" w:line="240" w:lineRule="auto"/>
              <w:jc w:val="center"/>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-4</w:t>
            </w:r>
            <w:r>
              <w:rPr>
                <w:rFonts w:eastAsia="Times New Roman" w:cs="Times New Roman"/>
                <w:kern w:val="0"/>
                <w:sz w:val="18"/>
                <w:szCs w:val="18"/>
                <w:lang w:eastAsia="pl-PL"/>
                <w14:ligatures w14:val="none"/>
              </w:rPr>
              <w:t>8</w:t>
            </w:r>
            <w:r w:rsidRPr="00B54094">
              <w:rPr>
                <w:rFonts w:eastAsia="Times New Roman" w:cs="Times New Roman"/>
                <w:kern w:val="0"/>
                <w:sz w:val="18"/>
                <w:szCs w:val="18"/>
                <w:lang w:eastAsia="pl-PL"/>
                <w14:ligatures w14:val="none"/>
              </w:rPr>
              <w:t>%</w:t>
            </w:r>
          </w:p>
        </w:tc>
        <w:tc>
          <w:tcPr>
            <w:tcW w:w="1111" w:type="dxa"/>
            <w:tcBorders>
              <w:top w:val="single" w:sz="4" w:space="0" w:color="auto"/>
              <w:right w:val="single" w:sz="4" w:space="0" w:color="auto"/>
            </w:tcBorders>
            <w:noWrap/>
            <w:vAlign w:val="center"/>
            <w:hideMark/>
          </w:tcPr>
          <w:p w14:paraId="0FA22D12" w14:textId="3FC006FA" w:rsidR="00BD1F88" w:rsidRPr="00B54094" w:rsidRDefault="00BD1F88" w:rsidP="00BD1F88">
            <w:pPr>
              <w:spacing w:after="0" w:line="240" w:lineRule="auto"/>
              <w:jc w:val="center"/>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-7</w:t>
            </w:r>
            <w:r>
              <w:rPr>
                <w:rFonts w:eastAsia="Times New Roman" w:cs="Times New Roman"/>
                <w:kern w:val="0"/>
                <w:sz w:val="18"/>
                <w:szCs w:val="18"/>
                <w:lang w:eastAsia="pl-PL"/>
                <w14:ligatures w14:val="none"/>
              </w:rPr>
              <w:t>5</w:t>
            </w:r>
            <w:r w:rsidRPr="00B54094">
              <w:rPr>
                <w:rFonts w:eastAsia="Times New Roman" w:cs="Times New Roman"/>
                <w:kern w:val="0"/>
                <w:sz w:val="18"/>
                <w:szCs w:val="18"/>
                <w:lang w:eastAsia="pl-PL"/>
                <w14:ligatures w14:val="none"/>
              </w:rPr>
              <w:t>%</w:t>
            </w:r>
          </w:p>
        </w:tc>
      </w:tr>
      <w:tr w:rsidR="000858ED" w:rsidRPr="00B54094" w14:paraId="61C2D72E" w14:textId="77777777" w:rsidTr="00725682">
        <w:trPr>
          <w:trHeight w:val="255"/>
        </w:trPr>
        <w:tc>
          <w:tcPr>
            <w:tcW w:w="3114" w:type="dxa"/>
            <w:tcBorders>
              <w:left w:val="single" w:sz="4" w:space="0" w:color="auto"/>
            </w:tcBorders>
            <w:noWrap/>
            <w:vAlign w:val="center"/>
          </w:tcPr>
          <w:p w14:paraId="2175200B" w14:textId="17EC8438" w:rsidR="000858ED" w:rsidRPr="003E3D7C" w:rsidRDefault="000858ED" w:rsidP="000858ED">
            <w:pPr>
              <w:spacing w:after="0" w:line="240" w:lineRule="auto"/>
              <w:ind w:left="206"/>
              <w:jc w:val="left"/>
              <w:rPr>
                <w:rFonts w:eastAsia="Times New Roman" w:cs="Times New Roman"/>
                <w:kern w:val="0"/>
                <w:sz w:val="16"/>
                <w:szCs w:val="16"/>
                <w:lang w:eastAsia="pl-PL"/>
                <w14:ligatures w14:val="none"/>
              </w:rPr>
            </w:pPr>
            <w:r>
              <w:rPr>
                <w:color w:val="000000"/>
                <w:sz w:val="16"/>
                <w:szCs w:val="16"/>
              </w:rPr>
              <w:t>elektrownie i elektrociepłownie</w:t>
            </w:r>
          </w:p>
        </w:tc>
        <w:tc>
          <w:tcPr>
            <w:tcW w:w="933" w:type="dxa"/>
            <w:noWrap/>
            <w:vAlign w:val="center"/>
          </w:tcPr>
          <w:p w14:paraId="255B0BD5" w14:textId="6E8ADD51" w:rsidR="000858ED" w:rsidRPr="000858ED" w:rsidRDefault="000858ED" w:rsidP="000858ED">
            <w:pPr>
              <w:spacing w:after="0" w:line="240" w:lineRule="auto"/>
              <w:jc w:val="center"/>
              <w:rPr>
                <w:sz w:val="16"/>
                <w:szCs w:val="16"/>
              </w:rPr>
            </w:pPr>
            <w:r w:rsidRPr="000858ED">
              <w:rPr>
                <w:color w:val="000000"/>
                <w:sz w:val="16"/>
                <w:szCs w:val="16"/>
              </w:rPr>
              <w:t>186,9</w:t>
            </w:r>
          </w:p>
        </w:tc>
        <w:tc>
          <w:tcPr>
            <w:tcW w:w="933" w:type="dxa"/>
            <w:noWrap/>
            <w:vAlign w:val="bottom"/>
          </w:tcPr>
          <w:p w14:paraId="30E1BFF3" w14:textId="76D4CA82" w:rsidR="000858ED" w:rsidRPr="000858ED" w:rsidRDefault="006A329A" w:rsidP="000858ED">
            <w:pPr>
              <w:spacing w:after="0" w:line="240" w:lineRule="auto"/>
              <w:jc w:val="center"/>
              <w:rPr>
                <w:sz w:val="16"/>
                <w:szCs w:val="16"/>
              </w:rPr>
            </w:pPr>
            <w:r w:rsidRPr="006A329A">
              <w:rPr>
                <w:color w:val="000000"/>
                <w:sz w:val="16"/>
                <w:szCs w:val="16"/>
              </w:rPr>
              <w:t>131,0</w:t>
            </w:r>
          </w:p>
        </w:tc>
        <w:tc>
          <w:tcPr>
            <w:tcW w:w="933" w:type="dxa"/>
            <w:noWrap/>
            <w:vAlign w:val="bottom"/>
          </w:tcPr>
          <w:p w14:paraId="5F8D9163" w14:textId="67D28969" w:rsidR="000858ED" w:rsidRPr="000858ED" w:rsidRDefault="006A329A" w:rsidP="000858ED">
            <w:pPr>
              <w:spacing w:after="0" w:line="240" w:lineRule="auto"/>
              <w:jc w:val="center"/>
              <w:rPr>
                <w:sz w:val="16"/>
                <w:szCs w:val="16"/>
              </w:rPr>
            </w:pPr>
            <w:r w:rsidRPr="006A329A">
              <w:rPr>
                <w:color w:val="000000"/>
                <w:sz w:val="16"/>
                <w:szCs w:val="16"/>
              </w:rPr>
              <w:t>61,3</w:t>
            </w:r>
          </w:p>
        </w:tc>
        <w:tc>
          <w:tcPr>
            <w:tcW w:w="933" w:type="dxa"/>
            <w:tcBorders>
              <w:right w:val="dotted" w:sz="4" w:space="0" w:color="000000" w:themeColor="text1"/>
            </w:tcBorders>
            <w:noWrap/>
            <w:vAlign w:val="bottom"/>
          </w:tcPr>
          <w:p w14:paraId="550F6113" w14:textId="7700F6C4" w:rsidR="000858ED" w:rsidRPr="000858ED" w:rsidRDefault="006A329A" w:rsidP="000858ED">
            <w:pPr>
              <w:spacing w:after="0" w:line="240" w:lineRule="auto"/>
              <w:jc w:val="center"/>
              <w:rPr>
                <w:sz w:val="16"/>
                <w:szCs w:val="16"/>
              </w:rPr>
            </w:pPr>
            <w:r w:rsidRPr="006A329A">
              <w:rPr>
                <w:color w:val="000000"/>
                <w:sz w:val="16"/>
                <w:szCs w:val="16"/>
              </w:rPr>
              <w:t>8,4</w:t>
            </w:r>
          </w:p>
        </w:tc>
        <w:tc>
          <w:tcPr>
            <w:tcW w:w="1110" w:type="dxa"/>
            <w:tcBorders>
              <w:left w:val="dotted" w:sz="4" w:space="0" w:color="000000" w:themeColor="text1"/>
            </w:tcBorders>
            <w:noWrap/>
            <w:vAlign w:val="center"/>
          </w:tcPr>
          <w:p w14:paraId="4A0BF523" w14:textId="75249A65"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67</w:t>
            </w:r>
            <w:r>
              <w:rPr>
                <w:b/>
                <w:color w:val="000000"/>
                <w:sz w:val="16"/>
                <w:szCs w:val="16"/>
              </w:rPr>
              <w:t>%</w:t>
            </w:r>
          </w:p>
        </w:tc>
        <w:tc>
          <w:tcPr>
            <w:tcW w:w="1111" w:type="dxa"/>
            <w:tcBorders>
              <w:right w:val="single" w:sz="4" w:space="0" w:color="auto"/>
            </w:tcBorders>
            <w:noWrap/>
            <w:vAlign w:val="center"/>
          </w:tcPr>
          <w:p w14:paraId="47C81462" w14:textId="708F94C1"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95</w:t>
            </w:r>
            <w:r>
              <w:rPr>
                <w:b/>
                <w:color w:val="000000"/>
                <w:sz w:val="16"/>
                <w:szCs w:val="16"/>
              </w:rPr>
              <w:t>%</w:t>
            </w:r>
          </w:p>
        </w:tc>
      </w:tr>
      <w:tr w:rsidR="000858ED" w:rsidRPr="00B54094" w14:paraId="4C2C23B3" w14:textId="77777777" w:rsidTr="00725682">
        <w:trPr>
          <w:trHeight w:val="255"/>
        </w:trPr>
        <w:tc>
          <w:tcPr>
            <w:tcW w:w="3114" w:type="dxa"/>
            <w:tcBorders>
              <w:left w:val="single" w:sz="4" w:space="0" w:color="auto"/>
            </w:tcBorders>
            <w:noWrap/>
            <w:vAlign w:val="center"/>
          </w:tcPr>
          <w:p w14:paraId="415B0235" w14:textId="67991243" w:rsidR="000858ED" w:rsidRPr="003E3D7C" w:rsidRDefault="000858ED" w:rsidP="000858ED">
            <w:pPr>
              <w:spacing w:after="0" w:line="240" w:lineRule="auto"/>
              <w:ind w:left="206"/>
              <w:jc w:val="left"/>
              <w:rPr>
                <w:rFonts w:eastAsia="Times New Roman" w:cs="Times New Roman"/>
                <w:kern w:val="0"/>
                <w:sz w:val="16"/>
                <w:szCs w:val="16"/>
                <w:lang w:eastAsia="pl-PL"/>
                <w14:ligatures w14:val="none"/>
              </w:rPr>
            </w:pPr>
            <w:r>
              <w:rPr>
                <w:color w:val="000000"/>
                <w:sz w:val="16"/>
                <w:szCs w:val="16"/>
              </w:rPr>
              <w:t>ciepłownie</w:t>
            </w:r>
          </w:p>
        </w:tc>
        <w:tc>
          <w:tcPr>
            <w:tcW w:w="933" w:type="dxa"/>
            <w:noWrap/>
            <w:vAlign w:val="center"/>
          </w:tcPr>
          <w:p w14:paraId="5B7092BB" w14:textId="60596D4D" w:rsidR="000858ED" w:rsidRPr="000858ED" w:rsidRDefault="000858ED" w:rsidP="000858ED">
            <w:pPr>
              <w:spacing w:after="0" w:line="240" w:lineRule="auto"/>
              <w:jc w:val="center"/>
              <w:rPr>
                <w:sz w:val="16"/>
                <w:szCs w:val="16"/>
              </w:rPr>
            </w:pPr>
            <w:r w:rsidRPr="000858ED">
              <w:rPr>
                <w:color w:val="000000"/>
                <w:sz w:val="16"/>
                <w:szCs w:val="16"/>
              </w:rPr>
              <w:t>41,3</w:t>
            </w:r>
          </w:p>
        </w:tc>
        <w:tc>
          <w:tcPr>
            <w:tcW w:w="933" w:type="dxa"/>
            <w:noWrap/>
            <w:vAlign w:val="bottom"/>
          </w:tcPr>
          <w:p w14:paraId="08B9E3DB" w14:textId="60DCDF43" w:rsidR="000858ED" w:rsidRPr="000858ED" w:rsidRDefault="006A329A" w:rsidP="000858ED">
            <w:pPr>
              <w:spacing w:after="0" w:line="240" w:lineRule="auto"/>
              <w:jc w:val="center"/>
              <w:rPr>
                <w:sz w:val="16"/>
                <w:szCs w:val="16"/>
              </w:rPr>
            </w:pPr>
            <w:r w:rsidRPr="006A329A">
              <w:rPr>
                <w:color w:val="000000"/>
                <w:sz w:val="16"/>
                <w:szCs w:val="16"/>
              </w:rPr>
              <w:t>10</w:t>
            </w:r>
            <w:r w:rsidR="000858ED" w:rsidRPr="006A329A">
              <w:rPr>
                <w:color w:val="000000"/>
                <w:sz w:val="16"/>
                <w:szCs w:val="16"/>
              </w:rPr>
              <w:t>,1</w:t>
            </w:r>
          </w:p>
        </w:tc>
        <w:tc>
          <w:tcPr>
            <w:tcW w:w="933" w:type="dxa"/>
            <w:noWrap/>
            <w:vAlign w:val="bottom"/>
          </w:tcPr>
          <w:p w14:paraId="5E670CD1" w14:textId="60D13CED" w:rsidR="000858ED" w:rsidRPr="000858ED" w:rsidRDefault="006A329A" w:rsidP="000858ED">
            <w:pPr>
              <w:spacing w:after="0" w:line="240" w:lineRule="auto"/>
              <w:jc w:val="center"/>
              <w:rPr>
                <w:sz w:val="16"/>
                <w:szCs w:val="16"/>
              </w:rPr>
            </w:pPr>
            <w:r w:rsidRPr="006A329A">
              <w:rPr>
                <w:color w:val="000000"/>
                <w:sz w:val="16"/>
                <w:szCs w:val="16"/>
              </w:rPr>
              <w:t>4,9</w:t>
            </w:r>
          </w:p>
        </w:tc>
        <w:tc>
          <w:tcPr>
            <w:tcW w:w="933" w:type="dxa"/>
            <w:tcBorders>
              <w:right w:val="dotted" w:sz="4" w:space="0" w:color="000000" w:themeColor="text1"/>
            </w:tcBorders>
            <w:noWrap/>
            <w:vAlign w:val="bottom"/>
          </w:tcPr>
          <w:p w14:paraId="326399F9" w14:textId="70F7879A" w:rsidR="000858ED" w:rsidRPr="000858ED" w:rsidRDefault="000858ED" w:rsidP="000858ED">
            <w:pPr>
              <w:spacing w:after="0" w:line="240" w:lineRule="auto"/>
              <w:jc w:val="center"/>
              <w:rPr>
                <w:sz w:val="16"/>
                <w:szCs w:val="16"/>
              </w:rPr>
            </w:pPr>
            <w:r w:rsidRPr="006A329A">
              <w:rPr>
                <w:color w:val="000000"/>
                <w:sz w:val="16"/>
                <w:szCs w:val="16"/>
              </w:rPr>
              <w:t>1,</w:t>
            </w:r>
            <w:r w:rsidR="006A329A" w:rsidRPr="006A329A">
              <w:rPr>
                <w:color w:val="000000"/>
                <w:sz w:val="16"/>
                <w:szCs w:val="16"/>
              </w:rPr>
              <w:t>5</w:t>
            </w:r>
          </w:p>
        </w:tc>
        <w:tc>
          <w:tcPr>
            <w:tcW w:w="1110" w:type="dxa"/>
            <w:tcBorders>
              <w:left w:val="dotted" w:sz="4" w:space="0" w:color="000000" w:themeColor="text1"/>
            </w:tcBorders>
            <w:noWrap/>
            <w:vAlign w:val="center"/>
          </w:tcPr>
          <w:p w14:paraId="3216BC73" w14:textId="040567D8"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88</w:t>
            </w:r>
            <w:r>
              <w:rPr>
                <w:b/>
                <w:color w:val="000000"/>
                <w:sz w:val="16"/>
                <w:szCs w:val="16"/>
              </w:rPr>
              <w:t>%</w:t>
            </w:r>
          </w:p>
        </w:tc>
        <w:tc>
          <w:tcPr>
            <w:tcW w:w="1111" w:type="dxa"/>
            <w:tcBorders>
              <w:right w:val="single" w:sz="4" w:space="0" w:color="auto"/>
            </w:tcBorders>
            <w:noWrap/>
            <w:vAlign w:val="center"/>
          </w:tcPr>
          <w:p w14:paraId="2D485D32" w14:textId="2B553BC7"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-96%</w:t>
            </w:r>
          </w:p>
        </w:tc>
      </w:tr>
      <w:tr w:rsidR="000858ED" w:rsidRPr="00B54094" w14:paraId="6D34BCDC" w14:textId="77777777" w:rsidTr="00725682">
        <w:trPr>
          <w:trHeight w:val="255"/>
        </w:trPr>
        <w:tc>
          <w:tcPr>
            <w:tcW w:w="3114" w:type="dxa"/>
            <w:tcBorders>
              <w:left w:val="single" w:sz="4" w:space="0" w:color="auto"/>
            </w:tcBorders>
            <w:noWrap/>
            <w:vAlign w:val="center"/>
          </w:tcPr>
          <w:p w14:paraId="170DAEC7" w14:textId="765E7DD6" w:rsidR="000858ED" w:rsidRPr="003E3D7C" w:rsidRDefault="000858ED" w:rsidP="000858ED">
            <w:pPr>
              <w:spacing w:after="0" w:line="240" w:lineRule="auto"/>
              <w:ind w:left="206"/>
              <w:jc w:val="left"/>
              <w:rPr>
                <w:rFonts w:eastAsia="Times New Roman" w:cs="Times New Roman"/>
                <w:kern w:val="0"/>
                <w:sz w:val="16"/>
                <w:szCs w:val="16"/>
                <w:lang w:eastAsia="pl-PL"/>
                <w14:ligatures w14:val="none"/>
              </w:rPr>
            </w:pPr>
            <w:r>
              <w:rPr>
                <w:color w:val="000000"/>
                <w:sz w:val="16"/>
                <w:szCs w:val="16"/>
              </w:rPr>
              <w:t>przemysł wytwórczy</w:t>
            </w:r>
          </w:p>
        </w:tc>
        <w:tc>
          <w:tcPr>
            <w:tcW w:w="933" w:type="dxa"/>
            <w:noWrap/>
            <w:vAlign w:val="center"/>
          </w:tcPr>
          <w:p w14:paraId="02F6CB5C" w14:textId="61C30CFF" w:rsidR="000858ED" w:rsidRPr="000858ED" w:rsidRDefault="000858ED" w:rsidP="000858ED">
            <w:pPr>
              <w:spacing w:after="0" w:line="240" w:lineRule="auto"/>
              <w:jc w:val="center"/>
              <w:rPr>
                <w:sz w:val="16"/>
                <w:szCs w:val="16"/>
              </w:rPr>
            </w:pPr>
            <w:r w:rsidRPr="000858ED">
              <w:rPr>
                <w:color w:val="000000"/>
                <w:sz w:val="16"/>
                <w:szCs w:val="16"/>
              </w:rPr>
              <w:t>42,8</w:t>
            </w:r>
          </w:p>
        </w:tc>
        <w:tc>
          <w:tcPr>
            <w:tcW w:w="933" w:type="dxa"/>
            <w:noWrap/>
            <w:vAlign w:val="bottom"/>
          </w:tcPr>
          <w:p w14:paraId="50E42B56" w14:textId="57254310" w:rsidR="000858ED" w:rsidRPr="000858ED" w:rsidRDefault="006A329A" w:rsidP="000858ED">
            <w:pPr>
              <w:spacing w:after="0" w:line="240" w:lineRule="auto"/>
              <w:jc w:val="center"/>
              <w:rPr>
                <w:sz w:val="16"/>
                <w:szCs w:val="16"/>
              </w:rPr>
            </w:pPr>
            <w:r w:rsidRPr="006A329A">
              <w:rPr>
                <w:color w:val="000000"/>
                <w:sz w:val="16"/>
                <w:szCs w:val="16"/>
              </w:rPr>
              <w:t>27,8</w:t>
            </w:r>
          </w:p>
        </w:tc>
        <w:tc>
          <w:tcPr>
            <w:tcW w:w="933" w:type="dxa"/>
            <w:noWrap/>
            <w:vAlign w:val="bottom"/>
          </w:tcPr>
          <w:p w14:paraId="5C5F74CF" w14:textId="701854D3" w:rsidR="000858ED" w:rsidRPr="000858ED" w:rsidRDefault="000858ED" w:rsidP="000858ED">
            <w:pPr>
              <w:spacing w:after="0" w:line="240" w:lineRule="auto"/>
              <w:jc w:val="center"/>
              <w:rPr>
                <w:sz w:val="16"/>
                <w:szCs w:val="16"/>
              </w:rPr>
            </w:pPr>
            <w:r w:rsidRPr="006A329A">
              <w:rPr>
                <w:color w:val="000000"/>
                <w:sz w:val="16"/>
                <w:szCs w:val="16"/>
              </w:rPr>
              <w:t>21,</w:t>
            </w:r>
            <w:r w:rsidR="006A329A" w:rsidRPr="006A329A">
              <w:rPr>
                <w:color w:val="000000"/>
                <w:sz w:val="16"/>
                <w:szCs w:val="16"/>
              </w:rPr>
              <w:t>4</w:t>
            </w:r>
          </w:p>
        </w:tc>
        <w:tc>
          <w:tcPr>
            <w:tcW w:w="933" w:type="dxa"/>
            <w:tcBorders>
              <w:right w:val="dotted" w:sz="4" w:space="0" w:color="000000" w:themeColor="text1"/>
            </w:tcBorders>
            <w:noWrap/>
            <w:vAlign w:val="bottom"/>
          </w:tcPr>
          <w:p w14:paraId="55110FA0" w14:textId="77ABFA47" w:rsidR="000858ED" w:rsidRPr="000858ED" w:rsidRDefault="000858ED" w:rsidP="000858ED">
            <w:pPr>
              <w:spacing w:after="0" w:line="240" w:lineRule="auto"/>
              <w:jc w:val="center"/>
              <w:rPr>
                <w:sz w:val="16"/>
                <w:szCs w:val="16"/>
              </w:rPr>
            </w:pPr>
            <w:r w:rsidRPr="006A329A">
              <w:rPr>
                <w:color w:val="000000"/>
                <w:sz w:val="16"/>
                <w:szCs w:val="16"/>
              </w:rPr>
              <w:t>12,</w:t>
            </w:r>
            <w:r w:rsidR="006A329A" w:rsidRPr="006A329A">
              <w:rPr>
                <w:color w:val="000000"/>
                <w:sz w:val="16"/>
                <w:szCs w:val="16"/>
              </w:rPr>
              <w:t>9</w:t>
            </w:r>
          </w:p>
        </w:tc>
        <w:tc>
          <w:tcPr>
            <w:tcW w:w="1110" w:type="dxa"/>
            <w:tcBorders>
              <w:left w:val="dotted" w:sz="4" w:space="0" w:color="000000" w:themeColor="text1"/>
            </w:tcBorders>
            <w:noWrap/>
            <w:vAlign w:val="center"/>
          </w:tcPr>
          <w:p w14:paraId="0A915295" w14:textId="2B8FA85E"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50</w:t>
            </w:r>
            <w:r>
              <w:rPr>
                <w:b/>
                <w:color w:val="000000"/>
                <w:sz w:val="16"/>
                <w:szCs w:val="16"/>
              </w:rPr>
              <w:t>%</w:t>
            </w:r>
          </w:p>
        </w:tc>
        <w:tc>
          <w:tcPr>
            <w:tcW w:w="1111" w:type="dxa"/>
            <w:tcBorders>
              <w:right w:val="single" w:sz="4" w:space="0" w:color="auto"/>
            </w:tcBorders>
            <w:noWrap/>
            <w:vAlign w:val="center"/>
          </w:tcPr>
          <w:p w14:paraId="0419CF5C" w14:textId="7FE31D00"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-70%</w:t>
            </w:r>
          </w:p>
        </w:tc>
      </w:tr>
      <w:tr w:rsidR="000858ED" w:rsidRPr="00B54094" w14:paraId="2644C907" w14:textId="77777777" w:rsidTr="00725682">
        <w:trPr>
          <w:trHeight w:val="255"/>
        </w:trPr>
        <w:tc>
          <w:tcPr>
            <w:tcW w:w="3114" w:type="dxa"/>
            <w:tcBorders>
              <w:left w:val="single" w:sz="4" w:space="0" w:color="auto"/>
            </w:tcBorders>
            <w:noWrap/>
            <w:vAlign w:val="center"/>
          </w:tcPr>
          <w:p w14:paraId="03697F42" w14:textId="220E715B" w:rsidR="000858ED" w:rsidRPr="003E3D7C" w:rsidRDefault="000858ED" w:rsidP="000858ED">
            <w:pPr>
              <w:spacing w:after="0" w:line="240" w:lineRule="auto"/>
              <w:ind w:left="206"/>
              <w:jc w:val="left"/>
              <w:rPr>
                <w:rFonts w:eastAsia="Times New Roman" w:cs="Times New Roman"/>
                <w:kern w:val="0"/>
                <w:sz w:val="16"/>
                <w:szCs w:val="16"/>
                <w:lang w:eastAsia="pl-PL"/>
                <w14:ligatures w14:val="none"/>
              </w:rPr>
            </w:pPr>
            <w:r>
              <w:rPr>
                <w:color w:val="000000"/>
                <w:sz w:val="16"/>
                <w:szCs w:val="16"/>
              </w:rPr>
              <w:t>transport</w:t>
            </w:r>
          </w:p>
        </w:tc>
        <w:tc>
          <w:tcPr>
            <w:tcW w:w="933" w:type="dxa"/>
            <w:noWrap/>
            <w:vAlign w:val="center"/>
          </w:tcPr>
          <w:p w14:paraId="0143BA28" w14:textId="12D66D4E" w:rsidR="000858ED" w:rsidRPr="000858ED" w:rsidRDefault="000858ED" w:rsidP="000858ED">
            <w:pPr>
              <w:spacing w:after="0" w:line="240" w:lineRule="auto"/>
              <w:jc w:val="center"/>
              <w:rPr>
                <w:sz w:val="16"/>
                <w:szCs w:val="16"/>
              </w:rPr>
            </w:pPr>
            <w:r w:rsidRPr="000858ED">
              <w:rPr>
                <w:color w:val="000000"/>
                <w:sz w:val="16"/>
                <w:szCs w:val="16"/>
              </w:rPr>
              <w:t>20,7</w:t>
            </w:r>
          </w:p>
        </w:tc>
        <w:tc>
          <w:tcPr>
            <w:tcW w:w="933" w:type="dxa"/>
            <w:noWrap/>
            <w:vAlign w:val="bottom"/>
          </w:tcPr>
          <w:p w14:paraId="1E494655" w14:textId="20F89CDD" w:rsidR="000858ED" w:rsidRPr="000858ED" w:rsidRDefault="006A329A" w:rsidP="000858ED">
            <w:pPr>
              <w:spacing w:after="0" w:line="240" w:lineRule="auto"/>
              <w:jc w:val="center"/>
              <w:rPr>
                <w:sz w:val="16"/>
                <w:szCs w:val="16"/>
              </w:rPr>
            </w:pPr>
            <w:r w:rsidRPr="006A329A">
              <w:rPr>
                <w:color w:val="000000"/>
                <w:sz w:val="16"/>
                <w:szCs w:val="16"/>
              </w:rPr>
              <w:t>69,3</w:t>
            </w:r>
          </w:p>
        </w:tc>
        <w:tc>
          <w:tcPr>
            <w:tcW w:w="933" w:type="dxa"/>
            <w:noWrap/>
            <w:vAlign w:val="bottom"/>
          </w:tcPr>
          <w:p w14:paraId="7C1BEE63" w14:textId="3CBEB6DC" w:rsidR="000858ED" w:rsidRPr="000858ED" w:rsidRDefault="006A329A" w:rsidP="000858ED">
            <w:pPr>
              <w:spacing w:after="0" w:line="240" w:lineRule="auto"/>
              <w:jc w:val="center"/>
              <w:rPr>
                <w:sz w:val="16"/>
                <w:szCs w:val="16"/>
              </w:rPr>
            </w:pPr>
            <w:r w:rsidRPr="006A329A">
              <w:rPr>
                <w:color w:val="000000"/>
                <w:sz w:val="16"/>
                <w:szCs w:val="16"/>
              </w:rPr>
              <w:t>58,2</w:t>
            </w:r>
          </w:p>
        </w:tc>
        <w:tc>
          <w:tcPr>
            <w:tcW w:w="933" w:type="dxa"/>
            <w:tcBorders>
              <w:right w:val="dotted" w:sz="4" w:space="0" w:color="000000" w:themeColor="text1"/>
            </w:tcBorders>
            <w:noWrap/>
            <w:vAlign w:val="bottom"/>
          </w:tcPr>
          <w:p w14:paraId="56954A8E" w14:textId="6960A046" w:rsidR="000858ED" w:rsidRPr="000858ED" w:rsidRDefault="000858ED" w:rsidP="000858ED">
            <w:pPr>
              <w:spacing w:after="0" w:line="240" w:lineRule="auto"/>
              <w:jc w:val="center"/>
              <w:rPr>
                <w:sz w:val="16"/>
                <w:szCs w:val="16"/>
              </w:rPr>
            </w:pPr>
            <w:r w:rsidRPr="006A329A">
              <w:rPr>
                <w:color w:val="000000"/>
                <w:sz w:val="16"/>
                <w:szCs w:val="16"/>
              </w:rPr>
              <w:t>44,</w:t>
            </w:r>
            <w:r w:rsidR="006A329A" w:rsidRPr="006A329A">
              <w:rPr>
                <w:color w:val="000000"/>
                <w:sz w:val="16"/>
                <w:szCs w:val="16"/>
              </w:rPr>
              <w:t>7</w:t>
            </w:r>
          </w:p>
        </w:tc>
        <w:tc>
          <w:tcPr>
            <w:tcW w:w="1110" w:type="dxa"/>
            <w:tcBorders>
              <w:left w:val="dotted" w:sz="4" w:space="0" w:color="000000" w:themeColor="text1"/>
            </w:tcBorders>
            <w:noWrap/>
            <w:vAlign w:val="center"/>
          </w:tcPr>
          <w:p w14:paraId="385A121D" w14:textId="0E84D3DF" w:rsidR="000858ED" w:rsidRPr="000858ED" w:rsidRDefault="006A329A" w:rsidP="000858ED">
            <w:pPr>
              <w:spacing w:after="0" w:line="240" w:lineRule="auto"/>
              <w:jc w:val="center"/>
              <w:rPr>
                <w:rFonts w:eastAsia="Times New Roman" w:cs="Times New Roman"/>
                <w:kern w:val="0"/>
                <w:sz w:val="16"/>
                <w:szCs w:val="16"/>
                <w:lang w:eastAsia="pl-PL"/>
                <w14:ligatures w14:val="none"/>
              </w:rPr>
            </w:pPr>
            <w:r>
              <w:rPr>
                <w:b/>
                <w:bCs/>
                <w:color w:val="000000"/>
                <w:sz w:val="16"/>
                <w:szCs w:val="16"/>
              </w:rPr>
              <w:t>181</w:t>
            </w:r>
            <w:r w:rsidR="000858ED">
              <w:rPr>
                <w:b/>
                <w:color w:val="000000"/>
                <w:sz w:val="16"/>
                <w:szCs w:val="16"/>
              </w:rPr>
              <w:t>%</w:t>
            </w:r>
          </w:p>
        </w:tc>
        <w:tc>
          <w:tcPr>
            <w:tcW w:w="1111" w:type="dxa"/>
            <w:tcBorders>
              <w:right w:val="single" w:sz="4" w:space="0" w:color="auto"/>
            </w:tcBorders>
            <w:noWrap/>
            <w:vAlign w:val="center"/>
          </w:tcPr>
          <w:p w14:paraId="7275A4EB" w14:textId="559F1FEB" w:rsidR="000858ED" w:rsidRPr="000858ED" w:rsidRDefault="006A329A" w:rsidP="000858ED">
            <w:pPr>
              <w:spacing w:after="0" w:line="240" w:lineRule="auto"/>
              <w:jc w:val="center"/>
              <w:rPr>
                <w:rFonts w:eastAsia="Times New Roman" w:cs="Times New Roman"/>
                <w:kern w:val="0"/>
                <w:sz w:val="16"/>
                <w:szCs w:val="16"/>
                <w:lang w:eastAsia="pl-PL"/>
                <w14:ligatures w14:val="none"/>
              </w:rPr>
            </w:pPr>
            <w:r>
              <w:rPr>
                <w:b/>
                <w:bCs/>
                <w:color w:val="000000"/>
                <w:sz w:val="16"/>
                <w:szCs w:val="16"/>
              </w:rPr>
              <w:t>115</w:t>
            </w:r>
            <w:r w:rsidR="000858ED">
              <w:rPr>
                <w:b/>
                <w:color w:val="000000"/>
                <w:sz w:val="16"/>
                <w:szCs w:val="16"/>
              </w:rPr>
              <w:t>%</w:t>
            </w:r>
          </w:p>
        </w:tc>
      </w:tr>
      <w:tr w:rsidR="000858ED" w:rsidRPr="00B54094" w14:paraId="5DD94F73" w14:textId="77777777" w:rsidTr="00725682">
        <w:trPr>
          <w:trHeight w:val="255"/>
        </w:trPr>
        <w:tc>
          <w:tcPr>
            <w:tcW w:w="3114" w:type="dxa"/>
            <w:tcBorders>
              <w:left w:val="single" w:sz="4" w:space="0" w:color="auto"/>
            </w:tcBorders>
            <w:noWrap/>
            <w:vAlign w:val="center"/>
          </w:tcPr>
          <w:p w14:paraId="5EFBCD3D" w14:textId="1F1F7838" w:rsidR="000858ED" w:rsidRPr="003E3D7C" w:rsidRDefault="000858ED" w:rsidP="000858ED">
            <w:pPr>
              <w:spacing w:after="0" w:line="240" w:lineRule="auto"/>
              <w:ind w:left="206"/>
              <w:jc w:val="left"/>
              <w:rPr>
                <w:rFonts w:eastAsia="Times New Roman" w:cs="Times New Roman"/>
                <w:kern w:val="0"/>
                <w:sz w:val="16"/>
                <w:szCs w:val="16"/>
                <w:lang w:eastAsia="pl-PL"/>
                <w14:ligatures w14:val="none"/>
              </w:rPr>
            </w:pPr>
            <w:r>
              <w:rPr>
                <w:color w:val="000000"/>
                <w:sz w:val="16"/>
                <w:szCs w:val="16"/>
              </w:rPr>
              <w:t>gospodarstwa domowe</w:t>
            </w:r>
          </w:p>
        </w:tc>
        <w:tc>
          <w:tcPr>
            <w:tcW w:w="933" w:type="dxa"/>
            <w:noWrap/>
            <w:vAlign w:val="center"/>
          </w:tcPr>
          <w:p w14:paraId="7CFD8947" w14:textId="472BF492" w:rsidR="000858ED" w:rsidRPr="000858ED" w:rsidRDefault="000858ED" w:rsidP="000858ED">
            <w:pPr>
              <w:spacing w:after="0" w:line="240" w:lineRule="auto"/>
              <w:jc w:val="center"/>
              <w:rPr>
                <w:sz w:val="16"/>
                <w:szCs w:val="16"/>
              </w:rPr>
            </w:pPr>
            <w:r w:rsidRPr="000858ED">
              <w:rPr>
                <w:color w:val="000000"/>
                <w:sz w:val="16"/>
                <w:szCs w:val="16"/>
              </w:rPr>
              <w:t>38,2</w:t>
            </w:r>
          </w:p>
        </w:tc>
        <w:tc>
          <w:tcPr>
            <w:tcW w:w="933" w:type="dxa"/>
            <w:noWrap/>
            <w:vAlign w:val="bottom"/>
          </w:tcPr>
          <w:p w14:paraId="25886D1E" w14:textId="1EF35CCF" w:rsidR="000858ED" w:rsidRPr="000858ED" w:rsidRDefault="006A329A" w:rsidP="000858ED">
            <w:pPr>
              <w:spacing w:after="0" w:line="240" w:lineRule="auto"/>
              <w:jc w:val="center"/>
              <w:rPr>
                <w:sz w:val="16"/>
                <w:szCs w:val="16"/>
              </w:rPr>
            </w:pPr>
            <w:r w:rsidRPr="006A329A">
              <w:rPr>
                <w:color w:val="000000"/>
                <w:sz w:val="16"/>
                <w:szCs w:val="16"/>
              </w:rPr>
              <w:t>31,5</w:t>
            </w:r>
          </w:p>
        </w:tc>
        <w:tc>
          <w:tcPr>
            <w:tcW w:w="933" w:type="dxa"/>
            <w:noWrap/>
            <w:vAlign w:val="bottom"/>
          </w:tcPr>
          <w:p w14:paraId="7DCEE958" w14:textId="0D26FD97" w:rsidR="000858ED" w:rsidRPr="000858ED" w:rsidRDefault="006A329A" w:rsidP="000858ED">
            <w:pPr>
              <w:spacing w:after="0" w:line="240" w:lineRule="auto"/>
              <w:jc w:val="center"/>
              <w:rPr>
                <w:sz w:val="16"/>
                <w:szCs w:val="16"/>
              </w:rPr>
            </w:pPr>
            <w:r w:rsidRPr="006A329A">
              <w:rPr>
                <w:color w:val="000000"/>
                <w:sz w:val="16"/>
                <w:szCs w:val="16"/>
              </w:rPr>
              <w:t>17,2</w:t>
            </w:r>
          </w:p>
        </w:tc>
        <w:tc>
          <w:tcPr>
            <w:tcW w:w="933" w:type="dxa"/>
            <w:tcBorders>
              <w:right w:val="dotted" w:sz="4" w:space="0" w:color="000000" w:themeColor="text1"/>
            </w:tcBorders>
            <w:noWrap/>
            <w:vAlign w:val="bottom"/>
          </w:tcPr>
          <w:p w14:paraId="05DABFD2" w14:textId="60A3D3C2" w:rsidR="000858ED" w:rsidRPr="000858ED" w:rsidRDefault="006A329A" w:rsidP="000858ED">
            <w:pPr>
              <w:spacing w:after="0" w:line="240" w:lineRule="auto"/>
              <w:jc w:val="center"/>
              <w:rPr>
                <w:sz w:val="16"/>
                <w:szCs w:val="16"/>
              </w:rPr>
            </w:pPr>
            <w:r w:rsidRPr="006A329A">
              <w:rPr>
                <w:color w:val="000000"/>
                <w:sz w:val="16"/>
                <w:szCs w:val="16"/>
              </w:rPr>
              <w:t>5,3</w:t>
            </w:r>
          </w:p>
        </w:tc>
        <w:tc>
          <w:tcPr>
            <w:tcW w:w="1110" w:type="dxa"/>
            <w:tcBorders>
              <w:left w:val="dotted" w:sz="4" w:space="0" w:color="000000" w:themeColor="text1"/>
            </w:tcBorders>
            <w:noWrap/>
            <w:vAlign w:val="center"/>
          </w:tcPr>
          <w:p w14:paraId="33FD8FAA" w14:textId="34DB4FCD"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55</w:t>
            </w:r>
            <w:r>
              <w:rPr>
                <w:b/>
                <w:color w:val="000000"/>
                <w:sz w:val="16"/>
                <w:szCs w:val="16"/>
              </w:rPr>
              <w:t>%</w:t>
            </w:r>
          </w:p>
        </w:tc>
        <w:tc>
          <w:tcPr>
            <w:tcW w:w="1111" w:type="dxa"/>
            <w:tcBorders>
              <w:right w:val="single" w:sz="4" w:space="0" w:color="auto"/>
            </w:tcBorders>
            <w:noWrap/>
            <w:vAlign w:val="center"/>
          </w:tcPr>
          <w:p w14:paraId="217D4553" w14:textId="75DD2B04"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86</w:t>
            </w:r>
            <w:r>
              <w:rPr>
                <w:b/>
                <w:color w:val="000000"/>
                <w:sz w:val="16"/>
                <w:szCs w:val="16"/>
              </w:rPr>
              <w:t>%</w:t>
            </w:r>
          </w:p>
        </w:tc>
      </w:tr>
      <w:tr w:rsidR="000858ED" w:rsidRPr="00B54094" w14:paraId="49CA485F" w14:textId="77777777" w:rsidTr="00725682">
        <w:trPr>
          <w:trHeight w:val="255"/>
        </w:trPr>
        <w:tc>
          <w:tcPr>
            <w:tcW w:w="3114" w:type="dxa"/>
            <w:tcBorders>
              <w:left w:val="single" w:sz="4" w:space="0" w:color="auto"/>
            </w:tcBorders>
            <w:noWrap/>
            <w:vAlign w:val="center"/>
          </w:tcPr>
          <w:p w14:paraId="4042D5AE" w14:textId="1553ACC0" w:rsidR="000858ED" w:rsidRPr="003E3D7C" w:rsidRDefault="000858ED" w:rsidP="000858ED">
            <w:pPr>
              <w:spacing w:after="0" w:line="240" w:lineRule="auto"/>
              <w:ind w:left="206"/>
              <w:jc w:val="left"/>
              <w:rPr>
                <w:rFonts w:eastAsia="Times New Roman" w:cs="Times New Roman"/>
                <w:kern w:val="0"/>
                <w:sz w:val="16"/>
                <w:szCs w:val="16"/>
                <w:lang w:eastAsia="pl-PL"/>
                <w14:ligatures w14:val="none"/>
              </w:rPr>
            </w:pPr>
            <w:r>
              <w:rPr>
                <w:color w:val="000000"/>
                <w:sz w:val="16"/>
                <w:szCs w:val="16"/>
              </w:rPr>
              <w:t>spalanie paliw w pozostałych sektorach</w:t>
            </w:r>
          </w:p>
        </w:tc>
        <w:tc>
          <w:tcPr>
            <w:tcW w:w="933" w:type="dxa"/>
            <w:noWrap/>
            <w:vAlign w:val="center"/>
          </w:tcPr>
          <w:p w14:paraId="5F0C46A1" w14:textId="7C525775" w:rsidR="000858ED" w:rsidRPr="000858ED" w:rsidRDefault="000858ED" w:rsidP="000858ED">
            <w:pPr>
              <w:spacing w:after="0" w:line="240" w:lineRule="auto"/>
              <w:jc w:val="center"/>
              <w:rPr>
                <w:sz w:val="16"/>
                <w:szCs w:val="16"/>
              </w:rPr>
            </w:pPr>
            <w:r w:rsidRPr="000858ED">
              <w:rPr>
                <w:color w:val="000000"/>
                <w:sz w:val="16"/>
                <w:szCs w:val="16"/>
              </w:rPr>
              <w:t>26,1</w:t>
            </w:r>
          </w:p>
        </w:tc>
        <w:tc>
          <w:tcPr>
            <w:tcW w:w="933" w:type="dxa"/>
            <w:noWrap/>
            <w:vAlign w:val="bottom"/>
          </w:tcPr>
          <w:p w14:paraId="74FE8732" w14:textId="16826E0D" w:rsidR="000858ED" w:rsidRPr="000858ED" w:rsidRDefault="000858ED" w:rsidP="000858ED">
            <w:pPr>
              <w:spacing w:after="0" w:line="240" w:lineRule="auto"/>
              <w:jc w:val="center"/>
              <w:rPr>
                <w:sz w:val="16"/>
                <w:szCs w:val="16"/>
              </w:rPr>
            </w:pPr>
            <w:r w:rsidRPr="006A329A">
              <w:rPr>
                <w:color w:val="000000"/>
                <w:sz w:val="16"/>
                <w:szCs w:val="16"/>
              </w:rPr>
              <w:t>27,</w:t>
            </w:r>
            <w:r w:rsidR="006A329A" w:rsidRPr="006A329A">
              <w:rPr>
                <w:color w:val="000000"/>
                <w:sz w:val="16"/>
                <w:szCs w:val="16"/>
              </w:rPr>
              <w:t>5</w:t>
            </w:r>
          </w:p>
        </w:tc>
        <w:tc>
          <w:tcPr>
            <w:tcW w:w="933" w:type="dxa"/>
            <w:noWrap/>
            <w:vAlign w:val="bottom"/>
          </w:tcPr>
          <w:p w14:paraId="63957AE7" w14:textId="12B04FDE" w:rsidR="000858ED" w:rsidRPr="000858ED" w:rsidRDefault="000858ED" w:rsidP="000858ED">
            <w:pPr>
              <w:spacing w:after="0" w:line="240" w:lineRule="auto"/>
              <w:jc w:val="center"/>
              <w:rPr>
                <w:sz w:val="16"/>
                <w:szCs w:val="16"/>
              </w:rPr>
            </w:pPr>
            <w:r w:rsidRPr="006A329A">
              <w:rPr>
                <w:color w:val="000000"/>
                <w:sz w:val="16"/>
                <w:szCs w:val="16"/>
              </w:rPr>
              <w:t>19,</w:t>
            </w:r>
            <w:r w:rsidR="006A329A" w:rsidRPr="006A329A">
              <w:rPr>
                <w:color w:val="000000"/>
                <w:sz w:val="16"/>
                <w:szCs w:val="16"/>
              </w:rPr>
              <w:t>4</w:t>
            </w:r>
          </w:p>
        </w:tc>
        <w:tc>
          <w:tcPr>
            <w:tcW w:w="933" w:type="dxa"/>
            <w:tcBorders>
              <w:right w:val="dotted" w:sz="4" w:space="0" w:color="000000" w:themeColor="text1"/>
            </w:tcBorders>
            <w:noWrap/>
            <w:vAlign w:val="bottom"/>
          </w:tcPr>
          <w:p w14:paraId="7898E5ED" w14:textId="7389B32C" w:rsidR="000858ED" w:rsidRPr="000858ED" w:rsidRDefault="006A329A" w:rsidP="000858ED">
            <w:pPr>
              <w:spacing w:after="0" w:line="240" w:lineRule="auto"/>
              <w:jc w:val="center"/>
              <w:rPr>
                <w:sz w:val="16"/>
                <w:szCs w:val="16"/>
              </w:rPr>
            </w:pPr>
            <w:r w:rsidRPr="006A329A">
              <w:rPr>
                <w:color w:val="000000"/>
                <w:sz w:val="16"/>
                <w:szCs w:val="16"/>
              </w:rPr>
              <w:t>13,3</w:t>
            </w:r>
          </w:p>
        </w:tc>
        <w:tc>
          <w:tcPr>
            <w:tcW w:w="1110" w:type="dxa"/>
            <w:tcBorders>
              <w:left w:val="dotted" w:sz="4" w:space="0" w:color="000000" w:themeColor="text1"/>
            </w:tcBorders>
            <w:noWrap/>
            <w:vAlign w:val="center"/>
          </w:tcPr>
          <w:p w14:paraId="1CB9B886" w14:textId="4A6AD343"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25</w:t>
            </w:r>
            <w:r>
              <w:rPr>
                <w:b/>
                <w:color w:val="000000"/>
                <w:sz w:val="16"/>
                <w:szCs w:val="16"/>
              </w:rPr>
              <w:t>%</w:t>
            </w:r>
          </w:p>
        </w:tc>
        <w:tc>
          <w:tcPr>
            <w:tcW w:w="1111" w:type="dxa"/>
            <w:tcBorders>
              <w:right w:val="single" w:sz="4" w:space="0" w:color="auto"/>
            </w:tcBorders>
            <w:noWrap/>
            <w:vAlign w:val="center"/>
          </w:tcPr>
          <w:p w14:paraId="1BE8B73C" w14:textId="59721689" w:rsidR="000858ED" w:rsidRPr="000858ED" w:rsidRDefault="000858ED" w:rsidP="000858ED">
            <w:pPr>
              <w:spacing w:after="0" w:line="240" w:lineRule="auto"/>
              <w:jc w:val="center"/>
              <w:rPr>
                <w:rFonts w:eastAsia="Times New Roman" w:cs="Times New Roman"/>
                <w:kern w:val="0"/>
                <w:sz w:val="16"/>
                <w:szCs w:val="16"/>
                <w:lang w:eastAsia="pl-PL"/>
                <w14:ligatures w14:val="none"/>
              </w:rPr>
            </w:pPr>
            <w:r>
              <w:rPr>
                <w:b/>
                <w:color w:val="000000"/>
                <w:sz w:val="16"/>
                <w:szCs w:val="16"/>
              </w:rPr>
              <w:t>-</w:t>
            </w:r>
            <w:r w:rsidR="006A329A">
              <w:rPr>
                <w:b/>
                <w:bCs/>
                <w:color w:val="000000"/>
                <w:sz w:val="16"/>
                <w:szCs w:val="16"/>
              </w:rPr>
              <w:t>49</w:t>
            </w:r>
            <w:r>
              <w:rPr>
                <w:b/>
                <w:color w:val="000000"/>
                <w:sz w:val="16"/>
                <w:szCs w:val="16"/>
              </w:rPr>
              <w:t>%</w:t>
            </w:r>
          </w:p>
        </w:tc>
      </w:tr>
      <w:tr w:rsidR="000858ED" w:rsidRPr="00B54094" w14:paraId="19E17235" w14:textId="77777777" w:rsidTr="00725682">
        <w:trPr>
          <w:trHeight w:val="283"/>
        </w:trPr>
        <w:tc>
          <w:tcPr>
            <w:tcW w:w="3114" w:type="dxa"/>
            <w:tcBorders>
              <w:left w:val="single" w:sz="4" w:space="0" w:color="auto"/>
              <w:bottom w:val="single" w:sz="4" w:space="0" w:color="auto"/>
            </w:tcBorders>
            <w:noWrap/>
            <w:vAlign w:val="center"/>
          </w:tcPr>
          <w:p w14:paraId="45002014" w14:textId="46170243" w:rsidR="000858ED" w:rsidRPr="003E3D7C" w:rsidRDefault="000858ED" w:rsidP="00414664">
            <w:pPr>
              <w:spacing w:after="40" w:line="240" w:lineRule="auto"/>
              <w:ind w:left="206"/>
              <w:jc w:val="left"/>
              <w:rPr>
                <w:rFonts w:eastAsia="Times New Roman" w:cs="Times New Roman"/>
                <w:kern w:val="0"/>
                <w:sz w:val="16"/>
                <w:szCs w:val="16"/>
                <w:lang w:eastAsia="pl-PL"/>
                <w14:ligatures w14:val="none"/>
              </w:rPr>
            </w:pPr>
            <w:r>
              <w:rPr>
                <w:color w:val="000000"/>
                <w:sz w:val="16"/>
                <w:szCs w:val="16"/>
              </w:rPr>
              <w:t>emisja lotna z paliw</w:t>
            </w:r>
          </w:p>
        </w:tc>
        <w:tc>
          <w:tcPr>
            <w:tcW w:w="933" w:type="dxa"/>
            <w:tcBorders>
              <w:bottom w:val="single" w:sz="4" w:space="0" w:color="auto"/>
            </w:tcBorders>
            <w:noWrap/>
            <w:vAlign w:val="center"/>
          </w:tcPr>
          <w:p w14:paraId="30DB6F84" w14:textId="7DF21C36" w:rsidR="000858ED" w:rsidRPr="000858ED" w:rsidRDefault="000858ED" w:rsidP="00414664">
            <w:pPr>
              <w:spacing w:after="40" w:line="240" w:lineRule="auto"/>
              <w:jc w:val="center"/>
              <w:rPr>
                <w:sz w:val="16"/>
                <w:szCs w:val="16"/>
              </w:rPr>
            </w:pPr>
            <w:r w:rsidRPr="000858ED">
              <w:rPr>
                <w:color w:val="000000"/>
                <w:sz w:val="16"/>
                <w:szCs w:val="16"/>
              </w:rPr>
              <w:t>29,2</w:t>
            </w:r>
          </w:p>
        </w:tc>
        <w:tc>
          <w:tcPr>
            <w:tcW w:w="933" w:type="dxa"/>
            <w:tcBorders>
              <w:bottom w:val="single" w:sz="4" w:space="0" w:color="auto"/>
            </w:tcBorders>
            <w:noWrap/>
            <w:vAlign w:val="bottom"/>
          </w:tcPr>
          <w:p w14:paraId="6D51E308" w14:textId="29A87429" w:rsidR="000858ED" w:rsidRPr="000858ED" w:rsidRDefault="006A329A" w:rsidP="00414664">
            <w:pPr>
              <w:spacing w:after="40" w:line="240" w:lineRule="auto"/>
              <w:jc w:val="center"/>
              <w:rPr>
                <w:sz w:val="16"/>
                <w:szCs w:val="16"/>
              </w:rPr>
            </w:pPr>
            <w:r w:rsidRPr="006A329A">
              <w:rPr>
                <w:color w:val="000000"/>
                <w:sz w:val="16"/>
                <w:szCs w:val="16"/>
              </w:rPr>
              <w:t>22,0</w:t>
            </w:r>
          </w:p>
        </w:tc>
        <w:tc>
          <w:tcPr>
            <w:tcW w:w="933" w:type="dxa"/>
            <w:tcBorders>
              <w:bottom w:val="single" w:sz="4" w:space="0" w:color="auto"/>
            </w:tcBorders>
            <w:noWrap/>
            <w:vAlign w:val="bottom"/>
          </w:tcPr>
          <w:p w14:paraId="797FA011" w14:textId="0FA23CF9" w:rsidR="000858ED" w:rsidRPr="000858ED" w:rsidRDefault="000858ED" w:rsidP="00414664">
            <w:pPr>
              <w:spacing w:after="40" w:line="240" w:lineRule="auto"/>
              <w:jc w:val="center"/>
              <w:rPr>
                <w:sz w:val="16"/>
                <w:szCs w:val="16"/>
              </w:rPr>
            </w:pPr>
            <w:r w:rsidRPr="006A329A">
              <w:rPr>
                <w:color w:val="000000"/>
                <w:sz w:val="16"/>
                <w:szCs w:val="16"/>
              </w:rPr>
              <w:t>17,3</w:t>
            </w:r>
          </w:p>
        </w:tc>
        <w:tc>
          <w:tcPr>
            <w:tcW w:w="933" w:type="dxa"/>
            <w:tcBorders>
              <w:bottom w:val="single" w:sz="4" w:space="0" w:color="auto"/>
              <w:right w:val="dotted" w:sz="4" w:space="0" w:color="000000" w:themeColor="text1"/>
            </w:tcBorders>
            <w:noWrap/>
            <w:vAlign w:val="bottom"/>
          </w:tcPr>
          <w:p w14:paraId="302C9740" w14:textId="027B6392" w:rsidR="000858ED" w:rsidRPr="000858ED" w:rsidRDefault="000858ED" w:rsidP="00414664">
            <w:pPr>
              <w:spacing w:after="40" w:line="240" w:lineRule="auto"/>
              <w:jc w:val="center"/>
              <w:rPr>
                <w:sz w:val="16"/>
                <w:szCs w:val="16"/>
              </w:rPr>
            </w:pPr>
            <w:r w:rsidRPr="006A329A">
              <w:rPr>
                <w:color w:val="000000"/>
                <w:sz w:val="16"/>
                <w:szCs w:val="16"/>
              </w:rPr>
              <w:t>11,7</w:t>
            </w:r>
          </w:p>
        </w:tc>
        <w:tc>
          <w:tcPr>
            <w:tcW w:w="1110" w:type="dxa"/>
            <w:tcBorders>
              <w:left w:val="dotted" w:sz="4" w:space="0" w:color="000000" w:themeColor="text1"/>
              <w:bottom w:val="single" w:sz="4" w:space="0" w:color="auto"/>
            </w:tcBorders>
            <w:noWrap/>
            <w:vAlign w:val="center"/>
          </w:tcPr>
          <w:p w14:paraId="39B33B75" w14:textId="2F688FB3" w:rsidR="000858ED" w:rsidRPr="000858ED" w:rsidRDefault="000858ED" w:rsidP="00414664">
            <w:pPr>
              <w:spacing w:after="40" w:line="240" w:lineRule="auto"/>
              <w:jc w:val="center"/>
              <w:rPr>
                <w:rFonts w:eastAsia="Times New Roman" w:cs="Times New Roman"/>
                <w:kern w:val="0"/>
                <w:sz w:val="16"/>
                <w:szCs w:val="16"/>
                <w:lang w:eastAsia="pl-PL"/>
                <w14:ligatures w14:val="none"/>
              </w:rPr>
            </w:pPr>
            <w:r>
              <w:rPr>
                <w:b/>
                <w:color w:val="000000"/>
                <w:sz w:val="16"/>
                <w:szCs w:val="16"/>
              </w:rPr>
              <w:t>-41%</w:t>
            </w:r>
          </w:p>
        </w:tc>
        <w:tc>
          <w:tcPr>
            <w:tcW w:w="1111" w:type="dxa"/>
            <w:tcBorders>
              <w:bottom w:val="single" w:sz="4" w:space="0" w:color="auto"/>
              <w:right w:val="single" w:sz="4" w:space="0" w:color="auto"/>
            </w:tcBorders>
            <w:noWrap/>
            <w:vAlign w:val="center"/>
          </w:tcPr>
          <w:p w14:paraId="2BFCBCBD" w14:textId="21E39593" w:rsidR="000858ED" w:rsidRPr="000858ED" w:rsidRDefault="000858ED" w:rsidP="00414664">
            <w:pPr>
              <w:spacing w:after="40" w:line="240" w:lineRule="auto"/>
              <w:jc w:val="center"/>
              <w:rPr>
                <w:rFonts w:eastAsia="Times New Roman" w:cs="Times New Roman"/>
                <w:kern w:val="0"/>
                <w:sz w:val="16"/>
                <w:szCs w:val="16"/>
                <w:lang w:eastAsia="pl-PL"/>
                <w14:ligatures w14:val="none"/>
              </w:rPr>
            </w:pPr>
            <w:r>
              <w:rPr>
                <w:b/>
                <w:color w:val="000000"/>
                <w:sz w:val="16"/>
                <w:szCs w:val="16"/>
              </w:rPr>
              <w:t>-60%</w:t>
            </w:r>
          </w:p>
        </w:tc>
      </w:tr>
      <w:tr w:rsidR="00423AAF" w:rsidRPr="00B54094" w14:paraId="2D079315" w14:textId="77777777" w:rsidTr="00414664">
        <w:trPr>
          <w:trHeight w:val="300"/>
        </w:trPr>
        <w:tc>
          <w:tcPr>
            <w:tcW w:w="3114" w:type="dxa"/>
            <w:tcBorders>
              <w:top w:val="single" w:sz="4" w:space="0" w:color="auto"/>
              <w:left w:val="single" w:sz="4" w:space="0" w:color="auto"/>
              <w:bottom w:val="single" w:sz="4" w:space="0" w:color="auto"/>
            </w:tcBorders>
            <w:noWrap/>
            <w:vAlign w:val="center"/>
            <w:hideMark/>
          </w:tcPr>
          <w:p w14:paraId="4FB932B5" w14:textId="221CB854" w:rsidR="00423AAF" w:rsidRPr="00B54094" w:rsidRDefault="00423AAF" w:rsidP="00423AAF">
            <w:pPr>
              <w:spacing w:after="0" w:line="240" w:lineRule="auto"/>
              <w:jc w:val="left"/>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 xml:space="preserve">Procesy przemysłowe </w:t>
            </w:r>
            <w:r w:rsidR="00414664">
              <w:rPr>
                <w:rFonts w:eastAsia="Times New Roman" w:cs="Times New Roman"/>
                <w:kern w:val="0"/>
                <w:sz w:val="18"/>
                <w:szCs w:val="18"/>
                <w:lang w:eastAsia="pl-PL"/>
                <w14:ligatures w14:val="none"/>
              </w:rPr>
              <w:br/>
            </w:r>
            <w:r w:rsidRPr="00B54094">
              <w:rPr>
                <w:rFonts w:eastAsia="Times New Roman" w:cs="Times New Roman"/>
                <w:kern w:val="0"/>
                <w:sz w:val="18"/>
                <w:szCs w:val="18"/>
                <w:lang w:eastAsia="pl-PL"/>
                <w14:ligatures w14:val="none"/>
              </w:rPr>
              <w:t>i</w:t>
            </w:r>
            <w:r w:rsidR="00414664">
              <w:rPr>
                <w:rFonts w:eastAsia="Times New Roman" w:cs="Times New Roman"/>
                <w:kern w:val="0"/>
                <w:sz w:val="18"/>
                <w:szCs w:val="18"/>
                <w:lang w:eastAsia="pl-PL"/>
                <w14:ligatures w14:val="none"/>
              </w:rPr>
              <w:t> </w:t>
            </w:r>
            <w:r w:rsidRPr="00B54094">
              <w:rPr>
                <w:rFonts w:eastAsia="Times New Roman" w:cs="Times New Roman"/>
                <w:kern w:val="0"/>
                <w:sz w:val="18"/>
                <w:szCs w:val="18"/>
                <w:lang w:eastAsia="pl-PL"/>
                <w14:ligatures w14:val="none"/>
              </w:rPr>
              <w:t>użyt</w:t>
            </w:r>
            <w:r>
              <w:rPr>
                <w:rFonts w:eastAsia="Times New Roman" w:cs="Times New Roman"/>
                <w:kern w:val="0"/>
                <w:sz w:val="18"/>
                <w:szCs w:val="18"/>
                <w:lang w:eastAsia="pl-PL"/>
                <w14:ligatures w14:val="none"/>
              </w:rPr>
              <w:t>k</w:t>
            </w:r>
            <w:r w:rsidRPr="00B54094">
              <w:rPr>
                <w:rFonts w:eastAsia="Times New Roman" w:cs="Times New Roman"/>
                <w:kern w:val="0"/>
                <w:sz w:val="18"/>
                <w:szCs w:val="18"/>
                <w:lang w:eastAsia="pl-PL"/>
                <w14:ligatures w14:val="none"/>
              </w:rPr>
              <w:t>owanie produktów</w:t>
            </w:r>
          </w:p>
        </w:tc>
        <w:tc>
          <w:tcPr>
            <w:tcW w:w="933" w:type="dxa"/>
            <w:tcBorders>
              <w:top w:val="single" w:sz="4" w:space="0" w:color="auto"/>
              <w:bottom w:val="single" w:sz="4" w:space="0" w:color="auto"/>
            </w:tcBorders>
            <w:noWrap/>
            <w:vAlign w:val="center"/>
          </w:tcPr>
          <w:p w14:paraId="0EDB2BD7" w14:textId="24B2C28E"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22,0</w:t>
            </w:r>
          </w:p>
        </w:tc>
        <w:tc>
          <w:tcPr>
            <w:tcW w:w="933" w:type="dxa"/>
            <w:tcBorders>
              <w:top w:val="single" w:sz="4" w:space="0" w:color="auto"/>
              <w:bottom w:val="single" w:sz="4" w:space="0" w:color="auto"/>
            </w:tcBorders>
            <w:noWrap/>
            <w:vAlign w:val="center"/>
          </w:tcPr>
          <w:p w14:paraId="092D81AB" w14:textId="1D84AFB7"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23</w:t>
            </w:r>
            <w:r w:rsidR="00423AAF" w:rsidRPr="00423AAF">
              <w:rPr>
                <w:sz w:val="18"/>
                <w:szCs w:val="18"/>
              </w:rPr>
              <w:t>,6</w:t>
            </w:r>
          </w:p>
        </w:tc>
        <w:tc>
          <w:tcPr>
            <w:tcW w:w="933" w:type="dxa"/>
            <w:tcBorders>
              <w:top w:val="single" w:sz="4" w:space="0" w:color="auto"/>
              <w:bottom w:val="single" w:sz="4" w:space="0" w:color="auto"/>
            </w:tcBorders>
            <w:noWrap/>
            <w:vAlign w:val="center"/>
          </w:tcPr>
          <w:p w14:paraId="31D43731" w14:textId="20B0D353"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17,3</w:t>
            </w:r>
          </w:p>
        </w:tc>
        <w:tc>
          <w:tcPr>
            <w:tcW w:w="933" w:type="dxa"/>
            <w:tcBorders>
              <w:top w:val="single" w:sz="4" w:space="0" w:color="auto"/>
              <w:bottom w:val="single" w:sz="4" w:space="0" w:color="auto"/>
              <w:right w:val="dotted" w:sz="4" w:space="0" w:color="000000" w:themeColor="text1"/>
            </w:tcBorders>
            <w:noWrap/>
            <w:vAlign w:val="center"/>
          </w:tcPr>
          <w:p w14:paraId="355623E0" w14:textId="551A915F"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11,3</w:t>
            </w:r>
          </w:p>
        </w:tc>
        <w:tc>
          <w:tcPr>
            <w:tcW w:w="1110" w:type="dxa"/>
            <w:tcBorders>
              <w:top w:val="single" w:sz="4" w:space="0" w:color="auto"/>
              <w:left w:val="dotted" w:sz="4" w:space="0" w:color="000000" w:themeColor="text1"/>
              <w:bottom w:val="single" w:sz="4" w:space="0" w:color="auto"/>
            </w:tcBorders>
            <w:noWrap/>
            <w:vAlign w:val="center"/>
            <w:hideMark/>
          </w:tcPr>
          <w:p w14:paraId="44AB1062" w14:textId="17A53F4B" w:rsidR="00423AAF" w:rsidRPr="00B54094"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-21</w:t>
            </w:r>
            <w:r w:rsidR="00423AAF" w:rsidRPr="00725682">
              <w:rPr>
                <w:sz w:val="18"/>
                <w:szCs w:val="18"/>
              </w:rPr>
              <w:t>%</w:t>
            </w:r>
          </w:p>
        </w:tc>
        <w:tc>
          <w:tcPr>
            <w:tcW w:w="1111" w:type="dxa"/>
            <w:tcBorders>
              <w:top w:val="single" w:sz="4" w:space="0" w:color="auto"/>
              <w:bottom w:val="single" w:sz="4" w:space="0" w:color="auto"/>
              <w:right w:val="single" w:sz="4" w:space="0" w:color="auto"/>
            </w:tcBorders>
            <w:noWrap/>
            <w:vAlign w:val="center"/>
            <w:hideMark/>
          </w:tcPr>
          <w:p w14:paraId="71A0486E" w14:textId="1165F5C3" w:rsidR="00423AAF" w:rsidRPr="00B54094"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-48%</w:t>
            </w:r>
          </w:p>
        </w:tc>
      </w:tr>
      <w:tr w:rsidR="00423AAF" w:rsidRPr="00B54094" w14:paraId="7D369D6D" w14:textId="77777777" w:rsidTr="00414664">
        <w:trPr>
          <w:trHeight w:val="308"/>
        </w:trPr>
        <w:tc>
          <w:tcPr>
            <w:tcW w:w="3114" w:type="dxa"/>
            <w:tcBorders>
              <w:top w:val="single" w:sz="4" w:space="0" w:color="auto"/>
              <w:left w:val="single" w:sz="4" w:space="0" w:color="auto"/>
              <w:bottom w:val="single" w:sz="4" w:space="0" w:color="auto"/>
            </w:tcBorders>
            <w:noWrap/>
            <w:vAlign w:val="center"/>
            <w:hideMark/>
          </w:tcPr>
          <w:p w14:paraId="16A24E7E" w14:textId="77777777" w:rsidR="00423AAF" w:rsidRPr="00B54094" w:rsidRDefault="00423AAF" w:rsidP="00423AAF">
            <w:pPr>
              <w:spacing w:after="0" w:line="240" w:lineRule="auto"/>
              <w:jc w:val="left"/>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Rolnictwo</w:t>
            </w:r>
          </w:p>
        </w:tc>
        <w:tc>
          <w:tcPr>
            <w:tcW w:w="933" w:type="dxa"/>
            <w:tcBorders>
              <w:top w:val="single" w:sz="4" w:space="0" w:color="auto"/>
              <w:bottom w:val="single" w:sz="4" w:space="0" w:color="auto"/>
            </w:tcBorders>
            <w:noWrap/>
            <w:vAlign w:val="center"/>
          </w:tcPr>
          <w:p w14:paraId="6BAA04A6" w14:textId="7C6CEF6B"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49,3</w:t>
            </w:r>
          </w:p>
        </w:tc>
        <w:tc>
          <w:tcPr>
            <w:tcW w:w="933" w:type="dxa"/>
            <w:tcBorders>
              <w:top w:val="single" w:sz="4" w:space="0" w:color="auto"/>
              <w:bottom w:val="single" w:sz="4" w:space="0" w:color="auto"/>
            </w:tcBorders>
            <w:noWrap/>
            <w:vAlign w:val="center"/>
          </w:tcPr>
          <w:p w14:paraId="74813C14" w14:textId="4A0A8300"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33,3</w:t>
            </w:r>
          </w:p>
        </w:tc>
        <w:tc>
          <w:tcPr>
            <w:tcW w:w="933" w:type="dxa"/>
            <w:tcBorders>
              <w:top w:val="single" w:sz="4" w:space="0" w:color="auto"/>
              <w:bottom w:val="single" w:sz="4" w:space="0" w:color="auto"/>
            </w:tcBorders>
            <w:noWrap/>
            <w:vAlign w:val="center"/>
          </w:tcPr>
          <w:p w14:paraId="1CEABB23" w14:textId="77D2279D"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32,</w:t>
            </w:r>
            <w:r w:rsidR="006A329A" w:rsidRPr="00725682">
              <w:rPr>
                <w:sz w:val="18"/>
                <w:szCs w:val="18"/>
              </w:rPr>
              <w:t>0</w:t>
            </w:r>
          </w:p>
        </w:tc>
        <w:tc>
          <w:tcPr>
            <w:tcW w:w="933" w:type="dxa"/>
            <w:tcBorders>
              <w:top w:val="single" w:sz="4" w:space="0" w:color="auto"/>
              <w:bottom w:val="single" w:sz="4" w:space="0" w:color="auto"/>
              <w:right w:val="dotted" w:sz="4" w:space="0" w:color="000000" w:themeColor="text1"/>
            </w:tcBorders>
            <w:noWrap/>
            <w:vAlign w:val="center"/>
          </w:tcPr>
          <w:p w14:paraId="7419E888" w14:textId="39D8B32A"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30,5</w:t>
            </w:r>
          </w:p>
        </w:tc>
        <w:tc>
          <w:tcPr>
            <w:tcW w:w="1110" w:type="dxa"/>
            <w:tcBorders>
              <w:top w:val="single" w:sz="4" w:space="0" w:color="auto"/>
              <w:left w:val="dotted" w:sz="4" w:space="0" w:color="000000" w:themeColor="text1"/>
              <w:bottom w:val="single" w:sz="4" w:space="0" w:color="auto"/>
            </w:tcBorders>
            <w:noWrap/>
            <w:vAlign w:val="center"/>
            <w:hideMark/>
          </w:tcPr>
          <w:p w14:paraId="20FA99CD" w14:textId="77777777" w:rsidR="00423AAF" w:rsidRPr="00B54094" w:rsidRDefault="00423AAF" w:rsidP="00423AAF">
            <w:pPr>
              <w:spacing w:after="0" w:line="240" w:lineRule="auto"/>
              <w:jc w:val="center"/>
              <w:rPr>
                <w:rFonts w:eastAsia="Times New Roman" w:cs="Times New Roman"/>
                <w:kern w:val="0"/>
                <w:sz w:val="18"/>
                <w:szCs w:val="18"/>
                <w:lang w:eastAsia="pl-PL"/>
                <w14:ligatures w14:val="none"/>
              </w:rPr>
            </w:pPr>
            <w:r w:rsidRPr="00725682">
              <w:rPr>
                <w:sz w:val="18"/>
                <w:szCs w:val="18"/>
              </w:rPr>
              <w:t>-35%</w:t>
            </w:r>
          </w:p>
        </w:tc>
        <w:tc>
          <w:tcPr>
            <w:tcW w:w="1111" w:type="dxa"/>
            <w:tcBorders>
              <w:top w:val="single" w:sz="4" w:space="0" w:color="auto"/>
              <w:bottom w:val="single" w:sz="4" w:space="0" w:color="auto"/>
              <w:right w:val="single" w:sz="4" w:space="0" w:color="auto"/>
            </w:tcBorders>
            <w:noWrap/>
            <w:vAlign w:val="center"/>
            <w:hideMark/>
          </w:tcPr>
          <w:p w14:paraId="48EB12A2" w14:textId="77777777" w:rsidR="00423AAF" w:rsidRPr="00B54094" w:rsidRDefault="00423AAF" w:rsidP="00423AAF">
            <w:pPr>
              <w:spacing w:after="0" w:line="240" w:lineRule="auto"/>
              <w:jc w:val="center"/>
              <w:rPr>
                <w:rFonts w:eastAsia="Times New Roman" w:cs="Times New Roman"/>
                <w:kern w:val="0"/>
                <w:sz w:val="18"/>
                <w:szCs w:val="18"/>
                <w:lang w:eastAsia="pl-PL"/>
                <w14:ligatures w14:val="none"/>
              </w:rPr>
            </w:pPr>
            <w:r w:rsidRPr="00725682">
              <w:rPr>
                <w:sz w:val="18"/>
                <w:szCs w:val="18"/>
              </w:rPr>
              <w:t>-38%</w:t>
            </w:r>
          </w:p>
        </w:tc>
      </w:tr>
      <w:tr w:rsidR="00423AAF" w:rsidRPr="00B54094" w14:paraId="1361279D" w14:textId="77777777" w:rsidTr="00414664">
        <w:trPr>
          <w:trHeight w:val="308"/>
        </w:trPr>
        <w:tc>
          <w:tcPr>
            <w:tcW w:w="3114" w:type="dxa"/>
            <w:tcBorders>
              <w:top w:val="single" w:sz="4" w:space="0" w:color="auto"/>
              <w:left w:val="single" w:sz="4" w:space="0" w:color="auto"/>
              <w:bottom w:val="single" w:sz="4" w:space="0" w:color="auto"/>
            </w:tcBorders>
            <w:noWrap/>
            <w:vAlign w:val="center"/>
            <w:hideMark/>
          </w:tcPr>
          <w:p w14:paraId="334250DD" w14:textId="01527C4E" w:rsidR="00423AAF" w:rsidRPr="00B54094" w:rsidRDefault="00423AAF" w:rsidP="00423AAF">
            <w:pPr>
              <w:spacing w:after="0" w:line="240" w:lineRule="auto"/>
              <w:jc w:val="left"/>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LULUCF</w:t>
            </w:r>
            <w:r w:rsidR="000858ED">
              <w:rPr>
                <w:rFonts w:eastAsia="Times New Roman" w:cs="Times New Roman"/>
                <w:kern w:val="0"/>
                <w:sz w:val="18"/>
                <w:szCs w:val="18"/>
                <w:lang w:eastAsia="pl-PL"/>
                <w14:ligatures w14:val="none"/>
              </w:rPr>
              <w:t xml:space="preserve"> (pochłanianie)</w:t>
            </w:r>
          </w:p>
        </w:tc>
        <w:tc>
          <w:tcPr>
            <w:tcW w:w="933" w:type="dxa"/>
            <w:tcBorders>
              <w:top w:val="single" w:sz="4" w:space="0" w:color="auto"/>
              <w:bottom w:val="single" w:sz="4" w:space="0" w:color="auto"/>
            </w:tcBorders>
            <w:noWrap/>
            <w:vAlign w:val="center"/>
          </w:tcPr>
          <w:p w14:paraId="12250847" w14:textId="3B2D1F19"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-28,</w:t>
            </w:r>
            <w:r w:rsidR="006A329A" w:rsidRPr="00725682">
              <w:rPr>
                <w:sz w:val="18"/>
                <w:szCs w:val="18"/>
              </w:rPr>
              <w:t>3</w:t>
            </w:r>
          </w:p>
        </w:tc>
        <w:tc>
          <w:tcPr>
            <w:tcW w:w="933" w:type="dxa"/>
            <w:tcBorders>
              <w:top w:val="single" w:sz="4" w:space="0" w:color="auto"/>
              <w:bottom w:val="single" w:sz="4" w:space="0" w:color="auto"/>
            </w:tcBorders>
            <w:noWrap/>
            <w:vAlign w:val="center"/>
          </w:tcPr>
          <w:p w14:paraId="31BB450A" w14:textId="4C09B613"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-35,6</w:t>
            </w:r>
          </w:p>
        </w:tc>
        <w:tc>
          <w:tcPr>
            <w:tcW w:w="933" w:type="dxa"/>
            <w:tcBorders>
              <w:top w:val="single" w:sz="4" w:space="0" w:color="auto"/>
              <w:bottom w:val="single" w:sz="4" w:space="0" w:color="auto"/>
            </w:tcBorders>
            <w:noWrap/>
            <w:vAlign w:val="center"/>
          </w:tcPr>
          <w:p w14:paraId="785461C7" w14:textId="6B3E921A"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-46,5</w:t>
            </w:r>
          </w:p>
        </w:tc>
        <w:tc>
          <w:tcPr>
            <w:tcW w:w="933" w:type="dxa"/>
            <w:tcBorders>
              <w:top w:val="single" w:sz="4" w:space="0" w:color="auto"/>
              <w:bottom w:val="single" w:sz="4" w:space="0" w:color="auto"/>
              <w:right w:val="dotted" w:sz="4" w:space="0" w:color="000000" w:themeColor="text1"/>
            </w:tcBorders>
            <w:noWrap/>
            <w:vAlign w:val="center"/>
          </w:tcPr>
          <w:p w14:paraId="583804A1" w14:textId="42ED0A9C"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-35,3</w:t>
            </w:r>
          </w:p>
        </w:tc>
        <w:tc>
          <w:tcPr>
            <w:tcW w:w="1110" w:type="dxa"/>
            <w:tcBorders>
              <w:top w:val="single" w:sz="4" w:space="0" w:color="auto"/>
              <w:left w:val="dotted" w:sz="4" w:space="0" w:color="000000" w:themeColor="text1"/>
              <w:bottom w:val="single" w:sz="4" w:space="0" w:color="auto"/>
            </w:tcBorders>
            <w:noWrap/>
            <w:vAlign w:val="center"/>
            <w:hideMark/>
          </w:tcPr>
          <w:p w14:paraId="78167FB5" w14:textId="5BD16ED6" w:rsidR="00423AAF" w:rsidRPr="00B54094"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64</w:t>
            </w:r>
            <w:r w:rsidR="00423AAF" w:rsidRPr="00725682">
              <w:rPr>
                <w:sz w:val="18"/>
                <w:szCs w:val="18"/>
              </w:rPr>
              <w:t>%</w:t>
            </w:r>
          </w:p>
        </w:tc>
        <w:tc>
          <w:tcPr>
            <w:tcW w:w="1111" w:type="dxa"/>
            <w:tcBorders>
              <w:top w:val="single" w:sz="4" w:space="0" w:color="auto"/>
              <w:bottom w:val="single" w:sz="4" w:space="0" w:color="auto"/>
              <w:right w:val="single" w:sz="4" w:space="0" w:color="auto"/>
            </w:tcBorders>
            <w:noWrap/>
            <w:vAlign w:val="center"/>
            <w:hideMark/>
          </w:tcPr>
          <w:p w14:paraId="122E4030" w14:textId="6EF8ABE8" w:rsidR="00423AAF" w:rsidRPr="00B54094"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25</w:t>
            </w:r>
            <w:r w:rsidR="00423AAF" w:rsidRPr="00725682">
              <w:rPr>
                <w:sz w:val="18"/>
                <w:szCs w:val="18"/>
              </w:rPr>
              <w:t>%</w:t>
            </w:r>
          </w:p>
        </w:tc>
      </w:tr>
      <w:tr w:rsidR="00423AAF" w:rsidRPr="00B54094" w14:paraId="1F45768E" w14:textId="77777777" w:rsidTr="00414664">
        <w:trPr>
          <w:trHeight w:val="308"/>
        </w:trPr>
        <w:tc>
          <w:tcPr>
            <w:tcW w:w="3114" w:type="dxa"/>
            <w:tcBorders>
              <w:top w:val="single" w:sz="4" w:space="0" w:color="auto"/>
              <w:left w:val="single" w:sz="4" w:space="0" w:color="auto"/>
              <w:bottom w:val="single" w:sz="4" w:space="0" w:color="auto"/>
            </w:tcBorders>
            <w:noWrap/>
            <w:vAlign w:val="center"/>
            <w:hideMark/>
          </w:tcPr>
          <w:p w14:paraId="11397207" w14:textId="77777777" w:rsidR="00423AAF" w:rsidRPr="00B54094" w:rsidRDefault="00423AAF" w:rsidP="00423AAF">
            <w:pPr>
              <w:spacing w:after="0" w:line="240" w:lineRule="auto"/>
              <w:jc w:val="left"/>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Odpady</w:t>
            </w:r>
          </w:p>
        </w:tc>
        <w:tc>
          <w:tcPr>
            <w:tcW w:w="933" w:type="dxa"/>
            <w:tcBorders>
              <w:top w:val="single" w:sz="4" w:space="0" w:color="auto"/>
              <w:bottom w:val="single" w:sz="4" w:space="0" w:color="auto"/>
            </w:tcBorders>
            <w:noWrap/>
            <w:vAlign w:val="center"/>
          </w:tcPr>
          <w:p w14:paraId="63D82EAA" w14:textId="5EE97F8C"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19</w:t>
            </w:r>
            <w:r w:rsidR="00423AAF" w:rsidRPr="00423AAF">
              <w:rPr>
                <w:sz w:val="18"/>
                <w:szCs w:val="18"/>
              </w:rPr>
              <w:t>,1</w:t>
            </w:r>
          </w:p>
        </w:tc>
        <w:tc>
          <w:tcPr>
            <w:tcW w:w="933" w:type="dxa"/>
            <w:tcBorders>
              <w:top w:val="single" w:sz="4" w:space="0" w:color="auto"/>
              <w:bottom w:val="single" w:sz="4" w:space="0" w:color="auto"/>
            </w:tcBorders>
            <w:noWrap/>
            <w:vAlign w:val="center"/>
          </w:tcPr>
          <w:p w14:paraId="77830B78" w14:textId="294E4E2B" w:rsidR="00423AAF" w:rsidRPr="00423AAF" w:rsidRDefault="006A329A" w:rsidP="00423AAF">
            <w:pPr>
              <w:spacing w:after="0" w:line="240" w:lineRule="auto"/>
              <w:jc w:val="center"/>
              <w:rPr>
                <w:rFonts w:eastAsia="Times New Roman" w:cs="Times New Roman"/>
                <w:kern w:val="0"/>
                <w:sz w:val="18"/>
                <w:szCs w:val="18"/>
                <w:lang w:eastAsia="pl-PL"/>
                <w14:ligatures w14:val="none"/>
              </w:rPr>
            </w:pPr>
            <w:r w:rsidRPr="00725682">
              <w:rPr>
                <w:sz w:val="18"/>
                <w:szCs w:val="18"/>
              </w:rPr>
              <w:t>3,8</w:t>
            </w:r>
          </w:p>
        </w:tc>
        <w:tc>
          <w:tcPr>
            <w:tcW w:w="933" w:type="dxa"/>
            <w:tcBorders>
              <w:top w:val="single" w:sz="4" w:space="0" w:color="auto"/>
              <w:bottom w:val="single" w:sz="4" w:space="0" w:color="auto"/>
            </w:tcBorders>
            <w:noWrap/>
            <w:vAlign w:val="center"/>
          </w:tcPr>
          <w:p w14:paraId="795BE104" w14:textId="3D70E7C2"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3</w:t>
            </w:r>
            <w:r w:rsidR="006A329A" w:rsidRPr="00725682">
              <w:rPr>
                <w:sz w:val="18"/>
                <w:szCs w:val="18"/>
              </w:rPr>
              <w:t>,6</w:t>
            </w:r>
          </w:p>
        </w:tc>
        <w:tc>
          <w:tcPr>
            <w:tcW w:w="933" w:type="dxa"/>
            <w:tcBorders>
              <w:top w:val="single" w:sz="4" w:space="0" w:color="auto"/>
              <w:bottom w:val="single" w:sz="4" w:space="0" w:color="auto"/>
              <w:right w:val="dotted" w:sz="4" w:space="0" w:color="000000" w:themeColor="text1"/>
            </w:tcBorders>
            <w:noWrap/>
            <w:vAlign w:val="center"/>
          </w:tcPr>
          <w:p w14:paraId="54D46258" w14:textId="2086D2E3" w:rsidR="00423AAF" w:rsidRPr="00423AAF" w:rsidRDefault="00423AAF" w:rsidP="00423AAF">
            <w:pPr>
              <w:spacing w:after="0" w:line="240" w:lineRule="auto"/>
              <w:jc w:val="center"/>
              <w:rPr>
                <w:rFonts w:eastAsia="Times New Roman" w:cs="Times New Roman"/>
                <w:kern w:val="0"/>
                <w:sz w:val="18"/>
                <w:szCs w:val="18"/>
                <w:lang w:eastAsia="pl-PL"/>
                <w14:ligatures w14:val="none"/>
              </w:rPr>
            </w:pPr>
            <w:r w:rsidRPr="00423AAF">
              <w:rPr>
                <w:sz w:val="18"/>
                <w:szCs w:val="18"/>
              </w:rPr>
              <w:t>3,</w:t>
            </w:r>
            <w:r w:rsidR="006A329A" w:rsidRPr="00725682">
              <w:rPr>
                <w:sz w:val="18"/>
                <w:szCs w:val="18"/>
              </w:rPr>
              <w:t>3</w:t>
            </w:r>
          </w:p>
        </w:tc>
        <w:tc>
          <w:tcPr>
            <w:tcW w:w="1110" w:type="dxa"/>
            <w:tcBorders>
              <w:top w:val="single" w:sz="4" w:space="0" w:color="auto"/>
              <w:left w:val="dotted" w:sz="4" w:space="0" w:color="000000" w:themeColor="text1"/>
              <w:bottom w:val="single" w:sz="4" w:space="0" w:color="auto"/>
            </w:tcBorders>
            <w:noWrap/>
            <w:vAlign w:val="center"/>
            <w:hideMark/>
          </w:tcPr>
          <w:p w14:paraId="72CDA89A" w14:textId="304E71A4" w:rsidR="00423AAF" w:rsidRPr="00B54094" w:rsidRDefault="00423AAF" w:rsidP="00423AAF">
            <w:pPr>
              <w:spacing w:after="0" w:line="240" w:lineRule="auto"/>
              <w:jc w:val="center"/>
              <w:rPr>
                <w:rFonts w:eastAsia="Times New Roman" w:cs="Times New Roman"/>
                <w:kern w:val="0"/>
                <w:sz w:val="18"/>
                <w:szCs w:val="18"/>
                <w:lang w:eastAsia="pl-PL"/>
                <w14:ligatures w14:val="none"/>
              </w:rPr>
            </w:pPr>
            <w:r w:rsidRPr="00725682">
              <w:rPr>
                <w:sz w:val="18"/>
                <w:szCs w:val="18"/>
              </w:rPr>
              <w:t>-</w:t>
            </w:r>
            <w:r w:rsidR="006A329A" w:rsidRPr="00725682">
              <w:rPr>
                <w:sz w:val="18"/>
                <w:szCs w:val="18"/>
              </w:rPr>
              <w:t>81</w:t>
            </w:r>
            <w:r w:rsidRPr="00725682">
              <w:rPr>
                <w:sz w:val="18"/>
                <w:szCs w:val="18"/>
              </w:rPr>
              <w:t>%</w:t>
            </w:r>
          </w:p>
        </w:tc>
        <w:tc>
          <w:tcPr>
            <w:tcW w:w="1111" w:type="dxa"/>
            <w:tcBorders>
              <w:top w:val="single" w:sz="4" w:space="0" w:color="auto"/>
              <w:bottom w:val="single" w:sz="4" w:space="0" w:color="auto"/>
              <w:right w:val="single" w:sz="4" w:space="0" w:color="auto"/>
            </w:tcBorders>
            <w:noWrap/>
            <w:vAlign w:val="center"/>
            <w:hideMark/>
          </w:tcPr>
          <w:p w14:paraId="56CA0598" w14:textId="280A5908" w:rsidR="00423AAF" w:rsidRPr="00B54094" w:rsidRDefault="00423AAF" w:rsidP="00423AAF">
            <w:pPr>
              <w:spacing w:after="0" w:line="240" w:lineRule="auto"/>
              <w:jc w:val="center"/>
              <w:rPr>
                <w:rFonts w:eastAsia="Times New Roman" w:cs="Times New Roman"/>
                <w:kern w:val="0"/>
                <w:sz w:val="18"/>
                <w:szCs w:val="18"/>
                <w:lang w:eastAsia="pl-PL"/>
                <w14:ligatures w14:val="none"/>
              </w:rPr>
            </w:pPr>
            <w:r w:rsidRPr="00725682">
              <w:rPr>
                <w:sz w:val="18"/>
                <w:szCs w:val="18"/>
              </w:rPr>
              <w:t>-</w:t>
            </w:r>
            <w:r w:rsidR="006A329A" w:rsidRPr="00725682">
              <w:rPr>
                <w:sz w:val="18"/>
                <w:szCs w:val="18"/>
              </w:rPr>
              <w:t>83</w:t>
            </w:r>
            <w:r w:rsidRPr="00725682">
              <w:rPr>
                <w:sz w:val="18"/>
                <w:szCs w:val="18"/>
              </w:rPr>
              <w:t>%</w:t>
            </w:r>
          </w:p>
        </w:tc>
      </w:tr>
      <w:tr w:rsidR="00645E29" w:rsidRPr="00B54094" w14:paraId="5EF103BA" w14:textId="77777777" w:rsidTr="00414664">
        <w:trPr>
          <w:trHeight w:val="308"/>
        </w:trPr>
        <w:tc>
          <w:tcPr>
            <w:tcW w:w="3114" w:type="dxa"/>
            <w:tcBorders>
              <w:top w:val="single" w:sz="4" w:space="0" w:color="auto"/>
              <w:left w:val="single" w:sz="4" w:space="0" w:color="auto"/>
              <w:bottom w:val="double" w:sz="4" w:space="0" w:color="auto"/>
            </w:tcBorders>
            <w:noWrap/>
            <w:vAlign w:val="center"/>
            <w:hideMark/>
          </w:tcPr>
          <w:p w14:paraId="46E1F35D" w14:textId="77777777" w:rsidR="00645E29" w:rsidRPr="00B54094" w:rsidRDefault="00645E29" w:rsidP="00645E29">
            <w:pPr>
              <w:spacing w:after="0" w:line="240" w:lineRule="auto"/>
              <w:jc w:val="left"/>
              <w:rPr>
                <w:rFonts w:eastAsia="Times New Roman" w:cs="Times New Roman"/>
                <w:kern w:val="0"/>
                <w:sz w:val="18"/>
                <w:szCs w:val="18"/>
                <w:lang w:eastAsia="pl-PL"/>
                <w14:ligatures w14:val="none"/>
              </w:rPr>
            </w:pPr>
            <w:r w:rsidRPr="00B54094">
              <w:rPr>
                <w:rFonts w:eastAsia="Times New Roman" w:cs="Times New Roman"/>
                <w:kern w:val="0"/>
                <w:sz w:val="18"/>
                <w:szCs w:val="18"/>
                <w:lang w:eastAsia="pl-PL"/>
                <w14:ligatures w14:val="none"/>
              </w:rPr>
              <w:t>Emisja pośrednia CO</w:t>
            </w:r>
            <w:r w:rsidRPr="00B54094">
              <w:rPr>
                <w:rFonts w:eastAsia="Times New Roman" w:cs="Times New Roman"/>
                <w:kern w:val="0"/>
                <w:sz w:val="18"/>
                <w:szCs w:val="18"/>
                <w:vertAlign w:val="subscript"/>
                <w:lang w:eastAsia="pl-PL"/>
                <w14:ligatures w14:val="none"/>
              </w:rPr>
              <w:t>2</w:t>
            </w:r>
          </w:p>
        </w:tc>
        <w:tc>
          <w:tcPr>
            <w:tcW w:w="933" w:type="dxa"/>
            <w:tcBorders>
              <w:top w:val="single" w:sz="4" w:space="0" w:color="auto"/>
              <w:bottom w:val="double" w:sz="4" w:space="0" w:color="auto"/>
            </w:tcBorders>
            <w:noWrap/>
            <w:vAlign w:val="center"/>
            <w:hideMark/>
          </w:tcPr>
          <w:p w14:paraId="6541FF17" w14:textId="7F8A71EF" w:rsidR="00645E29" w:rsidRPr="00423AAF" w:rsidRDefault="00645E29" w:rsidP="00423AAF">
            <w:pPr>
              <w:spacing w:after="0" w:line="240" w:lineRule="auto"/>
              <w:jc w:val="center"/>
              <w:rPr>
                <w:rFonts w:eastAsia="Times New Roman" w:cs="Times New Roman"/>
                <w:kern w:val="0"/>
                <w:sz w:val="18"/>
                <w:szCs w:val="18"/>
                <w:lang w:eastAsia="pl-PL"/>
                <w14:ligatures w14:val="none"/>
              </w:rPr>
            </w:pPr>
            <w:r w:rsidRPr="00423AAF">
              <w:rPr>
                <w:sz w:val="18"/>
                <w:szCs w:val="18"/>
              </w:rPr>
              <w:t>0,</w:t>
            </w:r>
            <w:r w:rsidR="006A329A" w:rsidRPr="00725682">
              <w:rPr>
                <w:sz w:val="18"/>
                <w:szCs w:val="18"/>
              </w:rPr>
              <w:t>3</w:t>
            </w:r>
          </w:p>
        </w:tc>
        <w:tc>
          <w:tcPr>
            <w:tcW w:w="933" w:type="dxa"/>
            <w:tcBorders>
              <w:top w:val="single" w:sz="4" w:space="0" w:color="auto"/>
              <w:bottom w:val="double" w:sz="4" w:space="0" w:color="auto"/>
            </w:tcBorders>
            <w:noWrap/>
            <w:vAlign w:val="center"/>
            <w:hideMark/>
          </w:tcPr>
          <w:p w14:paraId="2FE3FA0F" w14:textId="6425F652" w:rsidR="00645E29" w:rsidRPr="00423AAF" w:rsidRDefault="00645E29" w:rsidP="00423AAF">
            <w:pPr>
              <w:spacing w:after="0" w:line="240" w:lineRule="auto"/>
              <w:jc w:val="center"/>
              <w:rPr>
                <w:rFonts w:eastAsia="Times New Roman" w:cs="Times New Roman"/>
                <w:kern w:val="0"/>
                <w:sz w:val="18"/>
                <w:szCs w:val="18"/>
                <w:lang w:eastAsia="pl-PL"/>
                <w14:ligatures w14:val="none"/>
              </w:rPr>
            </w:pPr>
            <w:r w:rsidRPr="00423AAF">
              <w:rPr>
                <w:sz w:val="18"/>
                <w:szCs w:val="18"/>
              </w:rPr>
              <w:t>0,</w:t>
            </w:r>
            <w:r w:rsidR="006A329A" w:rsidRPr="00725682">
              <w:rPr>
                <w:sz w:val="18"/>
                <w:szCs w:val="18"/>
              </w:rPr>
              <w:t>4</w:t>
            </w:r>
          </w:p>
        </w:tc>
        <w:tc>
          <w:tcPr>
            <w:tcW w:w="933" w:type="dxa"/>
            <w:tcBorders>
              <w:top w:val="single" w:sz="4" w:space="0" w:color="auto"/>
              <w:bottom w:val="double" w:sz="4" w:space="0" w:color="auto"/>
            </w:tcBorders>
            <w:noWrap/>
            <w:vAlign w:val="center"/>
            <w:hideMark/>
          </w:tcPr>
          <w:p w14:paraId="57FCF015" w14:textId="642C2965" w:rsidR="00645E29" w:rsidRPr="00423AAF" w:rsidRDefault="00645E29" w:rsidP="00423AAF">
            <w:pPr>
              <w:spacing w:after="0" w:line="240" w:lineRule="auto"/>
              <w:jc w:val="center"/>
              <w:rPr>
                <w:rFonts w:eastAsia="Times New Roman" w:cs="Times New Roman"/>
                <w:kern w:val="0"/>
                <w:sz w:val="18"/>
                <w:szCs w:val="18"/>
                <w:lang w:eastAsia="pl-PL"/>
                <w14:ligatures w14:val="none"/>
              </w:rPr>
            </w:pPr>
            <w:r w:rsidRPr="00423AAF">
              <w:rPr>
                <w:sz w:val="18"/>
                <w:szCs w:val="18"/>
              </w:rPr>
              <w:t>0,</w:t>
            </w:r>
            <w:r w:rsidR="006A329A" w:rsidRPr="00725682">
              <w:rPr>
                <w:sz w:val="18"/>
                <w:szCs w:val="18"/>
              </w:rPr>
              <w:t>4</w:t>
            </w:r>
          </w:p>
        </w:tc>
        <w:tc>
          <w:tcPr>
            <w:tcW w:w="933" w:type="dxa"/>
            <w:tcBorders>
              <w:top w:val="single" w:sz="4" w:space="0" w:color="auto"/>
              <w:bottom w:val="double" w:sz="4" w:space="0" w:color="auto"/>
              <w:right w:val="dotted" w:sz="4" w:space="0" w:color="000000" w:themeColor="text1"/>
            </w:tcBorders>
            <w:noWrap/>
            <w:vAlign w:val="center"/>
            <w:hideMark/>
          </w:tcPr>
          <w:p w14:paraId="1D933F48" w14:textId="773706F3" w:rsidR="00645E29" w:rsidRPr="00423AAF" w:rsidRDefault="00645E29" w:rsidP="00423AAF">
            <w:pPr>
              <w:spacing w:after="0" w:line="240" w:lineRule="auto"/>
              <w:jc w:val="center"/>
              <w:rPr>
                <w:rFonts w:eastAsia="Times New Roman" w:cs="Times New Roman"/>
                <w:kern w:val="0"/>
                <w:sz w:val="18"/>
                <w:szCs w:val="18"/>
                <w:lang w:eastAsia="pl-PL"/>
                <w14:ligatures w14:val="none"/>
              </w:rPr>
            </w:pPr>
            <w:r w:rsidRPr="00423AAF">
              <w:rPr>
                <w:sz w:val="18"/>
                <w:szCs w:val="18"/>
              </w:rPr>
              <w:t>0,</w:t>
            </w:r>
            <w:r w:rsidR="006A329A" w:rsidRPr="00725682">
              <w:rPr>
                <w:sz w:val="18"/>
                <w:szCs w:val="18"/>
              </w:rPr>
              <w:t>4</w:t>
            </w:r>
          </w:p>
        </w:tc>
        <w:tc>
          <w:tcPr>
            <w:tcW w:w="1110" w:type="dxa"/>
            <w:tcBorders>
              <w:top w:val="single" w:sz="4" w:space="0" w:color="auto"/>
              <w:left w:val="dotted" w:sz="4" w:space="0" w:color="000000" w:themeColor="text1"/>
              <w:bottom w:val="double" w:sz="4" w:space="0" w:color="auto"/>
            </w:tcBorders>
            <w:noWrap/>
            <w:vAlign w:val="center"/>
            <w:hideMark/>
          </w:tcPr>
          <w:p w14:paraId="34EF64FB" w14:textId="047383D1" w:rsidR="00645E29" w:rsidRPr="00B54094" w:rsidRDefault="006A329A" w:rsidP="00645E29">
            <w:pPr>
              <w:spacing w:after="0" w:line="240" w:lineRule="auto"/>
              <w:jc w:val="center"/>
              <w:rPr>
                <w:rFonts w:eastAsia="Times New Roman" w:cs="Times New Roman"/>
                <w:kern w:val="0"/>
                <w:sz w:val="18"/>
                <w:szCs w:val="18"/>
                <w:lang w:eastAsia="pl-PL"/>
                <w14:ligatures w14:val="none"/>
              </w:rPr>
            </w:pPr>
            <w:r w:rsidRPr="00725682">
              <w:rPr>
                <w:sz w:val="18"/>
                <w:szCs w:val="18"/>
              </w:rPr>
              <w:t>56</w:t>
            </w:r>
            <w:r w:rsidR="00645E29" w:rsidRPr="00725682">
              <w:rPr>
                <w:sz w:val="18"/>
                <w:szCs w:val="18"/>
              </w:rPr>
              <w:t>%</w:t>
            </w:r>
          </w:p>
        </w:tc>
        <w:tc>
          <w:tcPr>
            <w:tcW w:w="1111" w:type="dxa"/>
            <w:tcBorders>
              <w:top w:val="single" w:sz="4" w:space="0" w:color="auto"/>
              <w:bottom w:val="double" w:sz="4" w:space="0" w:color="auto"/>
              <w:right w:val="single" w:sz="4" w:space="0" w:color="auto"/>
            </w:tcBorders>
            <w:noWrap/>
            <w:vAlign w:val="center"/>
            <w:hideMark/>
          </w:tcPr>
          <w:p w14:paraId="5F01B105" w14:textId="0416260E" w:rsidR="00645E29" w:rsidRPr="00B54094" w:rsidRDefault="006A329A" w:rsidP="00645E29">
            <w:pPr>
              <w:spacing w:after="0" w:line="240" w:lineRule="auto"/>
              <w:jc w:val="center"/>
              <w:rPr>
                <w:rFonts w:eastAsia="Times New Roman" w:cs="Times New Roman"/>
                <w:kern w:val="0"/>
                <w:sz w:val="18"/>
                <w:szCs w:val="18"/>
                <w:lang w:eastAsia="pl-PL"/>
                <w14:ligatures w14:val="none"/>
              </w:rPr>
            </w:pPr>
            <w:r w:rsidRPr="00725682">
              <w:rPr>
                <w:sz w:val="18"/>
                <w:szCs w:val="18"/>
              </w:rPr>
              <w:t>51</w:t>
            </w:r>
            <w:r w:rsidR="00645E29" w:rsidRPr="00725682">
              <w:rPr>
                <w:sz w:val="18"/>
                <w:szCs w:val="18"/>
              </w:rPr>
              <w:t>%</w:t>
            </w:r>
          </w:p>
        </w:tc>
      </w:tr>
      <w:tr w:rsidR="00423AAF" w:rsidRPr="00B54094" w14:paraId="7E298A34" w14:textId="77777777" w:rsidTr="00414664">
        <w:trPr>
          <w:trHeight w:val="533"/>
        </w:trPr>
        <w:tc>
          <w:tcPr>
            <w:tcW w:w="3114" w:type="dxa"/>
            <w:tcBorders>
              <w:top w:val="double" w:sz="4" w:space="0" w:color="auto"/>
              <w:left w:val="single" w:sz="4" w:space="0" w:color="auto"/>
              <w:bottom w:val="single" w:sz="4" w:space="0" w:color="auto"/>
            </w:tcBorders>
            <w:noWrap/>
            <w:vAlign w:val="center"/>
          </w:tcPr>
          <w:p w14:paraId="595BA61D" w14:textId="4BEFC44F" w:rsidR="00423AAF" w:rsidRPr="00B54094" w:rsidRDefault="00423AAF" w:rsidP="00423AAF">
            <w:pPr>
              <w:spacing w:after="0" w:line="240" w:lineRule="auto"/>
              <w:jc w:val="left"/>
              <w:rPr>
                <w:rFonts w:eastAsia="Times New Roman" w:cs="Times New Roman"/>
                <w:b/>
                <w:bCs/>
                <w:kern w:val="0"/>
                <w:sz w:val="18"/>
                <w:szCs w:val="18"/>
                <w:lang w:eastAsia="pl-PL"/>
                <w14:ligatures w14:val="none"/>
              </w:rPr>
            </w:pPr>
            <w:r w:rsidRPr="00B54094">
              <w:rPr>
                <w:rFonts w:eastAsia="Times New Roman" w:cs="Times New Roman"/>
                <w:kern w:val="0"/>
                <w:sz w:val="18"/>
                <w:szCs w:val="18"/>
                <w:lang w:eastAsia="pl-PL"/>
                <w14:ligatures w14:val="none"/>
              </w:rPr>
              <w:t xml:space="preserve">Całkowita emisja </w:t>
            </w:r>
            <w:r w:rsidR="00414664">
              <w:rPr>
                <w:rFonts w:eastAsia="Times New Roman" w:cs="Times New Roman"/>
                <w:kern w:val="0"/>
                <w:sz w:val="18"/>
                <w:szCs w:val="18"/>
                <w:lang w:eastAsia="pl-PL"/>
                <w14:ligatures w14:val="none"/>
              </w:rPr>
              <w:br/>
            </w:r>
            <w:r w:rsidRPr="00B54094">
              <w:rPr>
                <w:rFonts w:eastAsia="Times New Roman" w:cs="Times New Roman"/>
                <w:kern w:val="0"/>
                <w:sz w:val="18"/>
                <w:szCs w:val="18"/>
                <w:lang w:eastAsia="pl-PL"/>
                <w14:ligatures w14:val="none"/>
              </w:rPr>
              <w:t>bez</w:t>
            </w:r>
            <w:r>
              <w:rPr>
                <w:rFonts w:eastAsia="Times New Roman" w:cs="Times New Roman"/>
                <w:kern w:val="0"/>
                <w:sz w:val="18"/>
                <w:szCs w:val="18"/>
                <w:lang w:eastAsia="pl-PL"/>
                <w14:ligatures w14:val="none"/>
              </w:rPr>
              <w:t> </w:t>
            </w:r>
            <w:r w:rsidRPr="00B54094">
              <w:rPr>
                <w:rFonts w:eastAsia="Times New Roman" w:cs="Times New Roman"/>
                <w:kern w:val="0"/>
                <w:sz w:val="18"/>
                <w:szCs w:val="18"/>
                <w:lang w:eastAsia="pl-PL"/>
                <w14:ligatures w14:val="none"/>
              </w:rPr>
              <w:t>uwzględnienia LULUCF</w:t>
            </w:r>
          </w:p>
        </w:tc>
        <w:tc>
          <w:tcPr>
            <w:tcW w:w="933" w:type="dxa"/>
            <w:tcBorders>
              <w:top w:val="double" w:sz="4" w:space="0" w:color="auto"/>
              <w:bottom w:val="single" w:sz="4" w:space="0" w:color="auto"/>
            </w:tcBorders>
            <w:noWrap/>
            <w:vAlign w:val="center"/>
          </w:tcPr>
          <w:p w14:paraId="2C007CC7" w14:textId="331CA94D" w:rsidR="00423AAF" w:rsidRPr="00423AAF" w:rsidRDefault="00725682" w:rsidP="00423AAF">
            <w:pPr>
              <w:spacing w:after="0" w:line="240" w:lineRule="auto"/>
              <w:jc w:val="center"/>
              <w:rPr>
                <w:rFonts w:eastAsia="Times New Roman" w:cs="Times New Roman"/>
                <w:b/>
                <w:bCs/>
                <w:kern w:val="0"/>
                <w:sz w:val="18"/>
                <w:szCs w:val="18"/>
                <w:lang w:eastAsia="pl-PL"/>
                <w14:ligatures w14:val="none"/>
              </w:rPr>
            </w:pPr>
            <w:r w:rsidRPr="00725682">
              <w:rPr>
                <w:sz w:val="18"/>
                <w:szCs w:val="18"/>
              </w:rPr>
              <w:t>475,7</w:t>
            </w:r>
          </w:p>
        </w:tc>
        <w:tc>
          <w:tcPr>
            <w:tcW w:w="933" w:type="dxa"/>
            <w:tcBorders>
              <w:top w:val="double" w:sz="4" w:space="0" w:color="auto"/>
              <w:bottom w:val="single" w:sz="4" w:space="0" w:color="auto"/>
            </w:tcBorders>
            <w:noWrap/>
            <w:vAlign w:val="center"/>
          </w:tcPr>
          <w:p w14:paraId="29BFBAC2" w14:textId="6D97C6A3" w:rsidR="00423AAF" w:rsidRPr="00423AAF" w:rsidRDefault="00725682" w:rsidP="00423AAF">
            <w:pPr>
              <w:spacing w:after="0" w:line="240" w:lineRule="auto"/>
              <w:jc w:val="center"/>
              <w:rPr>
                <w:rFonts w:eastAsia="Times New Roman" w:cs="Times New Roman"/>
                <w:b/>
                <w:bCs/>
                <w:kern w:val="0"/>
                <w:sz w:val="18"/>
                <w:szCs w:val="18"/>
                <w:lang w:eastAsia="pl-PL"/>
                <w14:ligatures w14:val="none"/>
              </w:rPr>
            </w:pPr>
            <w:r w:rsidRPr="00725682">
              <w:rPr>
                <w:sz w:val="18"/>
                <w:szCs w:val="18"/>
              </w:rPr>
              <w:t>380,5</w:t>
            </w:r>
          </w:p>
        </w:tc>
        <w:tc>
          <w:tcPr>
            <w:tcW w:w="933" w:type="dxa"/>
            <w:tcBorders>
              <w:top w:val="double" w:sz="4" w:space="0" w:color="auto"/>
              <w:bottom w:val="single" w:sz="4" w:space="0" w:color="auto"/>
            </w:tcBorders>
            <w:noWrap/>
            <w:vAlign w:val="center"/>
          </w:tcPr>
          <w:p w14:paraId="3B6C5D7F" w14:textId="72AC48FB" w:rsidR="00423AAF" w:rsidRPr="00423AAF" w:rsidRDefault="00725682" w:rsidP="00423AAF">
            <w:pPr>
              <w:spacing w:after="0" w:line="240" w:lineRule="auto"/>
              <w:jc w:val="center"/>
              <w:rPr>
                <w:rFonts w:eastAsia="Times New Roman" w:cs="Times New Roman"/>
                <w:b/>
                <w:bCs/>
                <w:kern w:val="0"/>
                <w:sz w:val="18"/>
                <w:szCs w:val="18"/>
                <w:lang w:eastAsia="pl-PL"/>
                <w14:ligatures w14:val="none"/>
              </w:rPr>
            </w:pPr>
            <w:r w:rsidRPr="00725682">
              <w:rPr>
                <w:sz w:val="18"/>
                <w:szCs w:val="18"/>
              </w:rPr>
              <w:t>252,9</w:t>
            </w:r>
          </w:p>
        </w:tc>
        <w:tc>
          <w:tcPr>
            <w:tcW w:w="933" w:type="dxa"/>
            <w:tcBorders>
              <w:top w:val="double" w:sz="4" w:space="0" w:color="auto"/>
              <w:bottom w:val="single" w:sz="4" w:space="0" w:color="auto"/>
              <w:right w:val="dotted" w:sz="4" w:space="0" w:color="000000" w:themeColor="text1"/>
            </w:tcBorders>
            <w:noWrap/>
            <w:vAlign w:val="center"/>
          </w:tcPr>
          <w:p w14:paraId="474BB3BE" w14:textId="5678C96E" w:rsidR="00423AAF" w:rsidRPr="00423AAF" w:rsidRDefault="00725682" w:rsidP="00423AAF">
            <w:pPr>
              <w:spacing w:after="0" w:line="240" w:lineRule="auto"/>
              <w:jc w:val="center"/>
              <w:rPr>
                <w:rFonts w:eastAsia="Times New Roman" w:cs="Times New Roman"/>
                <w:b/>
                <w:bCs/>
                <w:kern w:val="0"/>
                <w:sz w:val="18"/>
                <w:szCs w:val="18"/>
                <w:lang w:eastAsia="pl-PL"/>
                <w14:ligatures w14:val="none"/>
              </w:rPr>
            </w:pPr>
            <w:r w:rsidRPr="00725682">
              <w:rPr>
                <w:sz w:val="18"/>
                <w:szCs w:val="18"/>
              </w:rPr>
              <w:t>143,4</w:t>
            </w:r>
          </w:p>
        </w:tc>
        <w:tc>
          <w:tcPr>
            <w:tcW w:w="1110" w:type="dxa"/>
            <w:tcBorders>
              <w:top w:val="double" w:sz="4" w:space="0" w:color="auto"/>
              <w:left w:val="dotted" w:sz="4" w:space="0" w:color="000000" w:themeColor="text1"/>
              <w:bottom w:val="single" w:sz="4" w:space="0" w:color="auto"/>
            </w:tcBorders>
            <w:noWrap/>
            <w:vAlign w:val="center"/>
          </w:tcPr>
          <w:p w14:paraId="3E3B5B5D" w14:textId="72D471BA" w:rsidR="00423AAF" w:rsidRPr="00B54094" w:rsidRDefault="00423AAF" w:rsidP="00423AAF">
            <w:pPr>
              <w:spacing w:after="0" w:line="240" w:lineRule="auto"/>
              <w:jc w:val="center"/>
              <w:rPr>
                <w:rFonts w:eastAsia="Times New Roman" w:cs="Times New Roman"/>
                <w:b/>
                <w:bCs/>
                <w:kern w:val="0"/>
                <w:sz w:val="18"/>
                <w:szCs w:val="18"/>
                <w:lang w:eastAsia="pl-PL"/>
                <w14:ligatures w14:val="none"/>
              </w:rPr>
            </w:pPr>
            <w:r w:rsidRPr="00725682">
              <w:rPr>
                <w:sz w:val="18"/>
                <w:szCs w:val="18"/>
              </w:rPr>
              <w:t>-</w:t>
            </w:r>
            <w:r w:rsidR="00725682" w:rsidRPr="00725682">
              <w:rPr>
                <w:sz w:val="18"/>
                <w:szCs w:val="18"/>
              </w:rPr>
              <w:t>47</w:t>
            </w:r>
            <w:r w:rsidRPr="00725682">
              <w:rPr>
                <w:sz w:val="18"/>
                <w:szCs w:val="18"/>
              </w:rPr>
              <w:t>%</w:t>
            </w:r>
          </w:p>
        </w:tc>
        <w:tc>
          <w:tcPr>
            <w:tcW w:w="1111" w:type="dxa"/>
            <w:tcBorders>
              <w:top w:val="double" w:sz="4" w:space="0" w:color="auto"/>
              <w:bottom w:val="single" w:sz="4" w:space="0" w:color="auto"/>
              <w:right w:val="single" w:sz="4" w:space="0" w:color="auto"/>
            </w:tcBorders>
            <w:noWrap/>
            <w:vAlign w:val="center"/>
          </w:tcPr>
          <w:p w14:paraId="062CC260" w14:textId="5B1BD492" w:rsidR="00423AAF" w:rsidRPr="00B54094" w:rsidRDefault="00423AAF" w:rsidP="00423AAF">
            <w:pPr>
              <w:spacing w:after="0" w:line="240" w:lineRule="auto"/>
              <w:jc w:val="center"/>
              <w:rPr>
                <w:rFonts w:eastAsia="Times New Roman" w:cs="Times New Roman"/>
                <w:b/>
                <w:bCs/>
                <w:kern w:val="0"/>
                <w:sz w:val="18"/>
                <w:szCs w:val="18"/>
                <w:lang w:eastAsia="pl-PL"/>
                <w14:ligatures w14:val="none"/>
              </w:rPr>
            </w:pPr>
            <w:r w:rsidRPr="00725682">
              <w:rPr>
                <w:sz w:val="18"/>
                <w:szCs w:val="18"/>
              </w:rPr>
              <w:t>-</w:t>
            </w:r>
            <w:r w:rsidR="00725682" w:rsidRPr="00725682">
              <w:rPr>
                <w:sz w:val="18"/>
                <w:szCs w:val="18"/>
              </w:rPr>
              <w:t>70</w:t>
            </w:r>
            <w:r w:rsidRPr="00725682">
              <w:rPr>
                <w:sz w:val="18"/>
                <w:szCs w:val="18"/>
              </w:rPr>
              <w:t>%</w:t>
            </w:r>
          </w:p>
        </w:tc>
      </w:tr>
      <w:tr w:rsidR="00423AAF" w:rsidRPr="00B54094" w14:paraId="5B5DDDA3" w14:textId="77777777" w:rsidTr="00414664">
        <w:trPr>
          <w:trHeight w:val="533"/>
        </w:trPr>
        <w:tc>
          <w:tcPr>
            <w:tcW w:w="3114" w:type="dxa"/>
            <w:tcBorders>
              <w:top w:val="single" w:sz="4" w:space="0" w:color="auto"/>
              <w:left w:val="single" w:sz="4" w:space="0" w:color="auto"/>
              <w:bottom w:val="single" w:sz="4" w:space="0" w:color="auto"/>
            </w:tcBorders>
            <w:noWrap/>
            <w:vAlign w:val="center"/>
            <w:hideMark/>
          </w:tcPr>
          <w:p w14:paraId="5F28DA86" w14:textId="484ADEC5" w:rsidR="00423AAF" w:rsidRPr="00B54094" w:rsidRDefault="00423AAF" w:rsidP="00423AAF">
            <w:pPr>
              <w:spacing w:after="0" w:line="240" w:lineRule="auto"/>
              <w:jc w:val="left"/>
              <w:rPr>
                <w:rFonts w:eastAsia="Times New Roman" w:cs="Times New Roman"/>
                <w:b/>
                <w:bCs/>
                <w:kern w:val="0"/>
                <w:sz w:val="18"/>
                <w:szCs w:val="18"/>
                <w:lang w:eastAsia="pl-PL"/>
                <w14:ligatures w14:val="none"/>
              </w:rPr>
            </w:pPr>
            <w:r w:rsidRPr="00B54094">
              <w:rPr>
                <w:rFonts w:eastAsia="Times New Roman" w:cs="Times New Roman"/>
                <w:b/>
                <w:bCs/>
                <w:kern w:val="0"/>
                <w:sz w:val="18"/>
                <w:szCs w:val="18"/>
                <w:lang w:eastAsia="pl-PL"/>
                <w14:ligatures w14:val="none"/>
              </w:rPr>
              <w:t xml:space="preserve">Całkowita emisja </w:t>
            </w:r>
            <w:r w:rsidR="00414664">
              <w:rPr>
                <w:rFonts w:eastAsia="Times New Roman" w:cs="Times New Roman"/>
                <w:b/>
                <w:bCs/>
                <w:kern w:val="0"/>
                <w:sz w:val="18"/>
                <w:szCs w:val="18"/>
                <w:lang w:eastAsia="pl-PL"/>
                <w14:ligatures w14:val="none"/>
              </w:rPr>
              <w:br/>
            </w:r>
            <w:r w:rsidRPr="00B54094">
              <w:rPr>
                <w:rFonts w:eastAsia="Times New Roman" w:cs="Times New Roman"/>
                <w:b/>
                <w:bCs/>
                <w:kern w:val="0"/>
                <w:sz w:val="18"/>
                <w:szCs w:val="18"/>
                <w:lang w:eastAsia="pl-PL"/>
                <w14:ligatures w14:val="none"/>
              </w:rPr>
              <w:t>z uwzględnieniem LULUCF</w:t>
            </w:r>
          </w:p>
        </w:tc>
        <w:tc>
          <w:tcPr>
            <w:tcW w:w="933" w:type="dxa"/>
            <w:tcBorders>
              <w:top w:val="single" w:sz="4" w:space="0" w:color="auto"/>
              <w:bottom w:val="single" w:sz="4" w:space="0" w:color="auto"/>
            </w:tcBorders>
            <w:noWrap/>
            <w:vAlign w:val="center"/>
            <w:hideMark/>
          </w:tcPr>
          <w:p w14:paraId="3D542C5C" w14:textId="4A42EE46" w:rsidR="00423AAF" w:rsidRPr="00423AAF" w:rsidRDefault="00FA3AB0" w:rsidP="00423AAF">
            <w:pPr>
              <w:spacing w:after="0" w:line="240" w:lineRule="auto"/>
              <w:jc w:val="center"/>
              <w:rPr>
                <w:rFonts w:eastAsia="Times New Roman" w:cs="Times New Roman"/>
                <w:b/>
                <w:bCs/>
                <w:kern w:val="0"/>
                <w:sz w:val="18"/>
                <w:szCs w:val="18"/>
                <w:lang w:eastAsia="pl-PL"/>
                <w14:ligatures w14:val="none"/>
              </w:rPr>
            </w:pPr>
            <w:r>
              <w:rPr>
                <w:b/>
                <w:bCs/>
                <w:sz w:val="18"/>
                <w:szCs w:val="18"/>
              </w:rPr>
              <w:t>447,</w:t>
            </w:r>
            <w:r w:rsidR="00B9567A">
              <w:rPr>
                <w:b/>
                <w:bCs/>
                <w:sz w:val="18"/>
                <w:szCs w:val="18"/>
              </w:rPr>
              <w:t>4</w:t>
            </w:r>
          </w:p>
        </w:tc>
        <w:tc>
          <w:tcPr>
            <w:tcW w:w="933" w:type="dxa"/>
            <w:tcBorders>
              <w:top w:val="single" w:sz="4" w:space="0" w:color="auto"/>
              <w:bottom w:val="single" w:sz="4" w:space="0" w:color="auto"/>
            </w:tcBorders>
            <w:noWrap/>
            <w:vAlign w:val="center"/>
            <w:hideMark/>
          </w:tcPr>
          <w:p w14:paraId="61368B8E" w14:textId="04BBCD93" w:rsidR="00423AAF" w:rsidRPr="00423AAF" w:rsidRDefault="00B9567A" w:rsidP="00423AAF">
            <w:pPr>
              <w:spacing w:after="0" w:line="240" w:lineRule="auto"/>
              <w:jc w:val="center"/>
              <w:rPr>
                <w:rFonts w:eastAsia="Times New Roman" w:cs="Times New Roman"/>
                <w:b/>
                <w:bCs/>
                <w:kern w:val="0"/>
                <w:sz w:val="18"/>
                <w:szCs w:val="18"/>
                <w:lang w:eastAsia="pl-PL"/>
                <w14:ligatures w14:val="none"/>
              </w:rPr>
            </w:pPr>
            <w:r>
              <w:rPr>
                <w:b/>
                <w:bCs/>
                <w:sz w:val="18"/>
                <w:szCs w:val="18"/>
              </w:rPr>
              <w:t>344,9</w:t>
            </w:r>
          </w:p>
        </w:tc>
        <w:tc>
          <w:tcPr>
            <w:tcW w:w="933" w:type="dxa"/>
            <w:tcBorders>
              <w:top w:val="single" w:sz="4" w:space="0" w:color="auto"/>
              <w:bottom w:val="single" w:sz="4" w:space="0" w:color="auto"/>
            </w:tcBorders>
            <w:noWrap/>
            <w:vAlign w:val="center"/>
            <w:hideMark/>
          </w:tcPr>
          <w:p w14:paraId="0494A107" w14:textId="33CA2139" w:rsidR="00423AAF" w:rsidRPr="00423AAF" w:rsidRDefault="002372CF" w:rsidP="00423AAF">
            <w:pPr>
              <w:spacing w:after="0" w:line="240" w:lineRule="auto"/>
              <w:jc w:val="center"/>
              <w:rPr>
                <w:rFonts w:eastAsia="Times New Roman" w:cs="Times New Roman"/>
                <w:b/>
                <w:bCs/>
                <w:kern w:val="0"/>
                <w:sz w:val="18"/>
                <w:szCs w:val="18"/>
                <w:lang w:eastAsia="pl-PL"/>
                <w14:ligatures w14:val="none"/>
              </w:rPr>
            </w:pPr>
            <w:r>
              <w:rPr>
                <w:b/>
                <w:bCs/>
                <w:sz w:val="18"/>
                <w:szCs w:val="18"/>
              </w:rPr>
              <w:t>206,4</w:t>
            </w:r>
          </w:p>
        </w:tc>
        <w:tc>
          <w:tcPr>
            <w:tcW w:w="933" w:type="dxa"/>
            <w:tcBorders>
              <w:top w:val="single" w:sz="4" w:space="0" w:color="auto"/>
              <w:bottom w:val="single" w:sz="4" w:space="0" w:color="auto"/>
              <w:right w:val="dotted" w:sz="4" w:space="0" w:color="000000" w:themeColor="text1"/>
            </w:tcBorders>
            <w:noWrap/>
            <w:vAlign w:val="center"/>
            <w:hideMark/>
          </w:tcPr>
          <w:p w14:paraId="54F2463C" w14:textId="6C69509C" w:rsidR="00423AAF" w:rsidRPr="00423AAF" w:rsidRDefault="00CC1157" w:rsidP="00423AAF">
            <w:pPr>
              <w:spacing w:after="0" w:line="240" w:lineRule="auto"/>
              <w:jc w:val="center"/>
              <w:rPr>
                <w:rFonts w:eastAsia="Times New Roman" w:cs="Times New Roman"/>
                <w:b/>
                <w:bCs/>
                <w:kern w:val="0"/>
                <w:sz w:val="18"/>
                <w:szCs w:val="18"/>
                <w:lang w:eastAsia="pl-PL"/>
                <w14:ligatures w14:val="none"/>
              </w:rPr>
            </w:pPr>
            <w:r>
              <w:rPr>
                <w:b/>
                <w:bCs/>
                <w:sz w:val="18"/>
                <w:szCs w:val="18"/>
              </w:rPr>
              <w:t>108,1</w:t>
            </w:r>
          </w:p>
        </w:tc>
        <w:tc>
          <w:tcPr>
            <w:tcW w:w="1110" w:type="dxa"/>
            <w:tcBorders>
              <w:top w:val="single" w:sz="4" w:space="0" w:color="auto"/>
              <w:left w:val="dotted" w:sz="4" w:space="0" w:color="000000" w:themeColor="text1"/>
              <w:bottom w:val="single" w:sz="4" w:space="0" w:color="auto"/>
            </w:tcBorders>
            <w:shd w:val="clear" w:color="000000" w:fill="FFE699"/>
            <w:noWrap/>
            <w:vAlign w:val="center"/>
            <w:hideMark/>
          </w:tcPr>
          <w:p w14:paraId="6D7D4A94" w14:textId="697897A2" w:rsidR="00423AAF" w:rsidRPr="000858ED" w:rsidRDefault="00423AAF" w:rsidP="00423AAF">
            <w:pPr>
              <w:spacing w:after="0" w:line="240" w:lineRule="auto"/>
              <w:jc w:val="center"/>
              <w:rPr>
                <w:rFonts w:eastAsia="Times New Roman" w:cs="Times New Roman"/>
                <w:b/>
                <w:bCs/>
                <w:kern w:val="0"/>
                <w:sz w:val="24"/>
                <w:szCs w:val="24"/>
                <w:lang w:eastAsia="pl-PL"/>
                <w14:ligatures w14:val="none"/>
              </w:rPr>
            </w:pPr>
            <w:r w:rsidRPr="000858ED">
              <w:rPr>
                <w:rFonts w:eastAsia="Times New Roman" w:cs="Times New Roman"/>
                <w:b/>
                <w:bCs/>
                <w:kern w:val="0"/>
                <w:sz w:val="24"/>
                <w:szCs w:val="24"/>
                <w:lang w:eastAsia="pl-PL"/>
                <w14:ligatures w14:val="none"/>
              </w:rPr>
              <w:t>-5</w:t>
            </w:r>
            <w:r w:rsidR="00725682">
              <w:rPr>
                <w:rFonts w:eastAsia="Times New Roman" w:cs="Times New Roman"/>
                <w:b/>
                <w:bCs/>
                <w:kern w:val="0"/>
                <w:sz w:val="24"/>
                <w:szCs w:val="24"/>
                <w:lang w:eastAsia="pl-PL"/>
                <w14:ligatures w14:val="none"/>
              </w:rPr>
              <w:t>3</w:t>
            </w:r>
            <w:r w:rsidR="00CE6C29">
              <w:rPr>
                <w:rFonts w:eastAsia="Times New Roman" w:cs="Times New Roman"/>
                <w:b/>
                <w:bCs/>
                <w:kern w:val="0"/>
                <w:sz w:val="24"/>
                <w:szCs w:val="24"/>
                <w:lang w:eastAsia="pl-PL"/>
                <w14:ligatures w14:val="none"/>
              </w:rPr>
              <w:t>,</w:t>
            </w:r>
            <w:r w:rsidR="00725682">
              <w:rPr>
                <w:rFonts w:eastAsia="Times New Roman" w:cs="Times New Roman"/>
                <w:b/>
                <w:bCs/>
                <w:kern w:val="0"/>
                <w:sz w:val="24"/>
                <w:szCs w:val="24"/>
                <w:lang w:eastAsia="pl-PL"/>
                <w14:ligatures w14:val="none"/>
              </w:rPr>
              <w:t>9</w:t>
            </w:r>
            <w:r w:rsidRPr="000858ED">
              <w:rPr>
                <w:rFonts w:eastAsia="Times New Roman" w:cs="Times New Roman"/>
                <w:b/>
                <w:bCs/>
                <w:kern w:val="0"/>
                <w:sz w:val="24"/>
                <w:szCs w:val="24"/>
                <w:lang w:eastAsia="pl-PL"/>
                <w14:ligatures w14:val="none"/>
              </w:rPr>
              <w:t>%</w:t>
            </w:r>
          </w:p>
        </w:tc>
        <w:tc>
          <w:tcPr>
            <w:tcW w:w="1111" w:type="dxa"/>
            <w:tcBorders>
              <w:top w:val="single" w:sz="4" w:space="0" w:color="auto"/>
              <w:bottom w:val="single" w:sz="4" w:space="0" w:color="auto"/>
              <w:right w:val="single" w:sz="4" w:space="0" w:color="auto"/>
            </w:tcBorders>
            <w:shd w:val="clear" w:color="000000" w:fill="FFE699"/>
            <w:noWrap/>
            <w:vAlign w:val="center"/>
            <w:hideMark/>
          </w:tcPr>
          <w:p w14:paraId="7AA30759" w14:textId="2F903579" w:rsidR="00423AAF" w:rsidRPr="000858ED" w:rsidRDefault="00423AAF" w:rsidP="00423AAF">
            <w:pPr>
              <w:spacing w:after="0" w:line="240" w:lineRule="auto"/>
              <w:jc w:val="center"/>
              <w:rPr>
                <w:rFonts w:eastAsia="Times New Roman" w:cs="Times New Roman"/>
                <w:b/>
                <w:bCs/>
                <w:kern w:val="0"/>
                <w:sz w:val="24"/>
                <w:szCs w:val="24"/>
                <w:lang w:eastAsia="pl-PL"/>
                <w14:ligatures w14:val="none"/>
              </w:rPr>
            </w:pPr>
            <w:r w:rsidRPr="000858ED">
              <w:rPr>
                <w:rFonts w:eastAsia="Times New Roman" w:cs="Times New Roman"/>
                <w:b/>
                <w:bCs/>
                <w:kern w:val="0"/>
                <w:sz w:val="24"/>
                <w:szCs w:val="24"/>
                <w:lang w:eastAsia="pl-PL"/>
                <w14:ligatures w14:val="none"/>
              </w:rPr>
              <w:t>-7</w:t>
            </w:r>
            <w:r w:rsidR="00725682">
              <w:rPr>
                <w:rFonts w:eastAsia="Times New Roman" w:cs="Times New Roman"/>
                <w:b/>
                <w:bCs/>
                <w:kern w:val="0"/>
                <w:sz w:val="24"/>
                <w:szCs w:val="24"/>
                <w:lang w:eastAsia="pl-PL"/>
                <w14:ligatures w14:val="none"/>
              </w:rPr>
              <w:t>5,8</w:t>
            </w:r>
            <w:r w:rsidRPr="000858ED">
              <w:rPr>
                <w:rFonts w:eastAsia="Times New Roman" w:cs="Times New Roman"/>
                <w:b/>
                <w:bCs/>
                <w:kern w:val="0"/>
                <w:sz w:val="24"/>
                <w:szCs w:val="24"/>
                <w:lang w:eastAsia="pl-PL"/>
                <w14:ligatures w14:val="none"/>
              </w:rPr>
              <w:t>%</w:t>
            </w:r>
          </w:p>
        </w:tc>
      </w:tr>
    </w:tbl>
    <w:p w14:paraId="0730B8A0" w14:textId="5B9CDA5E" w:rsidR="00DF4C05" w:rsidRPr="0047286B" w:rsidRDefault="00B45C43" w:rsidP="00CA6554">
      <w:pPr>
        <w:pStyle w:val="Przypisy"/>
        <w:rPr>
          <w:sz w:val="16"/>
          <w:szCs w:val="16"/>
        </w:rPr>
      </w:pPr>
      <w:bookmarkStart w:id="39" w:name="_Hlk177141855"/>
      <w:bookmarkEnd w:id="38"/>
      <w:r w:rsidRPr="0047286B">
        <w:rPr>
          <w:sz w:val="16"/>
          <w:szCs w:val="16"/>
        </w:rPr>
        <w:t xml:space="preserve">Sektor „energia” </w:t>
      </w:r>
      <w:r w:rsidR="00794ACE" w:rsidRPr="0047286B">
        <w:rPr>
          <w:sz w:val="16"/>
          <w:szCs w:val="16"/>
        </w:rPr>
        <w:t>odnosi się do</w:t>
      </w:r>
      <w:r w:rsidRPr="0047286B">
        <w:rPr>
          <w:sz w:val="16"/>
          <w:szCs w:val="16"/>
        </w:rPr>
        <w:t xml:space="preserve"> </w:t>
      </w:r>
      <w:r w:rsidRPr="0047286B">
        <w:rPr>
          <w:sz w:val="16"/>
          <w:szCs w:val="16"/>
          <w:u w:val="single"/>
        </w:rPr>
        <w:t>spalani</w:t>
      </w:r>
      <w:r w:rsidR="00794ACE" w:rsidRPr="0047286B">
        <w:rPr>
          <w:sz w:val="16"/>
          <w:szCs w:val="16"/>
          <w:u w:val="single"/>
        </w:rPr>
        <w:t>a</w:t>
      </w:r>
      <w:r w:rsidRPr="0047286B">
        <w:rPr>
          <w:sz w:val="16"/>
          <w:szCs w:val="16"/>
        </w:rPr>
        <w:t xml:space="preserve"> paliw w energetyce, przemyśle wytwórczym, transporcie</w:t>
      </w:r>
      <w:r w:rsidR="00B53E8D" w:rsidRPr="0047286B">
        <w:rPr>
          <w:sz w:val="16"/>
          <w:szCs w:val="16"/>
        </w:rPr>
        <w:t xml:space="preserve"> i innych sektorac</w:t>
      </w:r>
      <w:r w:rsidR="00794ACE" w:rsidRPr="0047286B">
        <w:rPr>
          <w:sz w:val="16"/>
          <w:szCs w:val="16"/>
        </w:rPr>
        <w:t xml:space="preserve">h </w:t>
      </w:r>
      <w:r w:rsidR="00B53E8D" w:rsidRPr="0047286B">
        <w:rPr>
          <w:sz w:val="16"/>
          <w:szCs w:val="16"/>
        </w:rPr>
        <w:t>oraz emisję lotn</w:t>
      </w:r>
      <w:r w:rsidR="00794ACE" w:rsidRPr="0047286B">
        <w:rPr>
          <w:sz w:val="16"/>
          <w:szCs w:val="16"/>
        </w:rPr>
        <w:t>ą</w:t>
      </w:r>
      <w:r w:rsidR="00B53E8D" w:rsidRPr="0047286B">
        <w:rPr>
          <w:sz w:val="16"/>
          <w:szCs w:val="16"/>
        </w:rPr>
        <w:t xml:space="preserve"> z</w:t>
      </w:r>
      <w:r w:rsidR="00DF4C05" w:rsidRPr="0047286B">
        <w:rPr>
          <w:sz w:val="16"/>
          <w:szCs w:val="16"/>
        </w:rPr>
        <w:t> </w:t>
      </w:r>
      <w:r w:rsidR="00B53E8D" w:rsidRPr="0047286B">
        <w:rPr>
          <w:sz w:val="16"/>
          <w:szCs w:val="16"/>
        </w:rPr>
        <w:t>paliw</w:t>
      </w:r>
      <w:r w:rsidRPr="0047286B">
        <w:rPr>
          <w:sz w:val="16"/>
          <w:szCs w:val="16"/>
        </w:rPr>
        <w:t xml:space="preserve"> (zgodnie z metodyką IPCC).</w:t>
      </w:r>
      <w:r w:rsidR="008617C8" w:rsidRPr="0047286B">
        <w:rPr>
          <w:sz w:val="16"/>
          <w:szCs w:val="16"/>
        </w:rPr>
        <w:t xml:space="preserve"> </w:t>
      </w:r>
    </w:p>
    <w:p w14:paraId="33021B51" w14:textId="38840462" w:rsidR="00DF4C05" w:rsidRPr="0047286B" w:rsidRDefault="00794ACE" w:rsidP="00CA6554">
      <w:pPr>
        <w:pStyle w:val="Przypisy"/>
        <w:rPr>
          <w:sz w:val="16"/>
          <w:szCs w:val="16"/>
        </w:rPr>
      </w:pPr>
      <w:r w:rsidRPr="0047286B">
        <w:rPr>
          <w:sz w:val="16"/>
          <w:szCs w:val="16"/>
        </w:rPr>
        <w:t xml:space="preserve">Wyszczególnienie dla sektora „energii” </w:t>
      </w:r>
      <w:r w:rsidR="000C4B0C" w:rsidRPr="0047286B">
        <w:rPr>
          <w:sz w:val="16"/>
          <w:szCs w:val="16"/>
        </w:rPr>
        <w:t>w tabeli odnosi się do następujących kategorii</w:t>
      </w:r>
      <w:r w:rsidR="00DF4C05" w:rsidRPr="0047286B">
        <w:rPr>
          <w:sz w:val="16"/>
          <w:szCs w:val="16"/>
        </w:rPr>
        <w:t>:</w:t>
      </w:r>
      <w:r w:rsidR="008617C8" w:rsidRPr="0047286B">
        <w:rPr>
          <w:sz w:val="16"/>
          <w:szCs w:val="16"/>
        </w:rPr>
        <w:t xml:space="preserve"> elektrownie i</w:t>
      </w:r>
      <w:r w:rsidR="00725682" w:rsidRPr="0047286B">
        <w:rPr>
          <w:sz w:val="16"/>
          <w:szCs w:val="16"/>
        </w:rPr>
        <w:t> </w:t>
      </w:r>
      <w:r w:rsidR="008617C8" w:rsidRPr="0047286B">
        <w:rPr>
          <w:sz w:val="16"/>
          <w:szCs w:val="16"/>
        </w:rPr>
        <w:t>elektrociepłownie</w:t>
      </w:r>
      <w:r w:rsidR="00DF4C05" w:rsidRPr="0047286B">
        <w:rPr>
          <w:sz w:val="16"/>
          <w:szCs w:val="16"/>
        </w:rPr>
        <w:t xml:space="preserve"> – 1A1aii</w:t>
      </w:r>
      <w:r w:rsidR="008617C8" w:rsidRPr="0047286B">
        <w:rPr>
          <w:sz w:val="16"/>
          <w:szCs w:val="16"/>
        </w:rPr>
        <w:t>; ciepłownie</w:t>
      </w:r>
      <w:r w:rsidR="00DF4C05" w:rsidRPr="0047286B">
        <w:rPr>
          <w:sz w:val="16"/>
          <w:szCs w:val="16"/>
        </w:rPr>
        <w:t xml:space="preserve"> – 1A1aiii</w:t>
      </w:r>
      <w:r w:rsidR="008617C8" w:rsidRPr="0047286B">
        <w:rPr>
          <w:sz w:val="16"/>
          <w:szCs w:val="16"/>
        </w:rPr>
        <w:t>; przemysł wytwórczy</w:t>
      </w:r>
      <w:r w:rsidR="00DF4C05" w:rsidRPr="0047286B">
        <w:rPr>
          <w:sz w:val="16"/>
          <w:szCs w:val="16"/>
        </w:rPr>
        <w:t xml:space="preserve"> – 1A2</w:t>
      </w:r>
      <w:r w:rsidR="008617C8" w:rsidRPr="0047286B">
        <w:rPr>
          <w:sz w:val="16"/>
          <w:szCs w:val="16"/>
        </w:rPr>
        <w:t>; transport</w:t>
      </w:r>
      <w:r w:rsidR="00DF4C05" w:rsidRPr="0047286B">
        <w:rPr>
          <w:sz w:val="16"/>
          <w:szCs w:val="16"/>
        </w:rPr>
        <w:t xml:space="preserve"> – 1A3</w:t>
      </w:r>
      <w:r w:rsidR="008617C8" w:rsidRPr="0047286B">
        <w:rPr>
          <w:sz w:val="16"/>
          <w:szCs w:val="16"/>
        </w:rPr>
        <w:t>; gospodarstwa domowe</w:t>
      </w:r>
      <w:r w:rsidR="00DF4C05" w:rsidRPr="0047286B">
        <w:rPr>
          <w:sz w:val="16"/>
          <w:szCs w:val="16"/>
        </w:rPr>
        <w:t xml:space="preserve"> – 1A4b; </w:t>
      </w:r>
      <w:r w:rsidR="008617C8" w:rsidRPr="0047286B">
        <w:rPr>
          <w:sz w:val="16"/>
          <w:szCs w:val="16"/>
        </w:rPr>
        <w:t>spalanie paliw w</w:t>
      </w:r>
      <w:r w:rsidR="00DF4C05" w:rsidRPr="0047286B">
        <w:rPr>
          <w:sz w:val="16"/>
          <w:szCs w:val="16"/>
        </w:rPr>
        <w:t> </w:t>
      </w:r>
      <w:r w:rsidR="008617C8" w:rsidRPr="0047286B">
        <w:rPr>
          <w:sz w:val="16"/>
          <w:szCs w:val="16"/>
        </w:rPr>
        <w:t>pozostałych sektorach</w:t>
      </w:r>
      <w:r w:rsidR="00DF4C05" w:rsidRPr="0047286B">
        <w:rPr>
          <w:sz w:val="16"/>
          <w:szCs w:val="16"/>
        </w:rPr>
        <w:t xml:space="preserve">, tj. w rafineriach </w:t>
      </w:r>
      <w:r w:rsidR="00DF4C05" w:rsidRPr="0047286B">
        <w:rPr>
          <w:sz w:val="16"/>
          <w:szCs w:val="16"/>
        </w:rPr>
        <w:softHyphen/>
        <w:t>– 1A1b; innych przemysłach energetycznych – 1A1c; handlu, usługach, instytucjach – 1A4a, w rolnictwie, leśnictwie, rybołówstwie – 1A1c</w:t>
      </w:r>
      <w:r w:rsidR="008617C8" w:rsidRPr="0047286B">
        <w:rPr>
          <w:sz w:val="16"/>
          <w:szCs w:val="16"/>
        </w:rPr>
        <w:t>; 1B</w:t>
      </w:r>
      <w:r w:rsidR="00725682" w:rsidRPr="0047286B">
        <w:rPr>
          <w:sz w:val="16"/>
          <w:szCs w:val="16"/>
        </w:rPr>
        <w:t> </w:t>
      </w:r>
      <w:r w:rsidR="00DF4C05" w:rsidRPr="0047286B">
        <w:rPr>
          <w:sz w:val="16"/>
          <w:szCs w:val="16"/>
        </w:rPr>
        <w:t>–</w:t>
      </w:r>
      <w:r w:rsidR="00725682" w:rsidRPr="0047286B">
        <w:rPr>
          <w:sz w:val="16"/>
          <w:szCs w:val="16"/>
        </w:rPr>
        <w:t> </w:t>
      </w:r>
      <w:r w:rsidR="008617C8" w:rsidRPr="0047286B">
        <w:rPr>
          <w:sz w:val="16"/>
          <w:szCs w:val="16"/>
        </w:rPr>
        <w:t>emisja lotna z paliw</w:t>
      </w:r>
      <w:r w:rsidR="00DF4C05" w:rsidRPr="0047286B">
        <w:rPr>
          <w:sz w:val="16"/>
          <w:szCs w:val="16"/>
        </w:rPr>
        <w:t>.</w:t>
      </w:r>
    </w:p>
    <w:p w14:paraId="7D654D1D" w14:textId="248B0860" w:rsidR="008617C8" w:rsidRPr="0047286B" w:rsidRDefault="00B53E8D" w:rsidP="00750F85">
      <w:pPr>
        <w:pStyle w:val="Przypisy"/>
        <w:rPr>
          <w:sz w:val="16"/>
          <w:szCs w:val="16"/>
          <w:lang w:eastAsia="pl-PL"/>
        </w:rPr>
      </w:pPr>
      <w:r w:rsidRPr="0047286B">
        <w:rPr>
          <w:sz w:val="16"/>
          <w:szCs w:val="16"/>
          <w:lang w:eastAsia="pl-PL"/>
        </w:rPr>
        <w:t>Sektor „p</w:t>
      </w:r>
      <w:r w:rsidR="003E3D7C" w:rsidRPr="0047286B">
        <w:rPr>
          <w:sz w:val="16"/>
          <w:szCs w:val="16"/>
          <w:lang w:eastAsia="pl-PL"/>
        </w:rPr>
        <w:t>rocesy przemysłowe i</w:t>
      </w:r>
      <w:r w:rsidR="00F00E2B" w:rsidRPr="0047286B">
        <w:rPr>
          <w:sz w:val="16"/>
          <w:szCs w:val="16"/>
          <w:lang w:eastAsia="pl-PL"/>
        </w:rPr>
        <w:t xml:space="preserve"> </w:t>
      </w:r>
      <w:r w:rsidR="003E3D7C" w:rsidRPr="0047286B">
        <w:rPr>
          <w:sz w:val="16"/>
          <w:szCs w:val="16"/>
          <w:lang w:eastAsia="pl-PL"/>
        </w:rPr>
        <w:t>użytkowanie produktów</w:t>
      </w:r>
      <w:r w:rsidRPr="0047286B">
        <w:rPr>
          <w:sz w:val="16"/>
          <w:szCs w:val="16"/>
          <w:lang w:eastAsia="pl-PL"/>
        </w:rPr>
        <w:t>”</w:t>
      </w:r>
      <w:r w:rsidR="003E3D7C" w:rsidRPr="0047286B">
        <w:rPr>
          <w:sz w:val="16"/>
          <w:szCs w:val="16"/>
          <w:lang w:eastAsia="pl-PL"/>
        </w:rPr>
        <w:t xml:space="preserve"> </w:t>
      </w:r>
      <w:r w:rsidRPr="0047286B">
        <w:rPr>
          <w:sz w:val="16"/>
          <w:szCs w:val="16"/>
          <w:lang w:eastAsia="pl-PL"/>
        </w:rPr>
        <w:t>obejmuje emisje towarzyszące procesom produkcji</w:t>
      </w:r>
      <w:r w:rsidR="003E3D7C" w:rsidRPr="0047286B">
        <w:rPr>
          <w:sz w:val="16"/>
          <w:szCs w:val="16"/>
          <w:lang w:eastAsia="pl-PL"/>
        </w:rPr>
        <w:t xml:space="preserve"> produkt</w:t>
      </w:r>
      <w:r w:rsidRPr="0047286B">
        <w:rPr>
          <w:sz w:val="16"/>
          <w:szCs w:val="16"/>
          <w:lang w:eastAsia="pl-PL"/>
        </w:rPr>
        <w:t>ów</w:t>
      </w:r>
      <w:r w:rsidR="003E3D7C" w:rsidRPr="0047286B">
        <w:rPr>
          <w:sz w:val="16"/>
          <w:szCs w:val="16"/>
          <w:lang w:eastAsia="pl-PL"/>
        </w:rPr>
        <w:t xml:space="preserve"> mineraln</w:t>
      </w:r>
      <w:r w:rsidRPr="0047286B">
        <w:rPr>
          <w:sz w:val="16"/>
          <w:szCs w:val="16"/>
          <w:lang w:eastAsia="pl-PL"/>
        </w:rPr>
        <w:t>ych</w:t>
      </w:r>
      <w:r w:rsidR="003E3D7C" w:rsidRPr="0047286B">
        <w:rPr>
          <w:sz w:val="16"/>
          <w:szCs w:val="16"/>
          <w:lang w:eastAsia="pl-PL"/>
        </w:rPr>
        <w:t>,</w:t>
      </w:r>
      <w:r w:rsidRPr="0047286B">
        <w:rPr>
          <w:sz w:val="16"/>
          <w:szCs w:val="16"/>
          <w:lang w:eastAsia="pl-PL"/>
        </w:rPr>
        <w:t xml:space="preserve"> w</w:t>
      </w:r>
      <w:r w:rsidR="003E3D7C" w:rsidRPr="0047286B">
        <w:rPr>
          <w:sz w:val="16"/>
          <w:szCs w:val="16"/>
          <w:lang w:eastAsia="pl-PL"/>
        </w:rPr>
        <w:t xml:space="preserve"> przemy</w:t>
      </w:r>
      <w:r w:rsidRPr="0047286B">
        <w:rPr>
          <w:sz w:val="16"/>
          <w:szCs w:val="16"/>
          <w:lang w:eastAsia="pl-PL"/>
        </w:rPr>
        <w:t>śle</w:t>
      </w:r>
      <w:r w:rsidR="003E3D7C" w:rsidRPr="0047286B">
        <w:rPr>
          <w:sz w:val="16"/>
          <w:szCs w:val="16"/>
          <w:lang w:eastAsia="pl-PL"/>
        </w:rPr>
        <w:t xml:space="preserve"> chemiczny</w:t>
      </w:r>
      <w:r w:rsidRPr="0047286B">
        <w:rPr>
          <w:sz w:val="16"/>
          <w:szCs w:val="16"/>
          <w:lang w:eastAsia="pl-PL"/>
        </w:rPr>
        <w:t>m</w:t>
      </w:r>
      <w:r w:rsidR="003E3D7C" w:rsidRPr="0047286B">
        <w:rPr>
          <w:sz w:val="16"/>
          <w:szCs w:val="16"/>
          <w:lang w:eastAsia="pl-PL"/>
        </w:rPr>
        <w:t xml:space="preserve">, </w:t>
      </w:r>
      <w:r w:rsidRPr="0047286B">
        <w:rPr>
          <w:sz w:val="16"/>
          <w:szCs w:val="16"/>
          <w:lang w:eastAsia="pl-PL"/>
        </w:rPr>
        <w:t xml:space="preserve">w </w:t>
      </w:r>
      <w:r w:rsidR="003E3D7C" w:rsidRPr="0047286B">
        <w:rPr>
          <w:sz w:val="16"/>
          <w:szCs w:val="16"/>
          <w:lang w:eastAsia="pl-PL"/>
        </w:rPr>
        <w:t>produkcja metali</w:t>
      </w:r>
      <w:r w:rsidRPr="0047286B">
        <w:rPr>
          <w:sz w:val="16"/>
          <w:szCs w:val="16"/>
          <w:lang w:eastAsia="pl-PL"/>
        </w:rPr>
        <w:t>. Emisje w tej kategorii obejmują emisje z</w:t>
      </w:r>
      <w:r w:rsidR="00F00E2B" w:rsidRPr="0047286B">
        <w:rPr>
          <w:sz w:val="16"/>
          <w:szCs w:val="16"/>
          <w:lang w:eastAsia="pl-PL"/>
        </w:rPr>
        <w:t> </w:t>
      </w:r>
      <w:r w:rsidRPr="0047286B">
        <w:rPr>
          <w:sz w:val="16"/>
          <w:szCs w:val="16"/>
          <w:lang w:eastAsia="pl-PL"/>
        </w:rPr>
        <w:t>procesów, ale nie emisje ze spalania paliw na potrzeby wytworzenia energii.</w:t>
      </w:r>
      <w:bookmarkEnd w:id="39"/>
    </w:p>
    <w:p w14:paraId="7353A331" w14:textId="77777777" w:rsidR="003C194F" w:rsidRDefault="00AC61D8" w:rsidP="00750F85">
      <w:pPr>
        <w:pStyle w:val="PaMs"/>
      </w:pPr>
      <w:r w:rsidRPr="00C46DAA">
        <w:t>POLITYK</w:t>
      </w:r>
      <w:r w:rsidR="00E939BE" w:rsidRPr="00C46DAA">
        <w:t>A</w:t>
      </w:r>
    </w:p>
    <w:p w14:paraId="4122C3F2" w14:textId="0D40EDDD" w:rsidR="00E939BE" w:rsidRPr="000E240E" w:rsidRDefault="003C194F" w:rsidP="00AC61D8">
      <w:r>
        <w:t>Do realizacji cel</w:t>
      </w:r>
      <w:r w:rsidR="008F02EE">
        <w:t>u</w:t>
      </w:r>
      <w:r>
        <w:t xml:space="preserve"> przyczyniać się będzie </w:t>
      </w:r>
      <w:r w:rsidRPr="00783334">
        <w:rPr>
          <w:b/>
          <w:bCs/>
        </w:rPr>
        <w:t>p</w:t>
      </w:r>
      <w:r w:rsidR="00AC61D8" w:rsidRPr="00783334">
        <w:rPr>
          <w:b/>
          <w:bCs/>
        </w:rPr>
        <w:t xml:space="preserve">odejmowanie wysiłków </w:t>
      </w:r>
      <w:r w:rsidR="00174C5E" w:rsidRPr="00783334">
        <w:rPr>
          <w:b/>
          <w:bCs/>
        </w:rPr>
        <w:t>dekarbonizacyjnych</w:t>
      </w:r>
      <w:r w:rsidR="00174C5E">
        <w:t xml:space="preserve"> </w:t>
      </w:r>
      <w:r w:rsidR="00AC61D8" w:rsidRPr="00783334">
        <w:rPr>
          <w:b/>
          <w:bCs/>
        </w:rPr>
        <w:t>we wszystkich sektorach gospodarki</w:t>
      </w:r>
      <w:r w:rsidR="00AC61D8" w:rsidRPr="000E240E">
        <w:t xml:space="preserve">, z zachowaniem </w:t>
      </w:r>
      <w:r w:rsidR="00E939BE" w:rsidRPr="000E240E">
        <w:t xml:space="preserve">bezpieczeństwa energetycznego oraz racjonalności </w:t>
      </w:r>
      <w:r w:rsidR="00CE6C29">
        <w:t>inwestowania</w:t>
      </w:r>
      <w:r w:rsidR="00CE6C29" w:rsidRPr="000E240E">
        <w:t xml:space="preserve"> </w:t>
      </w:r>
      <w:r w:rsidR="00E939BE" w:rsidRPr="000E240E">
        <w:t xml:space="preserve">środków i obciążeń dla </w:t>
      </w:r>
      <w:r w:rsidR="0036745E">
        <w:t>społeczeństwa</w:t>
      </w:r>
      <w:r w:rsidR="00E939BE" w:rsidRPr="000E240E">
        <w:t xml:space="preserve"> </w:t>
      </w:r>
      <w:r w:rsidR="00783334">
        <w:t>oraz</w:t>
      </w:r>
      <w:r w:rsidR="00E939BE" w:rsidRPr="000E240E">
        <w:t xml:space="preserve"> podmiotów gospodarczych. </w:t>
      </w:r>
      <w:r w:rsidR="001537AE">
        <w:t>Z</w:t>
      </w:r>
      <w:r w:rsidR="00F3595D">
        <w:t xml:space="preserve">naczenie będzie mieć także </w:t>
      </w:r>
      <w:r w:rsidR="001537AE">
        <w:t xml:space="preserve">pochłanianie emisji przez sektor </w:t>
      </w:r>
      <w:r w:rsidR="007B6083">
        <w:t>użytkowania gruntów</w:t>
      </w:r>
      <w:r w:rsidR="00CA0AFA">
        <w:t xml:space="preserve"> </w:t>
      </w:r>
      <w:r w:rsidR="007B6083">
        <w:t>i leśnictw</w:t>
      </w:r>
      <w:r w:rsidR="00CA0AFA">
        <w:t>a</w:t>
      </w:r>
      <w:r w:rsidR="00D80890">
        <w:t xml:space="preserve"> (</w:t>
      </w:r>
      <w:r w:rsidR="00AC44CF">
        <w:t>LULUCF</w:t>
      </w:r>
      <w:r w:rsidR="00D80890">
        <w:t>)</w:t>
      </w:r>
      <w:r w:rsidR="00B90F6E">
        <w:t>, a</w:t>
      </w:r>
      <w:r w:rsidR="00161BCE">
        <w:t xml:space="preserve"> </w:t>
      </w:r>
      <w:r w:rsidR="00D80890">
        <w:t>w bardziej odległej przyszłości</w:t>
      </w:r>
      <w:r w:rsidR="00B90F6E">
        <w:t xml:space="preserve"> </w:t>
      </w:r>
      <w:r w:rsidR="00915845">
        <w:t xml:space="preserve">być może </w:t>
      </w:r>
      <w:r w:rsidR="00622BD5">
        <w:t xml:space="preserve">również </w:t>
      </w:r>
      <w:r w:rsidR="00161BCE">
        <w:t xml:space="preserve">rozwiązania </w:t>
      </w:r>
      <w:r w:rsidR="00DA7C59">
        <w:t xml:space="preserve">wychwytujące </w:t>
      </w:r>
      <w:r w:rsidR="00161BCE">
        <w:t>emisje</w:t>
      </w:r>
      <w:r w:rsidR="00B90F6E">
        <w:t xml:space="preserve"> </w:t>
      </w:r>
      <w:r w:rsidR="00622BD5">
        <w:t>bezpośrednio z powietrza</w:t>
      </w:r>
      <w:r w:rsidR="00DC6D48">
        <w:t xml:space="preserve"> </w:t>
      </w:r>
      <w:r w:rsidR="001F77EB" w:rsidRPr="001F77EB">
        <w:t xml:space="preserve">(DACCS, ang. </w:t>
      </w:r>
      <w:r w:rsidR="001F77EB" w:rsidRPr="00DC6D48">
        <w:rPr>
          <w:i/>
          <w:iCs/>
        </w:rPr>
        <w:t>direct air capture with capture and storage</w:t>
      </w:r>
      <w:r w:rsidR="001F77EB" w:rsidRPr="001F77EB">
        <w:t>)</w:t>
      </w:r>
      <w:r w:rsidR="00161BCE">
        <w:t>.</w:t>
      </w:r>
    </w:p>
    <w:p w14:paraId="7EBC107B" w14:textId="33E6D53E" w:rsidR="00AC61D8" w:rsidRPr="00AC61D8" w:rsidRDefault="00F82708" w:rsidP="00AC61D8">
      <w:pPr>
        <w:rPr>
          <w:i/>
          <w:iCs/>
        </w:rPr>
      </w:pPr>
      <w:r>
        <w:rPr>
          <w:i/>
          <w:iCs/>
        </w:rPr>
        <w:t xml:space="preserve">Uszczegółowienie ww. kwestii stanowią polityki </w:t>
      </w:r>
      <w:r w:rsidR="00E939BE">
        <w:rPr>
          <w:i/>
          <w:iCs/>
        </w:rPr>
        <w:t xml:space="preserve">i działania wskazane przy kolejnych celach </w:t>
      </w:r>
      <w:r w:rsidR="00783334">
        <w:rPr>
          <w:i/>
          <w:iCs/>
        </w:rPr>
        <w:t>dotyczących sektorów gospodarki</w:t>
      </w:r>
      <w:r w:rsidR="00E939BE">
        <w:rPr>
          <w:i/>
          <w:iCs/>
        </w:rPr>
        <w:t>.</w:t>
      </w:r>
      <w:r w:rsidR="00AC61D8">
        <w:rPr>
          <w:i/>
          <w:iCs/>
        </w:rPr>
        <w:t xml:space="preserve"> </w:t>
      </w:r>
    </w:p>
    <w:p w14:paraId="6B8883A3" w14:textId="5C9FBF9C" w:rsidR="00AC61D8" w:rsidRPr="00C46DAA" w:rsidRDefault="00AC61D8" w:rsidP="00313DE1">
      <w:pPr>
        <w:pStyle w:val="PaMs"/>
      </w:pPr>
      <w:r w:rsidRPr="00C46DAA">
        <w:lastRenderedPageBreak/>
        <w:t>DZIAŁANIA:</w:t>
      </w:r>
    </w:p>
    <w:p w14:paraId="1A074976" w14:textId="213697DD" w:rsidR="00AC61D8" w:rsidRDefault="00E939BE" w:rsidP="00AC61D8">
      <w:pPr>
        <w:rPr>
          <w:i/>
          <w:iCs/>
        </w:rPr>
      </w:pPr>
      <w:r>
        <w:rPr>
          <w:i/>
          <w:iCs/>
        </w:rPr>
        <w:t xml:space="preserve">Do realizacji celu ogólnego przyczyniać się będą działania wskazane przy kolejnych celach szczegółowych, odnoszących się </w:t>
      </w:r>
      <w:r w:rsidR="00783334">
        <w:rPr>
          <w:i/>
          <w:iCs/>
        </w:rPr>
        <w:t xml:space="preserve">do </w:t>
      </w:r>
      <w:r>
        <w:rPr>
          <w:i/>
          <w:iCs/>
        </w:rPr>
        <w:t>właściwych sektorów</w:t>
      </w:r>
      <w:r w:rsidR="00575331">
        <w:rPr>
          <w:i/>
          <w:iCs/>
        </w:rPr>
        <w:t>.</w:t>
      </w:r>
    </w:p>
    <w:p w14:paraId="3B87F19B" w14:textId="19BF47F9" w:rsidR="001D6A7F" w:rsidRPr="00AB61AA" w:rsidRDefault="005A0EA7" w:rsidP="00AB61AA">
      <w:pPr>
        <w:pStyle w:val="Nagwek4"/>
        <w:rPr>
          <w:color w:val="70AD47" w:themeColor="accent6"/>
        </w:rPr>
      </w:pPr>
      <w:bookmarkStart w:id="40" w:name="_Toc159598286"/>
      <w:bookmarkStart w:id="41" w:name="_Ref173840260"/>
      <w:bookmarkStart w:id="42" w:name="_Ref188360950"/>
      <w:bookmarkStart w:id="43" w:name="_Ref188360954"/>
      <w:bookmarkStart w:id="44" w:name="_Ref188369114"/>
      <w:bookmarkStart w:id="45" w:name="_Toc195897182"/>
      <w:bookmarkStart w:id="46" w:name="_Toc205203158"/>
      <w:r>
        <w:rPr>
          <w:color w:val="70AD47" w:themeColor="accent6"/>
        </w:rPr>
        <w:t>O</w:t>
      </w:r>
      <w:r w:rsidR="001C4F5B" w:rsidRPr="00AB61AA">
        <w:rPr>
          <w:color w:val="70AD47" w:themeColor="accent6"/>
        </w:rPr>
        <w:t>granicz</w:t>
      </w:r>
      <w:r>
        <w:rPr>
          <w:color w:val="70AD47" w:themeColor="accent6"/>
        </w:rPr>
        <w:t>anie</w:t>
      </w:r>
      <w:r w:rsidR="001C4F5B" w:rsidRPr="00AB61AA">
        <w:rPr>
          <w:color w:val="70AD47" w:themeColor="accent6"/>
        </w:rPr>
        <w:t xml:space="preserve"> </w:t>
      </w:r>
      <w:r w:rsidR="001D6A7F" w:rsidRPr="00AB61AA">
        <w:rPr>
          <w:color w:val="70AD47" w:themeColor="accent6"/>
        </w:rPr>
        <w:t>emisji gazów cieplarnianych</w:t>
      </w:r>
      <w:r w:rsidR="001C4F5B" w:rsidRPr="00AB61AA">
        <w:rPr>
          <w:color w:val="70AD47" w:themeColor="accent6"/>
        </w:rPr>
        <w:t xml:space="preserve"> </w:t>
      </w:r>
      <w:r w:rsidR="009F4788">
        <w:rPr>
          <w:color w:val="70AD47" w:themeColor="accent6"/>
        </w:rPr>
        <w:t>w</w:t>
      </w:r>
      <w:r>
        <w:rPr>
          <w:color w:val="70AD47" w:themeColor="accent6"/>
        </w:rPr>
        <w:t> </w:t>
      </w:r>
      <w:r w:rsidR="009F4788">
        <w:rPr>
          <w:color w:val="70AD47" w:themeColor="accent6"/>
        </w:rPr>
        <w:t>sektorach</w:t>
      </w:r>
      <w:r w:rsidR="008B71F5">
        <w:rPr>
          <w:color w:val="70AD47" w:themeColor="accent6"/>
        </w:rPr>
        <w:t xml:space="preserve"> non-ETS</w:t>
      </w:r>
      <w:r w:rsidR="001E75C1">
        <w:rPr>
          <w:color w:val="70AD47" w:themeColor="accent6"/>
        </w:rPr>
        <w:t xml:space="preserve"> (ES</w:t>
      </w:r>
      <w:r w:rsidR="00FE3A61">
        <w:rPr>
          <w:color w:val="70AD47" w:themeColor="accent6"/>
        </w:rPr>
        <w:t>R</w:t>
      </w:r>
      <w:r w:rsidR="001E75C1">
        <w:rPr>
          <w:color w:val="70AD47" w:themeColor="accent6"/>
        </w:rPr>
        <w:t>)</w:t>
      </w:r>
      <w:r w:rsidR="009F4788">
        <w:rPr>
          <w:color w:val="70AD47" w:themeColor="accent6"/>
        </w:rPr>
        <w:t xml:space="preserve"> i </w:t>
      </w:r>
      <w:r w:rsidR="00287862">
        <w:rPr>
          <w:color w:val="70AD47" w:themeColor="accent6"/>
        </w:rPr>
        <w:t>szacowana</w:t>
      </w:r>
      <w:r w:rsidR="009F4788">
        <w:rPr>
          <w:color w:val="70AD47" w:themeColor="accent6"/>
        </w:rPr>
        <w:t xml:space="preserve"> redukcja w sektorach ETS</w:t>
      </w:r>
      <w:bookmarkEnd w:id="40"/>
      <w:bookmarkEnd w:id="41"/>
      <w:bookmarkEnd w:id="42"/>
      <w:bookmarkEnd w:id="43"/>
      <w:bookmarkEnd w:id="44"/>
      <w:bookmarkEnd w:id="45"/>
      <w:bookmarkEnd w:id="46"/>
    </w:p>
    <w:p w14:paraId="37CE01E1" w14:textId="713BB055" w:rsidR="006B2A65" w:rsidRDefault="005D0228" w:rsidP="00F40D7B">
      <w:pPr>
        <w:rPr>
          <w:rFonts w:cs="Calibri"/>
          <w:bCs/>
        </w:rPr>
      </w:pPr>
      <w:r>
        <w:rPr>
          <w:rFonts w:cs="Calibri"/>
          <w:bCs/>
        </w:rPr>
        <w:t>U</w:t>
      </w:r>
      <w:r w:rsidR="001E75C1">
        <w:rPr>
          <w:rFonts w:cs="Calibri"/>
          <w:bCs/>
        </w:rPr>
        <w:t xml:space="preserve">nijna </w:t>
      </w:r>
      <w:r>
        <w:rPr>
          <w:rFonts w:cs="Calibri"/>
          <w:bCs/>
        </w:rPr>
        <w:t xml:space="preserve">polityka </w:t>
      </w:r>
      <w:r w:rsidR="001E75C1">
        <w:rPr>
          <w:rFonts w:cs="Calibri"/>
          <w:bCs/>
        </w:rPr>
        <w:t xml:space="preserve">w zakresie obniżania </w:t>
      </w:r>
      <w:r>
        <w:rPr>
          <w:rFonts w:cs="Calibri"/>
          <w:bCs/>
        </w:rPr>
        <w:t xml:space="preserve">poziomu emisji </w:t>
      </w:r>
      <w:r w:rsidR="00AD0FB0">
        <w:rPr>
          <w:rFonts w:cs="Calibri"/>
          <w:bCs/>
        </w:rPr>
        <w:t>GHG</w:t>
      </w:r>
      <w:r>
        <w:rPr>
          <w:rFonts w:cs="Calibri"/>
          <w:bCs/>
        </w:rPr>
        <w:t xml:space="preserve"> </w:t>
      </w:r>
      <w:r w:rsidR="001E75C1">
        <w:rPr>
          <w:rFonts w:cs="Calibri"/>
          <w:bCs/>
        </w:rPr>
        <w:t>różni się w zależności od sektorów. Sektor</w:t>
      </w:r>
      <w:r w:rsidR="00A55765">
        <w:rPr>
          <w:rFonts w:cs="Calibri"/>
          <w:bCs/>
        </w:rPr>
        <w:t>y</w:t>
      </w:r>
      <w:r w:rsidR="001E75C1">
        <w:rPr>
          <w:rFonts w:cs="Calibri"/>
          <w:bCs/>
        </w:rPr>
        <w:t xml:space="preserve"> energ</w:t>
      </w:r>
      <w:r w:rsidR="001473F6">
        <w:rPr>
          <w:rFonts w:cs="Calibri"/>
          <w:bCs/>
        </w:rPr>
        <w:t>etyki</w:t>
      </w:r>
      <w:r w:rsidR="00B21AD3">
        <w:rPr>
          <w:rFonts w:cs="Calibri"/>
          <w:bCs/>
        </w:rPr>
        <w:t xml:space="preserve"> (elektroenergetyki i ciepłownictwa)</w:t>
      </w:r>
      <w:r w:rsidR="001E75C1">
        <w:rPr>
          <w:rFonts w:cs="Calibri"/>
          <w:bCs/>
        </w:rPr>
        <w:t xml:space="preserve">, przemysłu energochłonnego i lotnictwo </w:t>
      </w:r>
      <w:r w:rsidR="006B2A65">
        <w:rPr>
          <w:rFonts w:cs="Calibri"/>
          <w:bCs/>
        </w:rPr>
        <w:t xml:space="preserve">objęte są </w:t>
      </w:r>
      <w:r w:rsidR="001E75C1" w:rsidRPr="00B5086C">
        <w:t>europejski</w:t>
      </w:r>
      <w:r w:rsidR="006B2A65">
        <w:t>m</w:t>
      </w:r>
      <w:r w:rsidR="001E75C1">
        <w:rPr>
          <w:rFonts w:cs="Calibri"/>
          <w:bCs/>
        </w:rPr>
        <w:t xml:space="preserve"> system</w:t>
      </w:r>
      <w:r>
        <w:rPr>
          <w:rFonts w:cs="Calibri"/>
          <w:bCs/>
        </w:rPr>
        <w:t>em</w:t>
      </w:r>
      <w:r w:rsidR="001E75C1">
        <w:rPr>
          <w:rFonts w:cs="Calibri"/>
          <w:bCs/>
        </w:rPr>
        <w:t xml:space="preserve"> handlu uprawnie</w:t>
      </w:r>
      <w:r>
        <w:rPr>
          <w:rFonts w:cs="Calibri"/>
          <w:bCs/>
        </w:rPr>
        <w:t>niami</w:t>
      </w:r>
      <w:r w:rsidR="001E75C1">
        <w:rPr>
          <w:rFonts w:cs="Calibri"/>
          <w:bCs/>
        </w:rPr>
        <w:t xml:space="preserve"> do emisji </w:t>
      </w:r>
      <w:r w:rsidR="001E75C1">
        <w:t xml:space="preserve">– </w:t>
      </w:r>
      <w:r w:rsidR="001E75C1" w:rsidRPr="00783334">
        <w:rPr>
          <w:rFonts w:cs="Calibri"/>
          <w:bCs/>
        </w:rPr>
        <w:t>EU ETS</w:t>
      </w:r>
      <w:r w:rsidR="00D86C2F" w:rsidRPr="00783334">
        <w:rPr>
          <w:rFonts w:cs="Calibri"/>
          <w:bCs/>
        </w:rPr>
        <w:t xml:space="preserve">, </w:t>
      </w:r>
      <w:r w:rsidR="00E579D6">
        <w:rPr>
          <w:rFonts w:cs="Calibri"/>
          <w:bCs/>
        </w:rPr>
        <w:t>przy czym</w:t>
      </w:r>
      <w:r w:rsidR="00D86C2F" w:rsidRPr="00783334">
        <w:rPr>
          <w:rFonts w:cs="Calibri"/>
          <w:bCs/>
        </w:rPr>
        <w:t xml:space="preserve"> odpowiadają</w:t>
      </w:r>
      <w:r w:rsidR="00D86C2F">
        <w:rPr>
          <w:rFonts w:cs="Calibri"/>
          <w:bCs/>
        </w:rPr>
        <w:t xml:space="preserve"> za około połowę emisji </w:t>
      </w:r>
      <w:r w:rsidR="00AD0FB0">
        <w:rPr>
          <w:rFonts w:cs="Calibri"/>
          <w:bCs/>
        </w:rPr>
        <w:t>GHG</w:t>
      </w:r>
      <w:r w:rsidR="00D86C2F">
        <w:rPr>
          <w:rFonts w:cs="Calibri"/>
          <w:bCs/>
        </w:rPr>
        <w:t xml:space="preserve"> w</w:t>
      </w:r>
      <w:r w:rsidR="00E579D6">
        <w:rPr>
          <w:rFonts w:cs="Calibri"/>
          <w:bCs/>
        </w:rPr>
        <w:t> </w:t>
      </w:r>
      <w:r w:rsidR="00D86C2F">
        <w:rPr>
          <w:rFonts w:cs="Calibri"/>
          <w:bCs/>
        </w:rPr>
        <w:t>Polsce</w:t>
      </w:r>
      <w:r w:rsidR="001E75C1">
        <w:rPr>
          <w:rFonts w:cs="Calibri"/>
          <w:bCs/>
        </w:rPr>
        <w:t xml:space="preserve">. </w:t>
      </w:r>
      <w:r w:rsidR="00FE3A61" w:rsidRPr="00FE3A61">
        <w:rPr>
          <w:rFonts w:cs="Calibri"/>
          <w:b/>
        </w:rPr>
        <w:t>E</w:t>
      </w:r>
      <w:r w:rsidR="001E75C1" w:rsidRPr="00FE3A61">
        <w:rPr>
          <w:rFonts w:cs="Calibri"/>
          <w:b/>
        </w:rPr>
        <w:t>misj</w:t>
      </w:r>
      <w:r w:rsidR="00FE3A61" w:rsidRPr="00FE3A61">
        <w:rPr>
          <w:rFonts w:cs="Calibri"/>
          <w:b/>
        </w:rPr>
        <w:t>e</w:t>
      </w:r>
      <w:r w:rsidR="001E75C1" w:rsidRPr="006D1B23">
        <w:rPr>
          <w:rFonts w:cs="Calibri"/>
          <w:b/>
        </w:rPr>
        <w:t xml:space="preserve"> </w:t>
      </w:r>
      <w:r w:rsidR="006B2A65" w:rsidRPr="006D1B23">
        <w:rPr>
          <w:rFonts w:cs="Calibri"/>
          <w:b/>
        </w:rPr>
        <w:t>z </w:t>
      </w:r>
      <w:r w:rsidR="00F40D7B" w:rsidRPr="006D1B23">
        <w:rPr>
          <w:rFonts w:cs="Calibri"/>
          <w:b/>
        </w:rPr>
        <w:t>sektor</w:t>
      </w:r>
      <w:r w:rsidR="006B2A65" w:rsidRPr="006D1B23">
        <w:rPr>
          <w:rFonts w:cs="Calibri"/>
          <w:b/>
        </w:rPr>
        <w:t>ów</w:t>
      </w:r>
      <w:r w:rsidR="00F40D7B" w:rsidRPr="006D1B23">
        <w:rPr>
          <w:rFonts w:cs="Calibri"/>
          <w:b/>
        </w:rPr>
        <w:t xml:space="preserve"> </w:t>
      </w:r>
      <w:r w:rsidR="00D86C2F" w:rsidRPr="006D1B23">
        <w:rPr>
          <w:rFonts w:cs="Calibri"/>
          <w:b/>
        </w:rPr>
        <w:t xml:space="preserve">EU ETS </w:t>
      </w:r>
      <w:r w:rsidR="00FE3A61">
        <w:rPr>
          <w:rFonts w:cs="Calibri"/>
          <w:b/>
        </w:rPr>
        <w:t>powinny</w:t>
      </w:r>
      <w:r w:rsidR="006B2A65" w:rsidRPr="006D1B23">
        <w:rPr>
          <w:rFonts w:cs="Calibri"/>
          <w:b/>
        </w:rPr>
        <w:t xml:space="preserve"> być </w:t>
      </w:r>
      <w:r w:rsidR="00FE3A61">
        <w:rPr>
          <w:rFonts w:cs="Calibri"/>
          <w:b/>
        </w:rPr>
        <w:t>w</w:t>
      </w:r>
      <w:r w:rsidR="006B2A65" w:rsidRPr="006D1B23">
        <w:rPr>
          <w:rFonts w:cs="Calibri"/>
          <w:b/>
        </w:rPr>
        <w:t xml:space="preserve"> UE niższ</w:t>
      </w:r>
      <w:r w:rsidR="00FE3A61">
        <w:rPr>
          <w:rFonts w:cs="Calibri"/>
          <w:b/>
        </w:rPr>
        <w:t>e</w:t>
      </w:r>
      <w:r w:rsidR="006B2A65" w:rsidRPr="006D1B23">
        <w:rPr>
          <w:rFonts w:cs="Calibri"/>
          <w:b/>
        </w:rPr>
        <w:t xml:space="preserve"> o 6</w:t>
      </w:r>
      <w:r w:rsidR="006D1B23" w:rsidRPr="006D1B23">
        <w:rPr>
          <w:rFonts w:cs="Calibri"/>
          <w:b/>
        </w:rPr>
        <w:t>2</w:t>
      </w:r>
      <w:r w:rsidR="006B2A65" w:rsidRPr="006D1B23">
        <w:rPr>
          <w:rFonts w:cs="Calibri"/>
          <w:b/>
        </w:rPr>
        <w:t>%</w:t>
      </w:r>
      <w:r w:rsidR="006B2A65">
        <w:rPr>
          <w:rFonts w:cs="Calibri"/>
          <w:bCs/>
        </w:rPr>
        <w:t xml:space="preserve"> </w:t>
      </w:r>
      <w:r w:rsidR="006B2A65" w:rsidRPr="006D1B23">
        <w:rPr>
          <w:rFonts w:cs="Calibri"/>
          <w:b/>
        </w:rPr>
        <w:t>niż w 2005 r.</w:t>
      </w:r>
      <w:r w:rsidR="006B2A65">
        <w:rPr>
          <w:rFonts w:cs="Calibri"/>
          <w:bCs/>
        </w:rPr>
        <w:t xml:space="preserve"> (</w:t>
      </w:r>
      <w:r>
        <w:rPr>
          <w:rFonts w:cs="Calibri"/>
          <w:bCs/>
        </w:rPr>
        <w:t xml:space="preserve">poprzednio </w:t>
      </w:r>
      <w:r w:rsidR="006B2A65">
        <w:rPr>
          <w:rFonts w:cs="Calibri"/>
          <w:bCs/>
        </w:rPr>
        <w:t>43%)</w:t>
      </w:r>
      <w:r w:rsidR="000A5A45">
        <w:rPr>
          <w:rFonts w:cs="Calibri"/>
          <w:bCs/>
        </w:rPr>
        <w:t xml:space="preserve">, </w:t>
      </w:r>
      <w:r w:rsidR="00D84AAA">
        <w:rPr>
          <w:rFonts w:cs="Calibri"/>
          <w:bCs/>
        </w:rPr>
        <w:t>do</w:t>
      </w:r>
      <w:r w:rsidR="00FE3A61">
        <w:rPr>
          <w:rFonts w:cs="Calibri"/>
          <w:bCs/>
        </w:rPr>
        <w:t> </w:t>
      </w:r>
      <w:r w:rsidR="00D84AAA">
        <w:rPr>
          <w:rFonts w:cs="Calibri"/>
          <w:bCs/>
        </w:rPr>
        <w:t xml:space="preserve">czego ma doprowadzić </w:t>
      </w:r>
      <w:r w:rsidR="00287862">
        <w:rPr>
          <w:rFonts w:cs="Calibri"/>
          <w:bCs/>
        </w:rPr>
        <w:t xml:space="preserve">m.in. </w:t>
      </w:r>
      <w:r w:rsidR="00D84AAA">
        <w:rPr>
          <w:rFonts w:cs="Calibri"/>
          <w:bCs/>
        </w:rPr>
        <w:t>wdrożenie</w:t>
      </w:r>
      <w:r w:rsidR="000A5A45">
        <w:rPr>
          <w:rFonts w:cs="Calibri"/>
          <w:bCs/>
        </w:rPr>
        <w:t xml:space="preserve"> dyrektyw</w:t>
      </w:r>
      <w:r w:rsidR="00D84AAA">
        <w:rPr>
          <w:rFonts w:cs="Calibri"/>
          <w:bCs/>
        </w:rPr>
        <w:t>y</w:t>
      </w:r>
      <w:r w:rsidR="000A5A45">
        <w:rPr>
          <w:rFonts w:cs="Calibri"/>
          <w:bCs/>
        </w:rPr>
        <w:t xml:space="preserve"> </w:t>
      </w:r>
      <w:r w:rsidR="000A5A45">
        <w:t>2023/959</w:t>
      </w:r>
      <w:r w:rsidR="006E3DFB">
        <w:t>/UE</w:t>
      </w:r>
      <w:r>
        <w:t>, zmieniającej dyrektywę 2003/87/WE</w:t>
      </w:r>
      <w:r w:rsidR="000A5A45">
        <w:t xml:space="preserve"> – </w:t>
      </w:r>
      <w:r w:rsidR="007D3270">
        <w:t xml:space="preserve">tj. </w:t>
      </w:r>
      <w:r w:rsidR="000A5A45">
        <w:t>dyrektyw</w:t>
      </w:r>
      <w:r w:rsidR="00287862">
        <w:t>y</w:t>
      </w:r>
      <w:r w:rsidR="000A5A45">
        <w:t xml:space="preserve"> ETS</w:t>
      </w:r>
      <w:r w:rsidR="001473F6">
        <w:rPr>
          <w:rStyle w:val="Odwoanieprzypisudolnego"/>
          <w:rFonts w:cs="Calibri"/>
          <w:bCs/>
        </w:rPr>
        <w:footnoteReference w:id="7"/>
      </w:r>
      <w:r w:rsidR="006B2A65">
        <w:rPr>
          <w:rFonts w:cs="Calibri"/>
          <w:bCs/>
        </w:rPr>
        <w:t>. Nie</w:t>
      </w:r>
      <w:r w:rsidR="000B5BED">
        <w:rPr>
          <w:rFonts w:cs="Calibri"/>
          <w:bCs/>
        </w:rPr>
        <w:t xml:space="preserve"> </w:t>
      </w:r>
      <w:r w:rsidR="006B2A65">
        <w:rPr>
          <w:rFonts w:cs="Calibri"/>
          <w:bCs/>
        </w:rPr>
        <w:t xml:space="preserve">zostały </w:t>
      </w:r>
      <w:r w:rsidR="002E068E">
        <w:rPr>
          <w:rFonts w:cs="Calibri"/>
          <w:bCs/>
        </w:rPr>
        <w:t xml:space="preserve">w niej </w:t>
      </w:r>
      <w:r w:rsidR="006B2A65">
        <w:rPr>
          <w:rFonts w:cs="Calibri"/>
          <w:bCs/>
        </w:rPr>
        <w:t>określone cele dla poszczególnych państw członkowskich UE.</w:t>
      </w:r>
      <w:r w:rsidR="001473F6">
        <w:rPr>
          <w:rFonts w:cs="Calibri"/>
          <w:bCs/>
        </w:rPr>
        <w:t xml:space="preserve"> Polska nie określa wkładu w tym zakresie, lecz podaje szacunkową wartość</w:t>
      </w:r>
      <w:r w:rsidR="00D84AAA">
        <w:rPr>
          <w:rFonts w:cs="Calibri"/>
          <w:bCs/>
        </w:rPr>
        <w:t>,</w:t>
      </w:r>
      <w:r w:rsidR="001473F6">
        <w:rPr>
          <w:rFonts w:cs="Calibri"/>
          <w:bCs/>
        </w:rPr>
        <w:t xml:space="preserve"> jaką może osiągnąć jako wkład w realizację unijnego celu.</w:t>
      </w:r>
    </w:p>
    <w:p w14:paraId="7475CFA7" w14:textId="47467B37" w:rsidR="006B2A65" w:rsidRPr="00080BA7" w:rsidRDefault="006B2A65" w:rsidP="00E74EA2">
      <w:pPr>
        <w:pStyle w:val="Cele"/>
        <w:rPr>
          <w:bCs/>
          <w:i/>
          <w:iCs/>
        </w:rPr>
      </w:pPr>
      <w:r w:rsidRPr="006B2A65">
        <w:t xml:space="preserve">Prognozy wskazują, że </w:t>
      </w:r>
      <w:r>
        <w:t xml:space="preserve">Polska może osiągnąć </w:t>
      </w:r>
      <w:r w:rsidRPr="00575331">
        <w:rPr>
          <w:b/>
          <w:bCs/>
        </w:rPr>
        <w:t>redukcję emisji w sektorach objętych EU ETS w</w:t>
      </w:r>
      <w:r w:rsidR="001473F6" w:rsidRPr="00575331">
        <w:rPr>
          <w:b/>
          <w:bCs/>
        </w:rPr>
        <w:t> </w:t>
      </w:r>
      <w:r w:rsidRPr="00575331">
        <w:rPr>
          <w:b/>
          <w:bCs/>
        </w:rPr>
        <w:t xml:space="preserve">stosunku do </w:t>
      </w:r>
      <w:r w:rsidR="00B377B2" w:rsidRPr="00575331">
        <w:rPr>
          <w:b/>
          <w:bCs/>
        </w:rPr>
        <w:t>poziom</w:t>
      </w:r>
      <w:r w:rsidR="002B387F">
        <w:rPr>
          <w:b/>
          <w:bCs/>
        </w:rPr>
        <w:t>u</w:t>
      </w:r>
      <w:r w:rsidR="00B377B2" w:rsidRPr="00575331">
        <w:rPr>
          <w:b/>
          <w:bCs/>
        </w:rPr>
        <w:t xml:space="preserve"> z </w:t>
      </w:r>
      <w:r w:rsidR="001473F6" w:rsidRPr="00575331">
        <w:rPr>
          <w:b/>
          <w:bCs/>
        </w:rPr>
        <w:t>2005 r. o</w:t>
      </w:r>
      <w:r w:rsidR="00EA3610">
        <w:rPr>
          <w:b/>
          <w:bCs/>
        </w:rPr>
        <w:t xml:space="preserve"> </w:t>
      </w:r>
      <w:r w:rsidR="00932BD7">
        <w:rPr>
          <w:b/>
          <w:bCs/>
        </w:rPr>
        <w:t>51,1</w:t>
      </w:r>
      <w:r w:rsidR="001473F6" w:rsidRPr="00575331">
        <w:rPr>
          <w:b/>
          <w:bCs/>
        </w:rPr>
        <w:t xml:space="preserve">% </w:t>
      </w:r>
      <w:r w:rsidR="00B377B2" w:rsidRPr="00575331">
        <w:rPr>
          <w:b/>
          <w:bCs/>
        </w:rPr>
        <w:t xml:space="preserve">w </w:t>
      </w:r>
      <w:r w:rsidRPr="00575331">
        <w:rPr>
          <w:b/>
          <w:bCs/>
        </w:rPr>
        <w:t>2030 r.</w:t>
      </w:r>
      <w:r w:rsidR="000B5BED">
        <w:t xml:space="preserve"> </w:t>
      </w:r>
      <w:r w:rsidR="00B377B2" w:rsidRPr="00B377B2">
        <w:t>(</w:t>
      </w:r>
      <w:r w:rsidR="00EA3610" w:rsidRPr="00484E4C">
        <w:rPr>
          <w:szCs w:val="24"/>
        </w:rPr>
        <w:t>do</w:t>
      </w:r>
      <w:r w:rsidR="00484E4C" w:rsidRPr="00484E4C">
        <w:rPr>
          <w:szCs w:val="24"/>
        </w:rPr>
        <w:t xml:space="preserve"> </w:t>
      </w:r>
      <w:r w:rsidR="0049179E">
        <w:rPr>
          <w:szCs w:val="24"/>
        </w:rPr>
        <w:t>102,4</w:t>
      </w:r>
      <w:r w:rsidR="00EA3610" w:rsidRPr="00484E4C">
        <w:rPr>
          <w:szCs w:val="24"/>
        </w:rPr>
        <w:t xml:space="preserve"> mln</w:t>
      </w:r>
      <w:r w:rsidR="00B377B2" w:rsidRPr="00484E4C">
        <w:rPr>
          <w:szCs w:val="24"/>
        </w:rPr>
        <w:t xml:space="preserve"> t</w:t>
      </w:r>
      <w:r w:rsidR="002B387F" w:rsidRPr="00484E4C">
        <w:rPr>
          <w:szCs w:val="24"/>
        </w:rPr>
        <w:t xml:space="preserve"> ekw. CO</w:t>
      </w:r>
      <w:r w:rsidR="002B387F" w:rsidRPr="00484E4C">
        <w:rPr>
          <w:szCs w:val="24"/>
          <w:vertAlign w:val="subscript"/>
        </w:rPr>
        <w:t>2</w:t>
      </w:r>
      <w:r w:rsidR="00B377B2" w:rsidRPr="00484E4C">
        <w:rPr>
          <w:szCs w:val="24"/>
        </w:rPr>
        <w:t>)</w:t>
      </w:r>
      <w:r w:rsidR="002B387F" w:rsidRPr="00484E4C">
        <w:rPr>
          <w:szCs w:val="24"/>
        </w:rPr>
        <w:t xml:space="preserve"> i o</w:t>
      </w:r>
      <w:r w:rsidR="00484E4C" w:rsidRPr="00484E4C">
        <w:rPr>
          <w:szCs w:val="24"/>
        </w:rPr>
        <w:t> </w:t>
      </w:r>
      <w:r w:rsidR="0049179E">
        <w:rPr>
          <w:szCs w:val="24"/>
        </w:rPr>
        <w:t>8</w:t>
      </w:r>
      <w:r w:rsidR="00932BD7">
        <w:rPr>
          <w:szCs w:val="24"/>
        </w:rPr>
        <w:t>2,3</w:t>
      </w:r>
      <w:r w:rsidR="002B387F" w:rsidRPr="00484E4C">
        <w:rPr>
          <w:szCs w:val="24"/>
        </w:rPr>
        <w:t>% w 2040 r</w:t>
      </w:r>
      <w:r w:rsidR="00E579D6" w:rsidRPr="00484E4C">
        <w:rPr>
          <w:szCs w:val="24"/>
        </w:rPr>
        <w:t>.</w:t>
      </w:r>
      <w:r w:rsidR="002B387F" w:rsidRPr="00484E4C">
        <w:rPr>
          <w:szCs w:val="24"/>
        </w:rPr>
        <w:t xml:space="preserve"> (do </w:t>
      </w:r>
      <w:r w:rsidR="0049179E">
        <w:rPr>
          <w:szCs w:val="24"/>
        </w:rPr>
        <w:t>37</w:t>
      </w:r>
      <w:r w:rsidR="002B387F" w:rsidRPr="00484E4C">
        <w:rPr>
          <w:szCs w:val="24"/>
        </w:rPr>
        <w:t xml:space="preserve"> mln t ekw. CO</w:t>
      </w:r>
      <w:r w:rsidR="002B387F" w:rsidRPr="00484E4C">
        <w:rPr>
          <w:szCs w:val="24"/>
          <w:vertAlign w:val="subscript"/>
        </w:rPr>
        <w:t>2</w:t>
      </w:r>
      <w:r w:rsidR="00FD1947">
        <w:rPr>
          <w:szCs w:val="24"/>
        </w:rPr>
        <w:t>)</w:t>
      </w:r>
      <w:r w:rsidR="00B377B2">
        <w:t xml:space="preserve"> </w:t>
      </w:r>
      <w:r w:rsidR="00080BA7" w:rsidRPr="00080BA7">
        <w:rPr>
          <w:i/>
          <w:iCs/>
        </w:rPr>
        <w:t>[szacunki nie mają charakteru celu]</w:t>
      </w:r>
    </w:p>
    <w:p w14:paraId="15144381" w14:textId="33882400" w:rsidR="006B2A65" w:rsidRDefault="009A021C" w:rsidP="00F40D7B">
      <w:pPr>
        <w:rPr>
          <w:rFonts w:cs="Calibri"/>
          <w:bCs/>
        </w:rPr>
      </w:pPr>
      <w:r>
        <w:rPr>
          <w:rFonts w:cs="Calibri"/>
          <w:bCs/>
        </w:rPr>
        <w:t>Na</w:t>
      </w:r>
      <w:r w:rsidR="00CC42E3">
        <w:rPr>
          <w:rFonts w:cs="Calibri"/>
          <w:bCs/>
        </w:rPr>
        <w:t xml:space="preserve"> podstawie rozporządzenia UE 2023/857 </w:t>
      </w:r>
      <w:r>
        <w:rPr>
          <w:rFonts w:cs="Calibri"/>
          <w:bCs/>
        </w:rPr>
        <w:t>(</w:t>
      </w:r>
      <w:r w:rsidR="00FE3A61">
        <w:rPr>
          <w:rFonts w:cs="Calibri"/>
          <w:bCs/>
        </w:rPr>
        <w:t xml:space="preserve">nowelizującego </w:t>
      </w:r>
      <w:r w:rsidR="00CC42E3">
        <w:rPr>
          <w:rFonts w:cs="Calibri"/>
          <w:bCs/>
        </w:rPr>
        <w:t>rozporządzenie ESR</w:t>
      </w:r>
      <w:r>
        <w:rPr>
          <w:rFonts w:cs="Calibri"/>
          <w:bCs/>
        </w:rPr>
        <w:t xml:space="preserve">) </w:t>
      </w:r>
      <w:r w:rsidR="00CC42E3">
        <w:rPr>
          <w:rFonts w:cs="Calibri"/>
          <w:bCs/>
        </w:rPr>
        <w:t>d</w:t>
      </w:r>
      <w:r w:rsidR="00F40D7B">
        <w:rPr>
          <w:rFonts w:cs="Calibri"/>
          <w:bCs/>
        </w:rPr>
        <w:t>la p</w:t>
      </w:r>
      <w:r w:rsidR="001E75C1">
        <w:rPr>
          <w:rFonts w:cs="Calibri"/>
          <w:bCs/>
        </w:rPr>
        <w:t>ozostał</w:t>
      </w:r>
      <w:r w:rsidR="00F40D7B">
        <w:rPr>
          <w:rFonts w:cs="Calibri"/>
          <w:bCs/>
        </w:rPr>
        <w:t>ych</w:t>
      </w:r>
      <w:r w:rsidR="001E75C1">
        <w:rPr>
          <w:rFonts w:cs="Calibri"/>
          <w:bCs/>
        </w:rPr>
        <w:t xml:space="preserve"> </w:t>
      </w:r>
      <w:r w:rsidR="001E75C1" w:rsidRPr="00516D41">
        <w:rPr>
          <w:rFonts w:cs="Calibri"/>
          <w:bCs/>
        </w:rPr>
        <w:t>sektor</w:t>
      </w:r>
      <w:r w:rsidR="00F40D7B" w:rsidRPr="00516D41">
        <w:rPr>
          <w:rFonts w:cs="Calibri"/>
          <w:bCs/>
        </w:rPr>
        <w:t>ów</w:t>
      </w:r>
      <w:r w:rsidR="001E75C1" w:rsidRPr="00516D41">
        <w:rPr>
          <w:rFonts w:cs="Calibri"/>
          <w:bCs/>
        </w:rPr>
        <w:t xml:space="preserve"> </w:t>
      </w:r>
      <w:r w:rsidR="00F63EAE" w:rsidRPr="00516D41">
        <w:rPr>
          <w:rFonts w:cs="Calibri"/>
          <w:bCs/>
        </w:rPr>
        <w:t>(budynki, transport</w:t>
      </w:r>
      <w:r w:rsidR="00F63EAE">
        <w:rPr>
          <w:rFonts w:cs="Calibri"/>
          <w:bCs/>
        </w:rPr>
        <w:t xml:space="preserve"> drogowy i transport morski, rolnictwo, odpady, drobny przemysł), objętych wspólnym wysiłkiem redukcyjnym,</w:t>
      </w:r>
      <w:r w:rsidR="00F40D7B">
        <w:rPr>
          <w:rFonts w:cs="Calibri"/>
          <w:bCs/>
        </w:rPr>
        <w:t xml:space="preserve"> </w:t>
      </w:r>
      <w:r w:rsidR="001E75C1">
        <w:rPr>
          <w:rFonts w:cs="Calibri"/>
          <w:bCs/>
        </w:rPr>
        <w:t>zwan</w:t>
      </w:r>
      <w:r w:rsidR="00F40D7B">
        <w:rPr>
          <w:rFonts w:cs="Calibri"/>
          <w:bCs/>
        </w:rPr>
        <w:t>ych</w:t>
      </w:r>
      <w:r w:rsidR="001E75C1">
        <w:rPr>
          <w:rFonts w:cs="Calibri"/>
          <w:bCs/>
        </w:rPr>
        <w:t xml:space="preserve"> dotychczas non-ETS</w:t>
      </w:r>
      <w:r w:rsidR="00F63EAE">
        <w:rPr>
          <w:rFonts w:cs="Calibri"/>
          <w:bCs/>
        </w:rPr>
        <w:t>,</w:t>
      </w:r>
      <w:r w:rsidR="00F40D7B">
        <w:rPr>
          <w:rFonts w:cs="Calibri"/>
          <w:bCs/>
        </w:rPr>
        <w:t xml:space="preserve"> określony został </w:t>
      </w:r>
      <w:r w:rsidR="006B2A65">
        <w:rPr>
          <w:rFonts w:cs="Calibri"/>
          <w:bCs/>
        </w:rPr>
        <w:t xml:space="preserve">unijny </w:t>
      </w:r>
      <w:r w:rsidR="00F40D7B">
        <w:rPr>
          <w:rFonts w:cs="Calibri"/>
          <w:bCs/>
        </w:rPr>
        <w:t>cel redukcyjny na</w:t>
      </w:r>
      <w:r w:rsidR="001B49A5">
        <w:rPr>
          <w:rFonts w:cs="Calibri"/>
          <w:bCs/>
        </w:rPr>
        <w:t> </w:t>
      </w:r>
      <w:r w:rsidR="00F40D7B">
        <w:rPr>
          <w:rFonts w:cs="Calibri"/>
          <w:bCs/>
        </w:rPr>
        <w:t xml:space="preserve">poziomie </w:t>
      </w:r>
      <w:r w:rsidR="006B2A65">
        <w:rPr>
          <w:rFonts w:cs="Calibri"/>
          <w:bCs/>
        </w:rPr>
        <w:t>40</w:t>
      </w:r>
      <w:r w:rsidR="00F40D7B">
        <w:rPr>
          <w:rFonts w:cs="Calibri"/>
          <w:bCs/>
        </w:rPr>
        <w:t xml:space="preserve">% </w:t>
      </w:r>
      <w:r w:rsidR="00451528">
        <w:rPr>
          <w:rFonts w:cs="Calibri"/>
          <w:bCs/>
        </w:rPr>
        <w:t>w </w:t>
      </w:r>
      <w:r w:rsidR="00451528" w:rsidRPr="001E75C1">
        <w:rPr>
          <w:rFonts w:cs="Calibri"/>
          <w:bCs/>
        </w:rPr>
        <w:t>2030 r. w porównaniu do poziomu</w:t>
      </w:r>
      <w:r w:rsidR="002E068E">
        <w:rPr>
          <w:rFonts w:cs="Calibri"/>
          <w:bCs/>
        </w:rPr>
        <w:t xml:space="preserve"> z</w:t>
      </w:r>
      <w:r w:rsidR="00451528" w:rsidRPr="001E75C1">
        <w:rPr>
          <w:rFonts w:cs="Calibri"/>
          <w:bCs/>
        </w:rPr>
        <w:t xml:space="preserve"> 2005</w:t>
      </w:r>
      <w:r w:rsidR="00451528">
        <w:rPr>
          <w:rFonts w:cs="Calibri"/>
          <w:bCs/>
        </w:rPr>
        <w:t xml:space="preserve"> r.</w:t>
      </w:r>
      <w:r w:rsidR="006E3DFB">
        <w:rPr>
          <w:rStyle w:val="Odwoanieprzypisudolnego"/>
          <w:rFonts w:cs="Calibri"/>
          <w:bCs/>
        </w:rPr>
        <w:footnoteReference w:id="8"/>
      </w:r>
      <w:r w:rsidR="006B2A65">
        <w:rPr>
          <w:rFonts w:cs="Calibri"/>
          <w:bCs/>
        </w:rPr>
        <w:t xml:space="preserve"> (dotychczas 29%)</w:t>
      </w:r>
      <w:r>
        <w:rPr>
          <w:rFonts w:cs="Calibri"/>
          <w:bCs/>
        </w:rPr>
        <w:t>.</w:t>
      </w:r>
      <w:r w:rsidR="00D84AAA">
        <w:rPr>
          <w:rFonts w:cs="Calibri"/>
          <w:bCs/>
        </w:rPr>
        <w:t xml:space="preserve"> </w:t>
      </w:r>
      <w:r w:rsidR="006B2A65" w:rsidRPr="00D86C2F">
        <w:rPr>
          <w:rFonts w:cs="Calibri"/>
          <w:b/>
        </w:rPr>
        <w:t xml:space="preserve">Dla Polski określony został wiążący cel </w:t>
      </w:r>
      <w:r w:rsidR="00D86C2F">
        <w:rPr>
          <w:rFonts w:cs="Calibri"/>
          <w:b/>
        </w:rPr>
        <w:t xml:space="preserve">redukcji emisji w sektorach </w:t>
      </w:r>
      <w:r w:rsidR="001B49A5">
        <w:rPr>
          <w:rFonts w:cs="Calibri"/>
          <w:b/>
        </w:rPr>
        <w:t>non-ETS</w:t>
      </w:r>
      <w:r w:rsidR="00D86C2F">
        <w:rPr>
          <w:rFonts w:cs="Calibri"/>
          <w:b/>
        </w:rPr>
        <w:t xml:space="preserve"> o</w:t>
      </w:r>
      <w:r w:rsidR="006B2A65" w:rsidRPr="00D86C2F">
        <w:rPr>
          <w:rFonts w:cs="Calibri"/>
          <w:b/>
        </w:rPr>
        <w:t xml:space="preserve"> 17,7%</w:t>
      </w:r>
      <w:r w:rsidR="00D86C2F">
        <w:rPr>
          <w:rFonts w:cs="Calibri"/>
          <w:b/>
        </w:rPr>
        <w:t xml:space="preserve"> w stosunku do 2005 r.</w:t>
      </w:r>
      <w:r w:rsidR="001473F6">
        <w:rPr>
          <w:rStyle w:val="Odwoanieprzypisudolnego"/>
          <w:rFonts w:cs="Calibri"/>
          <w:b/>
        </w:rPr>
        <w:footnoteReference w:id="9"/>
      </w:r>
      <w:r w:rsidR="006B2A65">
        <w:rPr>
          <w:rFonts w:cs="Calibri"/>
          <w:bCs/>
        </w:rPr>
        <w:t xml:space="preserve"> </w:t>
      </w:r>
    </w:p>
    <w:p w14:paraId="42B9720F" w14:textId="59535389" w:rsidR="006B2A65" w:rsidRPr="00B377B2" w:rsidRDefault="00E615F8" w:rsidP="00B377B2">
      <w:pPr>
        <w:pStyle w:val="Cele"/>
      </w:pPr>
      <w:r w:rsidRPr="00211C8B">
        <w:rPr>
          <w:rStyle w:val="CeleZnak"/>
          <w:bCs/>
        </w:rPr>
        <w:t>Zgodnie z</w:t>
      </w:r>
      <w:r w:rsidR="009A021C" w:rsidRPr="00211C8B">
        <w:rPr>
          <w:rStyle w:val="CeleZnak"/>
          <w:bCs/>
        </w:rPr>
        <w:t xml:space="preserve"> </w:t>
      </w:r>
      <w:r w:rsidRPr="00211C8B">
        <w:rPr>
          <w:rStyle w:val="CeleZnak"/>
          <w:bCs/>
        </w:rPr>
        <w:t>prognozami</w:t>
      </w:r>
      <w:r>
        <w:rPr>
          <w:rStyle w:val="CeleZnak"/>
        </w:rPr>
        <w:t xml:space="preserve"> </w:t>
      </w:r>
      <w:r w:rsidR="00743ECC">
        <w:rPr>
          <w:rStyle w:val="CeleZnak"/>
          <w:bCs/>
        </w:rPr>
        <w:t>na 2030 r.</w:t>
      </w:r>
      <w:r w:rsidRPr="00B377B2">
        <w:rPr>
          <w:rStyle w:val="CeleZnak"/>
          <w:b/>
        </w:rPr>
        <w:t xml:space="preserve"> </w:t>
      </w:r>
      <w:r w:rsidR="006B2A65" w:rsidRPr="00123895">
        <w:rPr>
          <w:rStyle w:val="CeleZnak"/>
        </w:rPr>
        <w:t xml:space="preserve">Polska </w:t>
      </w:r>
      <w:r w:rsidR="00123895" w:rsidRPr="00123895">
        <w:rPr>
          <w:rStyle w:val="CeleZnak"/>
          <w:bCs/>
        </w:rPr>
        <w:t>może osiągnąć</w:t>
      </w:r>
      <w:r w:rsidR="00123895">
        <w:rPr>
          <w:rStyle w:val="CeleZnak"/>
          <w:b/>
        </w:rPr>
        <w:t xml:space="preserve"> redukcję </w:t>
      </w:r>
      <w:r w:rsidR="006B2A65" w:rsidRPr="00B377B2">
        <w:rPr>
          <w:rStyle w:val="CeleZnak"/>
          <w:b/>
        </w:rPr>
        <w:t xml:space="preserve">emisji </w:t>
      </w:r>
      <w:r w:rsidR="00E52D43">
        <w:rPr>
          <w:rStyle w:val="CeleZnak"/>
          <w:b/>
        </w:rPr>
        <w:t>GHG</w:t>
      </w:r>
      <w:r w:rsidR="006B2A65" w:rsidRPr="00B377B2">
        <w:rPr>
          <w:rStyle w:val="CeleZnak"/>
          <w:b/>
        </w:rPr>
        <w:t xml:space="preserve"> w</w:t>
      </w:r>
      <w:r w:rsidR="005C6205">
        <w:rPr>
          <w:rStyle w:val="CeleZnak"/>
          <w:b/>
        </w:rPr>
        <w:t> </w:t>
      </w:r>
      <w:r w:rsidR="006B2A65" w:rsidRPr="00B377B2">
        <w:rPr>
          <w:rStyle w:val="CeleZnak"/>
          <w:b/>
        </w:rPr>
        <w:t xml:space="preserve">sektorach </w:t>
      </w:r>
      <w:r w:rsidR="008852B6" w:rsidRPr="00B377B2">
        <w:rPr>
          <w:rStyle w:val="CeleZnak"/>
          <w:b/>
        </w:rPr>
        <w:t>non-ETS</w:t>
      </w:r>
      <w:r w:rsidR="008852B6">
        <w:rPr>
          <w:rStyle w:val="CeleZnak"/>
          <w:b/>
        </w:rPr>
        <w:t>,</w:t>
      </w:r>
      <w:r w:rsidR="008852B6" w:rsidRPr="00B377B2">
        <w:rPr>
          <w:rStyle w:val="CeleZnak"/>
          <w:b/>
        </w:rPr>
        <w:t xml:space="preserve"> </w:t>
      </w:r>
      <w:r w:rsidR="006B2A65" w:rsidRPr="00B377B2">
        <w:rPr>
          <w:rStyle w:val="CeleZnak"/>
          <w:b/>
        </w:rPr>
        <w:t xml:space="preserve">objętych </w:t>
      </w:r>
      <w:r w:rsidR="00F63EAE" w:rsidRPr="00B377B2">
        <w:rPr>
          <w:rStyle w:val="CeleZnak"/>
          <w:b/>
        </w:rPr>
        <w:t>rozporządzeniem o</w:t>
      </w:r>
      <w:r w:rsidR="009F4788" w:rsidRPr="00B377B2">
        <w:rPr>
          <w:rStyle w:val="CeleZnak"/>
          <w:b/>
        </w:rPr>
        <w:t> </w:t>
      </w:r>
      <w:r w:rsidR="00F63EAE" w:rsidRPr="00B377B2">
        <w:rPr>
          <w:rStyle w:val="CeleZnak"/>
          <w:b/>
        </w:rPr>
        <w:t>wspólnym wysiłku redukcyjnym</w:t>
      </w:r>
      <w:r w:rsidR="009F4788" w:rsidRPr="00B377B2">
        <w:rPr>
          <w:rStyle w:val="CeleZnak"/>
          <w:b/>
        </w:rPr>
        <w:t xml:space="preserve"> </w:t>
      </w:r>
      <w:r w:rsidR="006B2A65" w:rsidRPr="00B377B2">
        <w:rPr>
          <w:rStyle w:val="CeleZnak"/>
          <w:b/>
        </w:rPr>
        <w:t>o </w:t>
      </w:r>
      <w:r w:rsidR="009E2D36">
        <w:rPr>
          <w:rStyle w:val="CeleZnak"/>
          <w:b/>
        </w:rPr>
        <w:t>22</w:t>
      </w:r>
      <w:r w:rsidR="006B2A65" w:rsidRPr="00B377B2">
        <w:rPr>
          <w:rStyle w:val="CeleZnak"/>
          <w:b/>
        </w:rPr>
        <w:t>% w</w:t>
      </w:r>
      <w:r w:rsidR="00C310BC">
        <w:rPr>
          <w:rStyle w:val="CeleZnak"/>
          <w:b/>
        </w:rPr>
        <w:t> </w:t>
      </w:r>
      <w:r w:rsidR="006B2A65" w:rsidRPr="00B377B2">
        <w:rPr>
          <w:rStyle w:val="CeleZnak"/>
          <w:b/>
        </w:rPr>
        <w:t xml:space="preserve">stosunku </w:t>
      </w:r>
      <w:r w:rsidR="001473F6" w:rsidRPr="00B377B2">
        <w:rPr>
          <w:rStyle w:val="CeleZnak"/>
          <w:b/>
        </w:rPr>
        <w:t>do poziomu z 2005 r.</w:t>
      </w:r>
      <w:r w:rsidR="004B63DA" w:rsidRPr="00B74069">
        <w:t xml:space="preserve"> </w:t>
      </w:r>
      <w:r w:rsidR="00B377B2" w:rsidRPr="00B377B2">
        <w:rPr>
          <w:rStyle w:val="CeleZnak"/>
          <w:b/>
        </w:rPr>
        <w:t>(z</w:t>
      </w:r>
      <w:r w:rsidR="003C194F">
        <w:rPr>
          <w:rStyle w:val="CeleZnak"/>
          <w:b/>
        </w:rPr>
        <w:t> </w:t>
      </w:r>
      <w:r w:rsidR="006D1B23">
        <w:rPr>
          <w:rStyle w:val="CeleZnak"/>
          <w:b/>
        </w:rPr>
        <w:t>192,</w:t>
      </w:r>
      <w:r w:rsidR="006D1B23" w:rsidRPr="006D1B23">
        <w:rPr>
          <w:rStyle w:val="CeleZnak"/>
          <w:b/>
        </w:rPr>
        <w:t>5</w:t>
      </w:r>
      <w:r w:rsidR="004B63DA">
        <w:rPr>
          <w:rStyle w:val="CeleZnak"/>
          <w:b/>
        </w:rPr>
        <w:t> </w:t>
      </w:r>
      <w:r w:rsidR="00B377B2" w:rsidRPr="006D1B23">
        <w:rPr>
          <w:rStyle w:val="CeleZnak"/>
          <w:b/>
        </w:rPr>
        <w:t xml:space="preserve">mln t do </w:t>
      </w:r>
      <w:r w:rsidR="004B63DA">
        <w:rPr>
          <w:rStyle w:val="CeleZnak"/>
          <w:b/>
        </w:rPr>
        <w:t>15</w:t>
      </w:r>
      <w:r w:rsidR="009E2D36">
        <w:rPr>
          <w:rStyle w:val="CeleZnak"/>
          <w:b/>
        </w:rPr>
        <w:t xml:space="preserve">0,2 </w:t>
      </w:r>
      <w:r w:rsidR="00B377B2" w:rsidRPr="00B377B2">
        <w:rPr>
          <w:rStyle w:val="CeleZnak"/>
          <w:b/>
        </w:rPr>
        <w:t>mln t</w:t>
      </w:r>
      <w:r w:rsidR="004B63DA">
        <w:rPr>
          <w:rStyle w:val="CeleZnak"/>
          <w:b/>
        </w:rPr>
        <w:t xml:space="preserve"> ekw. CO</w:t>
      </w:r>
      <w:r w:rsidR="004B63DA" w:rsidRPr="004B63DA">
        <w:rPr>
          <w:rStyle w:val="CeleZnak"/>
          <w:b/>
          <w:vertAlign w:val="subscript"/>
        </w:rPr>
        <w:t>2</w:t>
      </w:r>
      <w:r w:rsidR="00B377B2" w:rsidRPr="00B377B2">
        <w:rPr>
          <w:rStyle w:val="CeleZnak"/>
          <w:b/>
        </w:rPr>
        <w:t>)</w:t>
      </w:r>
      <w:r w:rsidR="009F4788" w:rsidRPr="00B377B2">
        <w:t>.</w:t>
      </w:r>
      <w:r w:rsidR="001473F6" w:rsidRPr="00B377B2">
        <w:t xml:space="preserve"> </w:t>
      </w:r>
    </w:p>
    <w:p w14:paraId="1883D058" w14:textId="0C3318E8" w:rsidR="00B74069" w:rsidRDefault="00E52D43" w:rsidP="003772B3">
      <w:r>
        <w:t>Realizacja celu w sektorach non-ETS</w:t>
      </w:r>
      <w:r w:rsidR="00781255">
        <w:t xml:space="preserve"> zależeć będzie zarówno od skuteczności działań, jak również od zaangażowania na poziomie społecznym</w:t>
      </w:r>
      <w:r w:rsidR="00B74069" w:rsidRPr="00B74069">
        <w:t>.</w:t>
      </w:r>
      <w:r w:rsidR="004F7AD9">
        <w:t xml:space="preserve"> Na 2040 r. prognozuje się </w:t>
      </w:r>
      <w:r w:rsidR="002B387F">
        <w:t xml:space="preserve">redukcję w tym zakresie o </w:t>
      </w:r>
      <w:r w:rsidR="00932BD7">
        <w:t>44,9</w:t>
      </w:r>
      <w:r w:rsidR="002B387F">
        <w:t>%.</w:t>
      </w:r>
    </w:p>
    <w:p w14:paraId="6E5FB0E5" w14:textId="6A5466DA" w:rsidR="009A021C" w:rsidRDefault="000B5BED" w:rsidP="003772B3">
      <w:r>
        <w:t>Dodatkowo nowe regulacje</w:t>
      </w:r>
      <w:r w:rsidR="006E3DFB">
        <w:t xml:space="preserve"> dyrektywy ETS</w:t>
      </w:r>
      <w:r>
        <w:t xml:space="preserve"> </w:t>
      </w:r>
      <w:r w:rsidR="006E3DFB">
        <w:t xml:space="preserve">mają skutkować osiągnieciem nowego </w:t>
      </w:r>
      <w:r>
        <w:t>cel</w:t>
      </w:r>
      <w:r w:rsidR="006E3DFB">
        <w:t>u</w:t>
      </w:r>
      <w:r>
        <w:t xml:space="preserve"> dla sekto</w:t>
      </w:r>
      <w:r w:rsidR="00850BAF">
        <w:t xml:space="preserve">ra budowalnego </w:t>
      </w:r>
      <w:r w:rsidR="00616B1C">
        <w:t xml:space="preserve">(w tym gospodarstwa domowe) </w:t>
      </w:r>
      <w:r w:rsidR="00850BAF">
        <w:t>i transportu drogowego</w:t>
      </w:r>
      <w:r w:rsidR="00616B1C">
        <w:rPr>
          <w:rStyle w:val="Odwoanieprzypisudolnego"/>
        </w:rPr>
        <w:footnoteReference w:id="10"/>
      </w:r>
      <w:r w:rsidR="00850BAF">
        <w:t>, przez objęcie ich nowym systemem handlu uprawnie</w:t>
      </w:r>
      <w:r w:rsidR="00E615F8">
        <w:t>niami</w:t>
      </w:r>
      <w:r w:rsidR="00850BAF">
        <w:t xml:space="preserve"> do emisji gazów cieplarnianych – </w:t>
      </w:r>
      <w:r w:rsidR="006C780A">
        <w:t>EU ETS</w:t>
      </w:r>
      <w:r w:rsidR="006C780A">
        <w:noBreakHyphen/>
        <w:t>2 / BRT</w:t>
      </w:r>
      <w:r w:rsidR="00F273EA">
        <w:t xml:space="preserve"> ETS</w:t>
      </w:r>
      <w:r w:rsidR="006C780A">
        <w:t xml:space="preserve"> (ang.</w:t>
      </w:r>
      <w:r w:rsidR="00C310BC" w:rsidRPr="00C310BC">
        <w:rPr>
          <w:i/>
          <w:iCs/>
        </w:rPr>
        <w:t xml:space="preserve"> </w:t>
      </w:r>
      <w:r w:rsidR="00C310BC" w:rsidRPr="00A853AC">
        <w:rPr>
          <w:i/>
          <w:iCs/>
        </w:rPr>
        <w:t>buildings, road transport and additional sectors</w:t>
      </w:r>
      <w:r w:rsidR="006C780A">
        <w:t>)</w:t>
      </w:r>
      <w:r w:rsidR="00850BAF">
        <w:t>,</w:t>
      </w:r>
      <w:r w:rsidR="00616B1C">
        <w:t xml:space="preserve"> który ma być uruchomiony w 2027 r.</w:t>
      </w:r>
      <w:r w:rsidR="00850BAF">
        <w:t xml:space="preserve"> </w:t>
      </w:r>
      <w:r w:rsidR="00616B1C">
        <w:t>Działanie to ma</w:t>
      </w:r>
      <w:r w:rsidR="00850BAF">
        <w:t xml:space="preserve"> skutkować redukcją </w:t>
      </w:r>
      <w:r w:rsidR="00AD0FB0">
        <w:t>GHG</w:t>
      </w:r>
      <w:r w:rsidR="00850BAF">
        <w:t xml:space="preserve"> </w:t>
      </w:r>
      <w:r w:rsidR="00E615F8">
        <w:t>w</w:t>
      </w:r>
      <w:r w:rsidR="006E3DFB">
        <w:t xml:space="preserve"> tych sektor</w:t>
      </w:r>
      <w:r w:rsidR="001B49A5">
        <w:t>ach</w:t>
      </w:r>
      <w:r w:rsidR="006E3DFB">
        <w:t xml:space="preserve"> </w:t>
      </w:r>
      <w:r w:rsidR="00850BAF">
        <w:t>w całej UE o 43% w porównaniu do poziomów z 2005 r.</w:t>
      </w:r>
      <w:r w:rsidR="003768A4">
        <w:t xml:space="preserve"> </w:t>
      </w:r>
      <w:r w:rsidR="00E615F8">
        <w:t>N</w:t>
      </w:r>
      <w:r w:rsidR="003768A4">
        <w:t xml:space="preserve">ie określono </w:t>
      </w:r>
      <w:r w:rsidR="00C46DAA">
        <w:t xml:space="preserve">oddzielnych </w:t>
      </w:r>
      <w:r w:rsidR="003768A4">
        <w:t xml:space="preserve">celów </w:t>
      </w:r>
      <w:r w:rsidR="00C46DAA">
        <w:t>dla państw członkowskich</w:t>
      </w:r>
      <w:r w:rsidR="00616B1C">
        <w:rPr>
          <w:rStyle w:val="Odwoanieprzypisudolnego"/>
        </w:rPr>
        <w:footnoteReference w:id="11"/>
      </w:r>
      <w:r w:rsidR="003768A4">
        <w:t>.</w:t>
      </w:r>
      <w:r w:rsidR="00850BAF">
        <w:t xml:space="preserve"> Tym samym</w:t>
      </w:r>
      <w:r w:rsidR="00616B1C">
        <w:t xml:space="preserve"> redukcja emisji w tych sektorach wciąż będzie </w:t>
      </w:r>
      <w:r w:rsidR="001B49A5">
        <w:t xml:space="preserve">włączona </w:t>
      </w:r>
      <w:r w:rsidR="00616B1C">
        <w:t>w</w:t>
      </w:r>
      <w:r w:rsidR="003768A4">
        <w:t> </w:t>
      </w:r>
      <w:r w:rsidR="00616B1C">
        <w:t>realizacj</w:t>
      </w:r>
      <w:r w:rsidR="001B49A5">
        <w:t>ę</w:t>
      </w:r>
      <w:r w:rsidR="00616B1C">
        <w:t xml:space="preserve"> wspólnego wysiłku redukcyjnego (ES</w:t>
      </w:r>
      <w:r w:rsidR="00FE3A61">
        <w:t>R</w:t>
      </w:r>
      <w:r w:rsidR="00616B1C">
        <w:t>), a</w:t>
      </w:r>
      <w:r w:rsidR="00E203CD">
        <w:t xml:space="preserve"> </w:t>
      </w:r>
      <w:r w:rsidR="00616B1C">
        <w:t xml:space="preserve">jednocześnie </w:t>
      </w:r>
      <w:r w:rsidR="00C310BC">
        <w:t xml:space="preserve">będzie </w:t>
      </w:r>
      <w:r w:rsidR="00616B1C">
        <w:t xml:space="preserve">wpływać na </w:t>
      </w:r>
      <w:r w:rsidR="00616B1C">
        <w:lastRenderedPageBreak/>
        <w:t>realizację odrębnego celu</w:t>
      </w:r>
      <w:r w:rsidR="003768A4">
        <w:t xml:space="preserve">, wyznaczonego tylko dla </w:t>
      </w:r>
      <w:r w:rsidR="00C46DAA">
        <w:t>tych</w:t>
      </w:r>
      <w:r w:rsidR="003768A4">
        <w:t xml:space="preserve"> sektorów</w:t>
      </w:r>
      <w:r w:rsidR="00616B1C">
        <w:t xml:space="preserve">. </w:t>
      </w:r>
      <w:r w:rsidR="00ED3548">
        <w:t xml:space="preserve">Ponieważ </w:t>
      </w:r>
      <w:r w:rsidR="00E615F8">
        <w:t>c</w:t>
      </w:r>
      <w:r w:rsidR="00470030">
        <w:t>el unijny jest nowy, nie</w:t>
      </w:r>
      <w:r w:rsidR="00ED3548">
        <w:t xml:space="preserve"> </w:t>
      </w:r>
      <w:r w:rsidR="00470030">
        <w:t xml:space="preserve">została określona </w:t>
      </w:r>
      <w:r w:rsidR="00C310BC">
        <w:t xml:space="preserve">jego </w:t>
      </w:r>
      <w:r w:rsidR="00470030">
        <w:t>dokładna</w:t>
      </w:r>
      <w:r w:rsidR="00C310BC">
        <w:t xml:space="preserve"> </w:t>
      </w:r>
      <w:r w:rsidR="00470030">
        <w:t xml:space="preserve">metodyka. </w:t>
      </w:r>
      <w:r w:rsidR="00470030" w:rsidRPr="001A45B6">
        <w:rPr>
          <w:b/>
          <w:bCs/>
        </w:rPr>
        <w:t>Z</w:t>
      </w:r>
      <w:r w:rsidR="00ED3548">
        <w:rPr>
          <w:b/>
          <w:bCs/>
        </w:rPr>
        <w:t> </w:t>
      </w:r>
      <w:r w:rsidR="00470030" w:rsidRPr="001A45B6">
        <w:rPr>
          <w:b/>
          <w:bCs/>
        </w:rPr>
        <w:t>tego względu nie jest możliwe</w:t>
      </w:r>
      <w:r w:rsidR="00E579D6">
        <w:rPr>
          <w:b/>
          <w:bCs/>
        </w:rPr>
        <w:t xml:space="preserve"> </w:t>
      </w:r>
      <w:r w:rsidR="00470030" w:rsidRPr="001A45B6">
        <w:rPr>
          <w:b/>
          <w:bCs/>
        </w:rPr>
        <w:t>określenie celu krajowego w odniesieniu do EU ETS-2</w:t>
      </w:r>
      <w:r w:rsidR="0095574F">
        <w:rPr>
          <w:b/>
          <w:bCs/>
        </w:rPr>
        <w:t xml:space="preserve">, </w:t>
      </w:r>
      <w:r w:rsidR="0095574F">
        <w:t>w oparciu o szczegółowe, spójne metodycznie analizy</w:t>
      </w:r>
      <w:r w:rsidR="00470030">
        <w:t xml:space="preserve">. </w:t>
      </w:r>
    </w:p>
    <w:p w14:paraId="0B9E9EC3" w14:textId="221B5C92" w:rsidR="003772B3" w:rsidRDefault="00C310BC" w:rsidP="003772B3">
      <w:r>
        <w:rPr>
          <w:noProof/>
          <w:lang w:eastAsia="pl-PL"/>
        </w:rPr>
        <mc:AlternateContent>
          <mc:Choice Requires="wpg">
            <w:drawing>
              <wp:anchor distT="0" distB="0" distL="114300" distR="114300" simplePos="0" relativeHeight="251732480" behindDoc="0" locked="0" layoutInCell="1" allowOverlap="1" wp14:anchorId="7C631DC6" wp14:editId="60553802">
                <wp:simplePos x="0" y="0"/>
                <wp:positionH relativeFrom="column">
                  <wp:posOffset>100330</wp:posOffset>
                </wp:positionH>
                <wp:positionV relativeFrom="paragraph">
                  <wp:posOffset>805180</wp:posOffset>
                </wp:positionV>
                <wp:extent cx="5284470" cy="2826385"/>
                <wp:effectExtent l="0" t="0" r="11430" b="12065"/>
                <wp:wrapTopAndBottom/>
                <wp:docPr id="2" name="Grupa 1"/>
                <wp:cNvGraphicFramePr/>
                <a:graphic xmlns:a="http://schemas.openxmlformats.org/drawingml/2006/main">
                  <a:graphicData uri="http://schemas.microsoft.com/office/word/2010/wordprocessingGroup">
                    <wpg:wgp>
                      <wpg:cNvGrpSpPr/>
                      <wpg:grpSpPr>
                        <a:xfrm>
                          <a:off x="0" y="0"/>
                          <a:ext cx="5284470" cy="2826385"/>
                          <a:chOff x="81415" y="189738"/>
                          <a:chExt cx="3856754" cy="2576225"/>
                        </a:xfrm>
                      </wpg:grpSpPr>
                      <wps:wsp>
                        <wps:cNvPr id="131712259" name="Prostokąt: zaokrąglone rogi 131712259"/>
                        <wps:cNvSpPr/>
                        <wps:spPr>
                          <a:xfrm>
                            <a:off x="1971120" y="654285"/>
                            <a:ext cx="1661161" cy="2111678"/>
                          </a:xfrm>
                          <a:prstGeom prst="roundRect">
                            <a:avLst>
                              <a:gd name="adj" fmla="val 13577"/>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BE0871" w14:textId="342534EF" w:rsidR="00C36C5C" w:rsidRPr="008905D6" w:rsidRDefault="00C36C5C" w:rsidP="00E17A47">
                              <w:pPr>
                                <w:spacing w:after="0"/>
                                <w:jc w:val="center"/>
                                <w:rPr>
                                  <w:b/>
                                  <w:bCs/>
                                  <w:color w:val="44546A" w:themeColor="text2"/>
                                  <w:kern w:val="24"/>
                                  <w:sz w:val="36"/>
                                  <w:szCs w:val="36"/>
                                </w:rPr>
                              </w:pPr>
                              <w:r w:rsidRPr="008905D6">
                                <w:rPr>
                                  <w:b/>
                                  <w:bCs/>
                                  <w:color w:val="44546A" w:themeColor="text2"/>
                                  <w:kern w:val="24"/>
                                  <w:sz w:val="36"/>
                                  <w:szCs w:val="36"/>
                                </w:rPr>
                                <w:t>ES</w:t>
                              </w:r>
                              <w:r>
                                <w:rPr>
                                  <w:b/>
                                  <w:bCs/>
                                  <w:color w:val="44546A" w:themeColor="text2"/>
                                  <w:kern w:val="24"/>
                                  <w:sz w:val="36"/>
                                  <w:szCs w:val="36"/>
                                </w:rPr>
                                <w:t>R (cel)</w:t>
                              </w:r>
                            </w:p>
                            <w:p w14:paraId="31967ACB" w14:textId="77777777" w:rsidR="00C36C5C" w:rsidRPr="008905D6" w:rsidRDefault="00C36C5C" w:rsidP="00E17A47">
                              <w:pPr>
                                <w:spacing w:after="0"/>
                                <w:jc w:val="center"/>
                                <w:rPr>
                                  <w:rFonts w:cs="Latha"/>
                                  <w:color w:val="000000" w:themeColor="text1"/>
                                  <w:kern w:val="24"/>
                                </w:rPr>
                              </w:pPr>
                            </w:p>
                            <w:p w14:paraId="73B2E2C4" w14:textId="77777777" w:rsidR="00C36C5C" w:rsidRPr="008905D6" w:rsidRDefault="00C36C5C" w:rsidP="00E17A47">
                              <w:pPr>
                                <w:spacing w:after="0"/>
                                <w:jc w:val="center"/>
                                <w:rPr>
                                  <w:rFonts w:cs="Latha"/>
                                  <w:color w:val="000000" w:themeColor="text1"/>
                                  <w:kern w:val="24"/>
                                </w:rPr>
                              </w:pPr>
                            </w:p>
                            <w:p w14:paraId="51EF082F" w14:textId="75615212" w:rsidR="00C36C5C" w:rsidRPr="008905D6" w:rsidRDefault="00C36C5C" w:rsidP="00DC45DA">
                              <w:pPr>
                                <w:spacing w:before="360" w:after="0"/>
                                <w:jc w:val="center"/>
                                <w:rPr>
                                  <w:rFonts w:cs="Latha"/>
                                  <w:color w:val="000000" w:themeColor="text1"/>
                                  <w:kern w:val="24"/>
                                </w:rPr>
                              </w:pPr>
                              <w:r w:rsidRPr="008905D6">
                                <w:rPr>
                                  <w:rFonts w:cs="Latha"/>
                                  <w:color w:val="000000" w:themeColor="text1"/>
                                  <w:kern w:val="24"/>
                                </w:rPr>
                                <w:t>budownictwo</w:t>
                              </w:r>
                            </w:p>
                            <w:p w14:paraId="59455448" w14:textId="3F54722A" w:rsidR="00C36C5C" w:rsidRDefault="00C36C5C" w:rsidP="00E17A47">
                              <w:pPr>
                                <w:spacing w:after="0"/>
                                <w:jc w:val="center"/>
                                <w:rPr>
                                  <w:rFonts w:cs="Latha"/>
                                  <w:color w:val="000000" w:themeColor="text1"/>
                                  <w:kern w:val="24"/>
                                </w:rPr>
                              </w:pPr>
                              <w:r w:rsidRPr="008905D6">
                                <w:rPr>
                                  <w:rFonts w:cs="Latha"/>
                                  <w:color w:val="000000" w:themeColor="text1"/>
                                  <w:kern w:val="24"/>
                                </w:rPr>
                                <w:t>transport drogowy</w:t>
                              </w:r>
                            </w:p>
                            <w:p w14:paraId="6794D7DC" w14:textId="71113E57" w:rsidR="00C36C5C" w:rsidRPr="008905D6" w:rsidRDefault="00C36C5C" w:rsidP="00E17A47">
                              <w:pPr>
                                <w:spacing w:after="0"/>
                                <w:jc w:val="center"/>
                                <w:rPr>
                                  <w:rFonts w:cs="Latha"/>
                                  <w:color w:val="000000" w:themeColor="text1"/>
                                  <w:kern w:val="24"/>
                                </w:rPr>
                              </w:pPr>
                              <w:r>
                                <w:rPr>
                                  <w:rFonts w:cs="Latha"/>
                                  <w:color w:val="000000" w:themeColor="text1"/>
                                  <w:kern w:val="24"/>
                                </w:rPr>
                                <w:t>drobny przemysł</w:t>
                              </w:r>
                            </w:p>
                            <w:p w14:paraId="65F7FAE7" w14:textId="77777777" w:rsidR="00C36C5C" w:rsidRPr="008905D6" w:rsidRDefault="00C36C5C" w:rsidP="00E17A47">
                              <w:pPr>
                                <w:spacing w:after="0"/>
                                <w:jc w:val="center"/>
                                <w:rPr>
                                  <w:rFonts w:cs="Latha"/>
                                  <w:color w:val="000000" w:themeColor="text1"/>
                                  <w:kern w:val="24"/>
                                </w:rPr>
                              </w:pPr>
                            </w:p>
                            <w:p w14:paraId="1F0612E5" w14:textId="77777777" w:rsidR="00C36C5C" w:rsidRPr="008905D6" w:rsidRDefault="00C36C5C" w:rsidP="00E17A47">
                              <w:pPr>
                                <w:spacing w:after="0"/>
                                <w:jc w:val="center"/>
                                <w:rPr>
                                  <w:rFonts w:cs="Latha"/>
                                  <w:color w:val="000000" w:themeColor="text1"/>
                                  <w:kern w:val="24"/>
                                </w:rPr>
                              </w:pPr>
                              <w:r w:rsidRPr="008905D6">
                                <w:rPr>
                                  <w:rFonts w:cs="Latha"/>
                                  <w:color w:val="000000" w:themeColor="text1"/>
                                  <w:kern w:val="24"/>
                                </w:rPr>
                                <w:t>rolnictwo</w:t>
                              </w:r>
                            </w:p>
                            <w:p w14:paraId="470FAA3E" w14:textId="77777777" w:rsidR="00C36C5C" w:rsidRPr="008905D6" w:rsidRDefault="00C36C5C" w:rsidP="00E17A47">
                              <w:pPr>
                                <w:spacing w:after="0"/>
                                <w:jc w:val="center"/>
                                <w:rPr>
                                  <w:rFonts w:cs="Latha"/>
                                  <w:color w:val="000000" w:themeColor="text1"/>
                                  <w:kern w:val="24"/>
                                </w:rPr>
                              </w:pPr>
                              <w:r w:rsidRPr="008905D6">
                                <w:rPr>
                                  <w:rFonts w:cs="Latha"/>
                                  <w:color w:val="000000" w:themeColor="text1"/>
                                  <w:kern w:val="24"/>
                                </w:rPr>
                                <w:t>odpady</w:t>
                              </w:r>
                            </w:p>
                          </w:txbxContent>
                        </wps:txbx>
                        <wps:bodyPr wrap="square" rtlCol="0" anchor="ctr">
                          <a:noAutofit/>
                        </wps:bodyPr>
                      </wps:wsp>
                      <wps:wsp>
                        <wps:cNvPr id="602385587" name="Prostokąt: zaokrąglone rogi 602385587"/>
                        <wps:cNvSpPr/>
                        <wps:spPr>
                          <a:xfrm>
                            <a:off x="81415" y="1573118"/>
                            <a:ext cx="1569720" cy="1187828"/>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2D07E6" w14:textId="310266F1" w:rsidR="00C36C5C" w:rsidRPr="008905D6" w:rsidRDefault="00C36C5C" w:rsidP="00E17A47">
                              <w:pPr>
                                <w:spacing w:after="0"/>
                                <w:jc w:val="center"/>
                                <w:rPr>
                                  <w:b/>
                                  <w:bCs/>
                                  <w:color w:val="44546A" w:themeColor="text2"/>
                                  <w:kern w:val="24"/>
                                  <w:sz w:val="36"/>
                                  <w:szCs w:val="36"/>
                                  <w14:ligatures w14:val="none"/>
                                </w:rPr>
                              </w:pPr>
                              <w:r w:rsidRPr="008905D6">
                                <w:rPr>
                                  <w:b/>
                                  <w:bCs/>
                                  <w:color w:val="44546A" w:themeColor="text2"/>
                                  <w:kern w:val="24"/>
                                  <w:sz w:val="36"/>
                                  <w:szCs w:val="36"/>
                                </w:rPr>
                                <w:t>EU ETS</w:t>
                              </w:r>
                            </w:p>
                            <w:p w14:paraId="3994E78F" w14:textId="77777777" w:rsidR="00C36C5C" w:rsidRPr="008905D6" w:rsidRDefault="00C36C5C" w:rsidP="00E17A47">
                              <w:pPr>
                                <w:spacing w:after="0"/>
                                <w:jc w:val="center"/>
                                <w:rPr>
                                  <w:color w:val="000000" w:themeColor="text1"/>
                                  <w:kern w:val="24"/>
                                </w:rPr>
                              </w:pPr>
                              <w:r w:rsidRPr="008905D6">
                                <w:rPr>
                                  <w:color w:val="000000" w:themeColor="text1"/>
                                  <w:kern w:val="24"/>
                                </w:rPr>
                                <w:t>energetyka</w:t>
                              </w:r>
                            </w:p>
                            <w:p w14:paraId="20842D19" w14:textId="77777777" w:rsidR="00C36C5C" w:rsidRPr="008905D6" w:rsidRDefault="00C36C5C" w:rsidP="00E17A47">
                              <w:pPr>
                                <w:spacing w:after="0"/>
                                <w:jc w:val="center"/>
                                <w:rPr>
                                  <w:color w:val="000000" w:themeColor="text1"/>
                                  <w:kern w:val="24"/>
                                </w:rPr>
                              </w:pPr>
                              <w:r w:rsidRPr="008905D6">
                                <w:rPr>
                                  <w:color w:val="000000" w:themeColor="text1"/>
                                  <w:kern w:val="24"/>
                                </w:rPr>
                                <w:t xml:space="preserve">przemysł energochłonny </w:t>
                              </w:r>
                            </w:p>
                            <w:p w14:paraId="5FB75B8B" w14:textId="46B4764D" w:rsidR="00C36C5C" w:rsidRDefault="00C36C5C" w:rsidP="002542B1">
                              <w:pPr>
                                <w:spacing w:after="0"/>
                                <w:jc w:val="center"/>
                                <w:rPr>
                                  <w:color w:val="000000" w:themeColor="text1"/>
                                  <w:kern w:val="24"/>
                                </w:rPr>
                              </w:pPr>
                              <w:r w:rsidRPr="008905D6">
                                <w:rPr>
                                  <w:color w:val="000000" w:themeColor="text1"/>
                                  <w:kern w:val="24"/>
                                </w:rPr>
                                <w:t>lotnictwo</w:t>
                              </w:r>
                            </w:p>
                            <w:p w14:paraId="21BEDF45" w14:textId="6AC67EE5" w:rsidR="00C36C5C" w:rsidRPr="008905D6" w:rsidRDefault="00C36C5C" w:rsidP="002542B1">
                              <w:pPr>
                                <w:spacing w:after="0"/>
                                <w:jc w:val="center"/>
                                <w:rPr>
                                  <w:color w:val="000000" w:themeColor="text1"/>
                                  <w:kern w:val="24"/>
                                </w:rPr>
                              </w:pPr>
                              <w:r>
                                <w:rPr>
                                  <w:color w:val="000000" w:themeColor="text1"/>
                                  <w:kern w:val="24"/>
                                </w:rPr>
                                <w:t>transport morski</w:t>
                              </w:r>
                            </w:p>
                          </w:txbxContent>
                        </wps:txbx>
                        <wps:bodyPr rtlCol="0" anchor="ctr"/>
                      </wps:wsp>
                      <wps:wsp>
                        <wps:cNvPr id="1801714355" name="pole tekstowe 26"/>
                        <wps:cNvSpPr txBox="1"/>
                        <wps:spPr>
                          <a:xfrm>
                            <a:off x="92502" y="189738"/>
                            <a:ext cx="2785924" cy="348143"/>
                          </a:xfrm>
                          <a:prstGeom prst="rect">
                            <a:avLst/>
                          </a:prstGeom>
                          <a:noFill/>
                        </wps:spPr>
                        <wps:txbx>
                          <w:txbxContent>
                            <w:p w14:paraId="5DFB751F" w14:textId="7267DE78" w:rsidR="00C36C5C" w:rsidRPr="00B137DC" w:rsidRDefault="00C36C5C" w:rsidP="00DE4F4E">
                              <w:pPr>
                                <w:pStyle w:val="tyturys"/>
                                <w:jc w:val="left"/>
                              </w:pPr>
                              <w:r w:rsidRPr="00B137DC">
                                <w:t xml:space="preserve">Redukcja </w:t>
                              </w:r>
                              <w:r>
                                <w:t>GHG</w:t>
                              </w:r>
                              <w:r w:rsidRPr="00B137DC">
                                <w:t xml:space="preserve"> w 2030 r. vs. 1990</w:t>
                              </w:r>
                            </w:p>
                            <w:p w14:paraId="4B8E4C50" w14:textId="77777777" w:rsidR="00C36C5C" w:rsidRPr="00B137DC" w:rsidRDefault="00C36C5C" w:rsidP="00B137DC">
                              <w:pPr>
                                <w:spacing w:after="0" w:line="256" w:lineRule="auto"/>
                                <w:jc w:val="left"/>
                                <w:rPr>
                                  <w:b/>
                                  <w:bCs/>
                                  <w:color w:val="323E4F" w:themeColor="text2" w:themeShade="BF"/>
                                  <w:sz w:val="32"/>
                                  <w:szCs w:val="32"/>
                                  <w14:ligatures w14:val="none"/>
                                </w:rPr>
                              </w:pPr>
                            </w:p>
                          </w:txbxContent>
                        </wps:txbx>
                        <wps:bodyPr wrap="square">
                          <a:noAutofit/>
                        </wps:bodyPr>
                      </wps:wsp>
                      <wps:wsp>
                        <wps:cNvPr id="480658699" name="Owal 480658699"/>
                        <wps:cNvSpPr/>
                        <wps:spPr>
                          <a:xfrm>
                            <a:off x="834129" y="1101343"/>
                            <a:ext cx="993914" cy="651147"/>
                          </a:xfrm>
                          <a:prstGeom prst="ellipse">
                            <a:avLst/>
                          </a:prstGeom>
                          <a:solidFill>
                            <a:schemeClr val="bg1"/>
                          </a:solidFill>
                          <a:ln w="9525">
                            <a:solidFill>
                              <a:srgbClr val="70AD4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C9123D" w14:textId="3A4C272E" w:rsidR="00C36C5C" w:rsidRPr="008905D6" w:rsidRDefault="00C36C5C" w:rsidP="00E17A47">
                              <w:pPr>
                                <w:spacing w:after="0"/>
                                <w:jc w:val="center"/>
                                <w:rPr>
                                  <w:b/>
                                  <w:bCs/>
                                  <w:color w:val="44546A" w:themeColor="text2"/>
                                  <w:kern w:val="24"/>
                                  <w:sz w:val="32"/>
                                  <w:szCs w:val="32"/>
                                  <w14:ligatures w14:val="none"/>
                                </w:rPr>
                              </w:pPr>
                              <w:r w:rsidRPr="006D1B23">
                                <w:rPr>
                                  <w:rFonts w:ascii="Arial" w:hAnsi="Arial" w:cs="Arial"/>
                                  <w:b/>
                                  <w:bCs/>
                                  <w:color w:val="44546A" w:themeColor="text2"/>
                                  <w:kern w:val="24"/>
                                  <w:sz w:val="32"/>
                                  <w:szCs w:val="32"/>
                                </w:rPr>
                                <w:t>↓</w:t>
                              </w:r>
                              <w:r>
                                <w:rPr>
                                  <w:b/>
                                  <w:bCs/>
                                  <w:color w:val="44546A" w:themeColor="text2"/>
                                  <w:kern w:val="24"/>
                                  <w:sz w:val="32"/>
                                  <w:szCs w:val="32"/>
                                </w:rPr>
                                <w:t>51,</w:t>
                              </w:r>
                              <w:r w:rsidRPr="00932BD7">
                                <w:rPr>
                                  <w:b/>
                                  <w:bCs/>
                                  <w:color w:val="44546A" w:themeColor="text2"/>
                                  <w:kern w:val="24"/>
                                  <w:sz w:val="28"/>
                                  <w:szCs w:val="28"/>
                                </w:rPr>
                                <w:t>1</w:t>
                              </w:r>
                              <w:r w:rsidRPr="00932BD7">
                                <w:rPr>
                                  <w:b/>
                                  <w:color w:val="44546A" w:themeColor="text2"/>
                                  <w:kern w:val="24"/>
                                  <w:sz w:val="28"/>
                                  <w:szCs w:val="28"/>
                                </w:rPr>
                                <w:t>%</w:t>
                              </w:r>
                              <w:r>
                                <w:rPr>
                                  <w:b/>
                                  <w:bCs/>
                                  <w:color w:val="44546A" w:themeColor="text2"/>
                                  <w:kern w:val="24"/>
                                  <w:sz w:val="32"/>
                                  <w:szCs w:val="32"/>
                                </w:rPr>
                                <w:t xml:space="preserve"> </w:t>
                              </w:r>
                              <w:r w:rsidRPr="00B137DC">
                                <w:rPr>
                                  <w:b/>
                                  <w:bCs/>
                                  <w:color w:val="44546A" w:themeColor="text2"/>
                                  <w:kern w:val="24"/>
                                  <w:sz w:val="22"/>
                                </w:rPr>
                                <w:t>vs.</w:t>
                              </w:r>
                              <w:r>
                                <w:rPr>
                                  <w:b/>
                                  <w:bCs/>
                                  <w:color w:val="44546A" w:themeColor="text2"/>
                                  <w:kern w:val="24"/>
                                  <w:sz w:val="22"/>
                                </w:rPr>
                                <w:t> </w:t>
                              </w:r>
                              <w:r w:rsidRPr="00B137DC">
                                <w:rPr>
                                  <w:b/>
                                  <w:bCs/>
                                  <w:color w:val="44546A" w:themeColor="text2"/>
                                  <w:kern w:val="24"/>
                                  <w:sz w:val="22"/>
                                </w:rPr>
                                <w:t>2005</w:t>
                              </w:r>
                            </w:p>
                          </w:txbxContent>
                        </wps:txbx>
                        <wps:bodyPr rtlCol="0" anchor="ctr"/>
                      </wps:wsp>
                      <wps:wsp>
                        <wps:cNvPr id="1217501976" name="Owal 1217501976"/>
                        <wps:cNvSpPr/>
                        <wps:spPr>
                          <a:xfrm>
                            <a:off x="3017776" y="235295"/>
                            <a:ext cx="920393" cy="700830"/>
                          </a:xfrm>
                          <a:prstGeom prst="ellipse">
                            <a:avLst/>
                          </a:prstGeom>
                          <a:solidFill>
                            <a:schemeClr val="bg1"/>
                          </a:solidFill>
                          <a:ln w="9525">
                            <a:solidFill>
                              <a:srgbClr val="70AD4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CD57D2" w14:textId="7F494FBC" w:rsidR="00C36C5C" w:rsidRPr="008905D6" w:rsidRDefault="00C36C5C" w:rsidP="00E17A47">
                              <w:pPr>
                                <w:spacing w:after="0"/>
                                <w:jc w:val="center"/>
                                <w:rPr>
                                  <w:b/>
                                  <w:bCs/>
                                  <w:color w:val="44546A" w:themeColor="text2"/>
                                  <w:kern w:val="24"/>
                                  <w:sz w:val="32"/>
                                  <w:szCs w:val="32"/>
                                  <w14:ligatures w14:val="none"/>
                                </w:rPr>
                              </w:pPr>
                              <w:r w:rsidRPr="008905D6">
                                <w:rPr>
                                  <w:rFonts w:ascii="Arial" w:hAnsi="Arial" w:cs="Arial"/>
                                  <w:b/>
                                  <w:bCs/>
                                  <w:color w:val="44546A" w:themeColor="text2"/>
                                  <w:kern w:val="24"/>
                                  <w:sz w:val="32"/>
                                  <w:szCs w:val="32"/>
                                </w:rPr>
                                <w:t>↓</w:t>
                              </w:r>
                              <w:r>
                                <w:rPr>
                                  <w:b/>
                                  <w:bCs/>
                                  <w:color w:val="44546A" w:themeColor="text2"/>
                                  <w:kern w:val="24"/>
                                  <w:sz w:val="32"/>
                                  <w:szCs w:val="32"/>
                                </w:rPr>
                                <w:t>22</w:t>
                              </w:r>
                              <w:r w:rsidRPr="00932BD7">
                                <w:rPr>
                                  <w:b/>
                                  <w:color w:val="44546A" w:themeColor="text2"/>
                                  <w:kern w:val="24"/>
                                  <w:sz w:val="28"/>
                                  <w:szCs w:val="28"/>
                                </w:rPr>
                                <w:t>%</w:t>
                              </w:r>
                              <w:r>
                                <w:rPr>
                                  <w:b/>
                                  <w:bCs/>
                                  <w:color w:val="44546A" w:themeColor="text2"/>
                                  <w:kern w:val="24"/>
                                  <w:sz w:val="32"/>
                                  <w:szCs w:val="32"/>
                                </w:rPr>
                                <w:t xml:space="preserve"> </w:t>
                              </w:r>
                              <w:r w:rsidRPr="00B137DC">
                                <w:rPr>
                                  <w:b/>
                                  <w:bCs/>
                                  <w:color w:val="44546A" w:themeColor="text2"/>
                                  <w:kern w:val="24"/>
                                  <w:sz w:val="22"/>
                                </w:rPr>
                                <w:t>vs.</w:t>
                              </w:r>
                              <w:r>
                                <w:rPr>
                                  <w:b/>
                                  <w:bCs/>
                                  <w:color w:val="44546A" w:themeColor="text2"/>
                                  <w:kern w:val="24"/>
                                  <w:sz w:val="22"/>
                                </w:rPr>
                                <w:t> </w:t>
                              </w:r>
                              <w:r w:rsidRPr="00B137DC">
                                <w:rPr>
                                  <w:b/>
                                  <w:bCs/>
                                  <w:color w:val="44546A" w:themeColor="text2"/>
                                  <w:kern w:val="24"/>
                                  <w:sz w:val="22"/>
                                </w:rPr>
                                <w:t>2005</w:t>
                              </w:r>
                            </w:p>
                          </w:txbxContent>
                        </wps:txbx>
                        <wps:bodyPr rtlCol="0" anchor="ctr"/>
                      </wps:wsp>
                      <wps:wsp>
                        <wps:cNvPr id="1322545693" name="Prostokąt: zaokrąglone rogi 1322545693"/>
                        <wps:cNvSpPr/>
                        <wps:spPr>
                          <a:xfrm>
                            <a:off x="2076917" y="1278364"/>
                            <a:ext cx="1437275" cy="885969"/>
                          </a:xfrm>
                          <a:prstGeom prst="roundRect">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EE1FCA" w14:textId="77777777" w:rsidR="00C36C5C" w:rsidRDefault="00C36C5C" w:rsidP="00E17A47">
                              <w:pPr>
                                <w:spacing w:after="0"/>
                                <w:jc w:val="center"/>
                                <w:rPr>
                                  <w:b/>
                                  <w:bCs/>
                                  <w:color w:val="44546A" w:themeColor="text2"/>
                                  <w:kern w:val="24"/>
                                  <w:sz w:val="28"/>
                                  <w:szCs w:val="28"/>
                                </w:rPr>
                              </w:pPr>
                              <w:r w:rsidRPr="008905D6">
                                <w:rPr>
                                  <w:b/>
                                  <w:bCs/>
                                  <w:color w:val="44546A" w:themeColor="text2"/>
                                  <w:kern w:val="24"/>
                                  <w:sz w:val="28"/>
                                  <w:szCs w:val="28"/>
                                </w:rPr>
                                <w:t>ETS-2</w:t>
                              </w:r>
                            </w:p>
                            <w:p w14:paraId="73BCB629" w14:textId="77777777" w:rsidR="00C36C5C" w:rsidRDefault="00C36C5C" w:rsidP="00E17A47">
                              <w:pPr>
                                <w:spacing w:after="0"/>
                                <w:jc w:val="center"/>
                                <w:rPr>
                                  <w:b/>
                                  <w:bCs/>
                                  <w:color w:val="44546A" w:themeColor="text2"/>
                                  <w:kern w:val="24"/>
                                  <w:sz w:val="28"/>
                                  <w:szCs w:val="28"/>
                                </w:rPr>
                              </w:pPr>
                            </w:p>
                            <w:p w14:paraId="4C054933" w14:textId="77777777" w:rsidR="00C36C5C" w:rsidRDefault="00C36C5C" w:rsidP="00E17A47">
                              <w:pPr>
                                <w:spacing w:after="0"/>
                                <w:jc w:val="center"/>
                                <w:rPr>
                                  <w:b/>
                                  <w:bCs/>
                                  <w:color w:val="44546A" w:themeColor="text2"/>
                                  <w:kern w:val="24"/>
                                  <w:sz w:val="28"/>
                                  <w:szCs w:val="28"/>
                                </w:rPr>
                              </w:pPr>
                            </w:p>
                            <w:p w14:paraId="008286B9" w14:textId="77777777" w:rsidR="00C36C5C" w:rsidRDefault="00C36C5C" w:rsidP="00E17A47">
                              <w:pPr>
                                <w:spacing w:after="0"/>
                                <w:jc w:val="center"/>
                                <w:rPr>
                                  <w:b/>
                                  <w:bCs/>
                                  <w:color w:val="44546A" w:themeColor="text2"/>
                                  <w:kern w:val="24"/>
                                  <w:sz w:val="28"/>
                                  <w:szCs w:val="28"/>
                                </w:rPr>
                              </w:pPr>
                            </w:p>
                            <w:p w14:paraId="5F43DFCB" w14:textId="77777777" w:rsidR="00C36C5C" w:rsidRDefault="00C36C5C" w:rsidP="00E17A47">
                              <w:pPr>
                                <w:spacing w:after="0"/>
                                <w:jc w:val="center"/>
                                <w:rPr>
                                  <w:b/>
                                  <w:bCs/>
                                  <w:color w:val="44546A" w:themeColor="text2"/>
                                  <w:kern w:val="24"/>
                                  <w:sz w:val="28"/>
                                  <w:szCs w:val="28"/>
                                </w:rPr>
                              </w:pPr>
                            </w:p>
                            <w:p w14:paraId="6A88E0DD" w14:textId="77777777" w:rsidR="00C36C5C" w:rsidRPr="008905D6" w:rsidRDefault="00C36C5C" w:rsidP="00E17A47">
                              <w:pPr>
                                <w:spacing w:after="0"/>
                                <w:jc w:val="center"/>
                                <w:rPr>
                                  <w:b/>
                                  <w:bCs/>
                                  <w:color w:val="44546A" w:themeColor="text2"/>
                                  <w:kern w:val="24"/>
                                  <w:sz w:val="28"/>
                                  <w:szCs w:val="28"/>
                                </w:rPr>
                              </w:pPr>
                            </w:p>
                            <w:p w14:paraId="03A83769" w14:textId="77777777" w:rsidR="00C36C5C" w:rsidRPr="008905D6" w:rsidRDefault="00C36C5C" w:rsidP="00E17A47">
                              <w:pPr>
                                <w:spacing w:after="0"/>
                                <w:jc w:val="center"/>
                                <w:rPr>
                                  <w:b/>
                                  <w:bCs/>
                                  <w:color w:val="44546A" w:themeColor="text2"/>
                                  <w:kern w:val="24"/>
                                  <w:sz w:val="32"/>
                                  <w:szCs w:val="32"/>
                                </w:rPr>
                              </w:pPr>
                            </w:p>
                            <w:p w14:paraId="2541F3FE" w14:textId="1DBD567F" w:rsidR="00C36C5C" w:rsidRPr="008905D6" w:rsidRDefault="00C36C5C" w:rsidP="002542B1">
                              <w:pPr>
                                <w:spacing w:after="0"/>
                                <w:rPr>
                                  <w:b/>
                                  <w:bCs/>
                                  <w:color w:val="44546A" w:themeColor="text2"/>
                                  <w:kern w:val="24"/>
                                  <w:sz w:val="32"/>
                                  <w:szCs w:val="32"/>
                                </w:rPr>
                              </w:pPr>
                            </w:p>
                          </w:txbxContent>
                        </wps:txbx>
                        <wps:bodyPr rtlCol="0" anchor="ctr"/>
                      </wps:wsp>
                    </wpg:wgp>
                  </a:graphicData>
                </a:graphic>
              </wp:anchor>
            </w:drawing>
          </mc:Choice>
          <mc:Fallback>
            <w:pict>
              <v:group w14:anchorId="7C631DC6" id="Grupa 1" o:spid="_x0000_s1062" style="position:absolute;left:0;text-align:left;margin-left:7.9pt;margin-top:63.4pt;width:416.1pt;height:222.55pt;z-index:251732480" coordorigin="814,1897" coordsize="38567,2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">
                <v:roundrect id="Prostokąt: zaokrąglone rogi 131712259" o:spid="_x0000_s1063" style="position:absolute;left:19711;top:6542;width:16611;height:21117;visibility:visible;mso-wrap-style:square;v-text-anchor:middle" arcsize="8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" filled="f" strokecolor="#70ad47 [3209]" strokeweight="1pt">
                  <v:stroke joinstyle="miter"/>
                  <v:textbox>
                    <w:txbxContent>
                      <w:p w14:paraId="4BBE0871" w14:textId="342534EF" w:rsidR="00C36C5C" w:rsidRPr="008905D6" w:rsidRDefault="00C36C5C" w:rsidP="00E17A47">
                        <w:pPr>
                          <w:spacing w:after="0"/>
                          <w:jc w:val="center"/>
                          <w:rPr>
                            <w:b/>
                            <w:bCs/>
                            <w:color w:val="44546A" w:themeColor="text2"/>
                            <w:kern w:val="24"/>
                            <w:sz w:val="36"/>
                            <w:szCs w:val="36"/>
                          </w:rPr>
                        </w:pPr>
                        <w:r w:rsidRPr="008905D6">
                          <w:rPr>
                            <w:b/>
                            <w:bCs/>
                            <w:color w:val="44546A" w:themeColor="text2"/>
                            <w:kern w:val="24"/>
                            <w:sz w:val="36"/>
                            <w:szCs w:val="36"/>
                          </w:rPr>
                          <w:t>ES</w:t>
                        </w:r>
                        <w:r>
                          <w:rPr>
                            <w:b/>
                            <w:bCs/>
                            <w:color w:val="44546A" w:themeColor="text2"/>
                            <w:kern w:val="24"/>
                            <w:sz w:val="36"/>
                            <w:szCs w:val="36"/>
                          </w:rPr>
                          <w:t>R (cel)</w:t>
                        </w:r>
                      </w:p>
                      <w:p w14:paraId="31967ACB" w14:textId="77777777" w:rsidR="00C36C5C" w:rsidRPr="008905D6" w:rsidRDefault="00C36C5C" w:rsidP="00E17A47">
                        <w:pPr>
                          <w:spacing w:after="0"/>
                          <w:jc w:val="center"/>
                          <w:rPr>
                            <w:rFonts w:cs="Latha"/>
                            <w:color w:val="000000" w:themeColor="text1"/>
                            <w:kern w:val="24"/>
                          </w:rPr>
                        </w:pPr>
                      </w:p>
                      <w:p w14:paraId="73B2E2C4" w14:textId="77777777" w:rsidR="00C36C5C" w:rsidRPr="008905D6" w:rsidRDefault="00C36C5C" w:rsidP="00E17A47">
                        <w:pPr>
                          <w:spacing w:after="0"/>
                          <w:jc w:val="center"/>
                          <w:rPr>
                            <w:rFonts w:cs="Latha"/>
                            <w:color w:val="000000" w:themeColor="text1"/>
                            <w:kern w:val="24"/>
                          </w:rPr>
                        </w:pPr>
                      </w:p>
                      <w:p w14:paraId="51EF082F" w14:textId="75615212" w:rsidR="00C36C5C" w:rsidRPr="008905D6" w:rsidRDefault="00C36C5C" w:rsidP="00DC45DA">
                        <w:pPr>
                          <w:spacing w:before="360" w:after="0"/>
                          <w:jc w:val="center"/>
                          <w:rPr>
                            <w:rFonts w:cs="Latha"/>
                            <w:color w:val="000000" w:themeColor="text1"/>
                            <w:kern w:val="24"/>
                          </w:rPr>
                        </w:pPr>
                        <w:r w:rsidRPr="008905D6">
                          <w:rPr>
                            <w:rFonts w:cs="Latha"/>
                            <w:color w:val="000000" w:themeColor="text1"/>
                            <w:kern w:val="24"/>
                          </w:rPr>
                          <w:t>budownictwo</w:t>
                        </w:r>
                      </w:p>
                      <w:p w14:paraId="59455448" w14:textId="3F54722A" w:rsidR="00C36C5C" w:rsidRDefault="00C36C5C" w:rsidP="00E17A47">
                        <w:pPr>
                          <w:spacing w:after="0"/>
                          <w:jc w:val="center"/>
                          <w:rPr>
                            <w:rFonts w:cs="Latha"/>
                            <w:color w:val="000000" w:themeColor="text1"/>
                            <w:kern w:val="24"/>
                          </w:rPr>
                        </w:pPr>
                        <w:r w:rsidRPr="008905D6">
                          <w:rPr>
                            <w:rFonts w:cs="Latha"/>
                            <w:color w:val="000000" w:themeColor="text1"/>
                            <w:kern w:val="24"/>
                          </w:rPr>
                          <w:t>transport drogowy</w:t>
                        </w:r>
                      </w:p>
                      <w:p w14:paraId="6794D7DC" w14:textId="71113E57" w:rsidR="00C36C5C" w:rsidRPr="008905D6" w:rsidRDefault="00C36C5C" w:rsidP="00E17A47">
                        <w:pPr>
                          <w:spacing w:after="0"/>
                          <w:jc w:val="center"/>
                          <w:rPr>
                            <w:rFonts w:cs="Latha"/>
                            <w:color w:val="000000" w:themeColor="text1"/>
                            <w:kern w:val="24"/>
                          </w:rPr>
                        </w:pPr>
                        <w:r>
                          <w:rPr>
                            <w:rFonts w:cs="Latha"/>
                            <w:color w:val="000000" w:themeColor="text1"/>
                            <w:kern w:val="24"/>
                          </w:rPr>
                          <w:t>drobny przemysł</w:t>
                        </w:r>
                      </w:p>
                      <w:p w14:paraId="65F7FAE7" w14:textId="77777777" w:rsidR="00C36C5C" w:rsidRPr="008905D6" w:rsidRDefault="00C36C5C" w:rsidP="00E17A47">
                        <w:pPr>
                          <w:spacing w:after="0"/>
                          <w:jc w:val="center"/>
                          <w:rPr>
                            <w:rFonts w:cs="Latha"/>
                            <w:color w:val="000000" w:themeColor="text1"/>
                            <w:kern w:val="24"/>
                          </w:rPr>
                        </w:pPr>
                      </w:p>
                      <w:p w14:paraId="1F0612E5" w14:textId="77777777" w:rsidR="00C36C5C" w:rsidRPr="008905D6" w:rsidRDefault="00C36C5C" w:rsidP="00E17A47">
                        <w:pPr>
                          <w:spacing w:after="0"/>
                          <w:jc w:val="center"/>
                          <w:rPr>
                            <w:rFonts w:cs="Latha"/>
                            <w:color w:val="000000" w:themeColor="text1"/>
                            <w:kern w:val="24"/>
                          </w:rPr>
                        </w:pPr>
                        <w:r w:rsidRPr="008905D6">
                          <w:rPr>
                            <w:rFonts w:cs="Latha"/>
                            <w:color w:val="000000" w:themeColor="text1"/>
                            <w:kern w:val="24"/>
                          </w:rPr>
                          <w:t>rolnictwo</w:t>
                        </w:r>
                      </w:p>
                      <w:p w14:paraId="470FAA3E" w14:textId="77777777" w:rsidR="00C36C5C" w:rsidRPr="008905D6" w:rsidRDefault="00C36C5C" w:rsidP="00E17A47">
                        <w:pPr>
                          <w:spacing w:after="0"/>
                          <w:jc w:val="center"/>
                          <w:rPr>
                            <w:rFonts w:cs="Latha"/>
                            <w:color w:val="000000" w:themeColor="text1"/>
                            <w:kern w:val="24"/>
                          </w:rPr>
                        </w:pPr>
                        <w:r w:rsidRPr="008905D6">
                          <w:rPr>
                            <w:rFonts w:cs="Latha"/>
                            <w:color w:val="000000" w:themeColor="text1"/>
                            <w:kern w:val="24"/>
                          </w:rPr>
                          <w:t>odpady</w:t>
                        </w:r>
                      </w:p>
                    </w:txbxContent>
                  </v:textbox>
                </v:roundrect>
                <v:roundrect id="Prostokąt: zaokrąglone rogi 602385587" o:spid="_x0000_s1064" style="position:absolute;left:814;top:15731;width:15697;height:118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" filled="f" strokecolor="#70ad47 [3209]" strokeweight="1pt">
                  <v:stroke joinstyle="miter"/>
                  <v:textbox>
                    <w:txbxContent>
                      <w:p w14:paraId="6B2D07E6" w14:textId="310266F1" w:rsidR="00C36C5C" w:rsidRPr="008905D6" w:rsidRDefault="00C36C5C" w:rsidP="00E17A47">
                        <w:pPr>
                          <w:spacing w:after="0"/>
                          <w:jc w:val="center"/>
                          <w:rPr>
                            <w:b/>
                            <w:bCs/>
                            <w:color w:val="44546A" w:themeColor="text2"/>
                            <w:kern w:val="24"/>
                            <w:sz w:val="36"/>
                            <w:szCs w:val="36"/>
                            <w14:ligatures w14:val="none"/>
                          </w:rPr>
                        </w:pPr>
                        <w:r w:rsidRPr="008905D6">
                          <w:rPr>
                            <w:b/>
                            <w:bCs/>
                            <w:color w:val="44546A" w:themeColor="text2"/>
                            <w:kern w:val="24"/>
                            <w:sz w:val="36"/>
                            <w:szCs w:val="36"/>
                          </w:rPr>
                          <w:t>EU ETS</w:t>
                        </w:r>
                      </w:p>
                      <w:p w14:paraId="3994E78F" w14:textId="77777777" w:rsidR="00C36C5C" w:rsidRPr="008905D6" w:rsidRDefault="00C36C5C" w:rsidP="00E17A47">
                        <w:pPr>
                          <w:spacing w:after="0"/>
                          <w:jc w:val="center"/>
                          <w:rPr>
                            <w:color w:val="000000" w:themeColor="text1"/>
                            <w:kern w:val="24"/>
                          </w:rPr>
                        </w:pPr>
                        <w:r w:rsidRPr="008905D6">
                          <w:rPr>
                            <w:color w:val="000000" w:themeColor="text1"/>
                            <w:kern w:val="24"/>
                          </w:rPr>
                          <w:t>energetyka</w:t>
                        </w:r>
                      </w:p>
                      <w:p w14:paraId="20842D19" w14:textId="77777777" w:rsidR="00C36C5C" w:rsidRPr="008905D6" w:rsidRDefault="00C36C5C" w:rsidP="00E17A47">
                        <w:pPr>
                          <w:spacing w:after="0"/>
                          <w:jc w:val="center"/>
                          <w:rPr>
                            <w:color w:val="000000" w:themeColor="text1"/>
                            <w:kern w:val="24"/>
                          </w:rPr>
                        </w:pPr>
                        <w:r w:rsidRPr="008905D6">
                          <w:rPr>
                            <w:color w:val="000000" w:themeColor="text1"/>
                            <w:kern w:val="24"/>
                          </w:rPr>
                          <w:t xml:space="preserve">przemysł energochłonny </w:t>
                        </w:r>
                      </w:p>
                      <w:p w14:paraId="5FB75B8B" w14:textId="46B4764D" w:rsidR="00C36C5C" w:rsidRDefault="00C36C5C" w:rsidP="002542B1">
                        <w:pPr>
                          <w:spacing w:after="0"/>
                          <w:jc w:val="center"/>
                          <w:rPr>
                            <w:color w:val="000000" w:themeColor="text1"/>
                            <w:kern w:val="24"/>
                          </w:rPr>
                        </w:pPr>
                        <w:r w:rsidRPr="008905D6">
                          <w:rPr>
                            <w:color w:val="000000" w:themeColor="text1"/>
                            <w:kern w:val="24"/>
                          </w:rPr>
                          <w:t>lotnictwo</w:t>
                        </w:r>
                      </w:p>
                      <w:p w14:paraId="21BEDF45" w14:textId="6AC67EE5" w:rsidR="00C36C5C" w:rsidRPr="008905D6" w:rsidRDefault="00C36C5C" w:rsidP="002542B1">
                        <w:pPr>
                          <w:spacing w:after="0"/>
                          <w:jc w:val="center"/>
                          <w:rPr>
                            <w:color w:val="000000" w:themeColor="text1"/>
                            <w:kern w:val="24"/>
                          </w:rPr>
                        </w:pPr>
                        <w:r>
                          <w:rPr>
                            <w:color w:val="000000" w:themeColor="text1"/>
                            <w:kern w:val="24"/>
                          </w:rPr>
                          <w:t>transport morski</w:t>
                        </w:r>
                      </w:p>
                    </w:txbxContent>
                  </v:textbox>
                </v:roundrect>
                <v:shapetype id="_x0000_t202" coordsize="21600,21600" o:spt="202" path="m,l,21600r21600,l21600,xe">
                  <v:stroke joinstyle="miter"/>
                  <v:path gradientshapeok="t" o:connecttype="rect"/>
                </v:shapetype>
                <v:shape id="_x0000_s1065" type="#_x0000_t202" style="position:absolute;left:925;top:1897;width:27859;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" filled="f" stroked="f">
                  <v:textbox>
                    <w:txbxContent>
                      <w:p w14:paraId="5DFB751F" w14:textId="7267DE78" w:rsidR="00C36C5C" w:rsidRPr="00B137DC" w:rsidRDefault="00C36C5C" w:rsidP="00DE4F4E">
                        <w:pPr>
                          <w:pStyle w:val="tyturys"/>
                          <w:jc w:val="left"/>
                        </w:pPr>
                        <w:r w:rsidRPr="00B137DC">
                          <w:t xml:space="preserve">Redukcja </w:t>
                        </w:r>
                        <w:r>
                          <w:t>GHG</w:t>
                        </w:r>
                        <w:r w:rsidRPr="00B137DC">
                          <w:t xml:space="preserve"> w 2030 r. vs. 1990</w:t>
                        </w:r>
                      </w:p>
                      <w:p w14:paraId="4B8E4C50" w14:textId="77777777" w:rsidR="00C36C5C" w:rsidRPr="00B137DC" w:rsidRDefault="00C36C5C" w:rsidP="00B137DC">
                        <w:pPr>
                          <w:spacing w:after="0" w:line="256" w:lineRule="auto"/>
                          <w:jc w:val="left"/>
                          <w:rPr>
                            <w:b/>
                            <w:bCs/>
                            <w:color w:val="323E4F" w:themeColor="text2" w:themeShade="BF"/>
                            <w:sz w:val="32"/>
                            <w:szCs w:val="32"/>
                            <w14:ligatures w14:val="none"/>
                          </w:rPr>
                        </w:pPr>
                      </w:p>
                    </w:txbxContent>
                  </v:textbox>
                </v:shape>
                <v:oval id="Owal 480658699" o:spid="_x0000_s1066" style="position:absolute;left:8341;top:11013;width:9939;height:6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" fillcolor="white [3212]" strokecolor="#70ad47">
                  <v:stroke joinstyle="miter"/>
                  <v:textbox>
                    <w:txbxContent>
                      <w:p w14:paraId="12C9123D" w14:textId="3A4C272E" w:rsidR="00C36C5C" w:rsidRPr="008905D6" w:rsidRDefault="00C36C5C" w:rsidP="00E17A47">
                        <w:pPr>
                          <w:spacing w:after="0"/>
                          <w:jc w:val="center"/>
                          <w:rPr>
                            <w:b/>
                            <w:bCs/>
                            <w:color w:val="44546A" w:themeColor="text2"/>
                            <w:kern w:val="24"/>
                            <w:sz w:val="32"/>
                            <w:szCs w:val="32"/>
                            <w14:ligatures w14:val="none"/>
                          </w:rPr>
                        </w:pPr>
                        <w:r w:rsidRPr="006D1B23">
                          <w:rPr>
                            <w:rFonts w:ascii="Arial" w:hAnsi="Arial" w:cs="Arial"/>
                            <w:b/>
                            <w:bCs/>
                            <w:color w:val="44546A" w:themeColor="text2"/>
                            <w:kern w:val="24"/>
                            <w:sz w:val="32"/>
                            <w:szCs w:val="32"/>
                          </w:rPr>
                          <w:t>↓</w:t>
                        </w:r>
                        <w:r>
                          <w:rPr>
                            <w:b/>
                            <w:bCs/>
                            <w:color w:val="44546A" w:themeColor="text2"/>
                            <w:kern w:val="24"/>
                            <w:sz w:val="32"/>
                            <w:szCs w:val="32"/>
                          </w:rPr>
                          <w:t>51,</w:t>
                        </w:r>
                        <w:r w:rsidRPr="00932BD7">
                          <w:rPr>
                            <w:b/>
                            <w:bCs/>
                            <w:color w:val="44546A" w:themeColor="text2"/>
                            <w:kern w:val="24"/>
                            <w:sz w:val="28"/>
                            <w:szCs w:val="28"/>
                          </w:rPr>
                          <w:t>1</w:t>
                        </w:r>
                        <w:r w:rsidRPr="00932BD7">
                          <w:rPr>
                            <w:b/>
                            <w:color w:val="44546A" w:themeColor="text2"/>
                            <w:kern w:val="24"/>
                            <w:sz w:val="28"/>
                            <w:szCs w:val="28"/>
                          </w:rPr>
                          <w:t>%</w:t>
                        </w:r>
                        <w:r>
                          <w:rPr>
                            <w:b/>
                            <w:bCs/>
                            <w:color w:val="44546A" w:themeColor="text2"/>
                            <w:kern w:val="24"/>
                            <w:sz w:val="32"/>
                            <w:szCs w:val="32"/>
                          </w:rPr>
                          <w:t xml:space="preserve"> </w:t>
                        </w:r>
                        <w:r w:rsidRPr="00B137DC">
                          <w:rPr>
                            <w:b/>
                            <w:bCs/>
                            <w:color w:val="44546A" w:themeColor="text2"/>
                            <w:kern w:val="24"/>
                            <w:sz w:val="22"/>
                          </w:rPr>
                          <w:t>vs.</w:t>
                        </w:r>
                        <w:r>
                          <w:rPr>
                            <w:b/>
                            <w:bCs/>
                            <w:color w:val="44546A" w:themeColor="text2"/>
                            <w:kern w:val="24"/>
                            <w:sz w:val="22"/>
                          </w:rPr>
                          <w:t> </w:t>
                        </w:r>
                        <w:r w:rsidRPr="00B137DC">
                          <w:rPr>
                            <w:b/>
                            <w:bCs/>
                            <w:color w:val="44546A" w:themeColor="text2"/>
                            <w:kern w:val="24"/>
                            <w:sz w:val="22"/>
                          </w:rPr>
                          <w:t>2005</w:t>
                        </w:r>
                      </w:p>
                    </w:txbxContent>
                  </v:textbox>
                </v:oval>
                <v:oval id="Owal 1217501976" o:spid="_x0000_s1067" style="position:absolute;left:30177;top:2352;width:9204;height:7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" fillcolor="white [3212]" strokecolor="#70ad47">
                  <v:stroke joinstyle="miter"/>
                  <v:textbox>
                    <w:txbxContent>
                      <w:p w14:paraId="46CD57D2" w14:textId="7F494FBC" w:rsidR="00C36C5C" w:rsidRPr="008905D6" w:rsidRDefault="00C36C5C" w:rsidP="00E17A47">
                        <w:pPr>
                          <w:spacing w:after="0"/>
                          <w:jc w:val="center"/>
                          <w:rPr>
                            <w:b/>
                            <w:bCs/>
                            <w:color w:val="44546A" w:themeColor="text2"/>
                            <w:kern w:val="24"/>
                            <w:sz w:val="32"/>
                            <w:szCs w:val="32"/>
                            <w14:ligatures w14:val="none"/>
                          </w:rPr>
                        </w:pPr>
                        <w:r w:rsidRPr="008905D6">
                          <w:rPr>
                            <w:rFonts w:ascii="Arial" w:hAnsi="Arial" w:cs="Arial"/>
                            <w:b/>
                            <w:bCs/>
                            <w:color w:val="44546A" w:themeColor="text2"/>
                            <w:kern w:val="24"/>
                            <w:sz w:val="32"/>
                            <w:szCs w:val="32"/>
                          </w:rPr>
                          <w:t>↓</w:t>
                        </w:r>
                        <w:r>
                          <w:rPr>
                            <w:b/>
                            <w:bCs/>
                            <w:color w:val="44546A" w:themeColor="text2"/>
                            <w:kern w:val="24"/>
                            <w:sz w:val="32"/>
                            <w:szCs w:val="32"/>
                          </w:rPr>
                          <w:t>22</w:t>
                        </w:r>
                        <w:r w:rsidRPr="00932BD7">
                          <w:rPr>
                            <w:b/>
                            <w:color w:val="44546A" w:themeColor="text2"/>
                            <w:kern w:val="24"/>
                            <w:sz w:val="28"/>
                            <w:szCs w:val="28"/>
                          </w:rPr>
                          <w:t>%</w:t>
                        </w:r>
                        <w:r>
                          <w:rPr>
                            <w:b/>
                            <w:bCs/>
                            <w:color w:val="44546A" w:themeColor="text2"/>
                            <w:kern w:val="24"/>
                            <w:sz w:val="32"/>
                            <w:szCs w:val="32"/>
                          </w:rPr>
                          <w:t xml:space="preserve"> </w:t>
                        </w:r>
                        <w:r w:rsidRPr="00B137DC">
                          <w:rPr>
                            <w:b/>
                            <w:bCs/>
                            <w:color w:val="44546A" w:themeColor="text2"/>
                            <w:kern w:val="24"/>
                            <w:sz w:val="22"/>
                          </w:rPr>
                          <w:t>vs.</w:t>
                        </w:r>
                        <w:r>
                          <w:rPr>
                            <w:b/>
                            <w:bCs/>
                            <w:color w:val="44546A" w:themeColor="text2"/>
                            <w:kern w:val="24"/>
                            <w:sz w:val="22"/>
                          </w:rPr>
                          <w:t> </w:t>
                        </w:r>
                        <w:r w:rsidRPr="00B137DC">
                          <w:rPr>
                            <w:b/>
                            <w:bCs/>
                            <w:color w:val="44546A" w:themeColor="text2"/>
                            <w:kern w:val="24"/>
                            <w:sz w:val="22"/>
                          </w:rPr>
                          <w:t>2005</w:t>
                        </w:r>
                      </w:p>
                    </w:txbxContent>
                  </v:textbox>
                </v:oval>
                <v:roundrect id="Prostokąt: zaokrąglone rogi 1322545693" o:spid="_x0000_s1068" style="position:absolute;left:20769;top:12783;width:14372;height:88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" filled="f" strokecolor="#92d050" strokeweight="1pt">
                  <v:stroke joinstyle="miter"/>
                  <v:textbox>
                    <w:txbxContent>
                      <w:p w14:paraId="10EE1FCA" w14:textId="77777777" w:rsidR="00C36C5C" w:rsidRDefault="00C36C5C" w:rsidP="00E17A47">
                        <w:pPr>
                          <w:spacing w:after="0"/>
                          <w:jc w:val="center"/>
                          <w:rPr>
                            <w:b/>
                            <w:bCs/>
                            <w:color w:val="44546A" w:themeColor="text2"/>
                            <w:kern w:val="24"/>
                            <w:sz w:val="28"/>
                            <w:szCs w:val="28"/>
                          </w:rPr>
                        </w:pPr>
                        <w:r w:rsidRPr="008905D6">
                          <w:rPr>
                            <w:b/>
                            <w:bCs/>
                            <w:color w:val="44546A" w:themeColor="text2"/>
                            <w:kern w:val="24"/>
                            <w:sz w:val="28"/>
                            <w:szCs w:val="28"/>
                          </w:rPr>
                          <w:t>ETS-2</w:t>
                        </w:r>
                      </w:p>
                      <w:p w14:paraId="73BCB629" w14:textId="77777777" w:rsidR="00C36C5C" w:rsidRDefault="00C36C5C" w:rsidP="00E17A47">
                        <w:pPr>
                          <w:spacing w:after="0"/>
                          <w:jc w:val="center"/>
                          <w:rPr>
                            <w:b/>
                            <w:bCs/>
                            <w:color w:val="44546A" w:themeColor="text2"/>
                            <w:kern w:val="24"/>
                            <w:sz w:val="28"/>
                            <w:szCs w:val="28"/>
                          </w:rPr>
                        </w:pPr>
                      </w:p>
                      <w:p w14:paraId="4C054933" w14:textId="77777777" w:rsidR="00C36C5C" w:rsidRDefault="00C36C5C" w:rsidP="00E17A47">
                        <w:pPr>
                          <w:spacing w:after="0"/>
                          <w:jc w:val="center"/>
                          <w:rPr>
                            <w:b/>
                            <w:bCs/>
                            <w:color w:val="44546A" w:themeColor="text2"/>
                            <w:kern w:val="24"/>
                            <w:sz w:val="28"/>
                            <w:szCs w:val="28"/>
                          </w:rPr>
                        </w:pPr>
                      </w:p>
                      <w:p w14:paraId="008286B9" w14:textId="77777777" w:rsidR="00C36C5C" w:rsidRDefault="00C36C5C" w:rsidP="00E17A47">
                        <w:pPr>
                          <w:spacing w:after="0"/>
                          <w:jc w:val="center"/>
                          <w:rPr>
                            <w:b/>
                            <w:bCs/>
                            <w:color w:val="44546A" w:themeColor="text2"/>
                            <w:kern w:val="24"/>
                            <w:sz w:val="28"/>
                            <w:szCs w:val="28"/>
                          </w:rPr>
                        </w:pPr>
                      </w:p>
                      <w:p w14:paraId="5F43DFCB" w14:textId="77777777" w:rsidR="00C36C5C" w:rsidRDefault="00C36C5C" w:rsidP="00E17A47">
                        <w:pPr>
                          <w:spacing w:after="0"/>
                          <w:jc w:val="center"/>
                          <w:rPr>
                            <w:b/>
                            <w:bCs/>
                            <w:color w:val="44546A" w:themeColor="text2"/>
                            <w:kern w:val="24"/>
                            <w:sz w:val="28"/>
                            <w:szCs w:val="28"/>
                          </w:rPr>
                        </w:pPr>
                      </w:p>
                      <w:p w14:paraId="6A88E0DD" w14:textId="77777777" w:rsidR="00C36C5C" w:rsidRPr="008905D6" w:rsidRDefault="00C36C5C" w:rsidP="00E17A47">
                        <w:pPr>
                          <w:spacing w:after="0"/>
                          <w:jc w:val="center"/>
                          <w:rPr>
                            <w:b/>
                            <w:bCs/>
                            <w:color w:val="44546A" w:themeColor="text2"/>
                            <w:kern w:val="24"/>
                            <w:sz w:val="28"/>
                            <w:szCs w:val="28"/>
                          </w:rPr>
                        </w:pPr>
                      </w:p>
                      <w:p w14:paraId="03A83769" w14:textId="77777777" w:rsidR="00C36C5C" w:rsidRPr="008905D6" w:rsidRDefault="00C36C5C" w:rsidP="00E17A47">
                        <w:pPr>
                          <w:spacing w:after="0"/>
                          <w:jc w:val="center"/>
                          <w:rPr>
                            <w:b/>
                            <w:bCs/>
                            <w:color w:val="44546A" w:themeColor="text2"/>
                            <w:kern w:val="24"/>
                            <w:sz w:val="32"/>
                            <w:szCs w:val="32"/>
                          </w:rPr>
                        </w:pPr>
                      </w:p>
                      <w:p w14:paraId="2541F3FE" w14:textId="1DBD567F" w:rsidR="00C36C5C" w:rsidRPr="008905D6" w:rsidRDefault="00C36C5C" w:rsidP="002542B1">
                        <w:pPr>
                          <w:spacing w:after="0"/>
                          <w:rPr>
                            <w:b/>
                            <w:bCs/>
                            <w:color w:val="44546A" w:themeColor="text2"/>
                            <w:kern w:val="24"/>
                            <w:sz w:val="32"/>
                            <w:szCs w:val="32"/>
                          </w:rPr>
                        </w:pPr>
                      </w:p>
                    </w:txbxContent>
                  </v:textbox>
                </v:roundrect>
                <w10:wrap type="topAndBottom"/>
              </v:group>
            </w:pict>
          </mc:Fallback>
        </mc:AlternateContent>
      </w:r>
      <w:r w:rsidR="002542B1">
        <w:rPr>
          <w:noProof/>
          <w:lang w:eastAsia="pl-PL"/>
        </w:rPr>
        <mc:AlternateContent>
          <mc:Choice Requires="wps">
            <w:drawing>
              <wp:anchor distT="0" distB="0" distL="114300" distR="114300" simplePos="0" relativeHeight="251443712" behindDoc="0" locked="0" layoutInCell="1" allowOverlap="1" wp14:anchorId="19031590" wp14:editId="1B062BB9">
                <wp:simplePos x="0" y="0"/>
                <wp:positionH relativeFrom="column">
                  <wp:posOffset>148903</wp:posOffset>
                </wp:positionH>
                <wp:positionV relativeFrom="paragraph">
                  <wp:posOffset>1253189</wp:posOffset>
                </wp:positionV>
                <wp:extent cx="2225040" cy="723900"/>
                <wp:effectExtent l="0" t="0" r="0" b="0"/>
                <wp:wrapTopAndBottom/>
                <wp:docPr id="1415010654" name="pole tekstowe 26"/>
                <wp:cNvGraphicFramePr/>
                <a:graphic xmlns:a="http://schemas.openxmlformats.org/drawingml/2006/main">
                  <a:graphicData uri="http://schemas.microsoft.com/office/word/2010/wordprocessingShape">
                    <wps:wsp>
                      <wps:cNvSpPr txBox="1"/>
                      <wps:spPr>
                        <a:xfrm>
                          <a:off x="0" y="0"/>
                          <a:ext cx="2225040" cy="723900"/>
                        </a:xfrm>
                        <a:prstGeom prst="rect">
                          <a:avLst/>
                        </a:prstGeom>
                        <a:noFill/>
                      </wps:spPr>
                      <wps:txbx>
                        <w:txbxContent>
                          <w:p w14:paraId="2B364376" w14:textId="1687CFB4" w:rsidR="00C36C5C" w:rsidRDefault="00C36C5C" w:rsidP="00B137DC">
                            <w:pPr>
                              <w:spacing w:after="0" w:line="240" w:lineRule="auto"/>
                              <w:jc w:val="center"/>
                              <w:rPr>
                                <w:b/>
                                <w:bCs/>
                                <w:color w:val="323E4F" w:themeColor="text2" w:themeShade="BF"/>
                                <w:sz w:val="60"/>
                                <w:szCs w:val="60"/>
                              </w:rPr>
                            </w:pPr>
                            <w:r w:rsidRPr="00B377B2">
                              <w:rPr>
                                <w:rFonts w:ascii="Arial" w:hAnsi="Arial" w:cs="Arial"/>
                                <w:b/>
                                <w:bCs/>
                                <w:color w:val="44546A" w:themeColor="text2"/>
                                <w:kern w:val="24"/>
                                <w:sz w:val="60"/>
                                <w:szCs w:val="60"/>
                              </w:rPr>
                              <w:t>↓</w:t>
                            </w:r>
                            <w:r>
                              <w:rPr>
                                <w:rFonts w:ascii="Arial" w:hAnsi="Arial" w:cs="Arial"/>
                                <w:b/>
                                <w:bCs/>
                                <w:color w:val="44546A" w:themeColor="text2"/>
                                <w:kern w:val="24"/>
                                <w:sz w:val="60"/>
                                <w:szCs w:val="60"/>
                              </w:rPr>
                              <w:t>53,</w:t>
                            </w:r>
                            <w:r w:rsidRPr="00932BD7">
                              <w:rPr>
                                <w:rFonts w:ascii="Arial" w:hAnsi="Arial" w:cs="Arial"/>
                                <w:b/>
                                <w:color w:val="44546A" w:themeColor="text2"/>
                                <w:kern w:val="24"/>
                                <w:sz w:val="52"/>
                                <w:szCs w:val="52"/>
                              </w:rPr>
                              <w:t>9</w:t>
                            </w:r>
                            <w:r w:rsidRPr="00932BD7">
                              <w:rPr>
                                <w:b/>
                                <w:color w:val="323E4F" w:themeColor="text2" w:themeShade="BF"/>
                                <w:sz w:val="52"/>
                                <w:szCs w:val="52"/>
                              </w:rPr>
                              <w:t>%</w:t>
                            </w:r>
                            <w:r>
                              <w:rPr>
                                <w:b/>
                                <w:bCs/>
                                <w:color w:val="323E4F" w:themeColor="text2" w:themeShade="BF"/>
                                <w:sz w:val="60"/>
                                <w:szCs w:val="60"/>
                              </w:rPr>
                              <w:t xml:space="preserve"> łącznie</w:t>
                            </w:r>
                          </w:p>
                          <w:p w14:paraId="6F91EC43" w14:textId="5EE3067B" w:rsidR="00C36C5C" w:rsidRPr="00B137DC" w:rsidRDefault="00C36C5C" w:rsidP="00B137DC">
                            <w:pPr>
                              <w:spacing w:after="0" w:line="240" w:lineRule="auto"/>
                              <w:rPr>
                                <w:b/>
                                <w:bCs/>
                                <w:color w:val="323E4F" w:themeColor="text2" w:themeShade="BF"/>
                                <w:sz w:val="28"/>
                                <w:szCs w:val="28"/>
                                <w14:ligatures w14:val="none"/>
                              </w:rPr>
                            </w:pPr>
                            <w:r>
                              <w:rPr>
                                <w:b/>
                                <w:bCs/>
                                <w:color w:val="323E4F" w:themeColor="text2" w:themeShade="BF"/>
                                <w:sz w:val="28"/>
                                <w:szCs w:val="28"/>
                              </w:rPr>
                              <w:t xml:space="preserve">     </w:t>
                            </w:r>
                          </w:p>
                        </w:txbxContent>
                      </wps:txbx>
                      <wps:bodyPr wrap="none" lIns="0" tIns="0" rIns="0" bIns="0">
                        <a:noAutofit/>
                      </wps:bodyPr>
                    </wps:wsp>
                  </a:graphicData>
                </a:graphic>
              </wp:anchor>
            </w:drawing>
          </mc:Choice>
          <mc:Fallback>
            <w:pict>
              <v:shape w14:anchorId="19031590" id="pole tekstowe 26" o:spid="_x0000_s1069" type="#_x0000_t202" style="position:absolute;left:0;text-align:left;margin-left:11.7pt;margin-top:98.7pt;width:175.2pt;height:57pt;z-index:251443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" filled="f" stroked="f">
                <v:textbox inset="0,0,0,0">
                  <w:txbxContent>
                    <w:p w14:paraId="2B364376" w14:textId="1687CFB4" w:rsidR="00C36C5C" w:rsidRDefault="00C36C5C" w:rsidP="00B137DC">
                      <w:pPr>
                        <w:spacing w:after="0" w:line="240" w:lineRule="auto"/>
                        <w:jc w:val="center"/>
                        <w:rPr>
                          <w:b/>
                          <w:bCs/>
                          <w:color w:val="323E4F" w:themeColor="text2" w:themeShade="BF"/>
                          <w:sz w:val="60"/>
                          <w:szCs w:val="60"/>
                        </w:rPr>
                      </w:pPr>
                      <w:r w:rsidRPr="00B377B2">
                        <w:rPr>
                          <w:rFonts w:ascii="Arial" w:hAnsi="Arial" w:cs="Arial"/>
                          <w:b/>
                          <w:bCs/>
                          <w:color w:val="44546A" w:themeColor="text2"/>
                          <w:kern w:val="24"/>
                          <w:sz w:val="60"/>
                          <w:szCs w:val="60"/>
                        </w:rPr>
                        <w:t>↓</w:t>
                      </w:r>
                      <w:r>
                        <w:rPr>
                          <w:rFonts w:ascii="Arial" w:hAnsi="Arial" w:cs="Arial"/>
                          <w:b/>
                          <w:bCs/>
                          <w:color w:val="44546A" w:themeColor="text2"/>
                          <w:kern w:val="24"/>
                          <w:sz w:val="60"/>
                          <w:szCs w:val="60"/>
                        </w:rPr>
                        <w:t>53,</w:t>
                      </w:r>
                      <w:r w:rsidRPr="00932BD7">
                        <w:rPr>
                          <w:rFonts w:ascii="Arial" w:hAnsi="Arial" w:cs="Arial"/>
                          <w:b/>
                          <w:color w:val="44546A" w:themeColor="text2"/>
                          <w:kern w:val="24"/>
                          <w:sz w:val="52"/>
                          <w:szCs w:val="52"/>
                        </w:rPr>
                        <w:t>9</w:t>
                      </w:r>
                      <w:r w:rsidRPr="00932BD7">
                        <w:rPr>
                          <w:b/>
                          <w:color w:val="323E4F" w:themeColor="text2" w:themeShade="BF"/>
                          <w:sz w:val="52"/>
                          <w:szCs w:val="52"/>
                        </w:rPr>
                        <w:t>%</w:t>
                      </w:r>
                      <w:r>
                        <w:rPr>
                          <w:b/>
                          <w:bCs/>
                          <w:color w:val="323E4F" w:themeColor="text2" w:themeShade="BF"/>
                          <w:sz w:val="60"/>
                          <w:szCs w:val="60"/>
                        </w:rPr>
                        <w:t xml:space="preserve"> łącznie</w:t>
                      </w:r>
                    </w:p>
                    <w:p w14:paraId="6F91EC43" w14:textId="5EE3067B" w:rsidR="00C36C5C" w:rsidRPr="00B137DC" w:rsidRDefault="00C36C5C" w:rsidP="00B137DC">
                      <w:pPr>
                        <w:spacing w:after="0" w:line="240" w:lineRule="auto"/>
                        <w:rPr>
                          <w:b/>
                          <w:bCs/>
                          <w:color w:val="323E4F" w:themeColor="text2" w:themeShade="BF"/>
                          <w:sz w:val="28"/>
                          <w:szCs w:val="28"/>
                          <w14:ligatures w14:val="none"/>
                        </w:rPr>
                      </w:pPr>
                      <w:r>
                        <w:rPr>
                          <w:b/>
                          <w:bCs/>
                          <w:color w:val="323E4F" w:themeColor="text2" w:themeShade="BF"/>
                          <w:sz w:val="28"/>
                          <w:szCs w:val="28"/>
                        </w:rPr>
                        <w:t xml:space="preserve">     </w:t>
                      </w:r>
                    </w:p>
                  </w:txbxContent>
                </v:textbox>
                <w10:wrap type="topAndBottom"/>
              </v:shape>
            </w:pict>
          </mc:Fallback>
        </mc:AlternateContent>
      </w:r>
      <w:r w:rsidR="009A021C">
        <w:t>Wykorzystanie paliw kopalnych w tych sektorach będzie obciążone kosztem uprawnień do emisji CO</w:t>
      </w:r>
      <w:r w:rsidR="009A021C" w:rsidRPr="001A45B6">
        <w:rPr>
          <w:vertAlign w:val="subscript"/>
        </w:rPr>
        <w:t>2</w:t>
      </w:r>
      <w:r w:rsidR="009A021C">
        <w:t xml:space="preserve">. Będzie to stanowić zachętę do ograniczania ich zużycia, </w:t>
      </w:r>
      <w:r w:rsidR="00B61AA4">
        <w:t>przy czym należy kontrolować</w:t>
      </w:r>
      <w:r w:rsidR="009A021C">
        <w:t xml:space="preserve"> ryzyko</w:t>
      </w:r>
      <w:r w:rsidR="001B49A5">
        <w:t xml:space="preserve"> wzrost</w:t>
      </w:r>
      <w:r w:rsidR="00B61AA4">
        <w:t>u</w:t>
      </w:r>
      <w:r w:rsidR="001B49A5">
        <w:t xml:space="preserve"> cen oraz</w:t>
      </w:r>
      <w:r w:rsidR="009A021C">
        <w:t xml:space="preserve"> pogłębienia ubóstwa</w:t>
      </w:r>
      <w:r w:rsidR="001B49A5">
        <w:t xml:space="preserve"> (w tym energetycznego</w:t>
      </w:r>
      <w:r w:rsidR="007B7432">
        <w:t xml:space="preserve"> i transportowego</w:t>
      </w:r>
      <w:r w:rsidR="001B49A5">
        <w:t>)</w:t>
      </w:r>
      <w:r w:rsidR="009A021C">
        <w:t>. Zmian</w:t>
      </w:r>
      <w:r w:rsidR="00086894">
        <w:t>ę</w:t>
      </w:r>
      <w:r w:rsidR="009A021C">
        <w:t xml:space="preserve"> paliwow</w:t>
      </w:r>
      <w:r w:rsidR="00086894">
        <w:t xml:space="preserve">ą utrudniać </w:t>
      </w:r>
      <w:r w:rsidR="00543787">
        <w:t xml:space="preserve">mogą </w:t>
      </w:r>
      <w:r w:rsidR="00086894">
        <w:t>także</w:t>
      </w:r>
      <w:r w:rsidR="009A021C">
        <w:t xml:space="preserve"> barier</w:t>
      </w:r>
      <w:r w:rsidR="00086894">
        <w:t>y</w:t>
      </w:r>
      <w:r w:rsidR="009A021C">
        <w:t xml:space="preserve"> techniczn</w:t>
      </w:r>
      <w:r w:rsidR="00086894">
        <w:t>e</w:t>
      </w:r>
      <w:r w:rsidR="001B49A5">
        <w:t>,</w:t>
      </w:r>
      <w:r w:rsidR="009A021C">
        <w:t xml:space="preserve"> ekonomiczn</w:t>
      </w:r>
      <w:r w:rsidR="00086894">
        <w:t>e</w:t>
      </w:r>
      <w:r w:rsidR="001B49A5">
        <w:t xml:space="preserve"> i społeczne</w:t>
      </w:r>
      <w:r w:rsidR="00086894">
        <w:t>.</w:t>
      </w:r>
    </w:p>
    <w:p w14:paraId="07C331EC" w14:textId="63F7254D" w:rsidR="00B377B2" w:rsidRDefault="00B377B2" w:rsidP="00CA6554">
      <w:pPr>
        <w:pStyle w:val="Bezodstpw"/>
      </w:pPr>
    </w:p>
    <w:p w14:paraId="39C11828" w14:textId="3ABFF628" w:rsidR="003C194F" w:rsidRDefault="000E240E" w:rsidP="00313DE1">
      <w:pPr>
        <w:pStyle w:val="PaMs"/>
      </w:pPr>
      <w:r w:rsidRPr="00D73A43">
        <w:t>POLITYKA</w:t>
      </w:r>
    </w:p>
    <w:p w14:paraId="3281E8DF" w14:textId="005887D4" w:rsidR="00112AFA" w:rsidRDefault="000E240E" w:rsidP="00470030">
      <w:pPr>
        <w:spacing w:after="80"/>
      </w:pPr>
      <w:r>
        <w:t xml:space="preserve">Cel redukcyjny w zakresie </w:t>
      </w:r>
      <w:r w:rsidR="00C46DAA" w:rsidRPr="00C46DAA">
        <w:rPr>
          <w:b/>
          <w:bCs/>
        </w:rPr>
        <w:t xml:space="preserve">sektorów </w:t>
      </w:r>
      <w:r w:rsidRPr="00C46DAA">
        <w:rPr>
          <w:b/>
          <w:bCs/>
        </w:rPr>
        <w:t>non-ETS</w:t>
      </w:r>
      <w:r>
        <w:t xml:space="preserve"> będzie realizowany w oparciu o polityki i działania w poszczególnych sektorach objętych wspólnym wysiłkiem redukcyjnym, co opisane zostało poniżej. O</w:t>
      </w:r>
      <w:r w:rsidR="00A05B82">
        <w:t> </w:t>
      </w:r>
      <w:r>
        <w:t xml:space="preserve">ile zajdzie taka potrzeba, Polska będzie </w:t>
      </w:r>
      <w:r w:rsidR="00112AFA">
        <w:t xml:space="preserve">wykorzystywać mechanizmy elastyczności, które zostały przewidziane w rozporządzeniu ESR: </w:t>
      </w:r>
    </w:p>
    <w:p w14:paraId="5C614313" w14:textId="77777777" w:rsidR="00112AFA" w:rsidRDefault="00112AFA" w:rsidP="003530A9">
      <w:pPr>
        <w:pStyle w:val="Akapitzlist"/>
        <w:numPr>
          <w:ilvl w:val="0"/>
          <w:numId w:val="2"/>
        </w:numPr>
      </w:pPr>
      <w:r>
        <w:t xml:space="preserve">elastyczność LULUCF (art. 7); </w:t>
      </w:r>
    </w:p>
    <w:p w14:paraId="4FF1BE7A" w14:textId="0B635D6C" w:rsidR="00112AFA" w:rsidRDefault="00112AFA" w:rsidP="003530A9">
      <w:pPr>
        <w:pStyle w:val="Akapitzlist"/>
        <w:numPr>
          <w:ilvl w:val="0"/>
          <w:numId w:val="2"/>
        </w:numPr>
      </w:pPr>
      <w:r>
        <w:t xml:space="preserve">wykorzystanie mechanizmu dostosowania </w:t>
      </w:r>
      <w:r w:rsidR="009D13E1">
        <w:t>–</w:t>
      </w:r>
      <w:r>
        <w:t xml:space="preserve"> pozyskania dodatkowej puli (art. 10 ust. 2); </w:t>
      </w:r>
    </w:p>
    <w:p w14:paraId="5F05E500" w14:textId="213E4EA0" w:rsidR="00112AFA" w:rsidRDefault="00112AFA" w:rsidP="003530A9">
      <w:pPr>
        <w:pStyle w:val="Akapitzlist"/>
        <w:numPr>
          <w:ilvl w:val="0"/>
          <w:numId w:val="2"/>
        </w:numPr>
      </w:pPr>
      <w:r>
        <w:t>przenoszenie, pożyczanie i transferowanie jednostek AEA</w:t>
      </w:r>
      <w:r w:rsidR="00726240">
        <w:t xml:space="preserve"> (ang. </w:t>
      </w:r>
      <w:r w:rsidR="00726240" w:rsidRPr="0049179E">
        <w:rPr>
          <w:i/>
        </w:rPr>
        <w:t>Annual Emission Allocation</w:t>
      </w:r>
      <w:r w:rsidR="00726240">
        <w:t xml:space="preserve">) </w:t>
      </w:r>
      <w:r>
        <w:t>(art.</w:t>
      </w:r>
      <w:r w:rsidR="00B45C43">
        <w:t> </w:t>
      </w:r>
      <w:r>
        <w:t>5)</w:t>
      </w:r>
      <w:r w:rsidR="00726240">
        <w:t>, czyli krajowych limitów emisji w non-ETS</w:t>
      </w:r>
      <w:r>
        <w:t xml:space="preserve">; </w:t>
      </w:r>
    </w:p>
    <w:p w14:paraId="431DA685" w14:textId="34F553B7" w:rsidR="000E240E" w:rsidRDefault="00112AFA" w:rsidP="003530A9">
      <w:pPr>
        <w:pStyle w:val="Akapitzlist"/>
        <w:numPr>
          <w:ilvl w:val="0"/>
          <w:numId w:val="2"/>
        </w:numPr>
      </w:pPr>
      <w:r>
        <w:t>wykorzystanie rezerwy bezpieczeństwa (art. 11)</w:t>
      </w:r>
      <w:r w:rsidR="00E615F8">
        <w:t>.</w:t>
      </w:r>
    </w:p>
    <w:p w14:paraId="3E97DB31" w14:textId="2728D56B" w:rsidR="00470030" w:rsidRDefault="00112AFA" w:rsidP="000E240E">
      <w:r>
        <w:t xml:space="preserve">W odniesieniu do kontrybucji Polski </w:t>
      </w:r>
      <w:r w:rsidR="00827A1D">
        <w:t>do</w:t>
      </w:r>
      <w:r>
        <w:t xml:space="preserve"> ogólnounijnych cel</w:t>
      </w:r>
      <w:r w:rsidR="00827A1D">
        <w:t>ów</w:t>
      </w:r>
      <w:r>
        <w:t xml:space="preserve"> redukcji emisji </w:t>
      </w:r>
      <w:r w:rsidR="00AD0FB0">
        <w:t>GHG</w:t>
      </w:r>
      <w:r>
        <w:t xml:space="preserve"> </w:t>
      </w:r>
      <w:r w:rsidRPr="00C46DAA">
        <w:rPr>
          <w:b/>
          <w:bCs/>
        </w:rPr>
        <w:t>w sektorach objętych EU ETS</w:t>
      </w:r>
      <w:r>
        <w:t>, kluczowym mechanizmem jest udział tych sektorów w systemie</w:t>
      </w:r>
      <w:r w:rsidR="00C46DAA">
        <w:t xml:space="preserve">. Chęć uniknięcia kosztów zakupu uprawnień do emisji stanowi motywację do realizacji inwestycji skutkujących redukcją emisji. Ponadto dodatkowe cele szczegółowe określone dla poszczególnych sektorów będą wpływać na spadek emisji odnoszący się do całościowego wkładu redukcyjnego sektorów EU ETS. </w:t>
      </w:r>
    </w:p>
    <w:p w14:paraId="638A054B" w14:textId="0EBB047D" w:rsidR="000E240E" w:rsidRPr="002B387F" w:rsidRDefault="001A45B6" w:rsidP="000E240E">
      <w:r>
        <w:t xml:space="preserve">Kontrybucja do ogólnounijnego celu </w:t>
      </w:r>
      <w:r w:rsidRPr="006D6589">
        <w:rPr>
          <w:b/>
          <w:bCs/>
        </w:rPr>
        <w:t xml:space="preserve">w sektorach </w:t>
      </w:r>
      <w:r w:rsidR="006C780A" w:rsidRPr="00463BD0">
        <w:t>transportu drogowego i ogrzewania budynków</w:t>
      </w:r>
      <w:r w:rsidR="006C780A">
        <w:t xml:space="preserve"> –</w:t>
      </w:r>
      <w:r w:rsidR="006C780A">
        <w:rPr>
          <w:b/>
          <w:bCs/>
        </w:rPr>
        <w:t xml:space="preserve"> objętych </w:t>
      </w:r>
      <w:r w:rsidRPr="006D6589">
        <w:rPr>
          <w:b/>
          <w:bCs/>
        </w:rPr>
        <w:t>EU ETS-2</w:t>
      </w:r>
      <w:r>
        <w:t xml:space="preserve"> będzie odbywać się</w:t>
      </w:r>
      <w:r w:rsidR="006D6589">
        <w:t xml:space="preserve"> </w:t>
      </w:r>
      <w:r w:rsidR="006C780A">
        <w:t xml:space="preserve">w szczególności </w:t>
      </w:r>
      <w:r w:rsidR="006D6589">
        <w:t>przez</w:t>
      </w:r>
      <w:r w:rsidR="00D73A43">
        <w:t xml:space="preserve"> udział w tym systemie. Motywacja do</w:t>
      </w:r>
      <w:r w:rsidR="0095574F">
        <w:t> </w:t>
      </w:r>
      <w:r w:rsidR="00D73A43">
        <w:t xml:space="preserve">redukcji emisji </w:t>
      </w:r>
      <w:r w:rsidR="00AD0FB0">
        <w:t>GHG</w:t>
      </w:r>
      <w:r w:rsidR="006C780A">
        <w:t xml:space="preserve"> </w:t>
      </w:r>
      <w:r w:rsidR="00D73A43">
        <w:t>w tych sektorach wynika także z potrzeby realizacji innych celów kli</w:t>
      </w:r>
      <w:r w:rsidR="00A05B82">
        <w:t>ma</w:t>
      </w:r>
      <w:r w:rsidR="00D73A43">
        <w:t xml:space="preserve">tyczno-energetycznych. </w:t>
      </w:r>
      <w:r w:rsidR="00F82708">
        <w:rPr>
          <w:i/>
          <w:iCs/>
        </w:rPr>
        <w:t xml:space="preserve">Uszczegółowienie ww. kwestii stanowią polityki </w:t>
      </w:r>
      <w:r w:rsidR="000E240E">
        <w:rPr>
          <w:i/>
          <w:iCs/>
        </w:rPr>
        <w:t>i</w:t>
      </w:r>
      <w:r w:rsidR="00C46DAA">
        <w:rPr>
          <w:i/>
          <w:iCs/>
        </w:rPr>
        <w:t> </w:t>
      </w:r>
      <w:r w:rsidR="000E240E">
        <w:rPr>
          <w:i/>
          <w:iCs/>
        </w:rPr>
        <w:t xml:space="preserve">działania wskazane przy kolejnych celach </w:t>
      </w:r>
      <w:r w:rsidR="00112AFA">
        <w:rPr>
          <w:i/>
          <w:iCs/>
        </w:rPr>
        <w:t>sektorowych</w:t>
      </w:r>
      <w:r w:rsidR="00C46DAA">
        <w:rPr>
          <w:i/>
          <w:iCs/>
        </w:rPr>
        <w:t>.</w:t>
      </w:r>
      <w:r w:rsidR="000E240E">
        <w:rPr>
          <w:i/>
          <w:iCs/>
        </w:rPr>
        <w:t xml:space="preserve"> </w:t>
      </w:r>
    </w:p>
    <w:p w14:paraId="40FA0B4D" w14:textId="77777777" w:rsidR="000E240E" w:rsidRPr="00C46DAA" w:rsidRDefault="000E240E" w:rsidP="00313DE1">
      <w:pPr>
        <w:pStyle w:val="PaMs"/>
      </w:pPr>
      <w:r w:rsidRPr="00C46DAA">
        <w:lastRenderedPageBreak/>
        <w:t>DZIAŁANIA:</w:t>
      </w:r>
    </w:p>
    <w:p w14:paraId="44D11645" w14:textId="48FDC205" w:rsidR="00112AFA" w:rsidRDefault="00112AFA" w:rsidP="00112AFA">
      <w:r>
        <w:rPr>
          <w:i/>
          <w:iCs/>
        </w:rPr>
        <w:t>Do realizacji celu ogólnego przyczyniać się będą działania wskazane przy kolejnych celach szczegółowych, odnoszących się właściwych sektorów.</w:t>
      </w:r>
    </w:p>
    <w:p w14:paraId="76A029F8" w14:textId="1ACAC97A" w:rsidR="007754E2" w:rsidRPr="00F11157" w:rsidRDefault="00B023C0" w:rsidP="007754E2">
      <w:pPr>
        <w:pStyle w:val="Nagwek4"/>
        <w:rPr>
          <w:color w:val="70AD47" w:themeColor="accent6"/>
        </w:rPr>
      </w:pPr>
      <w:bookmarkStart w:id="47" w:name="_Hlk156765480"/>
      <w:bookmarkStart w:id="48" w:name="_Toc159598287"/>
      <w:bookmarkStart w:id="49" w:name="_Toc195897183"/>
      <w:bookmarkStart w:id="50" w:name="_Toc205203159"/>
      <w:bookmarkStart w:id="51" w:name="_Hlk156765491"/>
      <w:r>
        <w:rPr>
          <w:color w:val="70AD47" w:themeColor="accent6"/>
        </w:rPr>
        <w:t>Wzrost</w:t>
      </w:r>
      <w:r w:rsidR="007754E2" w:rsidRPr="00F11157">
        <w:rPr>
          <w:color w:val="70AD47" w:themeColor="accent6"/>
        </w:rPr>
        <w:t xml:space="preserve"> udziału OZE w finalnym zużyciu energii brutto</w:t>
      </w:r>
      <w:r w:rsidR="007754E2">
        <w:rPr>
          <w:color w:val="70AD47" w:themeColor="accent6"/>
        </w:rPr>
        <w:t xml:space="preserve"> ogółem</w:t>
      </w:r>
      <w:r w:rsidR="00D307C3">
        <w:rPr>
          <w:color w:val="70AD47" w:themeColor="accent6"/>
        </w:rPr>
        <w:t xml:space="preserve"> </w:t>
      </w:r>
      <w:bookmarkEnd w:id="47"/>
      <w:r w:rsidR="00D307C3">
        <w:rPr>
          <w:color w:val="70AD47" w:themeColor="accent6"/>
        </w:rPr>
        <w:t>(cel ogólny)</w:t>
      </w:r>
      <w:bookmarkEnd w:id="48"/>
      <w:bookmarkEnd w:id="49"/>
      <w:bookmarkEnd w:id="50"/>
    </w:p>
    <w:bookmarkEnd w:id="51"/>
    <w:p w14:paraId="3571E7D5" w14:textId="276D72CB" w:rsidR="00C24471" w:rsidRDefault="008F02EE" w:rsidP="007754E2">
      <w:r>
        <w:t>D</w:t>
      </w:r>
      <w:r w:rsidR="00554E84">
        <w:t>yrektywa 2018/</w:t>
      </w:r>
      <w:r w:rsidR="00936B2E">
        <w:t>2001/UE</w:t>
      </w:r>
      <w:r w:rsidR="00554E84">
        <w:t xml:space="preserve"> (dyrektywa RED II) przewidywała, że udział OZE w</w:t>
      </w:r>
      <w:r>
        <w:t> </w:t>
      </w:r>
      <w:r w:rsidR="00554E84">
        <w:t>końcowym zużyciu energii brutto będzie wynosił 32%</w:t>
      </w:r>
      <w:r w:rsidR="00246140">
        <w:t xml:space="preserve"> w 2030 r.</w:t>
      </w:r>
      <w:r w:rsidR="00A26E30">
        <w:rPr>
          <w:rStyle w:val="Odwoanieprzypisudolnego"/>
        </w:rPr>
        <w:footnoteReference w:id="12"/>
      </w:r>
      <w:r w:rsidR="00554E84">
        <w:t xml:space="preserve">, a każde państwo członkowskie </w:t>
      </w:r>
      <w:r w:rsidR="00A05B82">
        <w:t>miało</w:t>
      </w:r>
      <w:r w:rsidR="00D349DE">
        <w:t xml:space="preserve"> wnosić</w:t>
      </w:r>
      <w:r w:rsidR="00554E84">
        <w:t xml:space="preserve"> swój wkład</w:t>
      </w:r>
      <w:r w:rsidR="00D349DE">
        <w:t xml:space="preserve"> krajowy</w:t>
      </w:r>
      <w:r w:rsidR="00554E84">
        <w:t xml:space="preserve">. </w:t>
      </w:r>
      <w:r w:rsidR="00C24471">
        <w:t>W KPEiK</w:t>
      </w:r>
      <w:r w:rsidR="00A26E30">
        <w:t xml:space="preserve"> z 2019 r.</w:t>
      </w:r>
      <w:r w:rsidR="00C24471">
        <w:t xml:space="preserve"> Polska zadeklarowała kontrybucję do celu UE przez osiągnięcie udziału OZE na</w:t>
      </w:r>
      <w:r w:rsidR="00A05B82">
        <w:t> </w:t>
      </w:r>
      <w:r w:rsidR="00C24471">
        <w:t>poziomie 21–23% w 2030 r.</w:t>
      </w:r>
      <w:r w:rsidRPr="008F02EE">
        <w:rPr>
          <w:rStyle w:val="Odwoanieprzypisudolnego"/>
        </w:rPr>
        <w:t xml:space="preserve"> </w:t>
      </w:r>
    </w:p>
    <w:p w14:paraId="5781E0BA" w14:textId="4BA6BA89" w:rsidR="00554E84" w:rsidRDefault="00336579" w:rsidP="007754E2">
      <w:r>
        <w:t>A</w:t>
      </w:r>
      <w:r w:rsidR="00246140">
        <w:t>mbicj</w:t>
      </w:r>
      <w:r>
        <w:t xml:space="preserve">e UE zostały zrewidowane </w:t>
      </w:r>
      <w:r w:rsidR="00246140">
        <w:t>w ramach pakietu regulacji</w:t>
      </w:r>
      <w:r w:rsidR="00A05B82">
        <w:t xml:space="preserve"> </w:t>
      </w:r>
      <w:r w:rsidR="00A05B82" w:rsidRPr="00A05B82">
        <w:rPr>
          <w:i/>
          <w:iCs/>
        </w:rPr>
        <w:t xml:space="preserve">Fit for 55 </w:t>
      </w:r>
      <w:r w:rsidR="00AC3BAF">
        <w:rPr>
          <w:i/>
          <w:iCs/>
        </w:rPr>
        <w:t>–</w:t>
      </w:r>
      <w:r w:rsidR="00246140">
        <w:t xml:space="preserve"> </w:t>
      </w:r>
      <w:r w:rsidR="00246140">
        <w:rPr>
          <w:i/>
          <w:iCs/>
        </w:rPr>
        <w:t>Gotowi na 55</w:t>
      </w:r>
      <w:r w:rsidR="009E4C24" w:rsidRPr="009E4C24">
        <w:t>.</w:t>
      </w:r>
      <w:r w:rsidR="00C24471">
        <w:t xml:space="preserve"> Pierwsza propozycja wskazywała cel na poziomie 40%, a finalnie </w:t>
      </w:r>
      <w:r w:rsidR="00A26E30">
        <w:t xml:space="preserve">w </w:t>
      </w:r>
      <w:r w:rsidR="00C24471">
        <w:t>dyrektyw</w:t>
      </w:r>
      <w:r w:rsidR="00A26E30">
        <w:t>ie</w:t>
      </w:r>
      <w:r w:rsidR="00C24471">
        <w:t xml:space="preserve"> 2023/2415</w:t>
      </w:r>
      <w:r w:rsidR="00936B2E">
        <w:t>/UE</w:t>
      </w:r>
      <w:r w:rsidR="00C24471">
        <w:t xml:space="preserve"> </w:t>
      </w:r>
      <w:r w:rsidR="000A5A45">
        <w:t>(dyrektywa RED III)</w:t>
      </w:r>
      <w:r w:rsidR="00A26E30">
        <w:t xml:space="preserve"> określono</w:t>
      </w:r>
      <w:r>
        <w:t xml:space="preserve"> </w:t>
      </w:r>
      <w:r w:rsidR="00246140" w:rsidRPr="00336579">
        <w:rPr>
          <w:b/>
          <w:bCs/>
        </w:rPr>
        <w:t xml:space="preserve">cel </w:t>
      </w:r>
      <w:r w:rsidR="00C24471">
        <w:rPr>
          <w:b/>
          <w:bCs/>
        </w:rPr>
        <w:t xml:space="preserve">udziału </w:t>
      </w:r>
      <w:r>
        <w:rPr>
          <w:b/>
          <w:bCs/>
        </w:rPr>
        <w:t xml:space="preserve">OZE </w:t>
      </w:r>
      <w:r w:rsidR="00C24471">
        <w:rPr>
          <w:b/>
          <w:bCs/>
        </w:rPr>
        <w:t>w końcowym zużyciu energii brutto w</w:t>
      </w:r>
      <w:r>
        <w:rPr>
          <w:b/>
          <w:bCs/>
        </w:rPr>
        <w:t xml:space="preserve"> </w:t>
      </w:r>
      <w:r w:rsidR="00246140" w:rsidRPr="00336579">
        <w:rPr>
          <w:b/>
          <w:bCs/>
        </w:rPr>
        <w:t xml:space="preserve">UE </w:t>
      </w:r>
      <w:r w:rsidR="00C24471">
        <w:rPr>
          <w:b/>
          <w:bCs/>
        </w:rPr>
        <w:t>na poziomie</w:t>
      </w:r>
      <w:r w:rsidR="00246140" w:rsidRPr="00336579">
        <w:rPr>
          <w:b/>
          <w:bCs/>
        </w:rPr>
        <w:t xml:space="preserve"> 42,5% w 2030 r.</w:t>
      </w:r>
      <w:r w:rsidR="00A26E30">
        <w:rPr>
          <w:rStyle w:val="Odwoanieprzypisudolnego"/>
          <w:b/>
          <w:bCs/>
        </w:rPr>
        <w:footnoteReference w:id="13"/>
      </w:r>
      <w:r w:rsidRPr="00336579">
        <w:t xml:space="preserve">, </w:t>
      </w:r>
      <w:r>
        <w:t>ale dodatkowo realizacja RePowerUE powinna przyczynić się do zwiększenia udziału OZE o dodatkowe 2,5 pkt proc.</w:t>
      </w:r>
      <w:r w:rsidR="00A26E30">
        <w:t xml:space="preserve">, dlatego </w:t>
      </w:r>
      <w:r w:rsidR="00B023C0">
        <w:rPr>
          <w:b/>
          <w:bCs/>
        </w:rPr>
        <w:t>UE będzie</w:t>
      </w:r>
      <w:r w:rsidR="00A26E30" w:rsidRPr="00A26E30">
        <w:rPr>
          <w:b/>
          <w:bCs/>
        </w:rPr>
        <w:t xml:space="preserve"> dążyć do poziomu 45%</w:t>
      </w:r>
      <w:r w:rsidR="00A26E30">
        <w:t>.</w:t>
      </w:r>
      <w:r>
        <w:t xml:space="preserve"> Również w tym przypadku nie zostały wskazane cele </w:t>
      </w:r>
      <w:r w:rsidR="00C24471">
        <w:t xml:space="preserve">indywidualne </w:t>
      </w:r>
      <w:r>
        <w:t>dla państw</w:t>
      </w:r>
      <w:r w:rsidR="00C24471">
        <w:t xml:space="preserve"> członkowskich, ale </w:t>
      </w:r>
      <w:r w:rsidR="00C24471" w:rsidRPr="003D1AD6">
        <w:rPr>
          <w:i/>
          <w:iCs/>
        </w:rPr>
        <w:t>Ocena wpływu regulacji</w:t>
      </w:r>
      <w:r w:rsidR="003D1AD6">
        <w:rPr>
          <w:rStyle w:val="Odwoanieprzypisudolnego"/>
        </w:rPr>
        <w:footnoteReference w:id="14"/>
      </w:r>
      <w:r w:rsidR="00C24471">
        <w:t xml:space="preserve"> dla </w:t>
      </w:r>
      <w:r w:rsidR="003D1AD6">
        <w:t xml:space="preserve">projektu </w:t>
      </w:r>
      <w:r w:rsidR="00C24471">
        <w:t>RED III</w:t>
      </w:r>
      <w:r w:rsidR="003D1AD6">
        <w:t xml:space="preserve"> </w:t>
      </w:r>
      <w:r w:rsidR="00C24471">
        <w:t>wskazała, że orientacyjnie Polska powinna osiągnąć 31</w:t>
      </w:r>
      <w:r w:rsidR="00527548">
        <w:t>-32</w:t>
      </w:r>
      <w:r w:rsidR="00C24471">
        <w:t>%</w:t>
      </w:r>
      <w:r w:rsidR="00B023C0">
        <w:t xml:space="preserve"> </w:t>
      </w:r>
      <w:r w:rsidR="00A05B82">
        <w:t xml:space="preserve">udziału OZE w finalnym zużyciu energii brutto </w:t>
      </w:r>
      <w:r w:rsidR="00B023C0">
        <w:t>(</w:t>
      </w:r>
      <w:r w:rsidR="00A05B82">
        <w:t xml:space="preserve">obliczenia </w:t>
      </w:r>
      <w:r w:rsidR="00B023C0">
        <w:t>wykonan</w:t>
      </w:r>
      <w:r w:rsidR="00A05B82">
        <w:t>e</w:t>
      </w:r>
      <w:r w:rsidR="00B023C0">
        <w:t xml:space="preserve"> na etapie propozycji celu UE – 40%)</w:t>
      </w:r>
      <w:r w:rsidR="003D1AD6">
        <w:t>.</w:t>
      </w:r>
    </w:p>
    <w:p w14:paraId="63A77590" w14:textId="3D165436" w:rsidR="007754E2" w:rsidRPr="00CF6FDE" w:rsidRDefault="00ED0650" w:rsidP="00575331">
      <w:pPr>
        <w:pStyle w:val="Cele"/>
        <w:rPr>
          <w:rStyle w:val="CeleZnak"/>
          <w:shd w:val="clear" w:color="auto" w:fill="auto"/>
        </w:rPr>
      </w:pPr>
      <w:bookmarkStart w:id="52" w:name="_Hlk156765850"/>
      <w:r>
        <w:t xml:space="preserve">Zgodnie z prognozami </w:t>
      </w:r>
      <w:r w:rsidR="007754E2" w:rsidRPr="00575331">
        <w:rPr>
          <w:b/>
          <w:bCs/>
        </w:rPr>
        <w:t>Polska deklaruje osiągni</w:t>
      </w:r>
      <w:r w:rsidR="003D1AD6">
        <w:rPr>
          <w:b/>
          <w:bCs/>
        </w:rPr>
        <w:t>ę</w:t>
      </w:r>
      <w:r w:rsidR="007754E2" w:rsidRPr="00575331">
        <w:rPr>
          <w:b/>
          <w:bCs/>
        </w:rPr>
        <w:t xml:space="preserve">cie do 2030 r. </w:t>
      </w:r>
      <w:r w:rsidR="00CE1C12">
        <w:rPr>
          <w:b/>
          <w:bCs/>
        </w:rPr>
        <w:t>32,1</w:t>
      </w:r>
      <w:r w:rsidR="00280B01">
        <w:rPr>
          <w:b/>
          <w:bCs/>
        </w:rPr>
        <w:t>%</w:t>
      </w:r>
      <w:r w:rsidR="007754E2" w:rsidRPr="00575331">
        <w:rPr>
          <w:b/>
          <w:bCs/>
        </w:rPr>
        <w:t xml:space="preserve"> udziału OZE w</w:t>
      </w:r>
      <w:r w:rsidR="00CF6FDE">
        <w:rPr>
          <w:b/>
          <w:bCs/>
        </w:rPr>
        <w:t> </w:t>
      </w:r>
      <w:r w:rsidR="003D1AD6">
        <w:rPr>
          <w:b/>
          <w:bCs/>
        </w:rPr>
        <w:t>końcowym</w:t>
      </w:r>
      <w:r w:rsidR="007754E2" w:rsidRPr="00575331">
        <w:rPr>
          <w:b/>
          <w:bCs/>
        </w:rPr>
        <w:t xml:space="preserve"> zużyciu energii brutto</w:t>
      </w:r>
      <w:r w:rsidR="003D1AD6" w:rsidRPr="003D1AD6">
        <w:t>, jako wkład w realizację nowego ogólnounijnego celu na 2030 r</w:t>
      </w:r>
      <w:r w:rsidR="00CF407B" w:rsidRPr="003D1AD6">
        <w:t xml:space="preserve">. </w:t>
      </w:r>
      <w:r w:rsidR="00CF407B" w:rsidRPr="003D1AD6">
        <w:rPr>
          <w:rStyle w:val="CeleZnak"/>
        </w:rPr>
        <w:t>Na</w:t>
      </w:r>
      <w:r w:rsidR="00A05B82">
        <w:rPr>
          <w:rStyle w:val="CeleZnak"/>
        </w:rPr>
        <w:t> </w:t>
      </w:r>
      <w:r w:rsidR="00CF407B" w:rsidRPr="003D1AD6">
        <w:rPr>
          <w:rStyle w:val="CeleZnak"/>
        </w:rPr>
        <w:t>realizację tego celu s</w:t>
      </w:r>
      <w:r w:rsidR="00CF407B" w:rsidRPr="00575331">
        <w:rPr>
          <w:rStyle w:val="CeleZnak"/>
        </w:rPr>
        <w:t>kłada</w:t>
      </w:r>
      <w:r w:rsidR="003D1AD6">
        <w:rPr>
          <w:rStyle w:val="CeleZnak"/>
        </w:rPr>
        <w:t>ć</w:t>
      </w:r>
      <w:r w:rsidR="00CF407B" w:rsidRPr="00575331">
        <w:rPr>
          <w:rStyle w:val="CeleZnak"/>
        </w:rPr>
        <w:t xml:space="preserve"> się</w:t>
      </w:r>
      <w:r w:rsidR="003D1AD6">
        <w:rPr>
          <w:rStyle w:val="CeleZnak"/>
        </w:rPr>
        <w:t xml:space="preserve"> będzie</w:t>
      </w:r>
      <w:r w:rsidR="00CF407B" w:rsidRPr="00575331">
        <w:rPr>
          <w:rStyle w:val="CeleZnak"/>
        </w:rPr>
        <w:t xml:space="preserve"> </w:t>
      </w:r>
      <w:r w:rsidR="007754E2" w:rsidRPr="00575331">
        <w:rPr>
          <w:rStyle w:val="CeleZnak"/>
        </w:rPr>
        <w:t xml:space="preserve">zużycie </w:t>
      </w:r>
      <w:r w:rsidR="00CF407B" w:rsidRPr="00575331">
        <w:rPr>
          <w:rStyle w:val="CeleZnak"/>
        </w:rPr>
        <w:t xml:space="preserve">OZE </w:t>
      </w:r>
      <w:r w:rsidR="007754E2" w:rsidRPr="00575331">
        <w:rPr>
          <w:rStyle w:val="CeleZnak"/>
        </w:rPr>
        <w:t>łącznie w</w:t>
      </w:r>
      <w:r w:rsidR="003D1AD6">
        <w:rPr>
          <w:rStyle w:val="CeleZnak"/>
        </w:rPr>
        <w:t> </w:t>
      </w:r>
      <w:r w:rsidR="007754E2" w:rsidRPr="00575331">
        <w:rPr>
          <w:rStyle w:val="CeleZnak"/>
        </w:rPr>
        <w:t>elektroenergetyce, ciepłownictwie i chłodnictwie oraz na cele transportowe.</w:t>
      </w:r>
      <w:r w:rsidR="008B1E6B" w:rsidRPr="008B1E6B">
        <w:rPr>
          <w:b/>
          <w:bCs/>
        </w:rPr>
        <w:t xml:space="preserve"> </w:t>
      </w:r>
      <w:r w:rsidR="008B1E6B" w:rsidRPr="008B1E6B">
        <w:t>Prognozy wskazują, że w 2040 r. udział OZE w końcowym zużyciu energii brutto może</w:t>
      </w:r>
      <w:r w:rsidR="00CF6FDE">
        <w:t> </w:t>
      </w:r>
      <w:r w:rsidR="008B1E6B" w:rsidRPr="008B1E6B">
        <w:t xml:space="preserve">sięgnąć </w:t>
      </w:r>
      <w:r w:rsidR="006D0D7F">
        <w:t>61,7</w:t>
      </w:r>
      <w:r w:rsidR="008B1E6B" w:rsidRPr="008B1E6B">
        <w:t>%.</w:t>
      </w:r>
    </w:p>
    <w:p w14:paraId="24DE4709" w14:textId="37A7F2C6" w:rsidR="0013403E" w:rsidRDefault="0013403E" w:rsidP="008D106A">
      <w:pPr>
        <w:spacing w:before="360"/>
      </w:pPr>
      <w:r>
        <w:t xml:space="preserve">Rewizja </w:t>
      </w:r>
      <w:r w:rsidR="00FE3A61">
        <w:t xml:space="preserve">krajowego </w:t>
      </w:r>
      <w:r>
        <w:t xml:space="preserve">celu na 2030 r. o </w:t>
      </w:r>
      <w:r w:rsidR="006D0D7F">
        <w:t>9–11</w:t>
      </w:r>
      <w:r>
        <w:t xml:space="preserve"> pkt proc. </w:t>
      </w:r>
      <w:r w:rsidR="00280B01">
        <w:t xml:space="preserve">w porównaniu z KPEiK z 2019 r. </w:t>
      </w:r>
      <w:r w:rsidR="006E2E16">
        <w:t xml:space="preserve">jest </w:t>
      </w:r>
      <w:r>
        <w:t xml:space="preserve">możliwa </w:t>
      </w:r>
      <w:r w:rsidR="006E2E16">
        <w:t>dzięki rozwojowi</w:t>
      </w:r>
      <w:r>
        <w:t xml:space="preserve"> OZE</w:t>
      </w:r>
      <w:r w:rsidR="00280B01">
        <w:t xml:space="preserve"> </w:t>
      </w:r>
      <w:r>
        <w:t>w</w:t>
      </w:r>
      <w:r w:rsidR="007D17A8">
        <w:t xml:space="preserve"> </w:t>
      </w:r>
      <w:r>
        <w:t>ostatnich latach</w:t>
      </w:r>
      <w:r w:rsidR="007D17A8">
        <w:t xml:space="preserve"> (</w:t>
      </w:r>
      <w:r>
        <w:t>w szczególności w sektorze elektroenergetycznym</w:t>
      </w:r>
      <w:r w:rsidR="007D17A8">
        <w:t>) oraz popularyzacj</w:t>
      </w:r>
      <w:r w:rsidR="006E2E16">
        <w:t>i</w:t>
      </w:r>
      <w:r w:rsidR="007D17A8">
        <w:t xml:space="preserve"> rozproszonej produkcji energii w instalacjach prosumenckich</w:t>
      </w:r>
      <w:r>
        <w:t>.</w:t>
      </w:r>
      <w:r w:rsidR="005E4D15">
        <w:t xml:space="preserve"> </w:t>
      </w:r>
      <w:r w:rsidR="00A47766">
        <w:t>Równocześnie, b</w:t>
      </w:r>
      <w:r w:rsidR="00FE3A61">
        <w:t>iorąc pod uwagę</w:t>
      </w:r>
      <w:r w:rsidR="00055FD0">
        <w:t>,</w:t>
      </w:r>
      <w:r w:rsidR="00FE3A61">
        <w:t xml:space="preserve"> że</w:t>
      </w:r>
      <w:r w:rsidR="00CB4EAB">
        <w:t> </w:t>
      </w:r>
      <w:r w:rsidR="00FE3A61">
        <w:t>w</w:t>
      </w:r>
      <w:r w:rsidR="00055FD0">
        <w:t> </w:t>
      </w:r>
      <w:r w:rsidR="00FE3A61">
        <w:t xml:space="preserve">2022 r. udział OZE w finalnym zużyciu energii brutto wynosił 16,9%, realizacja </w:t>
      </w:r>
      <w:r w:rsidR="00055FD0">
        <w:t>nowego</w:t>
      </w:r>
      <w:r w:rsidR="007D17A8">
        <w:t xml:space="preserve"> celu</w:t>
      </w:r>
      <w:r w:rsidR="00FE3A61">
        <w:t xml:space="preserve"> </w:t>
      </w:r>
      <w:r w:rsidR="000E19D4">
        <w:t>do</w:t>
      </w:r>
      <w:r w:rsidR="00FE3A61">
        <w:t xml:space="preserve"> 2030 r. </w:t>
      </w:r>
      <w:r w:rsidR="006700EE">
        <w:t xml:space="preserve">– czyli niemal podwojenie udziału – </w:t>
      </w:r>
      <w:r w:rsidR="00FE3A61">
        <w:t xml:space="preserve">będzie wymagała </w:t>
      </w:r>
      <w:r w:rsidR="000E19D4">
        <w:t xml:space="preserve">podjęcia dodatkowych wysiłków oraz </w:t>
      </w:r>
      <w:r w:rsidR="00FE3A61">
        <w:t>realizacji działań w</w:t>
      </w:r>
      <w:r w:rsidR="00A47766">
        <w:t> </w:t>
      </w:r>
      <w:r w:rsidR="00FE3A61">
        <w:t>sposób zdeterminowany i</w:t>
      </w:r>
      <w:r w:rsidR="000E19D4">
        <w:t> </w:t>
      </w:r>
      <w:r w:rsidR="00FE3A61">
        <w:t>konsekwentny.</w:t>
      </w:r>
    </w:p>
    <w:p w14:paraId="2E85721A" w14:textId="6E28322D" w:rsidR="005C6092" w:rsidRDefault="00322279" w:rsidP="00322279">
      <w:r>
        <w:t>Najwięcej energii zużywane jest na cele ciepłownicze, dlatego też udział każdego punktu procentowego OZE w elektroenergetyce i transporcie w wartościach bezwzględnych stanowi niższy wkład do celu ogólnego.</w:t>
      </w:r>
      <w:r w:rsidRPr="00EA13CD">
        <w:t xml:space="preserve"> </w:t>
      </w:r>
      <w:r w:rsidDel="00F50EC8">
        <w:t xml:space="preserve">Prognozy wskazują, że najszybciej zmiany zachodzić będą w sektorze elektroenergetycznym, </w:t>
      </w:r>
    </w:p>
    <w:bookmarkEnd w:id="52"/>
    <w:p w14:paraId="55B8785F" w14:textId="5A182B68" w:rsidR="00D370E2" w:rsidRDefault="00440E95" w:rsidP="009A1A68">
      <w:r>
        <w:rPr>
          <w:noProof/>
        </w:rPr>
        <w:lastRenderedPageBreak/>
        <mc:AlternateContent>
          <mc:Choice Requires="wps">
            <w:drawing>
              <wp:anchor distT="0" distB="0" distL="114300" distR="114300" simplePos="0" relativeHeight="251634176" behindDoc="1" locked="0" layoutInCell="1" allowOverlap="1" wp14:anchorId="32E32CA0" wp14:editId="4651D74E">
                <wp:simplePos x="0" y="0"/>
                <wp:positionH relativeFrom="column">
                  <wp:posOffset>-96548</wp:posOffset>
                </wp:positionH>
                <wp:positionV relativeFrom="paragraph">
                  <wp:posOffset>4468357</wp:posOffset>
                </wp:positionV>
                <wp:extent cx="6000750" cy="635"/>
                <wp:effectExtent l="0" t="0" r="0" b="0"/>
                <wp:wrapTight wrapText="bothSides">
                  <wp:wrapPolygon edited="0">
                    <wp:start x="0" y="0"/>
                    <wp:lineTo x="0" y="21600"/>
                    <wp:lineTo x="21600" y="21600"/>
                    <wp:lineTo x="21600" y="0"/>
                  </wp:wrapPolygon>
                </wp:wrapTight>
                <wp:docPr id="504987581" name="Pole tekstowe 1"/>
                <wp:cNvGraphicFramePr/>
                <a:graphic xmlns:a="http://schemas.openxmlformats.org/drawingml/2006/main">
                  <a:graphicData uri="http://schemas.microsoft.com/office/word/2010/wordprocessingShape">
                    <wps:wsp>
                      <wps:cNvSpPr txBox="1"/>
                      <wps:spPr>
                        <a:xfrm>
                          <a:off x="0" y="0"/>
                          <a:ext cx="6000750" cy="635"/>
                        </a:xfrm>
                        <a:prstGeom prst="rect">
                          <a:avLst/>
                        </a:prstGeom>
                        <a:solidFill>
                          <a:prstClr val="white"/>
                        </a:solidFill>
                        <a:ln>
                          <a:noFill/>
                        </a:ln>
                      </wps:spPr>
                      <wps:txbx>
                        <w:txbxContent>
                          <w:p w14:paraId="3D6D0A9C" w14:textId="1E1EF61D" w:rsidR="005539C5" w:rsidRPr="0052018E" w:rsidRDefault="005539C5" w:rsidP="005539C5">
                            <w:pPr>
                              <w:pStyle w:val="Legenda"/>
                              <w:rPr>
                                <w:b/>
                                <w:bCs/>
                                <w:noProof/>
                                <w:color w:val="323E4F" w:themeColor="text2" w:themeShade="BF"/>
                                <w:sz w:val="28"/>
                                <w:szCs w:val="32"/>
                              </w:rPr>
                            </w:pPr>
                            <w:bookmarkStart w:id="53" w:name="_Toc205204440"/>
                            <w:r>
                              <w:t xml:space="preserve">Wykres </w:t>
                            </w:r>
                            <w:fldSimple w:instr=" SEQ Wykres \* ARABIC ">
                              <w:r w:rsidR="00871DD5">
                                <w:rPr>
                                  <w:noProof/>
                                </w:rPr>
                                <w:t>2</w:t>
                              </w:r>
                            </w:fldSimple>
                            <w:r>
                              <w:t>. Zużycie OZE w sektorach i w finalnym zużyciu energii w porównaniu do KPEiK z 2019 r.</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E32CA0" id="_x0000_s1070" type="#_x0000_t202" style="position:absolute;left:0;text-align:left;margin-left:-7.6pt;margin-top:351.85pt;width:472.5pt;height:.05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" stroked="f">
                <v:textbox style="mso-fit-shape-to-text:t" inset="0,0,0,0">
                  <w:txbxContent>
                    <w:p w14:paraId="3D6D0A9C" w14:textId="1E1EF61D" w:rsidR="005539C5" w:rsidRPr="0052018E" w:rsidRDefault="005539C5" w:rsidP="005539C5">
                      <w:pPr>
                        <w:pStyle w:val="Legenda"/>
                        <w:rPr>
                          <w:b/>
                          <w:bCs/>
                          <w:noProof/>
                          <w:color w:val="323E4F" w:themeColor="text2" w:themeShade="BF"/>
                          <w:sz w:val="28"/>
                          <w:szCs w:val="32"/>
                        </w:rPr>
                      </w:pPr>
                      <w:bookmarkStart w:id="55" w:name="_Toc205204440"/>
                      <w:r>
                        <w:t xml:space="preserve">Wykres </w:t>
                      </w:r>
                      <w:r w:rsidR="0095335A">
                        <w:fldChar w:fldCharType="begin"/>
                      </w:r>
                      <w:r w:rsidR="0095335A">
                        <w:instrText xml:space="preserve"> SEQ Wykres \* ARABIC </w:instrText>
                      </w:r>
                      <w:r w:rsidR="0095335A">
                        <w:fldChar w:fldCharType="separate"/>
                      </w:r>
                      <w:r w:rsidR="00871DD5">
                        <w:rPr>
                          <w:noProof/>
                        </w:rPr>
                        <w:t>2</w:t>
                      </w:r>
                      <w:r w:rsidR="0095335A">
                        <w:rPr>
                          <w:noProof/>
                        </w:rPr>
                        <w:fldChar w:fldCharType="end"/>
                      </w:r>
                      <w:r>
                        <w:t>. Zużycie OZE w sektorach i w finalnym zużyciu energii w porównaniu do KPEiK z 2019 r.</w:t>
                      </w:r>
                      <w:bookmarkEnd w:id="55"/>
                    </w:p>
                  </w:txbxContent>
                </v:textbox>
                <w10:wrap type="tight"/>
              </v:shape>
            </w:pict>
          </mc:Fallback>
        </mc:AlternateContent>
      </w:r>
      <w:r>
        <w:rPr>
          <w:noProof/>
          <w:lang w:eastAsia="pl-PL"/>
        </w:rPr>
        <w:drawing>
          <wp:anchor distT="0" distB="0" distL="114300" distR="114300" simplePos="0" relativeHeight="251777536" behindDoc="0" locked="0" layoutInCell="1" allowOverlap="1" wp14:anchorId="65CFDBF3" wp14:editId="1A8840B2">
            <wp:simplePos x="0" y="0"/>
            <wp:positionH relativeFrom="margin">
              <wp:posOffset>-40888</wp:posOffset>
            </wp:positionH>
            <wp:positionV relativeFrom="paragraph">
              <wp:posOffset>59855</wp:posOffset>
            </wp:positionV>
            <wp:extent cx="6000750" cy="4343400"/>
            <wp:effectExtent l="0" t="0" r="0" b="0"/>
            <wp:wrapTight wrapText="bothSides">
              <wp:wrapPolygon edited="0">
                <wp:start x="0" y="0"/>
                <wp:lineTo x="0" y="21505"/>
                <wp:lineTo x="21531" y="21505"/>
                <wp:lineTo x="21531" y="0"/>
                <wp:lineTo x="0" y="0"/>
              </wp:wrapPolygon>
            </wp:wrapTight>
            <wp:docPr id="1165541681" name="Wykres 1">
              <a:extLst xmlns:a="http://schemas.openxmlformats.org/drawingml/2006/main">
                <a:ext uri="{FF2B5EF4-FFF2-40B4-BE49-F238E27FC236}">
                  <a16:creationId xmlns:a16="http://schemas.microsoft.com/office/drawing/2014/main" id="{C286D2E5-109D-486F-8824-835FAFAB6D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D370E2">
        <w:rPr>
          <w:noProof/>
          <w:lang w:eastAsia="pl-PL"/>
        </w:rPr>
        <mc:AlternateContent>
          <mc:Choice Requires="wpg">
            <w:drawing>
              <wp:anchor distT="0" distB="0" distL="114300" distR="114300" simplePos="0" relativeHeight="251742720" behindDoc="0" locked="0" layoutInCell="1" allowOverlap="1" wp14:anchorId="4F43A7F1" wp14:editId="44B62C7B">
                <wp:simplePos x="0" y="0"/>
                <wp:positionH relativeFrom="margin">
                  <wp:posOffset>211455</wp:posOffset>
                </wp:positionH>
                <wp:positionV relativeFrom="paragraph">
                  <wp:posOffset>314960</wp:posOffset>
                </wp:positionV>
                <wp:extent cx="4958715" cy="2575560"/>
                <wp:effectExtent l="0" t="0" r="0" b="0"/>
                <wp:wrapTopAndBottom/>
                <wp:docPr id="1853817464"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8715" cy="2575560"/>
                          <a:chOff x="85" y="0"/>
                          <a:chExt cx="49599" cy="27817"/>
                        </a:xfrm>
                      </wpg:grpSpPr>
                      <pic:pic xmlns:pic="http://schemas.openxmlformats.org/drawingml/2006/picture">
                        <pic:nvPicPr>
                          <pic:cNvPr id="665544331" name="Obraz 1668580329" descr="Obraz zawierający czarne, ciemność&#10;&#10;Opis wygenerowany automatyczni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9157" y="16669"/>
                            <a:ext cx="382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0298234" name="Obraz 725289133" descr="Obraz zawierający czarne, ciemność&#10;&#10;Opis wygenerowany automatyczni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4850" y="17244"/>
                            <a:ext cx="4457" cy="5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9183742" name="Obraz 1020355825" descr="Obraz zawierający czarne, ciemność&#10;&#10;Opis wygenerowany automatyczni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621" y="16669"/>
                            <a:ext cx="4320" cy="4320"/>
                          </a:xfrm>
                          <a:prstGeom prst="rect">
                            <a:avLst/>
                          </a:prstGeom>
                          <a:noFill/>
                          <a:extLst>
                            <a:ext uri="{909E8E84-426E-40DD-AFC4-6F175D3DCCD1}">
                              <a14:hiddenFill xmlns:a14="http://schemas.microsoft.com/office/drawing/2010/main">
                                <a:solidFill>
                                  <a:srgbClr val="FFFFFF"/>
                                </a:solidFill>
                              </a14:hiddenFill>
                            </a:ext>
                          </a:extLst>
                        </pic:spPr>
                      </pic:pic>
                      <wps:wsp>
                        <wps:cNvPr id="629068083" name="pole tekstowe 4"/>
                        <wps:cNvSpPr txBox="1">
                          <a:spLocks noChangeArrowheads="1"/>
                        </wps:cNvSpPr>
                        <wps:spPr bwMode="auto">
                          <a:xfrm>
                            <a:off x="9004" y="0"/>
                            <a:ext cx="1847" cy="3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732124" name="pole tekstowe 5"/>
                        <wps:cNvSpPr txBox="1">
                          <a:spLocks noChangeArrowheads="1"/>
                        </wps:cNvSpPr>
                        <wps:spPr bwMode="auto">
                          <a:xfrm>
                            <a:off x="1521" y="17370"/>
                            <a:ext cx="9735"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55B25" w14:textId="64208162" w:rsidR="00C36C5C" w:rsidRDefault="00C36C5C">
                              <w:r w:rsidRPr="001C6A90">
                                <w:rPr>
                                  <w:rFonts w:ascii="Bahnschrift" w:hAnsi="Bahnschrift"/>
                                  <w:b/>
                                  <w:bCs/>
                                  <w:color w:val="70AD47"/>
                                  <w:kern w:val="24"/>
                                  <w:sz w:val="44"/>
                                  <w:szCs w:val="44"/>
                                </w:rPr>
                                <w:t>51</w:t>
                              </w:r>
                              <w:r w:rsidRPr="001C6A90">
                                <w:rPr>
                                  <w:rFonts w:ascii="Bahnschrift" w:hAnsi="Bahnschrift"/>
                                  <w:b/>
                                  <w:bCs/>
                                  <w:color w:val="70AD47"/>
                                  <w:kern w:val="24"/>
                                  <w:sz w:val="36"/>
                                  <w:szCs w:val="36"/>
                                </w:rPr>
                                <w:t>,8%</w:t>
                              </w:r>
                            </w:p>
                          </w:txbxContent>
                        </wps:txbx>
                        <wps:bodyPr rot="0" vert="horz" wrap="square" lIns="91440" tIns="45720" rIns="91440" bIns="45720" anchor="t" anchorCtr="0" upright="1">
                          <a:noAutofit/>
                        </wps:bodyPr>
                      </wps:wsp>
                      <wps:wsp>
                        <wps:cNvPr id="996726297" name="pole tekstowe 6"/>
                        <wps:cNvSpPr txBox="1">
                          <a:spLocks noChangeArrowheads="1"/>
                        </wps:cNvSpPr>
                        <wps:spPr bwMode="auto">
                          <a:xfrm>
                            <a:off x="19771" y="17370"/>
                            <a:ext cx="9729"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52C93" w14:textId="4E1071AE" w:rsidR="00C36C5C" w:rsidRDefault="00C36C5C">
                              <w:r w:rsidRPr="001C6A90">
                                <w:rPr>
                                  <w:rFonts w:ascii="Bahnschrift" w:hAnsi="Bahnschrift"/>
                                  <w:b/>
                                  <w:bCs/>
                                  <w:color w:val="70AD47"/>
                                  <w:kern w:val="24"/>
                                  <w:sz w:val="44"/>
                                  <w:szCs w:val="44"/>
                                </w:rPr>
                                <w:t>36,</w:t>
                              </w:r>
                              <w:r w:rsidRPr="001C6A90">
                                <w:rPr>
                                  <w:rFonts w:ascii="Bahnschrift" w:hAnsi="Bahnschrift"/>
                                  <w:b/>
                                  <w:bCs/>
                                  <w:color w:val="70AD47"/>
                                  <w:kern w:val="24"/>
                                  <w:sz w:val="36"/>
                                  <w:szCs w:val="36"/>
                                </w:rPr>
                                <w:t>7%</w:t>
                              </w:r>
                            </w:p>
                          </w:txbxContent>
                        </wps:txbx>
                        <wps:bodyPr rot="0" vert="horz" wrap="square" lIns="91440" tIns="45720" rIns="91440" bIns="45720" anchor="t" anchorCtr="0" upright="1">
                          <a:noAutofit/>
                        </wps:bodyPr>
                      </wps:wsp>
                      <wps:wsp>
                        <wps:cNvPr id="532912115" name="Text Box 162"/>
                        <wps:cNvSpPr txBox="1">
                          <a:spLocks noChangeArrowheads="1"/>
                        </wps:cNvSpPr>
                        <wps:spPr bwMode="auto">
                          <a:xfrm>
                            <a:off x="35114" y="17244"/>
                            <a:ext cx="9736"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95AD9" w14:textId="6B84BB53" w:rsidR="00C36C5C" w:rsidRDefault="00C36C5C">
                              <w:r>
                                <w:rPr>
                                  <w:rFonts w:ascii="Bahnschrift" w:hAnsi="Bahnschrift"/>
                                  <w:b/>
                                  <w:bCs/>
                                  <w:color w:val="70AD47"/>
                                  <w:kern w:val="24"/>
                                  <w:sz w:val="44"/>
                                  <w:szCs w:val="44"/>
                                </w:rPr>
                                <w:t>18,</w:t>
                              </w:r>
                              <w:r w:rsidRPr="001C6A90">
                                <w:rPr>
                                  <w:rFonts w:ascii="Bahnschrift" w:hAnsi="Bahnschrift"/>
                                  <w:b/>
                                  <w:bCs/>
                                  <w:color w:val="70AD47"/>
                                  <w:kern w:val="24"/>
                                  <w:sz w:val="36"/>
                                  <w:szCs w:val="36"/>
                                </w:rPr>
                                <w:t>9%</w:t>
                              </w:r>
                            </w:p>
                          </w:txbxContent>
                        </wps:txbx>
                        <wps:bodyPr rot="0" vert="horz" wrap="square" lIns="91440" tIns="45720" rIns="91440" bIns="45720" anchor="t" anchorCtr="0" upright="1">
                          <a:noAutofit/>
                        </wps:bodyPr>
                      </wps:wsp>
                      <wps:wsp>
                        <wps:cNvPr id="1876138487" name="pole tekstowe 8"/>
                        <wps:cNvSpPr txBox="1">
                          <a:spLocks noChangeArrowheads="1"/>
                        </wps:cNvSpPr>
                        <wps:spPr bwMode="auto">
                          <a:xfrm>
                            <a:off x="2252" y="779"/>
                            <a:ext cx="24779" cy="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40E09" w14:textId="5E134461" w:rsidR="00C36C5C" w:rsidRDefault="00C36C5C">
                              <w:r w:rsidRPr="001C6A90">
                                <w:rPr>
                                  <w:rFonts w:ascii="Bahnschrift" w:hAnsi="Bahnschrift"/>
                                  <w:b/>
                                  <w:bCs/>
                                  <w:color w:val="70AD47"/>
                                  <w:kern w:val="24"/>
                                  <w:sz w:val="80"/>
                                  <w:szCs w:val="80"/>
                                </w:rPr>
                                <w:t>32</w:t>
                              </w:r>
                              <w:r w:rsidRPr="001C6A90">
                                <w:rPr>
                                  <w:rFonts w:ascii="Bahnschrift" w:hAnsi="Bahnschrift"/>
                                  <w:b/>
                                  <w:bCs/>
                                  <w:color w:val="70AD47"/>
                                  <w:kern w:val="24"/>
                                  <w:sz w:val="68"/>
                                  <w:szCs w:val="68"/>
                                </w:rPr>
                                <w:t>,1%</w:t>
                              </w:r>
                              <w:r w:rsidRPr="001C6A90">
                                <w:rPr>
                                  <w:rFonts w:ascii="Bahnschrift" w:hAnsi="Bahnschrift"/>
                                  <w:b/>
                                  <w:bCs/>
                                  <w:color w:val="70AD47"/>
                                  <w:kern w:val="24"/>
                                  <w:sz w:val="80"/>
                                  <w:szCs w:val="80"/>
                                </w:rPr>
                                <w:t xml:space="preserve"> OZE</w:t>
                              </w:r>
                            </w:p>
                          </w:txbxContent>
                        </wps:txbx>
                        <wps:bodyPr rot="0" vert="horz" wrap="square" lIns="91440" tIns="45720" rIns="91440" bIns="45720" anchor="t" anchorCtr="0" upright="1">
                          <a:noAutofit/>
                        </wps:bodyPr>
                      </wps:wsp>
                      <wps:wsp>
                        <wps:cNvPr id="1531708589" name="pole tekstowe 9"/>
                        <wps:cNvSpPr txBox="1">
                          <a:spLocks noChangeArrowheads="1"/>
                        </wps:cNvSpPr>
                        <wps:spPr bwMode="auto">
                          <a:xfrm>
                            <a:off x="26201" y="1575"/>
                            <a:ext cx="23483" cy="6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A37EA" w14:textId="2433265D" w:rsidR="00C36C5C" w:rsidRDefault="00C36C5C">
                              <w:r w:rsidRPr="001C6A90">
                                <w:rPr>
                                  <w:rFonts w:ascii="Bahnschrift" w:hAnsi="Bahnschrift"/>
                                  <w:b/>
                                  <w:bCs/>
                                  <w:color w:val="70AD47"/>
                                  <w:kern w:val="24"/>
                                  <w:sz w:val="32"/>
                                  <w:szCs w:val="32"/>
                                </w:rPr>
                                <w:t>w finalnym zużyciu energii brutto w 2030 r.</w:t>
                              </w:r>
                            </w:p>
                          </w:txbxContent>
                        </wps:txbx>
                        <wps:bodyPr rot="0" vert="horz" wrap="square" lIns="91440" tIns="45720" rIns="91440" bIns="45720" anchor="t" anchorCtr="0" upright="1">
                          <a:noAutofit/>
                        </wps:bodyPr>
                      </wps:wsp>
                      <wps:wsp>
                        <wps:cNvPr id="1582884282" name="Łuk 1025211203"/>
                        <wps:cNvSpPr>
                          <a:spLocks/>
                        </wps:cNvSpPr>
                        <wps:spPr bwMode="auto">
                          <a:xfrm>
                            <a:off x="13077" y="10202"/>
                            <a:ext cx="30994" cy="17615"/>
                          </a:xfrm>
                          <a:custGeom>
                            <a:avLst/>
                            <a:gdLst>
                              <a:gd name="T0" fmla="*/ 1549667 w 3099334"/>
                              <a:gd name="T1" fmla="*/ 0 h 1664683"/>
                              <a:gd name="T2" fmla="*/ 3024217 w 3099334"/>
                              <a:gd name="T3" fmla="*/ 576343 h 1664683"/>
                              <a:gd name="T4" fmla="*/ 0 60000 65536"/>
                              <a:gd name="T5" fmla="*/ 0 60000 65536"/>
                            </a:gdLst>
                            <a:ahLst/>
                            <a:cxnLst>
                              <a:cxn ang="T4">
                                <a:pos x="T0" y="T1"/>
                              </a:cxn>
                              <a:cxn ang="T5">
                                <a:pos x="T2" y="T3"/>
                              </a:cxn>
                            </a:cxnLst>
                            <a:rect l="0" t="0" r="r" b="b"/>
                            <a:pathLst>
                              <a:path w="3099334" h="1664683" stroke="0">
                                <a:moveTo>
                                  <a:pt x="1549667" y="0"/>
                                </a:moveTo>
                                <a:cubicBezTo>
                                  <a:pt x="2221896" y="0"/>
                                  <a:pt x="2817464" y="232784"/>
                                  <a:pt x="3024217" y="576343"/>
                                </a:cubicBezTo>
                                <a:lnTo>
                                  <a:pt x="1549667" y="832342"/>
                                </a:lnTo>
                                <a:lnTo>
                                  <a:pt x="1549667" y="0"/>
                                </a:lnTo>
                                <a:close/>
                              </a:path>
                              <a:path w="3099334" h="1664683" fill="none">
                                <a:moveTo>
                                  <a:pt x="1549667" y="0"/>
                                </a:moveTo>
                                <a:cubicBezTo>
                                  <a:pt x="2221896" y="0"/>
                                  <a:pt x="2817464" y="232784"/>
                                  <a:pt x="3024217" y="576343"/>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32082544" name="Łuk 775618586"/>
                        <wps:cNvSpPr>
                          <a:spLocks/>
                        </wps:cNvSpPr>
                        <wps:spPr bwMode="auto">
                          <a:xfrm flipH="1">
                            <a:off x="11308" y="10202"/>
                            <a:ext cx="30993" cy="17615"/>
                          </a:xfrm>
                          <a:custGeom>
                            <a:avLst/>
                            <a:gdLst>
                              <a:gd name="T0" fmla="*/ 1549667 w 3099334"/>
                              <a:gd name="T1" fmla="*/ 0 h 1664683"/>
                              <a:gd name="T2" fmla="*/ 3024217 w 3099334"/>
                              <a:gd name="T3" fmla="*/ 576343 h 1664683"/>
                              <a:gd name="T4" fmla="*/ 0 60000 65536"/>
                              <a:gd name="T5" fmla="*/ 0 60000 65536"/>
                            </a:gdLst>
                            <a:ahLst/>
                            <a:cxnLst>
                              <a:cxn ang="T4">
                                <a:pos x="T0" y="T1"/>
                              </a:cxn>
                              <a:cxn ang="T5">
                                <a:pos x="T2" y="T3"/>
                              </a:cxn>
                            </a:cxnLst>
                            <a:rect l="0" t="0" r="r" b="b"/>
                            <a:pathLst>
                              <a:path w="3099334" h="1664683" stroke="0">
                                <a:moveTo>
                                  <a:pt x="1549667" y="0"/>
                                </a:moveTo>
                                <a:cubicBezTo>
                                  <a:pt x="2221896" y="0"/>
                                  <a:pt x="2817464" y="232784"/>
                                  <a:pt x="3024217" y="576343"/>
                                </a:cubicBezTo>
                                <a:lnTo>
                                  <a:pt x="1549667" y="832342"/>
                                </a:lnTo>
                                <a:lnTo>
                                  <a:pt x="1549667" y="0"/>
                                </a:lnTo>
                                <a:close/>
                              </a:path>
                              <a:path w="3099334" h="1664683" fill="none">
                                <a:moveTo>
                                  <a:pt x="1549667" y="0"/>
                                </a:moveTo>
                                <a:cubicBezTo>
                                  <a:pt x="2221896" y="0"/>
                                  <a:pt x="2817464" y="232784"/>
                                  <a:pt x="3024217" y="576343"/>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48480898" name="Łuk 42278270"/>
                        <wps:cNvSpPr>
                          <a:spLocks/>
                        </wps:cNvSpPr>
                        <wps:spPr bwMode="auto">
                          <a:xfrm flipH="1">
                            <a:off x="24639" y="10202"/>
                            <a:ext cx="7293" cy="14389"/>
                          </a:xfrm>
                          <a:custGeom>
                            <a:avLst/>
                            <a:gdLst>
                              <a:gd name="T0" fmla="*/ 364624 w 729248"/>
                              <a:gd name="T1" fmla="*/ 0 h 1330749"/>
                              <a:gd name="T2" fmla="*/ 727609 w 729248"/>
                              <a:gd name="T3" fmla="*/ 602357 h 1330749"/>
                              <a:gd name="T4" fmla="*/ 0 60000 65536"/>
                              <a:gd name="T5" fmla="*/ 0 60000 65536"/>
                            </a:gdLst>
                            <a:ahLst/>
                            <a:cxnLst>
                              <a:cxn ang="T4">
                                <a:pos x="T0" y="T1"/>
                              </a:cxn>
                              <a:cxn ang="T5">
                                <a:pos x="T2" y="T3"/>
                              </a:cxn>
                            </a:cxnLst>
                            <a:rect l="0" t="0" r="r" b="b"/>
                            <a:pathLst>
                              <a:path w="729248" h="1330749" stroke="0">
                                <a:moveTo>
                                  <a:pt x="364624" y="0"/>
                                </a:moveTo>
                                <a:cubicBezTo>
                                  <a:pt x="552623" y="0"/>
                                  <a:pt x="709803" y="260834"/>
                                  <a:pt x="727609" y="602357"/>
                                </a:cubicBezTo>
                                <a:lnTo>
                                  <a:pt x="364624" y="665375"/>
                                </a:lnTo>
                                <a:lnTo>
                                  <a:pt x="364624" y="0"/>
                                </a:lnTo>
                                <a:close/>
                              </a:path>
                              <a:path w="729248" h="1330749" fill="none">
                                <a:moveTo>
                                  <a:pt x="364624" y="0"/>
                                </a:moveTo>
                                <a:cubicBezTo>
                                  <a:pt x="552623" y="0"/>
                                  <a:pt x="709803" y="260834"/>
                                  <a:pt x="727609" y="602357"/>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1511825" name="pole tekstowe 19"/>
                        <wps:cNvSpPr txBox="1">
                          <a:spLocks noChangeArrowheads="1"/>
                        </wps:cNvSpPr>
                        <wps:spPr bwMode="auto">
                          <a:xfrm>
                            <a:off x="85" y="21264"/>
                            <a:ext cx="20022"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B3F28" w14:textId="5953918E" w:rsidR="00C36C5C" w:rsidRDefault="00C36C5C">
                              <w:r w:rsidRPr="001C6A90">
                                <w:rPr>
                                  <w:rFonts w:ascii="Bahnschrift" w:hAnsi="Bahnschrift"/>
                                  <w:b/>
                                  <w:bCs/>
                                  <w:color w:val="70AD47"/>
                                  <w:kern w:val="24"/>
                                </w:rPr>
                                <w:t>w elektroenergetyce</w:t>
                              </w:r>
                            </w:p>
                          </w:txbxContent>
                        </wps:txbx>
                        <wps:bodyPr rot="0" vert="horz" wrap="square" lIns="91440" tIns="45720" rIns="91440" bIns="45720" anchor="t" anchorCtr="0" upright="1">
                          <a:noAutofit/>
                        </wps:bodyPr>
                      </wps:wsp>
                      <wps:wsp>
                        <wps:cNvPr id="864308432" name="pole tekstowe 20"/>
                        <wps:cNvSpPr txBox="1">
                          <a:spLocks noChangeArrowheads="1"/>
                        </wps:cNvSpPr>
                        <wps:spPr bwMode="auto">
                          <a:xfrm>
                            <a:off x="16807" y="21264"/>
                            <a:ext cx="20017" cy="5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93092" w14:textId="5605FABA" w:rsidR="00C36C5C" w:rsidRDefault="00C36C5C" w:rsidP="001C6A90">
                              <w:pPr>
                                <w:jc w:val="center"/>
                              </w:pPr>
                              <w:r>
                                <w:rPr>
                                  <w:rFonts w:ascii="Bahnschrift" w:hAnsi="Bahnschrift"/>
                                  <w:b/>
                                  <w:bCs/>
                                  <w:color w:val="70AD47"/>
                                  <w:kern w:val="24"/>
                                </w:rPr>
                                <w:t xml:space="preserve">w </w:t>
                              </w:r>
                              <w:r w:rsidRPr="001C6A90">
                                <w:rPr>
                                  <w:rFonts w:ascii="Bahnschrift" w:hAnsi="Bahnschrift"/>
                                  <w:b/>
                                  <w:bCs/>
                                  <w:color w:val="70AD47"/>
                                  <w:kern w:val="24"/>
                                </w:rPr>
                                <w:t>ciepłownictwie</w:t>
                              </w:r>
                              <w:r w:rsidRPr="001C6A90">
                                <w:rPr>
                                  <w:rFonts w:ascii="Bahnschrift" w:hAnsi="Bahnschrift"/>
                                  <w:b/>
                                  <w:bCs/>
                                  <w:color w:val="70AD47"/>
                                  <w:kern w:val="24"/>
                                </w:rPr>
                                <w:br/>
                                <w:t>i chłodnictwie</w:t>
                              </w:r>
                            </w:p>
                          </w:txbxContent>
                        </wps:txbx>
                        <wps:bodyPr rot="0" vert="horz" wrap="square" lIns="91440" tIns="45720" rIns="91440" bIns="45720" anchor="t" anchorCtr="0" upright="1">
                          <a:noAutofit/>
                        </wps:bodyPr>
                      </wps:wsp>
                      <wps:wsp>
                        <wps:cNvPr id="220499952" name="pole tekstowe 21"/>
                        <wps:cNvSpPr txBox="1">
                          <a:spLocks noChangeArrowheads="1"/>
                        </wps:cNvSpPr>
                        <wps:spPr bwMode="auto">
                          <a:xfrm>
                            <a:off x="32858" y="21813"/>
                            <a:ext cx="12736"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04DE1" w14:textId="7603D145" w:rsidR="00C36C5C" w:rsidRDefault="00C36C5C">
                              <w:r w:rsidRPr="001C6A90">
                                <w:rPr>
                                  <w:rFonts w:ascii="Bahnschrift" w:hAnsi="Bahnschrift"/>
                                  <w:b/>
                                  <w:bCs/>
                                  <w:color w:val="70AD47"/>
                                  <w:kern w:val="24"/>
                                </w:rPr>
                                <w:t>w transporcie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3A7F1" id="Grupa 22" o:spid="_x0000_s1071" style="position:absolute;left:0;text-align:left;margin-left:16.65pt;margin-top:24.8pt;width:390.45pt;height:202.8pt;z-index:251742720;mso-position-horizontal-relative:margin" coordorigin="85" coordsize="49599,27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68580329" o:spid="_x0000_s1072" type="#_x0000_t75" alt="Obraz zawierający czarne, ciemność&#10;&#10;Opis wygenerowany automatycznie" style="position:absolute;left:29157;top:16669;width:382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">
                  <v:imagedata r:id="rId45" o:title="Obraz zawierający czarne, ciemność&#10;&#10;Opis wygenerowany automatycznie"/>
                </v:shape>
                <v:shape id="Obraz 725289133" o:spid="_x0000_s1073" type="#_x0000_t75" alt="Obraz zawierający czarne, ciemność&#10;&#10;Opis wygenerowany automatycznie" style="position:absolute;left:44850;top:17244;width:4457;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">
                  <v:imagedata r:id="rId46" o:title="Obraz zawierający czarne, ciemność&#10;&#10;Opis wygenerowany automatycznie"/>
                </v:shape>
                <v:shape id="Obraz 1020355825" o:spid="_x0000_s1074" type="#_x0000_t75" alt="Obraz zawierający czarne, ciemność&#10;&#10;Opis wygenerowany automatycznie" style="position:absolute;left:11621;top:16669;width:43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">
                  <v:imagedata r:id="rId47" o:title="Obraz zawierający czarne, ciemność&#10;&#10;Opis wygenerowany automatycznie"/>
                </v:shape>
                <v:shapetype id="_x0000_t202" coordsize="21600,21600" o:spt="202" path="m,l,21600r21600,l21600,xe">
                  <v:stroke joinstyle="miter"/>
                  <v:path gradientshapeok="t" o:connecttype="rect"/>
                </v:shapetype>
                <v:shape id="pole tekstowe 4" o:spid="_x0000_s1075" type="#_x0000_t202" style="position:absolute;left:9004;width:184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" filled="f" stroked="f"/>
                <v:shape id="pole tekstowe 5" o:spid="_x0000_s1076" type="#_x0000_t202" style="position:absolute;left:1521;top:17370;width:9735;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" filled="f" stroked="f">
                  <v:textbox>
                    <w:txbxContent>
                      <w:p w14:paraId="0D355B25" w14:textId="64208162" w:rsidR="00C36C5C" w:rsidRDefault="00C36C5C">
                        <w:r w:rsidRPr="001C6A90">
                          <w:rPr>
                            <w:rFonts w:ascii="Bahnschrift" w:hAnsi="Bahnschrift"/>
                            <w:b/>
                            <w:bCs/>
                            <w:color w:val="70AD47"/>
                            <w:kern w:val="24"/>
                            <w:sz w:val="44"/>
                            <w:szCs w:val="44"/>
                          </w:rPr>
                          <w:t>51</w:t>
                        </w:r>
                        <w:r w:rsidRPr="001C6A90">
                          <w:rPr>
                            <w:rFonts w:ascii="Bahnschrift" w:hAnsi="Bahnschrift"/>
                            <w:b/>
                            <w:bCs/>
                            <w:color w:val="70AD47"/>
                            <w:kern w:val="24"/>
                            <w:sz w:val="36"/>
                            <w:szCs w:val="36"/>
                          </w:rPr>
                          <w:t>,8%</w:t>
                        </w:r>
                      </w:p>
                    </w:txbxContent>
                  </v:textbox>
                </v:shape>
                <v:shape id="pole tekstowe 6" o:spid="_x0000_s1077" type="#_x0000_t202" style="position:absolute;left:19771;top:17370;width:9729;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" filled="f" stroked="f">
                  <v:textbox>
                    <w:txbxContent>
                      <w:p w14:paraId="4FF52C93" w14:textId="4E1071AE" w:rsidR="00C36C5C" w:rsidRDefault="00C36C5C">
                        <w:r w:rsidRPr="001C6A90">
                          <w:rPr>
                            <w:rFonts w:ascii="Bahnschrift" w:hAnsi="Bahnschrift"/>
                            <w:b/>
                            <w:bCs/>
                            <w:color w:val="70AD47"/>
                            <w:kern w:val="24"/>
                            <w:sz w:val="44"/>
                            <w:szCs w:val="44"/>
                          </w:rPr>
                          <w:t>36,</w:t>
                        </w:r>
                        <w:r w:rsidRPr="001C6A90">
                          <w:rPr>
                            <w:rFonts w:ascii="Bahnschrift" w:hAnsi="Bahnschrift"/>
                            <w:b/>
                            <w:bCs/>
                            <w:color w:val="70AD47"/>
                            <w:kern w:val="24"/>
                            <w:sz w:val="36"/>
                            <w:szCs w:val="36"/>
                          </w:rPr>
                          <w:t>7%</w:t>
                        </w:r>
                      </w:p>
                    </w:txbxContent>
                  </v:textbox>
                </v:shape>
                <v:shape id="Text Box 162" o:spid="_x0000_s1078" type="#_x0000_t202" style="position:absolute;left:35114;top:17244;width:9736;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" filled="f" stroked="f">
                  <v:textbox>
                    <w:txbxContent>
                      <w:p w14:paraId="42095AD9" w14:textId="6B84BB53" w:rsidR="00C36C5C" w:rsidRDefault="00C36C5C">
                        <w:r>
                          <w:rPr>
                            <w:rFonts w:ascii="Bahnschrift" w:hAnsi="Bahnschrift"/>
                            <w:b/>
                            <w:bCs/>
                            <w:color w:val="70AD47"/>
                            <w:kern w:val="24"/>
                            <w:sz w:val="44"/>
                            <w:szCs w:val="44"/>
                          </w:rPr>
                          <w:t>18,</w:t>
                        </w:r>
                        <w:r w:rsidRPr="001C6A90">
                          <w:rPr>
                            <w:rFonts w:ascii="Bahnschrift" w:hAnsi="Bahnschrift"/>
                            <w:b/>
                            <w:bCs/>
                            <w:color w:val="70AD47"/>
                            <w:kern w:val="24"/>
                            <w:sz w:val="36"/>
                            <w:szCs w:val="36"/>
                          </w:rPr>
                          <w:t>9%</w:t>
                        </w:r>
                      </w:p>
                    </w:txbxContent>
                  </v:textbox>
                </v:shape>
                <v:shape id="_x0000_s1079" type="#_x0000_t202" style="position:absolute;left:2252;top:779;width:24779;height:8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" filled="f" stroked="f">
                  <v:textbox>
                    <w:txbxContent>
                      <w:p w14:paraId="1FA40E09" w14:textId="5E134461" w:rsidR="00C36C5C" w:rsidRDefault="00C36C5C">
                        <w:r w:rsidRPr="001C6A90">
                          <w:rPr>
                            <w:rFonts w:ascii="Bahnschrift" w:hAnsi="Bahnschrift"/>
                            <w:b/>
                            <w:bCs/>
                            <w:color w:val="70AD47"/>
                            <w:kern w:val="24"/>
                            <w:sz w:val="80"/>
                            <w:szCs w:val="80"/>
                          </w:rPr>
                          <w:t>32</w:t>
                        </w:r>
                        <w:r w:rsidRPr="001C6A90">
                          <w:rPr>
                            <w:rFonts w:ascii="Bahnschrift" w:hAnsi="Bahnschrift"/>
                            <w:b/>
                            <w:bCs/>
                            <w:color w:val="70AD47"/>
                            <w:kern w:val="24"/>
                            <w:sz w:val="68"/>
                            <w:szCs w:val="68"/>
                          </w:rPr>
                          <w:t>,1%</w:t>
                        </w:r>
                        <w:r w:rsidRPr="001C6A90">
                          <w:rPr>
                            <w:rFonts w:ascii="Bahnschrift" w:hAnsi="Bahnschrift"/>
                            <w:b/>
                            <w:bCs/>
                            <w:color w:val="70AD47"/>
                            <w:kern w:val="24"/>
                            <w:sz w:val="80"/>
                            <w:szCs w:val="80"/>
                          </w:rPr>
                          <w:t xml:space="preserve"> OZE</w:t>
                        </w:r>
                      </w:p>
                    </w:txbxContent>
                  </v:textbox>
                </v:shape>
                <v:shape id="pole tekstowe 9" o:spid="_x0000_s1080" type="#_x0000_t202" style="position:absolute;left:26201;top:1575;width:23483;height:6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" filled="f" stroked="f">
                  <v:textbox>
                    <w:txbxContent>
                      <w:p w14:paraId="6EDA37EA" w14:textId="2433265D" w:rsidR="00C36C5C" w:rsidRDefault="00C36C5C">
                        <w:r w:rsidRPr="001C6A90">
                          <w:rPr>
                            <w:rFonts w:ascii="Bahnschrift" w:hAnsi="Bahnschrift"/>
                            <w:b/>
                            <w:bCs/>
                            <w:color w:val="70AD47"/>
                            <w:kern w:val="24"/>
                            <w:sz w:val="32"/>
                            <w:szCs w:val="32"/>
                          </w:rPr>
                          <w:t>w finalnym zużyciu energii brutto w 2030 r.</w:t>
                        </w:r>
                      </w:p>
                    </w:txbxContent>
                  </v:textbox>
                </v:shape>
                <v:shape id="Łuk 1025211203" o:spid="_x0000_s1081" style="position:absolute;left:13077;top:10202;width:30994;height:17615;visibility:visible;mso-wrap-style:square;v-text-anchor:middle" coordsize="3099334,166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" path="m1549667,nsc2221896,,2817464,232784,3024217,576343l1549667,832342,1549667,xem1549667,nfc2221896,,2817464,232784,3024217,576343e" filled="f" strokecolor="#92d050" strokeweight="1.25pt">
                  <v:stroke dashstyle="dash" endarrow="classic" joinstyle="miter"/>
                  <v:path arrowok="t" o:connecttype="custom" o:connectlocs="15497,0;30243,6099" o:connectangles="0,0"/>
                </v:shape>
                <v:shape id="Łuk 775618586" o:spid="_x0000_s1082" style="position:absolute;left:11308;top:10202;width:30993;height:17615;flip:x;visibility:visible;mso-wrap-style:square;v-text-anchor:middle" coordsize="3099334,166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" path="m1549667,nsc2221896,,2817464,232784,3024217,576343l1549667,832342,1549667,xem1549667,nfc2221896,,2817464,232784,3024217,576343e" filled="f" strokecolor="#92d050" strokeweight="1.25pt">
                  <v:stroke dashstyle="dash" endarrow="classic" joinstyle="miter"/>
                  <v:path arrowok="t" o:connecttype="custom" o:connectlocs="15497,0;30242,6099" o:connectangles="0,0"/>
                </v:shape>
                <v:shape id="Łuk 42278270" o:spid="_x0000_s1083" style="position:absolute;left:24639;top:10202;width:7293;height:14389;flip:x;visibility:visible;mso-wrap-style:square;v-text-anchor:middle" coordsize="729248,133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" path="m364624,nsc552623,,709803,260834,727609,602357l364624,665375,364624,xem364624,nfc552623,,709803,260834,727609,602357e" filled="f" strokecolor="#92d050" strokeweight="1.25pt">
                  <v:stroke dashstyle="dash" endarrow="classic" joinstyle="miter"/>
                  <v:path arrowok="t" o:connecttype="custom" o:connectlocs="3647,0;7277,6513" o:connectangles="0,0"/>
                </v:shape>
                <v:shape id="pole tekstowe 19" o:spid="_x0000_s1084" type="#_x0000_t202" style="position:absolute;left:85;top:21264;width:2002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" filled="f" stroked="f">
                  <v:textbox>
                    <w:txbxContent>
                      <w:p w14:paraId="4B8B3F28" w14:textId="5953918E" w:rsidR="00C36C5C" w:rsidRDefault="00C36C5C">
                        <w:r w:rsidRPr="001C6A90">
                          <w:rPr>
                            <w:rFonts w:ascii="Bahnschrift" w:hAnsi="Bahnschrift"/>
                            <w:b/>
                            <w:bCs/>
                            <w:color w:val="70AD47"/>
                            <w:kern w:val="24"/>
                          </w:rPr>
                          <w:t>w elektroenergetyce</w:t>
                        </w:r>
                      </w:p>
                    </w:txbxContent>
                  </v:textbox>
                </v:shape>
                <v:shape id="pole tekstowe 20" o:spid="_x0000_s1085" type="#_x0000_t202" style="position:absolute;left:16807;top:21264;width:2001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" filled="f" stroked="f">
                  <v:textbox>
                    <w:txbxContent>
                      <w:p w14:paraId="6DA93092" w14:textId="5605FABA" w:rsidR="00C36C5C" w:rsidRDefault="00C36C5C" w:rsidP="001C6A90">
                        <w:pPr>
                          <w:jc w:val="center"/>
                        </w:pPr>
                        <w:r>
                          <w:rPr>
                            <w:rFonts w:ascii="Bahnschrift" w:hAnsi="Bahnschrift"/>
                            <w:b/>
                            <w:bCs/>
                            <w:color w:val="70AD47"/>
                            <w:kern w:val="24"/>
                          </w:rPr>
                          <w:t xml:space="preserve">w </w:t>
                        </w:r>
                        <w:r w:rsidRPr="001C6A90">
                          <w:rPr>
                            <w:rFonts w:ascii="Bahnschrift" w:hAnsi="Bahnschrift"/>
                            <w:b/>
                            <w:bCs/>
                            <w:color w:val="70AD47"/>
                            <w:kern w:val="24"/>
                          </w:rPr>
                          <w:t>ciepłownictwie</w:t>
                        </w:r>
                        <w:r w:rsidRPr="001C6A90">
                          <w:rPr>
                            <w:rFonts w:ascii="Bahnschrift" w:hAnsi="Bahnschrift"/>
                            <w:b/>
                            <w:bCs/>
                            <w:color w:val="70AD47"/>
                            <w:kern w:val="24"/>
                          </w:rPr>
                          <w:br/>
                          <w:t>i chłodnictwie</w:t>
                        </w:r>
                      </w:p>
                    </w:txbxContent>
                  </v:textbox>
                </v:shape>
                <v:shape id="pole tekstowe 21" o:spid="_x0000_s1086" type="#_x0000_t202" style="position:absolute;left:32858;top:21813;width:1273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" filled="f" stroked="f">
                  <v:textbox>
                    <w:txbxContent>
                      <w:p w14:paraId="0B004DE1" w14:textId="7603D145" w:rsidR="00C36C5C" w:rsidRDefault="00C36C5C">
                        <w:r w:rsidRPr="001C6A90">
                          <w:rPr>
                            <w:rFonts w:ascii="Bahnschrift" w:hAnsi="Bahnschrift"/>
                            <w:b/>
                            <w:bCs/>
                            <w:color w:val="70AD47"/>
                            <w:kern w:val="24"/>
                          </w:rPr>
                          <w:t>w transporcie</w:t>
                        </w:r>
                      </w:p>
                    </w:txbxContent>
                  </v:textbox>
                </v:shape>
                <w10:wrap type="topAndBottom" anchorx="margin"/>
              </v:group>
            </w:pict>
          </mc:Fallback>
        </mc:AlternateContent>
      </w:r>
      <w:r w:rsidR="00F50EC8">
        <w:t xml:space="preserve">Prognozy wskazują, że najszybciej zmiany zachodzić będą w sektorze elektroenergetycznym, </w:t>
      </w:r>
      <w:r w:rsidR="00D370E2">
        <w:t xml:space="preserve">w którym udział OZE w 2030 r. </w:t>
      </w:r>
      <w:r w:rsidR="00D370E2" w:rsidRPr="00231BB8">
        <w:t xml:space="preserve">może osiągnąć </w:t>
      </w:r>
      <w:r w:rsidR="00F54BC3">
        <w:rPr>
          <w:b/>
          <w:bCs/>
        </w:rPr>
        <w:t>51,8</w:t>
      </w:r>
      <w:r w:rsidR="00D370E2" w:rsidRPr="00231BB8">
        <w:rPr>
          <w:b/>
          <w:bCs/>
        </w:rPr>
        <w:t>% (</w:t>
      </w:r>
      <w:r w:rsidR="00F54BC3">
        <w:rPr>
          <w:b/>
          <w:bCs/>
        </w:rPr>
        <w:t>8,3</w:t>
      </w:r>
      <w:r w:rsidR="00D370E2" w:rsidRPr="00231BB8">
        <w:rPr>
          <w:b/>
          <w:bCs/>
        </w:rPr>
        <w:t> Mtoe)</w:t>
      </w:r>
      <w:r w:rsidR="00D370E2">
        <w:rPr>
          <w:b/>
          <w:bCs/>
        </w:rPr>
        <w:t xml:space="preserve"> oraz </w:t>
      </w:r>
      <w:r w:rsidR="002D6DE9">
        <w:rPr>
          <w:b/>
          <w:bCs/>
        </w:rPr>
        <w:t>79,8</w:t>
      </w:r>
      <w:r w:rsidR="00D370E2">
        <w:rPr>
          <w:b/>
          <w:bCs/>
        </w:rPr>
        <w:t>% (</w:t>
      </w:r>
      <w:r w:rsidR="00F54BC3">
        <w:rPr>
          <w:b/>
          <w:bCs/>
        </w:rPr>
        <w:t>18,5</w:t>
      </w:r>
      <w:r w:rsidR="00D370E2">
        <w:rPr>
          <w:b/>
          <w:bCs/>
        </w:rPr>
        <w:t xml:space="preserve"> Mtoe) w 2040 r</w:t>
      </w:r>
      <w:r w:rsidR="00D370E2" w:rsidRPr="00231BB8">
        <w:t xml:space="preserve">. Udział OZE w ciepłownictwie i chłodnictwie może wynieść </w:t>
      </w:r>
      <w:r w:rsidR="00D370E2" w:rsidRPr="00B62A19">
        <w:rPr>
          <w:b/>
          <w:bCs/>
        </w:rPr>
        <w:t>3</w:t>
      </w:r>
      <w:r w:rsidR="00016D16">
        <w:rPr>
          <w:b/>
          <w:bCs/>
        </w:rPr>
        <w:t>6,7</w:t>
      </w:r>
      <w:r w:rsidR="00D370E2" w:rsidRPr="00231BB8">
        <w:rPr>
          <w:b/>
          <w:bCs/>
        </w:rPr>
        <w:t>% (10,</w:t>
      </w:r>
      <w:r w:rsidR="00F54BC3">
        <w:rPr>
          <w:b/>
          <w:bCs/>
        </w:rPr>
        <w:t>8</w:t>
      </w:r>
      <w:r w:rsidR="003E2DE5">
        <w:rPr>
          <w:b/>
          <w:bCs/>
        </w:rPr>
        <w:t xml:space="preserve"> </w:t>
      </w:r>
      <w:r w:rsidR="00D370E2" w:rsidRPr="00231BB8">
        <w:rPr>
          <w:b/>
          <w:bCs/>
        </w:rPr>
        <w:t>Mtoe)</w:t>
      </w:r>
      <w:r w:rsidR="00D370E2">
        <w:rPr>
          <w:b/>
          <w:bCs/>
        </w:rPr>
        <w:t xml:space="preserve"> oraz 6</w:t>
      </w:r>
      <w:r w:rsidR="008222BA">
        <w:rPr>
          <w:b/>
          <w:bCs/>
        </w:rPr>
        <w:t>7</w:t>
      </w:r>
      <w:r w:rsidR="00D370E2">
        <w:rPr>
          <w:b/>
          <w:bCs/>
        </w:rPr>
        <w:t>,6% (</w:t>
      </w:r>
      <w:r w:rsidR="00F54BC3">
        <w:rPr>
          <w:b/>
          <w:bCs/>
        </w:rPr>
        <w:t>15,2</w:t>
      </w:r>
      <w:r w:rsidR="00D370E2">
        <w:rPr>
          <w:b/>
          <w:bCs/>
        </w:rPr>
        <w:t xml:space="preserve"> Mtoe) w 2040 r</w:t>
      </w:r>
      <w:r w:rsidR="00D370E2" w:rsidRPr="00231BB8">
        <w:t xml:space="preserve">, zaś w transporcie </w:t>
      </w:r>
      <w:r w:rsidR="001C6A90">
        <w:rPr>
          <w:b/>
          <w:bCs/>
        </w:rPr>
        <w:t>18,9</w:t>
      </w:r>
      <w:r w:rsidR="00D370E2" w:rsidRPr="00231BB8">
        <w:rPr>
          <w:b/>
          <w:bCs/>
        </w:rPr>
        <w:t>% (</w:t>
      </w:r>
      <w:r w:rsidR="00F54BC3">
        <w:rPr>
          <w:b/>
          <w:bCs/>
        </w:rPr>
        <w:t>2,5</w:t>
      </w:r>
      <w:r w:rsidR="00D370E2">
        <w:rPr>
          <w:b/>
          <w:bCs/>
        </w:rPr>
        <w:t> </w:t>
      </w:r>
      <w:r w:rsidR="00D370E2" w:rsidRPr="00231BB8">
        <w:rPr>
          <w:b/>
          <w:bCs/>
        </w:rPr>
        <w:t>Mtoe)</w:t>
      </w:r>
      <w:r w:rsidR="00D370E2">
        <w:rPr>
          <w:b/>
          <w:bCs/>
        </w:rPr>
        <w:t xml:space="preserve"> </w:t>
      </w:r>
      <w:r w:rsidR="00F54BC3">
        <w:rPr>
          <w:b/>
          <w:bCs/>
        </w:rPr>
        <w:t>w 2030 r. i</w:t>
      </w:r>
      <w:r w:rsidR="00BD416A">
        <w:rPr>
          <w:b/>
          <w:bCs/>
        </w:rPr>
        <w:t xml:space="preserve"> </w:t>
      </w:r>
      <w:r w:rsidR="00F54BC3">
        <w:rPr>
          <w:b/>
          <w:bCs/>
        </w:rPr>
        <w:t>47,5</w:t>
      </w:r>
      <w:r w:rsidR="00D370E2">
        <w:rPr>
          <w:b/>
          <w:bCs/>
        </w:rPr>
        <w:t>% (</w:t>
      </w:r>
      <w:r w:rsidR="00F54BC3">
        <w:rPr>
          <w:b/>
          <w:bCs/>
        </w:rPr>
        <w:t>4,2</w:t>
      </w:r>
      <w:r w:rsidR="00D370E2">
        <w:rPr>
          <w:b/>
          <w:bCs/>
        </w:rPr>
        <w:t xml:space="preserve"> Mtoe) w 2040 r.</w:t>
      </w:r>
      <w:r w:rsidR="00D370E2">
        <w:rPr>
          <w:rStyle w:val="Odwoanieprzypisudolnego"/>
          <w:b/>
          <w:bCs/>
        </w:rPr>
        <w:footnoteReference w:id="15"/>
      </w:r>
      <w:r w:rsidR="00D370E2" w:rsidRPr="00231BB8">
        <w:t xml:space="preserve"> Bardziej szczegółowe założenia obszarowe znajdują się na kolejnych</w:t>
      </w:r>
      <w:r w:rsidR="00D370E2">
        <w:t xml:space="preserve"> stronach</w:t>
      </w:r>
      <w:r w:rsidR="004B406C">
        <w:t xml:space="preserve"> oraz w </w:t>
      </w:r>
      <w:r w:rsidR="00537282">
        <w:t>z</w:t>
      </w:r>
      <w:r w:rsidR="004B406C">
        <w:t>ałączniku 1</w:t>
      </w:r>
      <w:r w:rsidR="00A817BE">
        <w:t>.</w:t>
      </w:r>
    </w:p>
    <w:p w14:paraId="3E8724B5" w14:textId="6C6C1FE9" w:rsidR="009A1A68" w:rsidRDefault="009A1A68" w:rsidP="009A1A68">
      <w:r>
        <w:t>Mając na uwadze dotychczasowe postępy dotyczące rozwoju OZE, zarówno unijne, jak i krajowe zobowiązania na 2030 r. należy uznać za ambitne. Każdy z sektorów cechuje się inną specyfiką i występują w nich inne wyzwania. Cechą wspólną dla wszystkich obszarów w zakresie intensywniejszego zazielenienia jest zależność od postępu technologicznego – zarówno w zakresie aktualnie znanych sposobów wytwarzania energii oraz rozwiązań towarzyszących OZE (w tym np. technologii bilansowania i magazynowania energii), jak i w zupełnie nowych technologiach. Ocenia się, że najtrudniejszy do zrealizowania będzie cel w zakresie transportu.</w:t>
      </w:r>
    </w:p>
    <w:p w14:paraId="2ABFEAAF" w14:textId="4F93F652" w:rsidR="00842AEA" w:rsidRPr="00842AEA" w:rsidRDefault="00842AEA" w:rsidP="00F972E8">
      <w:pPr>
        <w:pStyle w:val="odesaniedoza"/>
      </w:pPr>
      <w:r>
        <w:t xml:space="preserve">Szczegółowe </w:t>
      </w:r>
      <w:r w:rsidR="00532FC9">
        <w:t>prognozy dotyczące zużycia OZE w finalnym zużyciu energii brutto i w poszczególnych sektorach w</w:t>
      </w:r>
      <w:r w:rsidR="00853C4B">
        <w:t> </w:t>
      </w:r>
      <w:r w:rsidR="00532FC9">
        <w:t>scenariuszu WAM znajduje się w zał</w:t>
      </w:r>
      <w:r w:rsidR="00F54BC3">
        <w:t>ączniku</w:t>
      </w:r>
      <w:r w:rsidR="00532FC9">
        <w:t xml:space="preserve"> 1 </w:t>
      </w:r>
      <w:r w:rsidR="00F972E8">
        <w:t xml:space="preserve">do aKPEiK </w:t>
      </w:r>
      <w:r w:rsidR="00532FC9">
        <w:t>w rozdziale 1.2</w:t>
      </w:r>
      <w:r w:rsidR="00853C4B">
        <w:t>.</w:t>
      </w:r>
      <w:r w:rsidR="00532FC9">
        <w:t xml:space="preserve"> </w:t>
      </w:r>
    </w:p>
    <w:p w14:paraId="13330346" w14:textId="2A88007A" w:rsidR="003C194F" w:rsidRDefault="003C194F" w:rsidP="0074650C">
      <w:pPr>
        <w:pStyle w:val="PaMs"/>
        <w:spacing w:before="600"/>
      </w:pPr>
      <w:r w:rsidRPr="00C46DAA">
        <w:lastRenderedPageBreak/>
        <w:t>POLITYKA</w:t>
      </w:r>
    </w:p>
    <w:p w14:paraId="67DF589B" w14:textId="67A6F8E0" w:rsidR="003C194F" w:rsidRPr="000E240E" w:rsidRDefault="00D73A43" w:rsidP="003C194F">
      <w:r>
        <w:t xml:space="preserve">Rozwój odnawialnych źródeł energii jest jednym głównych narzędzi dekarbonizacji gospodarki. </w:t>
      </w:r>
      <w:r w:rsidR="007E6993">
        <w:t>P</w:t>
      </w:r>
      <w:r w:rsidR="00ED424A">
        <w:t xml:space="preserve">riorytetem są </w:t>
      </w:r>
      <w:r w:rsidR="007E6993">
        <w:t>działania mają</w:t>
      </w:r>
      <w:r w:rsidR="00ED424A">
        <w:t>ce</w:t>
      </w:r>
      <w:r w:rsidR="007E6993">
        <w:t xml:space="preserve"> na celu nie tylko bezpośredni przyrost wykorzystania najbardziej popularnych technologii (w szczególności energetyki wiatrowej, słonecznej</w:t>
      </w:r>
      <w:r w:rsidR="000722AD">
        <w:t>, i in.</w:t>
      </w:r>
      <w:r w:rsidR="0049006C">
        <w:t>)</w:t>
      </w:r>
      <w:r w:rsidR="007E6993">
        <w:t>, zastosowani</w:t>
      </w:r>
      <w:r w:rsidR="00F96050">
        <w:t>e</w:t>
      </w:r>
      <w:r w:rsidR="007E6993">
        <w:t xml:space="preserve"> pomp ciepła</w:t>
      </w:r>
      <w:r w:rsidR="0049006C">
        <w:t xml:space="preserve"> i</w:t>
      </w:r>
      <w:r w:rsidR="00BC1921">
        <w:t> </w:t>
      </w:r>
      <w:r w:rsidR="00F96050">
        <w:t xml:space="preserve">rozwój </w:t>
      </w:r>
      <w:r w:rsidR="00ED424A">
        <w:t>elektromobilności</w:t>
      </w:r>
      <w:r w:rsidR="00E2310B">
        <w:t xml:space="preserve"> (drogowej i szynowej)</w:t>
      </w:r>
      <w:r w:rsidR="00ED424A">
        <w:t>, ale przede wszystkim zapewnieni</w:t>
      </w:r>
      <w:r w:rsidR="0049006C">
        <w:t>e</w:t>
      </w:r>
      <w:r w:rsidR="00ED424A">
        <w:t xml:space="preserve"> technicznych możliwości przyrostu</w:t>
      </w:r>
      <w:r w:rsidR="0049006C">
        <w:t xml:space="preserve"> OZE</w:t>
      </w:r>
      <w:r w:rsidR="00ED424A">
        <w:t xml:space="preserve"> – od</w:t>
      </w:r>
      <w:r w:rsidR="00F96050">
        <w:t xml:space="preserve"> </w:t>
      </w:r>
      <w:r w:rsidR="00ED424A">
        <w:t xml:space="preserve">dostosowania infrastruktury przesyłu i dystrybucji energii, </w:t>
      </w:r>
      <w:r w:rsidR="0049006C">
        <w:t xml:space="preserve">rozwoju stabilnych i sterowalnych źródeł rezerwowych, rozwój </w:t>
      </w:r>
      <w:r w:rsidR="00B626B4">
        <w:t>elastycznoś</w:t>
      </w:r>
      <w:r w:rsidR="0049006C">
        <w:t>ci</w:t>
      </w:r>
      <w:r w:rsidR="00B626B4">
        <w:t xml:space="preserve"> </w:t>
      </w:r>
      <w:r w:rsidR="0049006C">
        <w:t xml:space="preserve">generacji i </w:t>
      </w:r>
      <w:r w:rsidR="00B626B4">
        <w:t xml:space="preserve">odbioru, </w:t>
      </w:r>
      <w:r w:rsidR="00ED424A">
        <w:t>przez rozwój magazynowania energii po</w:t>
      </w:r>
      <w:r w:rsidR="00BC1921">
        <w:t> </w:t>
      </w:r>
      <w:r w:rsidR="00ED424A">
        <w:t xml:space="preserve">rozwój infrastruktury paliw alternatywnych. </w:t>
      </w:r>
    </w:p>
    <w:p w14:paraId="7E5719EE" w14:textId="0460526C" w:rsidR="003C194F" w:rsidRPr="00AC61D8" w:rsidRDefault="00F82708" w:rsidP="003C194F">
      <w:pPr>
        <w:rPr>
          <w:i/>
          <w:iCs/>
        </w:rPr>
      </w:pPr>
      <w:r>
        <w:rPr>
          <w:i/>
          <w:iCs/>
        </w:rPr>
        <w:t xml:space="preserve">Uszczegółowienie ww. kwestii stanowią polityki </w:t>
      </w:r>
      <w:r w:rsidR="003C194F">
        <w:rPr>
          <w:i/>
          <w:iCs/>
        </w:rPr>
        <w:t xml:space="preserve">i działania wskazane przy celach sektorowych. </w:t>
      </w:r>
    </w:p>
    <w:p w14:paraId="6E8AC7AE" w14:textId="24126157" w:rsidR="003C194F" w:rsidRPr="00C46DAA" w:rsidRDefault="003C194F" w:rsidP="003C194F">
      <w:pPr>
        <w:spacing w:before="240" w:after="80"/>
        <w:rPr>
          <w:rFonts w:ascii="Bahnschrift" w:hAnsi="Bahnschrift"/>
          <w:sz w:val="32"/>
          <w:szCs w:val="32"/>
        </w:rPr>
      </w:pPr>
      <w:r w:rsidRPr="00C46DAA">
        <w:rPr>
          <w:rFonts w:ascii="Bahnschrift" w:hAnsi="Bahnschrift"/>
          <w:b/>
          <w:bCs/>
          <w:sz w:val="32"/>
          <w:szCs w:val="32"/>
        </w:rPr>
        <w:t>DZIAŁANIA</w:t>
      </w:r>
    </w:p>
    <w:p w14:paraId="5D1B40BD" w14:textId="2101A06A" w:rsidR="003C194F" w:rsidRDefault="003C194F" w:rsidP="003C194F">
      <w:r>
        <w:rPr>
          <w:i/>
          <w:iCs/>
        </w:rPr>
        <w:t>Do realizacji celu ogólnego przyczyniać się będą działania wskazane przy kolejnych celach sektorowych.</w:t>
      </w:r>
    </w:p>
    <w:p w14:paraId="77D2D97B" w14:textId="1F06B1AF" w:rsidR="007754E2" w:rsidRPr="00C81177" w:rsidRDefault="007754E2" w:rsidP="008F4E29">
      <w:pPr>
        <w:pStyle w:val="Nagwek3"/>
        <w:rPr>
          <w:color w:val="70AD47" w:themeColor="accent6"/>
        </w:rPr>
      </w:pPr>
      <w:bookmarkStart w:id="54" w:name="_Toc159598288"/>
      <w:bookmarkStart w:id="55" w:name="_Toc195897184"/>
      <w:bookmarkStart w:id="56" w:name="_Toc205203160"/>
      <w:r w:rsidRPr="00C81177">
        <w:rPr>
          <w:color w:val="70AD47" w:themeColor="accent6"/>
        </w:rPr>
        <w:t xml:space="preserve">Dekarbonizacja </w:t>
      </w:r>
      <w:r w:rsidR="00AF549B" w:rsidRPr="00C81177">
        <w:rPr>
          <w:color w:val="70AD47" w:themeColor="accent6"/>
        </w:rPr>
        <w:t xml:space="preserve">i rozwój OZE </w:t>
      </w:r>
      <w:r w:rsidR="005E16E5" w:rsidRPr="00C81177">
        <w:rPr>
          <w:color w:val="70AD47" w:themeColor="accent6"/>
        </w:rPr>
        <w:t>w</w:t>
      </w:r>
      <w:r w:rsidR="00AF549B" w:rsidRPr="00C81177">
        <w:rPr>
          <w:color w:val="70AD47" w:themeColor="accent6"/>
        </w:rPr>
        <w:t>edług </w:t>
      </w:r>
      <w:r w:rsidR="005E16E5" w:rsidRPr="00C81177">
        <w:rPr>
          <w:color w:val="70AD47" w:themeColor="accent6"/>
        </w:rPr>
        <w:t>sektor</w:t>
      </w:r>
      <w:r w:rsidR="00AF549B" w:rsidRPr="00C81177">
        <w:rPr>
          <w:color w:val="70AD47" w:themeColor="accent6"/>
        </w:rPr>
        <w:t>ów</w:t>
      </w:r>
      <w:bookmarkEnd w:id="54"/>
      <w:bookmarkEnd w:id="55"/>
      <w:bookmarkEnd w:id="56"/>
    </w:p>
    <w:p w14:paraId="0FA504F5" w14:textId="7761008C" w:rsidR="00014C8E" w:rsidRDefault="00D53269" w:rsidP="00014C8E">
      <w:pPr>
        <w:spacing w:after="120"/>
      </w:pPr>
      <w:r>
        <w:t>Jak wskazano przy opisie celu ogólnego w zakresie redukcji emisji – do jego</w:t>
      </w:r>
      <w:r w:rsidRPr="00D53269">
        <w:t xml:space="preserve"> realizacji przyczyniać się </w:t>
      </w:r>
      <w:r>
        <w:t xml:space="preserve">musi </w:t>
      </w:r>
      <w:r w:rsidRPr="00D53269">
        <w:t>podejmowanie wysiłków dekarbonizacyjnych we wszystkich sektorach gospodarki</w:t>
      </w:r>
      <w:r>
        <w:t xml:space="preserve">. </w:t>
      </w:r>
      <w:r w:rsidR="00014C8E">
        <w:t>Powyżej</w:t>
      </w:r>
      <w:r>
        <w:t xml:space="preserve"> określono cel dot</w:t>
      </w:r>
      <w:r w:rsidR="00D5040C">
        <w:t>yczący</w:t>
      </w:r>
      <w:r>
        <w:t xml:space="preserve"> redukcji emisji </w:t>
      </w:r>
      <w:r w:rsidR="00AD0FB0">
        <w:t>GHG</w:t>
      </w:r>
      <w:r w:rsidR="00014C8E">
        <w:t xml:space="preserve"> </w:t>
      </w:r>
      <w:r>
        <w:t>w sektorach nieobjętych systemem EU ETS oraz prognozy ograniczenia emisji w</w:t>
      </w:r>
      <w:r w:rsidR="00014C8E">
        <w:t> </w:t>
      </w:r>
      <w:r>
        <w:t xml:space="preserve">sektorach </w:t>
      </w:r>
      <w:r w:rsidR="00014C8E">
        <w:t>objętych</w:t>
      </w:r>
      <w:r w:rsidR="0095663B">
        <w:t xml:space="preserve"> tym systemem</w:t>
      </w:r>
      <w:r w:rsidR="00014C8E">
        <w:t>, natomiast w</w:t>
      </w:r>
      <w:r>
        <w:t xml:space="preserve"> tej części wskazano w jaki sposób odbywać się </w:t>
      </w:r>
      <w:r w:rsidR="00D5040C">
        <w:t xml:space="preserve">będzie </w:t>
      </w:r>
      <w:r w:rsidR="00014C8E">
        <w:t>dążenie do dekarbonizacji sektorów:</w:t>
      </w:r>
    </w:p>
    <w:p w14:paraId="3238B9E4" w14:textId="77777777" w:rsidR="00F54BC3" w:rsidRDefault="00F54BC3" w:rsidP="003530A9">
      <w:pPr>
        <w:pStyle w:val="Akapitzlist"/>
        <w:numPr>
          <w:ilvl w:val="0"/>
          <w:numId w:val="5"/>
        </w:numPr>
        <w:sectPr w:rsidR="00F54BC3" w:rsidSect="005209BA">
          <w:pgSz w:w="11906" w:h="16838"/>
          <w:pgMar w:top="1417" w:right="1417" w:bottom="1417" w:left="1417" w:header="708" w:footer="708" w:gutter="0"/>
          <w:cols w:space="708"/>
          <w:docGrid w:linePitch="360"/>
        </w:sectPr>
      </w:pPr>
    </w:p>
    <w:p w14:paraId="58B2DD6E" w14:textId="7E46B373" w:rsidR="00014C8E" w:rsidRDefault="00014C8E" w:rsidP="003530A9">
      <w:pPr>
        <w:pStyle w:val="Akapitzlist"/>
        <w:numPr>
          <w:ilvl w:val="0"/>
          <w:numId w:val="5"/>
        </w:numPr>
      </w:pPr>
      <w:r>
        <w:t>elektroenergety</w:t>
      </w:r>
      <w:r w:rsidR="00B8449B">
        <w:t>ki</w:t>
      </w:r>
      <w:r>
        <w:t>,</w:t>
      </w:r>
    </w:p>
    <w:p w14:paraId="6CEB2840" w14:textId="14F95A3D" w:rsidR="00014C8E" w:rsidRDefault="00014C8E" w:rsidP="003530A9">
      <w:pPr>
        <w:pStyle w:val="Akapitzlist"/>
        <w:numPr>
          <w:ilvl w:val="0"/>
          <w:numId w:val="5"/>
        </w:numPr>
      </w:pPr>
      <w:r>
        <w:t>ciepłownictwa,</w:t>
      </w:r>
    </w:p>
    <w:p w14:paraId="491A363A" w14:textId="3D078212" w:rsidR="00014C8E" w:rsidRDefault="00014C8E" w:rsidP="003530A9">
      <w:pPr>
        <w:pStyle w:val="Akapitzlist"/>
        <w:numPr>
          <w:ilvl w:val="0"/>
          <w:numId w:val="5"/>
        </w:numPr>
      </w:pPr>
      <w:r>
        <w:t>transportu,</w:t>
      </w:r>
    </w:p>
    <w:p w14:paraId="68978949" w14:textId="6415B0F2" w:rsidR="00014C8E" w:rsidRDefault="00014C8E" w:rsidP="003530A9">
      <w:pPr>
        <w:pStyle w:val="Akapitzlist"/>
        <w:numPr>
          <w:ilvl w:val="0"/>
          <w:numId w:val="5"/>
        </w:numPr>
      </w:pPr>
      <w:r>
        <w:t>przemysłu,</w:t>
      </w:r>
    </w:p>
    <w:p w14:paraId="45403745" w14:textId="6575C509" w:rsidR="00F54BC3" w:rsidRDefault="00014C8E" w:rsidP="003530A9">
      <w:pPr>
        <w:pStyle w:val="Akapitzlist"/>
        <w:numPr>
          <w:ilvl w:val="0"/>
          <w:numId w:val="5"/>
        </w:numPr>
        <w:sectPr w:rsidR="00F54BC3" w:rsidSect="00F54BC3">
          <w:type w:val="continuous"/>
          <w:pgSz w:w="11906" w:h="16838"/>
          <w:pgMar w:top="1417" w:right="1417" w:bottom="1417" w:left="1417" w:header="708" w:footer="708" w:gutter="0"/>
          <w:cols w:num="2" w:space="708"/>
          <w:docGrid w:linePitch="360"/>
        </w:sectPr>
      </w:pPr>
      <w:bookmarkStart w:id="57" w:name="_Ref158105628"/>
      <w:bookmarkStart w:id="58" w:name="_Ref158105631"/>
      <w:bookmarkStart w:id="59" w:name="_Toc159598289"/>
      <w:r>
        <w:t>rolnictw</w:t>
      </w:r>
      <w:r w:rsidR="00F54BC3">
        <w:t>a.</w:t>
      </w:r>
    </w:p>
    <w:p w14:paraId="42B711BE" w14:textId="5A0BE3F9" w:rsidR="00C06AA6" w:rsidRPr="00AC3BAF" w:rsidRDefault="001039C9" w:rsidP="00440E95">
      <w:pPr>
        <w:pStyle w:val="Nagwek4"/>
        <w:rPr>
          <w:color w:val="70AD47" w:themeColor="accent6"/>
        </w:rPr>
      </w:pPr>
      <w:bookmarkStart w:id="60" w:name="_Ref195881109"/>
      <w:bookmarkStart w:id="61" w:name="_Ref195881117"/>
      <w:bookmarkStart w:id="62" w:name="_Ref195891929"/>
      <w:bookmarkStart w:id="63" w:name="_Toc195897185"/>
      <w:bookmarkStart w:id="64" w:name="_Toc205203161"/>
      <w:r w:rsidRPr="00AC3BAF">
        <w:rPr>
          <w:color w:val="70AD47" w:themeColor="accent6"/>
        </w:rPr>
        <w:t>R</w:t>
      </w:r>
      <w:r w:rsidR="00C06AA6" w:rsidRPr="00AC3BAF">
        <w:rPr>
          <w:color w:val="70AD47" w:themeColor="accent6"/>
        </w:rPr>
        <w:t>edukcj</w:t>
      </w:r>
      <w:r w:rsidRPr="00AC3BAF">
        <w:rPr>
          <w:color w:val="70AD47" w:themeColor="accent6"/>
        </w:rPr>
        <w:t>a</w:t>
      </w:r>
      <w:r w:rsidR="00C06AA6" w:rsidRPr="00AC3BAF">
        <w:rPr>
          <w:color w:val="70AD47" w:themeColor="accent6"/>
        </w:rPr>
        <w:t xml:space="preserve"> emisji </w:t>
      </w:r>
      <w:r w:rsidR="00AD0FB0">
        <w:rPr>
          <w:color w:val="70AD47" w:themeColor="accent6"/>
        </w:rPr>
        <w:t>GHG</w:t>
      </w:r>
      <w:r w:rsidR="00C06AA6" w:rsidRPr="00AC3BAF">
        <w:rPr>
          <w:color w:val="70AD47" w:themeColor="accent6"/>
        </w:rPr>
        <w:t xml:space="preserve"> w sektorze elektroenergetycznym</w:t>
      </w:r>
      <w:r w:rsidR="00C349E3" w:rsidRPr="00AC3BAF">
        <w:rPr>
          <w:color w:val="70AD47" w:themeColor="accent6"/>
        </w:rPr>
        <w:t>, w tym rozwój OZE</w:t>
      </w:r>
      <w:bookmarkEnd w:id="57"/>
      <w:bookmarkEnd w:id="58"/>
      <w:bookmarkEnd w:id="59"/>
      <w:bookmarkEnd w:id="60"/>
      <w:bookmarkEnd w:id="61"/>
      <w:bookmarkEnd w:id="62"/>
      <w:bookmarkEnd w:id="63"/>
      <w:bookmarkEnd w:id="64"/>
    </w:p>
    <w:p w14:paraId="28575FD5" w14:textId="795F4826" w:rsidR="00014C8E" w:rsidRDefault="00014C8E" w:rsidP="00014C8E">
      <w:r>
        <w:t xml:space="preserve">Polski sektor elektroenergetyczny </w:t>
      </w:r>
      <w:r w:rsidR="00BC1921">
        <w:t xml:space="preserve">historycznie </w:t>
      </w:r>
      <w:r>
        <w:t>oparty został na elektrowniach węglowych, ze względu na</w:t>
      </w:r>
      <w:r w:rsidR="00B626B4">
        <w:t> </w:t>
      </w:r>
      <w:r>
        <w:t xml:space="preserve">dostęp surowca i decyzje polityczne ubiegłego wieku. </w:t>
      </w:r>
      <w:r w:rsidR="00B348E1">
        <w:t>Dlatego</w:t>
      </w:r>
      <w:r>
        <w:t xml:space="preserve"> punkt startowy naszego kraju w</w:t>
      </w:r>
      <w:r w:rsidR="00CB4EAB">
        <w:t> </w:t>
      </w:r>
      <w:r>
        <w:t xml:space="preserve">zakresie dekarbonizacji był trudny, biorąc także pod uwagę ograniczone możliwości ekonomiczne. </w:t>
      </w:r>
    </w:p>
    <w:p w14:paraId="21FC62DB" w14:textId="334EB392" w:rsidR="00620A75" w:rsidRDefault="00014C8E" w:rsidP="00026968">
      <w:r>
        <w:t>Na przestrzeni ostatnich 10 lat w krajowym systemie elektroenergetycznym (KSE) nast</w:t>
      </w:r>
      <w:r w:rsidR="00B626B4">
        <w:t>ąpiła</w:t>
      </w:r>
      <w:r>
        <w:t xml:space="preserve"> szybka zmiana struktury mocy zainstalowanej i produkcji energii elektrycznej. W latach</w:t>
      </w:r>
      <w:r w:rsidR="009675DC">
        <w:t xml:space="preserve"> 2020-202</w:t>
      </w:r>
      <w:r w:rsidR="00303C09">
        <w:t>4</w:t>
      </w:r>
      <w:r>
        <w:t xml:space="preserve"> moc zainstalowana w </w:t>
      </w:r>
      <w:r w:rsidRPr="00B137DC">
        <w:t xml:space="preserve">KSE wzrosła </w:t>
      </w:r>
      <w:r w:rsidR="00303C09">
        <w:t xml:space="preserve">o ponad połowę </w:t>
      </w:r>
      <w:r w:rsidR="00303C09" w:rsidRPr="00B137DC">
        <w:t xml:space="preserve">z ok. 47 GW do </w:t>
      </w:r>
      <w:r w:rsidR="00303C09">
        <w:t>blisko 73</w:t>
      </w:r>
      <w:r w:rsidRPr="00B137DC">
        <w:t xml:space="preserve"> GW, </w:t>
      </w:r>
      <w:r>
        <w:t xml:space="preserve">do czego przyczyniły się przede wszystkim OZE i moce gazowe. </w:t>
      </w:r>
      <w:r w:rsidR="00693B35">
        <w:t>Największy wpływ na poziom emisji gazów cieplarnianych oraz emisyjność wytwarzania energii elektrycznej mają elektrownie węglowe, zwłaszcza te w najsłabszym stanie technicznym. W poprzednich latach dokonano wielu inwestycji, które pozwoliły na zredukowanie wpływu starszych jednostek węglowych na środowisko</w:t>
      </w:r>
      <w:r w:rsidR="00B47E04">
        <w:t>.</w:t>
      </w:r>
      <w:r w:rsidR="00EF61BE">
        <w:t xml:space="preserve"> Ostatnie wdrożone bloki węglowe cechują się niższą emisyjnością niż starsze jednostki. </w:t>
      </w:r>
      <w:r w:rsidR="00B47E04">
        <w:t>Kluczową rolę w obniżaniu emisyjności odgrywały nowe moce oparte na odnawialnych źródłach energii – elektrownie wiatrowe i słoneczne,</w:t>
      </w:r>
      <w:r w:rsidR="00693B35">
        <w:t xml:space="preserve"> </w:t>
      </w:r>
      <w:r w:rsidR="00B626B4">
        <w:t>przy czym</w:t>
      </w:r>
      <w:r w:rsidR="00B47E04">
        <w:t xml:space="preserve"> ze względu na</w:t>
      </w:r>
      <w:r w:rsidR="00B626B4">
        <w:t> ich wysoką zależność</w:t>
      </w:r>
      <w:r w:rsidR="00B47E04">
        <w:t xml:space="preserve"> od </w:t>
      </w:r>
      <w:r w:rsidR="00B626B4">
        <w:t>warunków pogodowych</w:t>
      </w:r>
      <w:r w:rsidR="00B47E04">
        <w:t xml:space="preserve">, konieczne były również inwestycje w moce dyspozycyjne. </w:t>
      </w:r>
      <w:r w:rsidR="00EF61BE">
        <w:t>Szczególne znaczenie miały elektrownie gazowe</w:t>
      </w:r>
      <w:r w:rsidR="00B626B4">
        <w:t xml:space="preserve">, które </w:t>
      </w:r>
      <w:r w:rsidR="00EF61BE">
        <w:t xml:space="preserve">cechują się niższą emisyjnością niż jednostki węglowe, </w:t>
      </w:r>
      <w:r w:rsidR="00E60962">
        <w:t>dlatego stanowią „pomost” na drodze do przekształcenia sektora wytwórczego na</w:t>
      </w:r>
      <w:r w:rsidR="00B626B4">
        <w:t> </w:t>
      </w:r>
      <w:r w:rsidR="00E60962">
        <w:t xml:space="preserve">zeroemisyjny. </w:t>
      </w:r>
      <w:r w:rsidR="00EF61BE">
        <w:t>Trend dekarbonizacyjn</w:t>
      </w:r>
      <w:r w:rsidR="00423AAF">
        <w:t>y</w:t>
      </w:r>
      <w:r w:rsidR="00EF61BE">
        <w:t xml:space="preserve"> będ</w:t>
      </w:r>
      <w:r w:rsidR="00423AAF">
        <w:t>zie</w:t>
      </w:r>
      <w:r w:rsidR="00EF61BE">
        <w:t xml:space="preserve"> </w:t>
      </w:r>
      <w:r w:rsidR="009675DC">
        <w:t>w</w:t>
      </w:r>
      <w:r w:rsidR="00867D4A">
        <w:t> </w:t>
      </w:r>
      <w:r w:rsidR="009675DC">
        <w:t xml:space="preserve">dalszym ciągu </w:t>
      </w:r>
      <w:r w:rsidR="00EF61BE">
        <w:t>postępować.</w:t>
      </w:r>
    </w:p>
    <w:p w14:paraId="08760599" w14:textId="0F52FD7B" w:rsidR="00B348E1" w:rsidRPr="00B348E1" w:rsidRDefault="00080BA7" w:rsidP="00B348E1">
      <w:pPr>
        <w:pStyle w:val="Cele"/>
        <w:rPr>
          <w:i/>
          <w:iCs/>
          <w:sz w:val="22"/>
          <w:szCs w:val="20"/>
        </w:rPr>
      </w:pPr>
      <w:r w:rsidRPr="00A03664">
        <w:rPr>
          <w:b/>
          <w:bCs/>
        </w:rPr>
        <w:lastRenderedPageBreak/>
        <w:t xml:space="preserve">Prognozy wskazują, że </w:t>
      </w:r>
      <w:r w:rsidR="008B1E6B">
        <w:rPr>
          <w:b/>
          <w:bCs/>
        </w:rPr>
        <w:t>w sektorze elektroenergetycznym</w:t>
      </w:r>
      <w:r w:rsidR="008B1E6B">
        <w:rPr>
          <w:rStyle w:val="Odwoanieprzypisudolnego"/>
          <w:b/>
          <w:bCs/>
        </w:rPr>
        <w:footnoteReference w:id="16"/>
      </w:r>
      <w:r w:rsidR="008B1E6B">
        <w:rPr>
          <w:b/>
          <w:bCs/>
        </w:rPr>
        <w:t xml:space="preserve"> </w:t>
      </w:r>
      <w:r w:rsidRPr="00A03664">
        <w:rPr>
          <w:b/>
          <w:bCs/>
        </w:rPr>
        <w:t xml:space="preserve">Polska może </w:t>
      </w:r>
      <w:r w:rsidR="00A03664">
        <w:rPr>
          <w:b/>
          <w:bCs/>
        </w:rPr>
        <w:t xml:space="preserve">osiągnąć </w:t>
      </w:r>
      <w:r w:rsidR="000A25BE">
        <w:rPr>
          <w:b/>
          <w:bCs/>
        </w:rPr>
        <w:t>po</w:t>
      </w:r>
      <w:r w:rsidR="009C3F8C">
        <w:rPr>
          <w:b/>
          <w:bCs/>
        </w:rPr>
        <w:t xml:space="preserve">nad </w:t>
      </w:r>
      <w:r w:rsidR="008B1E6B">
        <w:rPr>
          <w:b/>
          <w:bCs/>
        </w:rPr>
        <w:t>60</w:t>
      </w:r>
      <w:r w:rsidR="00A03664">
        <w:rPr>
          <w:b/>
          <w:bCs/>
        </w:rPr>
        <w:t>% r</w:t>
      </w:r>
      <w:r w:rsidR="00B47E04">
        <w:rPr>
          <w:b/>
          <w:bCs/>
        </w:rPr>
        <w:t>edukcji emisji</w:t>
      </w:r>
      <w:r w:rsidR="008B1E6B" w:rsidRPr="008B1E6B">
        <w:rPr>
          <w:b/>
          <w:bCs/>
        </w:rPr>
        <w:t xml:space="preserve"> </w:t>
      </w:r>
      <w:r w:rsidR="008B1E6B" w:rsidRPr="00A03664">
        <w:rPr>
          <w:b/>
          <w:bCs/>
        </w:rPr>
        <w:t>w 2030 r.</w:t>
      </w:r>
      <w:r w:rsidR="00A92592">
        <w:rPr>
          <w:rStyle w:val="Odwoanieprzypisudolnego"/>
          <w:b/>
          <w:bCs/>
        </w:rPr>
        <w:footnoteReference w:id="17"/>
      </w:r>
      <w:r w:rsidR="00A03664">
        <w:rPr>
          <w:b/>
          <w:bCs/>
        </w:rPr>
        <w:t xml:space="preserve"> </w:t>
      </w:r>
      <w:r w:rsidR="008B1E6B">
        <w:rPr>
          <w:b/>
          <w:bCs/>
        </w:rPr>
        <w:t xml:space="preserve">i aż 95% w 2040 r. </w:t>
      </w:r>
      <w:r w:rsidR="00B47E04">
        <w:rPr>
          <w:b/>
          <w:bCs/>
        </w:rPr>
        <w:t xml:space="preserve">w stosunku do </w:t>
      </w:r>
      <w:r w:rsidR="00B47E04" w:rsidRPr="00867D4A">
        <w:rPr>
          <w:b/>
          <w:bCs/>
        </w:rPr>
        <w:t>poziomu z</w:t>
      </w:r>
      <w:r w:rsidR="00B72D9E">
        <w:rPr>
          <w:b/>
          <w:bCs/>
        </w:rPr>
        <w:t> </w:t>
      </w:r>
      <w:r w:rsidR="00B47E04" w:rsidRPr="00867D4A">
        <w:rPr>
          <w:b/>
          <w:bCs/>
        </w:rPr>
        <w:t>2005 r</w:t>
      </w:r>
      <w:r w:rsidR="00B47E04">
        <w:rPr>
          <w:b/>
          <w:bCs/>
        </w:rPr>
        <w:t>.</w:t>
      </w:r>
      <w:r w:rsidRPr="00A03664">
        <w:rPr>
          <w:b/>
          <w:bCs/>
        </w:rPr>
        <w:t xml:space="preserve"> </w:t>
      </w:r>
      <w:r w:rsidRPr="00B348E1">
        <w:rPr>
          <w:i/>
          <w:iCs/>
          <w:sz w:val="22"/>
          <w:szCs w:val="20"/>
        </w:rPr>
        <w:t>[szacunki nie mają charakteru celu]</w:t>
      </w:r>
    </w:p>
    <w:p w14:paraId="20BDBEA0" w14:textId="0DD2AE21" w:rsidR="00CD32A0" w:rsidRDefault="00B348E1" w:rsidP="00CD32A0">
      <w:r>
        <w:t xml:space="preserve">Do tak głębokiej dekarbonizacji elektroenergetyki </w:t>
      </w:r>
      <w:r w:rsidR="00DF08FE">
        <w:t xml:space="preserve">w perspektywie 2030 r. </w:t>
      </w:r>
      <w:r>
        <w:t xml:space="preserve">przyczyni się </w:t>
      </w:r>
      <w:r w:rsidRPr="00B348E1">
        <w:rPr>
          <w:b/>
          <w:bCs/>
        </w:rPr>
        <w:t>rozwój OZE</w:t>
      </w:r>
      <w:r w:rsidR="00DF08FE">
        <w:t>, a</w:t>
      </w:r>
      <w:r w:rsidR="00E95B94">
        <w:t> </w:t>
      </w:r>
      <w:r w:rsidR="00DF08FE">
        <w:t>po</w:t>
      </w:r>
      <w:r>
        <w:t xml:space="preserve"> </w:t>
      </w:r>
      <w:r w:rsidR="00BC1968">
        <w:t xml:space="preserve">2035 </w:t>
      </w:r>
      <w:r>
        <w:t xml:space="preserve">r. </w:t>
      </w:r>
      <w:r w:rsidR="00DF08FE">
        <w:t xml:space="preserve">dodatkowo </w:t>
      </w:r>
      <w:r w:rsidRPr="00B348E1">
        <w:rPr>
          <w:b/>
          <w:bCs/>
        </w:rPr>
        <w:t>energetyk</w:t>
      </w:r>
      <w:r w:rsidR="00DF08FE">
        <w:rPr>
          <w:b/>
          <w:bCs/>
        </w:rPr>
        <w:t>a</w:t>
      </w:r>
      <w:r w:rsidRPr="00B348E1">
        <w:rPr>
          <w:b/>
          <w:bCs/>
        </w:rPr>
        <w:t xml:space="preserve"> jądrow</w:t>
      </w:r>
      <w:r w:rsidR="00DF08FE">
        <w:rPr>
          <w:b/>
          <w:bCs/>
        </w:rPr>
        <w:t>a</w:t>
      </w:r>
      <w:r>
        <w:t xml:space="preserve">. </w:t>
      </w:r>
      <w:r w:rsidR="00F35B84">
        <w:t xml:space="preserve">Rolę w dekarbonizacji może odegrać także popularyzacja </w:t>
      </w:r>
      <w:r w:rsidR="00F35B84" w:rsidRPr="00A546C1">
        <w:rPr>
          <w:szCs w:val="20"/>
        </w:rPr>
        <w:t>technologi</w:t>
      </w:r>
      <w:r w:rsidR="00F35B84">
        <w:rPr>
          <w:szCs w:val="20"/>
        </w:rPr>
        <w:t>i</w:t>
      </w:r>
      <w:r w:rsidR="00F35B84" w:rsidRPr="00A546C1">
        <w:rPr>
          <w:szCs w:val="20"/>
        </w:rPr>
        <w:t xml:space="preserve"> CCS (wychwyt</w:t>
      </w:r>
      <w:r w:rsidR="00EA7880">
        <w:rPr>
          <w:szCs w:val="20"/>
        </w:rPr>
        <w:t xml:space="preserve"> i</w:t>
      </w:r>
      <w:r w:rsidR="00F35B84" w:rsidRPr="00A546C1">
        <w:rPr>
          <w:szCs w:val="20"/>
        </w:rPr>
        <w:t xml:space="preserve"> składowanie CO</w:t>
      </w:r>
      <w:r w:rsidR="00F35B84" w:rsidRPr="00700DE6">
        <w:rPr>
          <w:szCs w:val="20"/>
          <w:vertAlign w:val="subscript"/>
        </w:rPr>
        <w:t>2</w:t>
      </w:r>
      <w:r w:rsidR="00F35B84" w:rsidRPr="00A546C1">
        <w:rPr>
          <w:szCs w:val="20"/>
        </w:rPr>
        <w:t xml:space="preserve">, ang. </w:t>
      </w:r>
      <w:r w:rsidR="00F35B84" w:rsidRPr="003C02F1">
        <w:rPr>
          <w:i/>
          <w:iCs/>
          <w:szCs w:val="20"/>
        </w:rPr>
        <w:t xml:space="preserve">carbon capture </w:t>
      </w:r>
      <w:r w:rsidR="00EA7880">
        <w:rPr>
          <w:i/>
          <w:iCs/>
          <w:szCs w:val="20"/>
        </w:rPr>
        <w:t>and</w:t>
      </w:r>
      <w:r w:rsidR="00F35B84" w:rsidRPr="003C02F1">
        <w:rPr>
          <w:i/>
          <w:iCs/>
          <w:szCs w:val="20"/>
        </w:rPr>
        <w:t xml:space="preserve"> storage</w:t>
      </w:r>
      <w:r w:rsidR="00F35B84" w:rsidRPr="00A546C1">
        <w:rPr>
          <w:szCs w:val="20"/>
        </w:rPr>
        <w:t>) oraz CCU (wychwyt i</w:t>
      </w:r>
      <w:r w:rsidR="00F35B84">
        <w:rPr>
          <w:szCs w:val="20"/>
        </w:rPr>
        <w:t> </w:t>
      </w:r>
      <w:r w:rsidR="00F35B84" w:rsidRPr="00A546C1">
        <w:rPr>
          <w:szCs w:val="20"/>
        </w:rPr>
        <w:t>wykorzystanie CO</w:t>
      </w:r>
      <w:r w:rsidR="00F35B84" w:rsidRPr="00A546C1">
        <w:rPr>
          <w:szCs w:val="20"/>
          <w:vertAlign w:val="subscript"/>
        </w:rPr>
        <w:t>2</w:t>
      </w:r>
      <w:r w:rsidR="00F35B84" w:rsidRPr="00A546C1">
        <w:rPr>
          <w:szCs w:val="20"/>
        </w:rPr>
        <w:t xml:space="preserve">, ang. </w:t>
      </w:r>
      <w:r w:rsidR="00F35B84" w:rsidRPr="003C02F1">
        <w:rPr>
          <w:i/>
          <w:iCs/>
          <w:szCs w:val="20"/>
        </w:rPr>
        <w:t xml:space="preserve">carbon </w:t>
      </w:r>
      <w:r w:rsidR="00EA7880" w:rsidRPr="003C02F1">
        <w:rPr>
          <w:i/>
          <w:iCs/>
          <w:szCs w:val="20"/>
        </w:rPr>
        <w:t>capture</w:t>
      </w:r>
      <w:r w:rsidR="00EA7880">
        <w:rPr>
          <w:i/>
          <w:iCs/>
          <w:szCs w:val="20"/>
        </w:rPr>
        <w:t xml:space="preserve"> and</w:t>
      </w:r>
      <w:r w:rsidR="00EA7880" w:rsidRPr="003C02F1">
        <w:rPr>
          <w:i/>
          <w:iCs/>
          <w:szCs w:val="20"/>
        </w:rPr>
        <w:t xml:space="preserve"> </w:t>
      </w:r>
      <w:r w:rsidR="00F35B84" w:rsidRPr="003C02F1">
        <w:rPr>
          <w:i/>
          <w:iCs/>
          <w:szCs w:val="20"/>
        </w:rPr>
        <w:t>utilization</w:t>
      </w:r>
      <w:r w:rsidR="00F35B84" w:rsidRPr="00A546C1">
        <w:rPr>
          <w:szCs w:val="20"/>
        </w:rPr>
        <w:t>)</w:t>
      </w:r>
      <w:r w:rsidR="00F35B84">
        <w:rPr>
          <w:szCs w:val="20"/>
        </w:rPr>
        <w:t xml:space="preserve">. Potencjał tej technologii dotyczy zarówno elektrowni gazowych, jednostek biomasowych </w:t>
      </w:r>
      <w:r w:rsidR="00925BA5">
        <w:rPr>
          <w:szCs w:val="20"/>
        </w:rPr>
        <w:t xml:space="preserve">jak </w:t>
      </w:r>
      <w:r w:rsidR="00F35B84">
        <w:rPr>
          <w:szCs w:val="20"/>
        </w:rPr>
        <w:t>i</w:t>
      </w:r>
      <w:r w:rsidR="00925BA5">
        <w:rPr>
          <w:szCs w:val="20"/>
        </w:rPr>
        <w:t xml:space="preserve"> </w:t>
      </w:r>
      <w:r w:rsidR="00F35B84">
        <w:rPr>
          <w:szCs w:val="20"/>
        </w:rPr>
        <w:t>bio</w:t>
      </w:r>
      <w:r w:rsidR="004D1DA6">
        <w:rPr>
          <w:szCs w:val="20"/>
        </w:rPr>
        <w:t>metanowych</w:t>
      </w:r>
      <w:r w:rsidR="00F35B84">
        <w:rPr>
          <w:szCs w:val="20"/>
        </w:rPr>
        <w:t xml:space="preserve"> (bio-CCS lub BECCS, ang. </w:t>
      </w:r>
      <w:r w:rsidR="00F35B84" w:rsidRPr="003C02F1">
        <w:rPr>
          <w:i/>
          <w:iCs/>
          <w:szCs w:val="20"/>
        </w:rPr>
        <w:t>bioenergy with carbon capture and storage</w:t>
      </w:r>
      <w:r w:rsidR="00F35B84">
        <w:rPr>
          <w:szCs w:val="20"/>
        </w:rPr>
        <w:t>).</w:t>
      </w:r>
    </w:p>
    <w:p w14:paraId="6E366DF7" w14:textId="3C196F88" w:rsidR="00CD32A0" w:rsidRDefault="00CD32A0" w:rsidP="00303C09">
      <w:pPr>
        <w:spacing w:before="360"/>
      </w:pPr>
      <w:r>
        <w:t xml:space="preserve">Dyrektywa RED III i wcześniejsza dyrektywa RED II </w:t>
      </w:r>
      <w:r w:rsidRPr="00425F8E">
        <w:rPr>
          <w:b/>
          <w:bCs/>
        </w:rPr>
        <w:t>nie wskazują zobowiązań dla państw członkowskich ani celów unijnych w zakresie osiągnięcia określonego udziału OZE w</w:t>
      </w:r>
      <w:r w:rsidR="00425F8E" w:rsidRPr="00425F8E">
        <w:rPr>
          <w:b/>
          <w:bCs/>
        </w:rPr>
        <w:t> </w:t>
      </w:r>
      <w:r w:rsidRPr="00425F8E">
        <w:rPr>
          <w:b/>
          <w:bCs/>
        </w:rPr>
        <w:t>zużyciu energii elektrycznej</w:t>
      </w:r>
      <w:r>
        <w:t xml:space="preserve">, </w:t>
      </w:r>
      <w:r w:rsidR="006D2C23">
        <w:t>niemniej</w:t>
      </w:r>
      <w:r w:rsidR="009675DC">
        <w:t> </w:t>
      </w:r>
      <w:r>
        <w:t>przyrosty mocy następują w tym sektorze szybciej niż w ciepłownictwie czy transporcie.</w:t>
      </w:r>
    </w:p>
    <w:p w14:paraId="39257C57" w14:textId="03F88082" w:rsidR="00CD32A0" w:rsidRDefault="00CD32A0" w:rsidP="00CD32A0">
      <w:r w:rsidRPr="00425F8E">
        <w:rPr>
          <w:b/>
          <w:bCs/>
        </w:rPr>
        <w:t>Rozwój OZE w elektroenergetyce</w:t>
      </w:r>
      <w:r>
        <w:t xml:space="preserve"> to trend globalny, również w Polsce następ</w:t>
      </w:r>
      <w:r w:rsidR="006D2C23">
        <w:t>ował</w:t>
      </w:r>
      <w:r>
        <w:t xml:space="preserve"> intensywny przyrost tych mocy – w latach 2015–202</w:t>
      </w:r>
      <w:r w:rsidR="0073564F">
        <w:t>4</w:t>
      </w:r>
      <w:r>
        <w:t xml:space="preserve"> nastąpił wzrost z ok. </w:t>
      </w:r>
      <w:r w:rsidRPr="007E3599">
        <w:t xml:space="preserve">7,1 GW do </w:t>
      </w:r>
      <w:r w:rsidR="00A36950">
        <w:t xml:space="preserve">ponad </w:t>
      </w:r>
      <w:r w:rsidR="0073564F">
        <w:t>33,6</w:t>
      </w:r>
      <w:r w:rsidRPr="007E3599">
        <w:t xml:space="preserve"> GW</w:t>
      </w:r>
      <w:r w:rsidR="0073564F">
        <w:rPr>
          <w:rStyle w:val="Odwoanieprzypisudolnego"/>
        </w:rPr>
        <w:footnoteReference w:id="18"/>
      </w:r>
      <w:r>
        <w:t xml:space="preserve">, co stanowiło </w:t>
      </w:r>
      <w:r w:rsidR="0073564F">
        <w:t>większość</w:t>
      </w:r>
      <w:r w:rsidRPr="007E3599">
        <w:t xml:space="preserve"> nowo zainstalowanych mocy</w:t>
      </w:r>
      <w:r>
        <w:t xml:space="preserve"> w krajowym systemie elektroenergetycznym (KSE). Wynika to z</w:t>
      </w:r>
      <w:r w:rsidR="0073564F">
        <w:t> </w:t>
      </w:r>
      <w:r>
        <w:t xml:space="preserve">rosnącej popularności energetyki słonecznej i wiatrowej, choć przyrost udziału tych źródeł w produkcji energii jest znacznie wolniejszy, ze względu na ich zależność od warunków atmosferycznych. </w:t>
      </w:r>
      <w:r w:rsidR="00A36950">
        <w:t>Rolę uzupełniającą odgrywają także elektrownie na biomasę, biogaz, a w przyszłości także na biometan. Jednostki o </w:t>
      </w:r>
      <w:r w:rsidR="00F9460C">
        <w:t xml:space="preserve">całkowitej </w:t>
      </w:r>
      <w:r w:rsidR="008D5D09">
        <w:t xml:space="preserve">nominalnej </w:t>
      </w:r>
      <w:r w:rsidR="00A36950">
        <w:t>mocy cieplnej powyżej 2 MW w przypadku gazowych paliw z biomasy</w:t>
      </w:r>
      <w:r w:rsidR="007A0B79">
        <w:t xml:space="preserve"> oraz</w:t>
      </w:r>
      <w:r w:rsidR="00A36950">
        <w:t xml:space="preserve"> powyżej 20 MW (a</w:t>
      </w:r>
      <w:r w:rsidR="00303C09">
        <w:t> </w:t>
      </w:r>
      <w:r w:rsidR="00A36950">
        <w:t>następnie 7,5 MW) w przypadku stałych paliw z biomasy</w:t>
      </w:r>
      <w:r w:rsidR="001F1F27">
        <w:t xml:space="preserve"> –</w:t>
      </w:r>
      <w:r w:rsidR="00A36950">
        <w:t xml:space="preserve"> </w:t>
      </w:r>
      <w:r w:rsidR="009764A4">
        <w:t xml:space="preserve">są </w:t>
      </w:r>
      <w:r w:rsidR="00A36950">
        <w:t xml:space="preserve">zobowiązane do </w:t>
      </w:r>
      <w:r w:rsidR="0B86D5C5">
        <w:t>wykazywania</w:t>
      </w:r>
      <w:r w:rsidR="50B27FE9">
        <w:t>, że wykorzystywana przez nich biomasa</w:t>
      </w:r>
      <w:r w:rsidR="0B86D5C5">
        <w:t xml:space="preserve"> </w:t>
      </w:r>
      <w:r w:rsidR="00A36950" w:rsidRPr="001F1F27">
        <w:rPr>
          <w:b/>
          <w:bCs/>
        </w:rPr>
        <w:t>spełnia kryteri</w:t>
      </w:r>
      <w:r w:rsidR="05D2405D" w:rsidRPr="3C1EAE86">
        <w:rPr>
          <w:b/>
          <w:bCs/>
        </w:rPr>
        <w:t>a</w:t>
      </w:r>
      <w:r w:rsidR="00A36950" w:rsidRPr="001F1F27">
        <w:rPr>
          <w:b/>
          <w:bCs/>
        </w:rPr>
        <w:t xml:space="preserve"> zrównoważonego rozwoju</w:t>
      </w:r>
      <w:r w:rsidR="7F162EA6">
        <w:t xml:space="preserve">, </w:t>
      </w:r>
      <w:r w:rsidR="77C4FEC3">
        <w:t>co</w:t>
      </w:r>
      <w:r w:rsidR="005103D6">
        <w:t> </w:t>
      </w:r>
      <w:r>
        <w:t xml:space="preserve">wpłynie na </w:t>
      </w:r>
      <w:r w:rsidR="00B12766">
        <w:t xml:space="preserve">ograniczenie </w:t>
      </w:r>
      <w:r>
        <w:t>dostępnoś</w:t>
      </w:r>
      <w:r w:rsidR="00B12766">
        <w:t>ci</w:t>
      </w:r>
      <w:r>
        <w:t xml:space="preserve"> oraz koszt tego paliwa.</w:t>
      </w:r>
      <w:r w:rsidR="003E2DE5">
        <w:t xml:space="preserve"> </w:t>
      </w:r>
      <w:r w:rsidR="2172C457">
        <w:t>Wraz ze zmniejszaniem wykorzystywania jednostek biomasowych</w:t>
      </w:r>
      <w:r w:rsidR="000C6E4B">
        <w:t xml:space="preserve"> </w:t>
      </w:r>
      <w:r w:rsidR="0039338C">
        <w:t xml:space="preserve">wzrastała </w:t>
      </w:r>
      <w:r w:rsidR="006859B3">
        <w:t xml:space="preserve">będzie </w:t>
      </w:r>
      <w:r w:rsidR="0039338C">
        <w:t xml:space="preserve">rola </w:t>
      </w:r>
      <w:r w:rsidR="00190A5D">
        <w:t>dyspozycyjn</w:t>
      </w:r>
      <w:r w:rsidR="0039338C">
        <w:t>ych</w:t>
      </w:r>
      <w:r w:rsidR="00190A5D">
        <w:t xml:space="preserve"> </w:t>
      </w:r>
      <w:r w:rsidR="0039338C">
        <w:t>bloków</w:t>
      </w:r>
      <w:r w:rsidR="00190A5D">
        <w:t xml:space="preserve"> gazow</w:t>
      </w:r>
      <w:r w:rsidR="00A764BA">
        <w:t>ych</w:t>
      </w:r>
      <w:r w:rsidR="00190A5D">
        <w:t xml:space="preserve"> zasilan</w:t>
      </w:r>
      <w:r w:rsidR="00A764BA">
        <w:t xml:space="preserve">ych w coraz większym stopniu </w:t>
      </w:r>
      <w:r w:rsidR="00482537">
        <w:t>biometan</w:t>
      </w:r>
      <w:r w:rsidR="0049071F">
        <w:t>em wprowadzanym do sieci gazowej</w:t>
      </w:r>
      <w:r w:rsidR="00F12D2B">
        <w:t>,</w:t>
      </w:r>
      <w:r>
        <w:t xml:space="preserve"> </w:t>
      </w:r>
      <w:r w:rsidR="00D66F71">
        <w:t xml:space="preserve">które </w:t>
      </w:r>
      <w:r w:rsidR="51B74D58" w:rsidRPr="01220060">
        <w:rPr>
          <w:b/>
          <w:bCs/>
        </w:rPr>
        <w:t>powinny</w:t>
      </w:r>
      <w:r w:rsidR="4D773BAB">
        <w:t xml:space="preserve"> </w:t>
      </w:r>
      <w:r w:rsidR="2172C457">
        <w:t>stanowić</w:t>
      </w:r>
      <w:r w:rsidR="007342E1">
        <w:t xml:space="preserve"> </w:t>
      </w:r>
      <w:r>
        <w:t xml:space="preserve">uzupełnienie </w:t>
      </w:r>
      <w:r w:rsidR="00815108">
        <w:t xml:space="preserve">systemu </w:t>
      </w:r>
      <w:r w:rsidR="00E12375">
        <w:t xml:space="preserve">elektroenergetycznego </w:t>
      </w:r>
      <w:r>
        <w:t>dla OZE zależnych od pogody</w:t>
      </w:r>
      <w:r w:rsidR="00F62644" w:rsidRPr="00F62644">
        <w:t xml:space="preserve"> </w:t>
      </w:r>
      <w:r w:rsidR="00F62644">
        <w:t>(</w:t>
      </w:r>
      <w:r w:rsidR="00F62644" w:rsidRPr="00F62644">
        <w:t>kwestia elastyczności systemu elektroenergetycznego</w:t>
      </w:r>
      <w:r w:rsidR="00F62644">
        <w:t>).</w:t>
      </w:r>
      <w:r>
        <w:t xml:space="preserve"> Polska nie posiada </w:t>
      </w:r>
      <w:r w:rsidR="00BB5C41">
        <w:t xml:space="preserve">znaczącego </w:t>
      </w:r>
      <w:r>
        <w:t>potencjału hydrologicznego, pozwalającego na istotną rolę hydroelektrowni</w:t>
      </w:r>
      <w:r w:rsidR="00BB5C41">
        <w:t xml:space="preserve"> przepływowych. Niemniej </w:t>
      </w:r>
      <w:r>
        <w:t>energia wody może być wykorzystywana w</w:t>
      </w:r>
      <w:r w:rsidR="0073564F">
        <w:t> </w:t>
      </w:r>
      <w:r>
        <w:t xml:space="preserve">elektrowniach szczytowo-pompowych (nie są zaliczane do OZE), </w:t>
      </w:r>
      <w:r w:rsidR="00BB5C41">
        <w:t xml:space="preserve">które </w:t>
      </w:r>
      <w:r>
        <w:t>wspierając potrzeby regulowania systemu w okresach korzystnych i</w:t>
      </w:r>
      <w:r w:rsidR="00484E4C">
        <w:t> </w:t>
      </w:r>
      <w:r>
        <w:t>niekorzystnych warunków słonecznych i wietrznych</w:t>
      </w:r>
      <w:r w:rsidR="00BB5C41">
        <w:t>, stanowią jednocześnie magazyny energii.</w:t>
      </w:r>
    </w:p>
    <w:p w14:paraId="6E1FE6C0" w14:textId="7833A432" w:rsidR="00CD32A0" w:rsidRDefault="00CD32A0" w:rsidP="00CD32A0">
      <w:r>
        <w:t xml:space="preserve">Prognozy towarzyszące KPEiK </w:t>
      </w:r>
      <w:r w:rsidR="0073564F">
        <w:t xml:space="preserve">z 2019 r. </w:t>
      </w:r>
      <w:r>
        <w:t>wskazywały, że udział OZE w produkcji energii elektrycznej może osiągnąć ok. 32% w 2030 r. i blisko 40% w 2040 r. Dzięki dynamicznemu rozwojowi fotowoltaiki i</w:t>
      </w:r>
      <w:r w:rsidR="0073564F">
        <w:t> </w:t>
      </w:r>
      <w:r>
        <w:t xml:space="preserve">energetyki wiatrowej na lądzie, a także dzięki </w:t>
      </w:r>
      <w:r w:rsidR="009675DC">
        <w:t xml:space="preserve">systemom wsparcia i </w:t>
      </w:r>
      <w:r>
        <w:t>inwestycjom w</w:t>
      </w:r>
      <w:r w:rsidR="00484E4C">
        <w:t> </w:t>
      </w:r>
      <w:r>
        <w:t>infrastrukturę liniową ocena możliwego udział</w:t>
      </w:r>
      <w:r w:rsidR="007220FA">
        <w:t>u</w:t>
      </w:r>
      <w:r>
        <w:t xml:space="preserve"> OZE w elektroenergetyce mogła znacznie wzrosnąć w</w:t>
      </w:r>
      <w:r w:rsidR="00484E4C">
        <w:t> </w:t>
      </w:r>
      <w:r>
        <w:t>porównaniu do prognoz z KPEiK z 2019 r.</w:t>
      </w:r>
    </w:p>
    <w:p w14:paraId="58E44916" w14:textId="12897CEF" w:rsidR="00CD32A0" w:rsidRPr="00484E4C" w:rsidRDefault="00CD32A0" w:rsidP="00484E4C">
      <w:pPr>
        <w:pStyle w:val="Cele"/>
      </w:pPr>
      <w:r w:rsidRPr="00B377B2">
        <w:rPr>
          <w:rStyle w:val="CeleZnak"/>
          <w:b/>
        </w:rPr>
        <w:t>P</w:t>
      </w:r>
      <w:r>
        <w:rPr>
          <w:rStyle w:val="CeleZnak"/>
          <w:b/>
        </w:rPr>
        <w:t>rognozy</w:t>
      </w:r>
      <w:r w:rsidRPr="00B377B2">
        <w:rPr>
          <w:rStyle w:val="CeleZnak"/>
          <w:b/>
        </w:rPr>
        <w:t xml:space="preserve"> </w:t>
      </w:r>
      <w:r w:rsidRPr="00EE60D1">
        <w:rPr>
          <w:b/>
          <w:bCs/>
        </w:rPr>
        <w:t xml:space="preserve">wskazują, że Polska może osiągnąć ok. </w:t>
      </w:r>
      <w:r w:rsidR="00484E4C">
        <w:rPr>
          <w:b/>
          <w:bCs/>
        </w:rPr>
        <w:t>5</w:t>
      </w:r>
      <w:r w:rsidR="00217033">
        <w:rPr>
          <w:b/>
          <w:bCs/>
        </w:rPr>
        <w:t>1,8</w:t>
      </w:r>
      <w:r w:rsidRPr="00A36950">
        <w:rPr>
          <w:b/>
          <w:bCs/>
          <w:szCs w:val="28"/>
        </w:rPr>
        <w:t xml:space="preserve">% </w:t>
      </w:r>
      <w:r w:rsidRPr="00EE60D1">
        <w:rPr>
          <w:b/>
          <w:bCs/>
        </w:rPr>
        <w:t>udziału OZE w finalnym zużyciu energii w</w:t>
      </w:r>
      <w:r>
        <w:rPr>
          <w:b/>
          <w:bCs/>
        </w:rPr>
        <w:t> </w:t>
      </w:r>
      <w:r w:rsidRPr="00EE60D1">
        <w:rPr>
          <w:b/>
          <w:bCs/>
        </w:rPr>
        <w:t>elektroenergetyce w 2030 r., a w 2040 r. –</w:t>
      </w:r>
      <w:r w:rsidR="00484E4C">
        <w:rPr>
          <w:b/>
          <w:bCs/>
        </w:rPr>
        <w:t xml:space="preserve"> </w:t>
      </w:r>
      <w:r w:rsidR="00E859A4">
        <w:rPr>
          <w:b/>
          <w:bCs/>
        </w:rPr>
        <w:t>79,</w:t>
      </w:r>
      <w:r w:rsidR="004E4718">
        <w:rPr>
          <w:b/>
          <w:bCs/>
        </w:rPr>
        <w:t>8</w:t>
      </w:r>
      <w:r w:rsidRPr="00EE60D1">
        <w:rPr>
          <w:b/>
          <w:bCs/>
        </w:rPr>
        <w:t>%</w:t>
      </w:r>
      <w:r w:rsidR="00484E4C">
        <w:br/>
      </w:r>
      <w:r w:rsidRPr="00484E4C">
        <w:rPr>
          <w:i/>
          <w:iCs/>
        </w:rPr>
        <w:t>[szacunki nie mają charakteru celu]</w:t>
      </w:r>
    </w:p>
    <w:tbl>
      <w:tblPr>
        <w:tblStyle w:val="Tabela-Siatka"/>
        <w:tblpPr w:leftFromText="142" w:rightFromText="142" w:vertAnchor="text" w:horzAnchor="margin" w:tblpXSpec="right" w:tblpY="1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57" w:type="dxa"/>
        </w:tblCellMar>
        <w:tblLook w:val="04A0" w:firstRow="1" w:lastRow="0" w:firstColumn="1" w:lastColumn="0" w:noHBand="0" w:noVBand="1"/>
      </w:tblPr>
      <w:tblGrid>
        <w:gridCol w:w="227"/>
        <w:gridCol w:w="963"/>
        <w:gridCol w:w="738"/>
        <w:gridCol w:w="1190"/>
      </w:tblGrid>
      <w:tr w:rsidR="000E7591" w:rsidRPr="00144F3E" w14:paraId="69795A50" w14:textId="1E095022" w:rsidTr="000E7591">
        <w:trPr>
          <w:trHeight w:val="20"/>
        </w:trPr>
        <w:tc>
          <w:tcPr>
            <w:tcW w:w="227" w:type="dxa"/>
          </w:tcPr>
          <w:p w14:paraId="67689EBA" w14:textId="77777777" w:rsidR="000E7591" w:rsidRPr="000E7591" w:rsidRDefault="000E7591" w:rsidP="0064173D">
            <w:pPr>
              <w:spacing w:after="60"/>
              <w:jc w:val="center"/>
              <w:rPr>
                <w:rFonts w:ascii="Bahnschrift" w:hAnsi="Bahnschrift"/>
                <w:b/>
                <w:bCs/>
                <w:noProof/>
                <w:color w:val="70AD47" w:themeColor="accent6"/>
                <w:sz w:val="28"/>
                <w:szCs w:val="32"/>
                <w:lang w:eastAsia="pl-PL"/>
              </w:rPr>
            </w:pPr>
            <w:bookmarkStart w:id="65" w:name="_Hlk175136152"/>
          </w:p>
        </w:tc>
        <w:tc>
          <w:tcPr>
            <w:tcW w:w="2891" w:type="dxa"/>
            <w:gridSpan w:val="3"/>
            <w:vAlign w:val="center"/>
          </w:tcPr>
          <w:p w14:paraId="6653E1B5" w14:textId="5FDAC947" w:rsidR="000E7591" w:rsidRPr="00057989" w:rsidRDefault="000E7591" w:rsidP="0064173D">
            <w:pPr>
              <w:spacing w:after="60"/>
              <w:jc w:val="center"/>
              <w:rPr>
                <w:rFonts w:ascii="Bahnschrift" w:hAnsi="Bahnschrift"/>
                <w:b/>
                <w:bCs/>
                <w:noProof/>
                <w:color w:val="70AD47" w:themeColor="accent6"/>
                <w:sz w:val="32"/>
                <w:szCs w:val="36"/>
                <w:lang w:eastAsia="pl-PL"/>
              </w:rPr>
            </w:pPr>
            <w:r w:rsidRPr="000E7591">
              <w:rPr>
                <w:rFonts w:ascii="Bahnschrift" w:hAnsi="Bahnschrift"/>
                <w:b/>
                <w:bCs/>
                <w:noProof/>
                <w:color w:val="70AD47" w:themeColor="accent6"/>
                <w:sz w:val="28"/>
                <w:szCs w:val="32"/>
                <w:lang w:eastAsia="pl-PL"/>
              </w:rPr>
              <w:t>OZE w</w:t>
            </w:r>
            <w:r>
              <w:rPr>
                <w:rFonts w:ascii="Bahnschrift" w:hAnsi="Bahnschrift"/>
                <w:b/>
                <w:bCs/>
                <w:noProof/>
                <w:color w:val="70AD47" w:themeColor="accent6"/>
                <w:sz w:val="28"/>
                <w:szCs w:val="32"/>
                <w:lang w:eastAsia="pl-PL"/>
              </w:rPr>
              <w:t> </w:t>
            </w:r>
            <w:r w:rsidRPr="000E7591">
              <w:rPr>
                <w:rFonts w:ascii="Bahnschrift" w:hAnsi="Bahnschrift"/>
                <w:b/>
                <w:bCs/>
                <w:noProof/>
                <w:color w:val="70AD47" w:themeColor="accent6"/>
                <w:sz w:val="28"/>
                <w:szCs w:val="32"/>
                <w:lang w:eastAsia="pl-PL"/>
              </w:rPr>
              <w:t>elektroenergetyce</w:t>
            </w:r>
          </w:p>
        </w:tc>
      </w:tr>
      <w:tr w:rsidR="000E7591" w:rsidRPr="00144F3E" w14:paraId="1BFC3E8A" w14:textId="3B06CB89" w:rsidTr="000E7591">
        <w:trPr>
          <w:trHeight w:val="20"/>
        </w:trPr>
        <w:tc>
          <w:tcPr>
            <w:tcW w:w="227" w:type="dxa"/>
          </w:tcPr>
          <w:p w14:paraId="5957D511" w14:textId="77777777" w:rsidR="000E7591" w:rsidRPr="000E7591" w:rsidRDefault="000E7591" w:rsidP="0064173D">
            <w:pPr>
              <w:jc w:val="center"/>
              <w:rPr>
                <w:rFonts w:ascii="Bahnschrift" w:hAnsi="Bahnschrift"/>
                <w:b/>
                <w:bCs/>
                <w:color w:val="006600"/>
                <w:szCs w:val="20"/>
              </w:rPr>
            </w:pPr>
          </w:p>
        </w:tc>
        <w:tc>
          <w:tcPr>
            <w:tcW w:w="963" w:type="dxa"/>
          </w:tcPr>
          <w:p w14:paraId="0D3A5D29" w14:textId="339E4207" w:rsidR="000E7591" w:rsidRPr="000E7591" w:rsidRDefault="000E7591" w:rsidP="0064173D">
            <w:pPr>
              <w:jc w:val="center"/>
              <w:rPr>
                <w:rFonts w:ascii="Bahnschrift" w:hAnsi="Bahnschrift"/>
                <w:b/>
                <w:bCs/>
                <w:color w:val="006600"/>
                <w:szCs w:val="20"/>
              </w:rPr>
            </w:pPr>
            <w:r w:rsidRPr="000E7591">
              <w:rPr>
                <w:rFonts w:ascii="Bahnschrift" w:hAnsi="Bahnschrift"/>
                <w:b/>
                <w:bCs/>
                <w:color w:val="006600"/>
                <w:szCs w:val="20"/>
              </w:rPr>
              <w:t>2030</w:t>
            </w:r>
          </w:p>
        </w:tc>
        <w:tc>
          <w:tcPr>
            <w:tcW w:w="738" w:type="dxa"/>
          </w:tcPr>
          <w:p w14:paraId="1314B1F8" w14:textId="77777777" w:rsidR="000E7591" w:rsidRDefault="000E7591" w:rsidP="0064173D">
            <w:pPr>
              <w:jc w:val="center"/>
              <w:rPr>
                <w:noProof/>
                <w:lang w:eastAsia="pl-PL"/>
              </w:rPr>
            </w:pPr>
          </w:p>
        </w:tc>
        <w:tc>
          <w:tcPr>
            <w:tcW w:w="1190" w:type="dxa"/>
          </w:tcPr>
          <w:p w14:paraId="0EBB22C9" w14:textId="1830BE28" w:rsidR="000E7591" w:rsidRPr="000E7591" w:rsidRDefault="000E7591" w:rsidP="0064173D">
            <w:pPr>
              <w:jc w:val="center"/>
              <w:rPr>
                <w:rFonts w:ascii="Bahnschrift" w:hAnsi="Bahnschrift"/>
                <w:b/>
                <w:bCs/>
                <w:noProof/>
                <w:lang w:eastAsia="pl-PL"/>
              </w:rPr>
            </w:pPr>
            <w:r w:rsidRPr="000E7591">
              <w:rPr>
                <w:rFonts w:ascii="Bahnschrift" w:hAnsi="Bahnschrift"/>
                <w:b/>
                <w:bCs/>
                <w:noProof/>
                <w:color w:val="006600"/>
                <w:lang w:eastAsia="pl-PL"/>
              </w:rPr>
              <w:t>2040</w:t>
            </w:r>
          </w:p>
        </w:tc>
      </w:tr>
      <w:tr w:rsidR="00B348E1" w:rsidRPr="00144F3E" w14:paraId="737FD9F6" w14:textId="3C322E98" w:rsidTr="000E7591">
        <w:trPr>
          <w:trHeight w:val="20"/>
        </w:trPr>
        <w:tc>
          <w:tcPr>
            <w:tcW w:w="227" w:type="dxa"/>
          </w:tcPr>
          <w:p w14:paraId="24119E55" w14:textId="77777777" w:rsidR="00B348E1" w:rsidRDefault="00B348E1" w:rsidP="00B348E1">
            <w:pPr>
              <w:jc w:val="center"/>
              <w:rPr>
                <w:rFonts w:ascii="Bahnschrift" w:hAnsi="Bahnschrift"/>
                <w:b/>
                <w:bCs/>
                <w:color w:val="262626" w:themeColor="text1" w:themeTint="D9"/>
                <w:sz w:val="21"/>
                <w:szCs w:val="21"/>
              </w:rPr>
            </w:pPr>
          </w:p>
        </w:tc>
        <w:tc>
          <w:tcPr>
            <w:tcW w:w="963" w:type="dxa"/>
          </w:tcPr>
          <w:p w14:paraId="6F8A8C92" w14:textId="3619EF8C" w:rsidR="00B348E1" w:rsidRPr="000E7591" w:rsidRDefault="00346A9B"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31,7</w:t>
            </w:r>
            <w:r w:rsidR="00B348E1" w:rsidRPr="000E7591">
              <w:rPr>
                <w:rFonts w:ascii="Bahnschrift" w:hAnsi="Bahnschrift"/>
                <w:b/>
                <w:bCs/>
                <w:color w:val="262626" w:themeColor="text1" w:themeTint="D9"/>
                <w:szCs w:val="20"/>
              </w:rPr>
              <w:t xml:space="preserve"> GW</w:t>
            </w:r>
          </w:p>
        </w:tc>
        <w:tc>
          <w:tcPr>
            <w:tcW w:w="738" w:type="dxa"/>
            <w:vMerge w:val="restart"/>
          </w:tcPr>
          <w:p w14:paraId="313FB141" w14:textId="1D4497FB" w:rsidR="00B348E1" w:rsidRPr="00FA74C6" w:rsidRDefault="00B348E1" w:rsidP="00B348E1">
            <w:pPr>
              <w:jc w:val="center"/>
              <w:rPr>
                <w:rFonts w:ascii="Bahnschrift" w:hAnsi="Bahnschrift"/>
                <w:b/>
                <w:bCs/>
                <w:color w:val="262626" w:themeColor="text1" w:themeTint="D9"/>
                <w:sz w:val="22"/>
              </w:rPr>
            </w:pPr>
            <w:r>
              <w:rPr>
                <w:noProof/>
                <w:lang w:eastAsia="pl-PL"/>
              </w:rPr>
              <w:drawing>
                <wp:anchor distT="0" distB="0" distL="114300" distR="114300" simplePos="0" relativeHeight="251556352" behindDoc="0" locked="0" layoutInCell="1" allowOverlap="1" wp14:anchorId="07CA692E" wp14:editId="0592EE44">
                  <wp:simplePos x="0" y="0"/>
                  <wp:positionH relativeFrom="margin">
                    <wp:posOffset>3865</wp:posOffset>
                  </wp:positionH>
                  <wp:positionV relativeFrom="paragraph">
                    <wp:posOffset>-45526</wp:posOffset>
                  </wp:positionV>
                  <wp:extent cx="396000" cy="396000"/>
                  <wp:effectExtent l="0" t="0" r="4445" b="4445"/>
                  <wp:wrapNone/>
                  <wp:docPr id="25" name="Obraz 25"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Obraz zawierający czarne, ciemność&#10;&#10;Opis wygenerowany automatyczni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0" w:type="dxa"/>
          </w:tcPr>
          <w:p w14:paraId="6C32522F" w14:textId="6F4A498D" w:rsidR="00B348E1" w:rsidRPr="000E7591" w:rsidRDefault="00346A9B" w:rsidP="00B348E1">
            <w:pPr>
              <w:jc w:val="center"/>
              <w:rPr>
                <w:noProof/>
                <w:szCs w:val="20"/>
                <w:lang w:eastAsia="pl-PL"/>
              </w:rPr>
            </w:pPr>
            <w:r>
              <w:rPr>
                <w:rFonts w:ascii="Bahnschrift" w:hAnsi="Bahnschrift"/>
                <w:b/>
                <w:bCs/>
                <w:color w:val="262626" w:themeColor="text1" w:themeTint="D9"/>
                <w:szCs w:val="20"/>
              </w:rPr>
              <w:t>51</w:t>
            </w:r>
            <w:r w:rsidR="00B348E1">
              <w:rPr>
                <w:rFonts w:ascii="Bahnschrift" w:hAnsi="Bahnschrift"/>
                <w:b/>
                <w:bCs/>
                <w:color w:val="262626" w:themeColor="text1" w:themeTint="D9"/>
                <w:szCs w:val="20"/>
              </w:rPr>
              <w:t>,2</w:t>
            </w:r>
            <w:r w:rsidR="00B348E1" w:rsidRPr="000E7591">
              <w:rPr>
                <w:rFonts w:ascii="Bahnschrift" w:hAnsi="Bahnschrift"/>
                <w:b/>
                <w:bCs/>
                <w:color w:val="262626" w:themeColor="text1" w:themeTint="D9"/>
                <w:szCs w:val="20"/>
              </w:rPr>
              <w:t xml:space="preserve"> GW</w:t>
            </w:r>
          </w:p>
        </w:tc>
      </w:tr>
      <w:tr w:rsidR="00B348E1" w:rsidRPr="00144F3E" w14:paraId="700D3538" w14:textId="6187D487" w:rsidTr="000E7591">
        <w:trPr>
          <w:trHeight w:val="20"/>
        </w:trPr>
        <w:tc>
          <w:tcPr>
            <w:tcW w:w="227" w:type="dxa"/>
          </w:tcPr>
          <w:p w14:paraId="70BAE3FC" w14:textId="77777777" w:rsidR="00B348E1" w:rsidRDefault="00B348E1" w:rsidP="00B348E1">
            <w:pPr>
              <w:jc w:val="center"/>
              <w:rPr>
                <w:rFonts w:ascii="Bahnschrift" w:hAnsi="Bahnschrift"/>
                <w:b/>
                <w:bCs/>
                <w:color w:val="262626" w:themeColor="text1" w:themeTint="D9"/>
                <w:sz w:val="21"/>
                <w:szCs w:val="21"/>
              </w:rPr>
            </w:pPr>
          </w:p>
        </w:tc>
        <w:tc>
          <w:tcPr>
            <w:tcW w:w="963" w:type="dxa"/>
          </w:tcPr>
          <w:p w14:paraId="0AD999EC" w14:textId="3F8A9698" w:rsidR="00B348E1" w:rsidRPr="000E7591" w:rsidRDefault="006070C9"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26,4</w:t>
            </w:r>
            <w:r w:rsidR="00B348E1" w:rsidRPr="000E7591">
              <w:rPr>
                <w:rFonts w:ascii="Bahnschrift" w:hAnsi="Bahnschrift"/>
                <w:b/>
                <w:bCs/>
                <w:color w:val="262626" w:themeColor="text1" w:themeTint="D9"/>
                <w:szCs w:val="20"/>
              </w:rPr>
              <w:t xml:space="preserve"> TWh</w:t>
            </w:r>
          </w:p>
        </w:tc>
        <w:tc>
          <w:tcPr>
            <w:tcW w:w="738" w:type="dxa"/>
            <w:vMerge/>
          </w:tcPr>
          <w:p w14:paraId="58F2A768" w14:textId="77777777" w:rsidR="00B348E1" w:rsidRPr="00FA74C6" w:rsidRDefault="00B348E1" w:rsidP="00B348E1">
            <w:pPr>
              <w:jc w:val="center"/>
              <w:rPr>
                <w:rFonts w:ascii="Bahnschrift" w:hAnsi="Bahnschrift"/>
                <w:b/>
                <w:bCs/>
                <w:color w:val="262626" w:themeColor="text1" w:themeTint="D9"/>
                <w:sz w:val="22"/>
              </w:rPr>
            </w:pPr>
          </w:p>
        </w:tc>
        <w:tc>
          <w:tcPr>
            <w:tcW w:w="1190" w:type="dxa"/>
          </w:tcPr>
          <w:p w14:paraId="32F117D6" w14:textId="199A5335" w:rsidR="00B348E1" w:rsidRPr="000E7591" w:rsidRDefault="00346A9B"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46,8</w:t>
            </w:r>
            <w:r w:rsidR="00B348E1" w:rsidRPr="000E7591">
              <w:rPr>
                <w:rFonts w:ascii="Bahnschrift" w:hAnsi="Bahnschrift"/>
                <w:b/>
                <w:bCs/>
                <w:color w:val="262626" w:themeColor="text1" w:themeTint="D9"/>
                <w:szCs w:val="20"/>
              </w:rPr>
              <w:t xml:space="preserve"> TWh</w:t>
            </w:r>
          </w:p>
        </w:tc>
      </w:tr>
      <w:tr w:rsidR="00B348E1" w:rsidRPr="00144F3E" w14:paraId="3B1E108F" w14:textId="662C2995" w:rsidTr="000E7591">
        <w:trPr>
          <w:trHeight w:val="113"/>
        </w:trPr>
        <w:tc>
          <w:tcPr>
            <w:tcW w:w="227" w:type="dxa"/>
          </w:tcPr>
          <w:p w14:paraId="5D643A91" w14:textId="77777777" w:rsidR="00B348E1" w:rsidRPr="00960631" w:rsidRDefault="00B348E1" w:rsidP="00B348E1">
            <w:pPr>
              <w:jc w:val="center"/>
              <w:rPr>
                <w:rFonts w:ascii="Bahnschrift" w:hAnsi="Bahnschrift"/>
                <w:b/>
                <w:bCs/>
                <w:color w:val="262626" w:themeColor="text1" w:themeTint="D9"/>
                <w:sz w:val="8"/>
                <w:szCs w:val="8"/>
              </w:rPr>
            </w:pPr>
          </w:p>
        </w:tc>
        <w:tc>
          <w:tcPr>
            <w:tcW w:w="963" w:type="dxa"/>
          </w:tcPr>
          <w:p w14:paraId="45BF8986" w14:textId="4CC930DC" w:rsidR="00B348E1" w:rsidRPr="00960631" w:rsidRDefault="00B348E1" w:rsidP="00B348E1">
            <w:pPr>
              <w:jc w:val="center"/>
              <w:rPr>
                <w:rFonts w:ascii="Bahnschrift" w:hAnsi="Bahnschrift"/>
                <w:b/>
                <w:bCs/>
                <w:color w:val="262626" w:themeColor="text1" w:themeTint="D9"/>
                <w:sz w:val="8"/>
                <w:szCs w:val="8"/>
              </w:rPr>
            </w:pPr>
          </w:p>
        </w:tc>
        <w:tc>
          <w:tcPr>
            <w:tcW w:w="738" w:type="dxa"/>
          </w:tcPr>
          <w:p w14:paraId="600BADF9" w14:textId="77777777" w:rsidR="00B348E1" w:rsidRPr="00960631" w:rsidRDefault="00B348E1" w:rsidP="00B348E1">
            <w:pPr>
              <w:jc w:val="center"/>
              <w:rPr>
                <w:rFonts w:ascii="Bahnschrift" w:hAnsi="Bahnschrift"/>
                <w:b/>
                <w:bCs/>
                <w:color w:val="262626" w:themeColor="text1" w:themeTint="D9"/>
                <w:sz w:val="8"/>
                <w:szCs w:val="8"/>
              </w:rPr>
            </w:pPr>
          </w:p>
        </w:tc>
        <w:tc>
          <w:tcPr>
            <w:tcW w:w="1190" w:type="dxa"/>
          </w:tcPr>
          <w:p w14:paraId="474425DA" w14:textId="77777777" w:rsidR="00B348E1" w:rsidRPr="00960631" w:rsidRDefault="00B348E1" w:rsidP="00B348E1">
            <w:pPr>
              <w:jc w:val="center"/>
              <w:rPr>
                <w:rFonts w:ascii="Bahnschrift" w:hAnsi="Bahnschrift"/>
                <w:b/>
                <w:bCs/>
                <w:color w:val="262626" w:themeColor="text1" w:themeTint="D9"/>
                <w:sz w:val="8"/>
                <w:szCs w:val="8"/>
              </w:rPr>
            </w:pPr>
          </w:p>
        </w:tc>
      </w:tr>
      <w:tr w:rsidR="00B348E1" w:rsidRPr="00144F3E" w14:paraId="7FBE1FF8" w14:textId="1C6CE52E" w:rsidTr="000E7591">
        <w:trPr>
          <w:trHeight w:val="16"/>
        </w:trPr>
        <w:tc>
          <w:tcPr>
            <w:tcW w:w="227" w:type="dxa"/>
          </w:tcPr>
          <w:p w14:paraId="332E707A"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0B6E1565" w14:textId="7872543C" w:rsidR="00B348E1" w:rsidRPr="000214B9" w:rsidRDefault="00346A9B"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16,6</w:t>
            </w:r>
            <w:r w:rsidR="00B348E1" w:rsidRPr="000214B9">
              <w:rPr>
                <w:rFonts w:ascii="Bahnschrift" w:hAnsi="Bahnschrift"/>
                <w:b/>
                <w:bCs/>
                <w:color w:val="262626" w:themeColor="text1" w:themeTint="D9"/>
                <w:szCs w:val="20"/>
              </w:rPr>
              <w:t xml:space="preserve"> GW</w:t>
            </w:r>
          </w:p>
        </w:tc>
        <w:tc>
          <w:tcPr>
            <w:tcW w:w="738" w:type="dxa"/>
            <w:vMerge w:val="restart"/>
          </w:tcPr>
          <w:p w14:paraId="19377632" w14:textId="5CED78EA" w:rsidR="00B348E1" w:rsidRPr="00FA74C6" w:rsidRDefault="00B348E1" w:rsidP="00B348E1">
            <w:pPr>
              <w:jc w:val="center"/>
              <w:rPr>
                <w:rFonts w:ascii="Bahnschrift" w:hAnsi="Bahnschrift"/>
                <w:b/>
                <w:bCs/>
                <w:color w:val="262626" w:themeColor="text1" w:themeTint="D9"/>
                <w:sz w:val="22"/>
              </w:rPr>
            </w:pPr>
            <w:r w:rsidRPr="00C34974">
              <w:rPr>
                <w:rFonts w:asciiTheme="minorHAnsi" w:eastAsia="Calibri" w:hAnsiTheme="minorHAnsi"/>
                <w:noProof/>
                <w:lang w:eastAsia="pl-PL"/>
              </w:rPr>
              <w:drawing>
                <wp:anchor distT="0" distB="0" distL="114300" distR="114300" simplePos="0" relativeHeight="251559424" behindDoc="0" locked="0" layoutInCell="1" allowOverlap="1" wp14:anchorId="17B0B226" wp14:editId="70CB4C64">
                  <wp:simplePos x="0" y="0"/>
                  <wp:positionH relativeFrom="column">
                    <wp:posOffset>33020</wp:posOffset>
                  </wp:positionH>
                  <wp:positionV relativeFrom="paragraph">
                    <wp:posOffset>-11430</wp:posOffset>
                  </wp:positionV>
                  <wp:extent cx="396000" cy="396000"/>
                  <wp:effectExtent l="0" t="0" r="4445" b="4445"/>
                  <wp:wrapNone/>
                  <wp:docPr id="34" name="Obraz 34"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0" w:type="dxa"/>
          </w:tcPr>
          <w:p w14:paraId="18A0C60B" w14:textId="521FEAAA" w:rsidR="00B348E1" w:rsidRDefault="00346A9B" w:rsidP="00B348E1">
            <w:pPr>
              <w:jc w:val="center"/>
              <w:rPr>
                <w:noProof/>
                <w:lang w:eastAsia="pl-PL"/>
              </w:rPr>
            </w:pPr>
            <w:r>
              <w:rPr>
                <w:rFonts w:ascii="Bahnschrift" w:hAnsi="Bahnschrift"/>
                <w:b/>
                <w:bCs/>
                <w:color w:val="262626" w:themeColor="text1" w:themeTint="D9"/>
                <w:szCs w:val="20"/>
              </w:rPr>
              <w:t>34,6</w:t>
            </w:r>
            <w:r w:rsidR="00B348E1" w:rsidRPr="000214B9">
              <w:rPr>
                <w:rFonts w:ascii="Bahnschrift" w:hAnsi="Bahnschrift"/>
                <w:b/>
                <w:bCs/>
                <w:color w:val="262626" w:themeColor="text1" w:themeTint="D9"/>
                <w:szCs w:val="20"/>
              </w:rPr>
              <w:t xml:space="preserve"> GW</w:t>
            </w:r>
          </w:p>
        </w:tc>
      </w:tr>
      <w:tr w:rsidR="00B348E1" w:rsidRPr="00144F3E" w14:paraId="3443F602" w14:textId="6ADA4D8A" w:rsidTr="000E7591">
        <w:trPr>
          <w:trHeight w:val="16"/>
        </w:trPr>
        <w:tc>
          <w:tcPr>
            <w:tcW w:w="227" w:type="dxa"/>
          </w:tcPr>
          <w:p w14:paraId="1B32B07A"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3BDD7C0F" w14:textId="6F6BB1F6" w:rsidR="00B348E1" w:rsidRPr="000214B9" w:rsidRDefault="00346A9B"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41,5</w:t>
            </w:r>
            <w:r w:rsidR="00B348E1">
              <w:rPr>
                <w:rFonts w:ascii="Bahnschrift" w:hAnsi="Bahnschrift"/>
                <w:b/>
                <w:bCs/>
                <w:color w:val="262626" w:themeColor="text1" w:themeTint="D9"/>
                <w:szCs w:val="20"/>
              </w:rPr>
              <w:t xml:space="preserve"> </w:t>
            </w:r>
            <w:r w:rsidR="00B348E1" w:rsidRPr="000214B9">
              <w:rPr>
                <w:rFonts w:ascii="Bahnschrift" w:hAnsi="Bahnschrift"/>
                <w:b/>
                <w:bCs/>
                <w:color w:val="262626" w:themeColor="text1" w:themeTint="D9"/>
                <w:szCs w:val="20"/>
              </w:rPr>
              <w:t>TWh</w:t>
            </w:r>
          </w:p>
        </w:tc>
        <w:tc>
          <w:tcPr>
            <w:tcW w:w="738" w:type="dxa"/>
            <w:vMerge/>
          </w:tcPr>
          <w:p w14:paraId="3AED14CE" w14:textId="77777777" w:rsidR="00B348E1" w:rsidRPr="00FA74C6" w:rsidRDefault="00B348E1" w:rsidP="00B348E1">
            <w:pPr>
              <w:jc w:val="center"/>
              <w:rPr>
                <w:rFonts w:ascii="Bahnschrift" w:hAnsi="Bahnschrift"/>
                <w:b/>
                <w:bCs/>
                <w:color w:val="262626" w:themeColor="text1" w:themeTint="D9"/>
                <w:sz w:val="22"/>
              </w:rPr>
            </w:pPr>
          </w:p>
        </w:tc>
        <w:tc>
          <w:tcPr>
            <w:tcW w:w="1190" w:type="dxa"/>
          </w:tcPr>
          <w:p w14:paraId="53DD9427" w14:textId="5E6CAC66" w:rsidR="00B348E1" w:rsidRPr="00FA74C6" w:rsidRDefault="00346A9B" w:rsidP="00B348E1">
            <w:pPr>
              <w:jc w:val="center"/>
              <w:rPr>
                <w:rFonts w:ascii="Bahnschrift" w:hAnsi="Bahnschrift"/>
                <w:b/>
                <w:bCs/>
                <w:color w:val="262626" w:themeColor="text1" w:themeTint="D9"/>
                <w:sz w:val="22"/>
              </w:rPr>
            </w:pPr>
            <w:r>
              <w:rPr>
                <w:rFonts w:ascii="Bahnschrift" w:hAnsi="Bahnschrift"/>
                <w:b/>
                <w:bCs/>
                <w:color w:val="262626" w:themeColor="text1" w:themeTint="D9"/>
                <w:szCs w:val="20"/>
              </w:rPr>
              <w:t>90,9</w:t>
            </w:r>
            <w:r w:rsidR="00B348E1">
              <w:rPr>
                <w:rFonts w:ascii="Bahnschrift" w:hAnsi="Bahnschrift"/>
                <w:b/>
                <w:bCs/>
                <w:color w:val="262626" w:themeColor="text1" w:themeTint="D9"/>
                <w:szCs w:val="20"/>
              </w:rPr>
              <w:t xml:space="preserve"> </w:t>
            </w:r>
            <w:r w:rsidR="00B348E1" w:rsidRPr="000214B9">
              <w:rPr>
                <w:rFonts w:ascii="Bahnschrift" w:hAnsi="Bahnschrift"/>
                <w:b/>
                <w:bCs/>
                <w:color w:val="262626" w:themeColor="text1" w:themeTint="D9"/>
                <w:szCs w:val="20"/>
              </w:rPr>
              <w:t>TWh</w:t>
            </w:r>
          </w:p>
        </w:tc>
      </w:tr>
      <w:tr w:rsidR="00B348E1" w:rsidRPr="00144F3E" w14:paraId="31F770EF" w14:textId="76898118" w:rsidTr="000E7591">
        <w:trPr>
          <w:trHeight w:val="170"/>
        </w:trPr>
        <w:tc>
          <w:tcPr>
            <w:tcW w:w="227" w:type="dxa"/>
          </w:tcPr>
          <w:p w14:paraId="2692D576" w14:textId="2317D385" w:rsidR="00B348E1" w:rsidRPr="00960631" w:rsidRDefault="00B348E1" w:rsidP="00B348E1">
            <w:pPr>
              <w:jc w:val="center"/>
              <w:rPr>
                <w:rFonts w:ascii="Bahnschrift" w:hAnsi="Bahnschrift"/>
                <w:b/>
                <w:bCs/>
                <w:color w:val="262626" w:themeColor="text1" w:themeTint="D9"/>
                <w:sz w:val="8"/>
                <w:szCs w:val="8"/>
              </w:rPr>
            </w:pPr>
          </w:p>
        </w:tc>
        <w:tc>
          <w:tcPr>
            <w:tcW w:w="963" w:type="dxa"/>
          </w:tcPr>
          <w:p w14:paraId="2E417608" w14:textId="4D69FB52" w:rsidR="00B348E1" w:rsidRPr="00960631" w:rsidRDefault="00B348E1" w:rsidP="00B348E1">
            <w:pPr>
              <w:jc w:val="center"/>
              <w:rPr>
                <w:rFonts w:ascii="Bahnschrift" w:hAnsi="Bahnschrift"/>
                <w:b/>
                <w:bCs/>
                <w:color w:val="262626" w:themeColor="text1" w:themeTint="D9"/>
                <w:sz w:val="8"/>
                <w:szCs w:val="8"/>
              </w:rPr>
            </w:pPr>
          </w:p>
        </w:tc>
        <w:tc>
          <w:tcPr>
            <w:tcW w:w="738" w:type="dxa"/>
          </w:tcPr>
          <w:p w14:paraId="2059D970" w14:textId="2562D8ED" w:rsidR="00B348E1" w:rsidRPr="00960631" w:rsidRDefault="00B348E1" w:rsidP="00B348E1">
            <w:pPr>
              <w:jc w:val="center"/>
              <w:rPr>
                <w:rFonts w:ascii="Bahnschrift" w:hAnsi="Bahnschrift"/>
                <w:b/>
                <w:bCs/>
                <w:color w:val="262626" w:themeColor="text1" w:themeTint="D9"/>
                <w:sz w:val="8"/>
                <w:szCs w:val="8"/>
              </w:rPr>
            </w:pPr>
          </w:p>
        </w:tc>
        <w:tc>
          <w:tcPr>
            <w:tcW w:w="1190" w:type="dxa"/>
          </w:tcPr>
          <w:p w14:paraId="142A6943" w14:textId="77777777" w:rsidR="00B348E1" w:rsidRPr="00960631" w:rsidRDefault="00B348E1" w:rsidP="00B348E1">
            <w:pPr>
              <w:jc w:val="center"/>
              <w:rPr>
                <w:rFonts w:ascii="Bahnschrift" w:hAnsi="Bahnschrift"/>
                <w:b/>
                <w:bCs/>
                <w:color w:val="262626" w:themeColor="text1" w:themeTint="D9"/>
                <w:sz w:val="8"/>
                <w:szCs w:val="8"/>
              </w:rPr>
            </w:pPr>
          </w:p>
        </w:tc>
      </w:tr>
      <w:tr w:rsidR="00B348E1" w:rsidRPr="00144F3E" w14:paraId="5B6D7778" w14:textId="3A14E66A" w:rsidTr="000E7591">
        <w:trPr>
          <w:trHeight w:val="16"/>
        </w:trPr>
        <w:tc>
          <w:tcPr>
            <w:tcW w:w="227" w:type="dxa"/>
          </w:tcPr>
          <w:p w14:paraId="1889927A" w14:textId="0DB7E442" w:rsidR="00B348E1" w:rsidRPr="000214B9" w:rsidRDefault="00B348E1" w:rsidP="00B348E1">
            <w:pPr>
              <w:jc w:val="center"/>
              <w:rPr>
                <w:rFonts w:ascii="Bahnschrift" w:hAnsi="Bahnschrift"/>
                <w:b/>
                <w:bCs/>
                <w:color w:val="262626" w:themeColor="text1" w:themeTint="D9"/>
                <w:szCs w:val="20"/>
              </w:rPr>
            </w:pPr>
          </w:p>
        </w:tc>
        <w:tc>
          <w:tcPr>
            <w:tcW w:w="963" w:type="dxa"/>
          </w:tcPr>
          <w:p w14:paraId="7CB45318" w14:textId="32A5EB35" w:rsidR="00B348E1" w:rsidRPr="000214B9" w:rsidRDefault="00B348E1"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5</w:t>
            </w:r>
            <w:r w:rsidRPr="000214B9">
              <w:rPr>
                <w:rFonts w:ascii="Bahnschrift" w:hAnsi="Bahnschrift"/>
                <w:b/>
                <w:bCs/>
                <w:color w:val="262626" w:themeColor="text1" w:themeTint="D9"/>
                <w:szCs w:val="20"/>
              </w:rPr>
              <w:t>,</w:t>
            </w:r>
            <w:r>
              <w:rPr>
                <w:rFonts w:ascii="Bahnschrift" w:hAnsi="Bahnschrift"/>
                <w:b/>
                <w:bCs/>
                <w:color w:val="262626" w:themeColor="text1" w:themeTint="D9"/>
                <w:szCs w:val="20"/>
              </w:rPr>
              <w:t>9</w:t>
            </w:r>
            <w:r w:rsidRPr="000214B9">
              <w:rPr>
                <w:rFonts w:ascii="Bahnschrift" w:hAnsi="Bahnschrift"/>
                <w:b/>
                <w:bCs/>
                <w:color w:val="262626" w:themeColor="text1" w:themeTint="D9"/>
                <w:szCs w:val="20"/>
              </w:rPr>
              <w:t xml:space="preserve"> GW</w:t>
            </w:r>
          </w:p>
        </w:tc>
        <w:tc>
          <w:tcPr>
            <w:tcW w:w="738" w:type="dxa"/>
            <w:vMerge w:val="restart"/>
          </w:tcPr>
          <w:p w14:paraId="2CE4AA7E" w14:textId="55027A91" w:rsidR="00B348E1" w:rsidRPr="00FA74C6" w:rsidRDefault="00B348E1" w:rsidP="00B348E1">
            <w:pPr>
              <w:jc w:val="center"/>
              <w:rPr>
                <w:rFonts w:ascii="Bahnschrift" w:hAnsi="Bahnschrift"/>
                <w:b/>
                <w:bCs/>
                <w:color w:val="262626" w:themeColor="text1" w:themeTint="D9"/>
                <w:sz w:val="22"/>
              </w:rPr>
            </w:pPr>
            <w:r>
              <w:rPr>
                <w:noProof/>
                <w:lang w:eastAsia="pl-PL"/>
              </w:rPr>
              <w:drawing>
                <wp:anchor distT="0" distB="0" distL="114300" distR="114300" simplePos="0" relativeHeight="251568640" behindDoc="0" locked="0" layoutInCell="1" allowOverlap="1" wp14:anchorId="3E78A902" wp14:editId="05B008EF">
                  <wp:simplePos x="0" y="0"/>
                  <wp:positionH relativeFrom="column">
                    <wp:posOffset>21590</wp:posOffset>
                  </wp:positionH>
                  <wp:positionV relativeFrom="paragraph">
                    <wp:posOffset>-19685</wp:posOffset>
                  </wp:positionV>
                  <wp:extent cx="396000" cy="396000"/>
                  <wp:effectExtent l="0" t="0" r="4445" b="4445"/>
                  <wp:wrapNone/>
                  <wp:docPr id="26" name="Obraz 26"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czarne, ciemność&#10;&#10;Opis wygenerowany automatyczni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0" w:type="dxa"/>
          </w:tcPr>
          <w:p w14:paraId="4ED83764" w14:textId="0AEECC98" w:rsidR="00B348E1" w:rsidRPr="00C34974" w:rsidRDefault="00346A9B" w:rsidP="00B348E1">
            <w:pPr>
              <w:jc w:val="center"/>
              <w:rPr>
                <w:rFonts w:asciiTheme="minorHAnsi" w:eastAsia="Calibri" w:hAnsiTheme="minorHAnsi"/>
                <w:noProof/>
                <w:lang w:eastAsia="pl-PL"/>
              </w:rPr>
            </w:pPr>
            <w:r>
              <w:rPr>
                <w:rFonts w:ascii="Bahnschrift" w:hAnsi="Bahnschrift"/>
                <w:b/>
                <w:bCs/>
                <w:color w:val="262626" w:themeColor="text1" w:themeTint="D9"/>
                <w:szCs w:val="20"/>
              </w:rPr>
              <w:t>18</w:t>
            </w:r>
            <w:r w:rsidR="00B348E1" w:rsidRPr="000214B9">
              <w:rPr>
                <w:rFonts w:ascii="Bahnschrift" w:hAnsi="Bahnschrift"/>
                <w:b/>
                <w:bCs/>
                <w:color w:val="262626" w:themeColor="text1" w:themeTint="D9"/>
                <w:szCs w:val="20"/>
              </w:rPr>
              <w:t xml:space="preserve"> GW</w:t>
            </w:r>
          </w:p>
        </w:tc>
      </w:tr>
      <w:tr w:rsidR="00B348E1" w:rsidRPr="00144F3E" w14:paraId="7F68A709" w14:textId="57D1CAB9" w:rsidTr="000E7591">
        <w:trPr>
          <w:trHeight w:val="16"/>
        </w:trPr>
        <w:tc>
          <w:tcPr>
            <w:tcW w:w="227" w:type="dxa"/>
          </w:tcPr>
          <w:p w14:paraId="5125F8A9"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118D0C51" w14:textId="74556D95" w:rsidR="00B348E1" w:rsidRPr="000214B9" w:rsidRDefault="00346A9B"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20,6</w:t>
            </w:r>
            <w:r w:rsidR="002B502D">
              <w:rPr>
                <w:rFonts w:ascii="Bahnschrift" w:hAnsi="Bahnschrift"/>
                <w:b/>
                <w:bCs/>
                <w:color w:val="262626" w:themeColor="text1" w:themeTint="D9"/>
                <w:szCs w:val="20"/>
              </w:rPr>
              <w:t xml:space="preserve"> </w:t>
            </w:r>
            <w:r w:rsidR="00B348E1" w:rsidRPr="000214B9">
              <w:rPr>
                <w:rFonts w:ascii="Bahnschrift" w:hAnsi="Bahnschrift"/>
                <w:b/>
                <w:bCs/>
                <w:color w:val="262626" w:themeColor="text1" w:themeTint="D9"/>
                <w:szCs w:val="20"/>
              </w:rPr>
              <w:t>TWh</w:t>
            </w:r>
          </w:p>
        </w:tc>
        <w:tc>
          <w:tcPr>
            <w:tcW w:w="738" w:type="dxa"/>
            <w:vMerge/>
          </w:tcPr>
          <w:p w14:paraId="6B1E2B1B" w14:textId="77777777" w:rsidR="00B348E1" w:rsidRPr="00FA74C6" w:rsidRDefault="00B348E1" w:rsidP="00B348E1">
            <w:pPr>
              <w:jc w:val="center"/>
              <w:rPr>
                <w:rFonts w:ascii="Bahnschrift" w:hAnsi="Bahnschrift"/>
                <w:b/>
                <w:bCs/>
                <w:color w:val="262626" w:themeColor="text1" w:themeTint="D9"/>
                <w:sz w:val="22"/>
              </w:rPr>
            </w:pPr>
          </w:p>
        </w:tc>
        <w:tc>
          <w:tcPr>
            <w:tcW w:w="1190" w:type="dxa"/>
          </w:tcPr>
          <w:p w14:paraId="265AFB6B" w14:textId="527C6639" w:rsidR="00B348E1" w:rsidRPr="00FA74C6" w:rsidRDefault="00346A9B" w:rsidP="00B348E1">
            <w:pPr>
              <w:jc w:val="center"/>
              <w:rPr>
                <w:rFonts w:ascii="Bahnschrift" w:hAnsi="Bahnschrift"/>
                <w:b/>
                <w:bCs/>
                <w:color w:val="262626" w:themeColor="text1" w:themeTint="D9"/>
                <w:sz w:val="22"/>
              </w:rPr>
            </w:pPr>
            <w:r>
              <w:rPr>
                <w:rFonts w:ascii="Bahnschrift" w:hAnsi="Bahnschrift"/>
                <w:b/>
                <w:bCs/>
                <w:color w:val="262626" w:themeColor="text1" w:themeTint="D9"/>
                <w:szCs w:val="20"/>
              </w:rPr>
              <w:t>66,9</w:t>
            </w:r>
            <w:r w:rsidR="00B348E1" w:rsidRPr="000214B9">
              <w:rPr>
                <w:rFonts w:ascii="Bahnschrift" w:hAnsi="Bahnschrift"/>
                <w:b/>
                <w:bCs/>
                <w:color w:val="262626" w:themeColor="text1" w:themeTint="D9"/>
                <w:szCs w:val="20"/>
              </w:rPr>
              <w:t xml:space="preserve"> TWh</w:t>
            </w:r>
          </w:p>
        </w:tc>
      </w:tr>
      <w:tr w:rsidR="00B348E1" w:rsidRPr="00144F3E" w14:paraId="5E0F03A3" w14:textId="0B6BF40B" w:rsidTr="000E7591">
        <w:trPr>
          <w:trHeight w:val="113"/>
        </w:trPr>
        <w:tc>
          <w:tcPr>
            <w:tcW w:w="227" w:type="dxa"/>
          </w:tcPr>
          <w:p w14:paraId="6AC05280" w14:textId="77777777" w:rsidR="00B348E1" w:rsidRPr="00960631" w:rsidRDefault="00B348E1" w:rsidP="00B348E1">
            <w:pPr>
              <w:jc w:val="center"/>
              <w:rPr>
                <w:rFonts w:ascii="Bahnschrift" w:hAnsi="Bahnschrift"/>
                <w:b/>
                <w:bCs/>
                <w:color w:val="262626" w:themeColor="text1" w:themeTint="D9"/>
                <w:sz w:val="8"/>
                <w:szCs w:val="8"/>
              </w:rPr>
            </w:pPr>
          </w:p>
        </w:tc>
        <w:tc>
          <w:tcPr>
            <w:tcW w:w="963" w:type="dxa"/>
          </w:tcPr>
          <w:p w14:paraId="6CDD0AC3" w14:textId="38C14D54" w:rsidR="00B348E1" w:rsidRPr="00960631" w:rsidRDefault="00B348E1" w:rsidP="00B348E1">
            <w:pPr>
              <w:jc w:val="center"/>
              <w:rPr>
                <w:rFonts w:ascii="Bahnschrift" w:hAnsi="Bahnschrift"/>
                <w:b/>
                <w:bCs/>
                <w:color w:val="262626" w:themeColor="text1" w:themeTint="D9"/>
                <w:sz w:val="8"/>
                <w:szCs w:val="8"/>
              </w:rPr>
            </w:pPr>
          </w:p>
        </w:tc>
        <w:tc>
          <w:tcPr>
            <w:tcW w:w="738" w:type="dxa"/>
          </w:tcPr>
          <w:p w14:paraId="76F2DCD6" w14:textId="77777777" w:rsidR="00B348E1" w:rsidRPr="00960631" w:rsidRDefault="00B348E1" w:rsidP="00B348E1">
            <w:pPr>
              <w:jc w:val="center"/>
              <w:rPr>
                <w:rFonts w:ascii="Bahnschrift" w:hAnsi="Bahnschrift"/>
                <w:b/>
                <w:bCs/>
                <w:color w:val="262626" w:themeColor="text1" w:themeTint="D9"/>
                <w:sz w:val="8"/>
                <w:szCs w:val="8"/>
              </w:rPr>
            </w:pPr>
          </w:p>
        </w:tc>
        <w:tc>
          <w:tcPr>
            <w:tcW w:w="1190" w:type="dxa"/>
          </w:tcPr>
          <w:p w14:paraId="477DF800" w14:textId="77777777" w:rsidR="00B348E1" w:rsidRPr="00960631" w:rsidRDefault="00B348E1" w:rsidP="00B348E1">
            <w:pPr>
              <w:jc w:val="center"/>
              <w:rPr>
                <w:rFonts w:ascii="Bahnschrift" w:hAnsi="Bahnschrift"/>
                <w:b/>
                <w:bCs/>
                <w:color w:val="262626" w:themeColor="text1" w:themeTint="D9"/>
                <w:sz w:val="8"/>
                <w:szCs w:val="8"/>
              </w:rPr>
            </w:pPr>
          </w:p>
        </w:tc>
      </w:tr>
      <w:tr w:rsidR="00B348E1" w:rsidRPr="00144F3E" w14:paraId="72417AA0" w14:textId="46A00612" w:rsidTr="000E7591">
        <w:trPr>
          <w:trHeight w:val="16"/>
        </w:trPr>
        <w:tc>
          <w:tcPr>
            <w:tcW w:w="227" w:type="dxa"/>
          </w:tcPr>
          <w:p w14:paraId="34B04BAC"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010B74D6" w14:textId="702F04A7" w:rsidR="00B348E1" w:rsidRPr="000214B9" w:rsidRDefault="00B348E1" w:rsidP="00B348E1">
            <w:pPr>
              <w:jc w:val="center"/>
              <w:rPr>
                <w:rFonts w:ascii="Bahnschrift" w:hAnsi="Bahnschrift"/>
                <w:b/>
                <w:bCs/>
                <w:color w:val="262626" w:themeColor="text1" w:themeTint="D9"/>
                <w:szCs w:val="20"/>
              </w:rPr>
            </w:pPr>
            <w:r w:rsidRPr="000214B9">
              <w:rPr>
                <w:rFonts w:ascii="Bahnschrift" w:hAnsi="Bahnschrift"/>
                <w:b/>
                <w:bCs/>
                <w:color w:val="262626" w:themeColor="text1" w:themeTint="D9"/>
                <w:szCs w:val="20"/>
              </w:rPr>
              <w:t>1,</w:t>
            </w:r>
            <w:r w:rsidR="00E42AC9">
              <w:rPr>
                <w:rFonts w:ascii="Bahnschrift" w:hAnsi="Bahnschrift"/>
                <w:b/>
                <w:bCs/>
                <w:color w:val="262626" w:themeColor="text1" w:themeTint="D9"/>
                <w:szCs w:val="20"/>
              </w:rPr>
              <w:t>2</w:t>
            </w:r>
            <w:r w:rsidRPr="000214B9">
              <w:rPr>
                <w:rFonts w:ascii="Bahnschrift" w:hAnsi="Bahnschrift"/>
                <w:b/>
                <w:bCs/>
                <w:color w:val="262626" w:themeColor="text1" w:themeTint="D9"/>
                <w:szCs w:val="20"/>
              </w:rPr>
              <w:t xml:space="preserve"> GW</w:t>
            </w:r>
          </w:p>
        </w:tc>
        <w:tc>
          <w:tcPr>
            <w:tcW w:w="738" w:type="dxa"/>
            <w:vMerge w:val="restart"/>
          </w:tcPr>
          <w:p w14:paraId="2F8DE972" w14:textId="71DD61EB" w:rsidR="00B348E1" w:rsidRDefault="00B348E1" w:rsidP="00B348E1">
            <w:pPr>
              <w:jc w:val="center"/>
              <w:rPr>
                <w:rFonts w:ascii="Bahnschrift" w:hAnsi="Bahnschrift"/>
                <w:b/>
                <w:bCs/>
                <w:color w:val="262626" w:themeColor="text1" w:themeTint="D9"/>
                <w:sz w:val="22"/>
              </w:rPr>
            </w:pPr>
            <w:r>
              <w:rPr>
                <w:noProof/>
                <w:lang w:eastAsia="pl-PL"/>
              </w:rPr>
              <w:drawing>
                <wp:anchor distT="0" distB="0" distL="114300" distR="114300" simplePos="0" relativeHeight="251562496" behindDoc="0" locked="0" layoutInCell="1" allowOverlap="1" wp14:anchorId="0826409B" wp14:editId="423E802E">
                  <wp:simplePos x="0" y="0"/>
                  <wp:positionH relativeFrom="column">
                    <wp:posOffset>45720</wp:posOffset>
                  </wp:positionH>
                  <wp:positionV relativeFrom="paragraph">
                    <wp:posOffset>6350</wp:posOffset>
                  </wp:positionV>
                  <wp:extent cx="396000" cy="396000"/>
                  <wp:effectExtent l="0" t="0" r="4445" b="4445"/>
                  <wp:wrapNone/>
                  <wp:docPr id="35" name="Obraz 35"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Obraz zawierający czarne, ciemność&#10;&#10;Opis wygenerowany automatyczni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0" w:type="dxa"/>
          </w:tcPr>
          <w:p w14:paraId="0415B3DD" w14:textId="7C30F4EF" w:rsidR="00B348E1" w:rsidRDefault="00B348E1" w:rsidP="00B348E1">
            <w:pPr>
              <w:jc w:val="center"/>
              <w:rPr>
                <w:noProof/>
                <w:lang w:eastAsia="pl-PL"/>
              </w:rPr>
            </w:pPr>
            <w:r w:rsidRPr="000214B9">
              <w:rPr>
                <w:rFonts w:ascii="Bahnschrift" w:hAnsi="Bahnschrift"/>
                <w:b/>
                <w:bCs/>
                <w:color w:val="262626" w:themeColor="text1" w:themeTint="D9"/>
                <w:szCs w:val="20"/>
              </w:rPr>
              <w:t>1,</w:t>
            </w:r>
            <w:r w:rsidR="00346A9B">
              <w:rPr>
                <w:rFonts w:ascii="Bahnschrift" w:hAnsi="Bahnschrift"/>
                <w:b/>
                <w:bCs/>
                <w:color w:val="262626" w:themeColor="text1" w:themeTint="D9"/>
                <w:szCs w:val="20"/>
              </w:rPr>
              <w:t>1</w:t>
            </w:r>
            <w:r w:rsidRPr="000214B9">
              <w:rPr>
                <w:rFonts w:ascii="Bahnschrift" w:hAnsi="Bahnschrift"/>
                <w:b/>
                <w:bCs/>
                <w:color w:val="262626" w:themeColor="text1" w:themeTint="D9"/>
                <w:szCs w:val="20"/>
              </w:rPr>
              <w:t xml:space="preserve"> GW</w:t>
            </w:r>
          </w:p>
        </w:tc>
      </w:tr>
      <w:tr w:rsidR="00B348E1" w:rsidRPr="00144F3E" w14:paraId="4221B1AD" w14:textId="4FA1D829" w:rsidTr="000E7591">
        <w:trPr>
          <w:trHeight w:val="16"/>
        </w:trPr>
        <w:tc>
          <w:tcPr>
            <w:tcW w:w="227" w:type="dxa"/>
          </w:tcPr>
          <w:p w14:paraId="2D0D5773"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550A4B04" w14:textId="3BB0C162" w:rsidR="00B348E1" w:rsidRPr="000214B9" w:rsidRDefault="00612A5E"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8,6</w:t>
            </w:r>
            <w:r w:rsidR="00B348E1" w:rsidRPr="000214B9">
              <w:rPr>
                <w:rFonts w:ascii="Bahnschrift" w:hAnsi="Bahnschrift"/>
                <w:b/>
                <w:bCs/>
                <w:color w:val="262626" w:themeColor="text1" w:themeTint="D9"/>
                <w:szCs w:val="20"/>
              </w:rPr>
              <w:t xml:space="preserve"> TWh</w:t>
            </w:r>
          </w:p>
        </w:tc>
        <w:tc>
          <w:tcPr>
            <w:tcW w:w="738" w:type="dxa"/>
            <w:vMerge/>
          </w:tcPr>
          <w:p w14:paraId="06ECB67E" w14:textId="77777777" w:rsidR="00B348E1" w:rsidRDefault="00B348E1" w:rsidP="00B348E1">
            <w:pPr>
              <w:jc w:val="center"/>
              <w:rPr>
                <w:rFonts w:ascii="Bahnschrift" w:hAnsi="Bahnschrift"/>
                <w:b/>
                <w:bCs/>
                <w:color w:val="262626" w:themeColor="text1" w:themeTint="D9"/>
                <w:sz w:val="22"/>
              </w:rPr>
            </w:pPr>
          </w:p>
        </w:tc>
        <w:tc>
          <w:tcPr>
            <w:tcW w:w="1190" w:type="dxa"/>
          </w:tcPr>
          <w:p w14:paraId="0EEE838D" w14:textId="6BFC63F4" w:rsidR="00B348E1" w:rsidRDefault="00612A5E" w:rsidP="00B348E1">
            <w:pPr>
              <w:jc w:val="center"/>
              <w:rPr>
                <w:rFonts w:ascii="Bahnschrift" w:hAnsi="Bahnschrift"/>
                <w:b/>
                <w:bCs/>
                <w:color w:val="262626" w:themeColor="text1" w:themeTint="D9"/>
                <w:sz w:val="22"/>
              </w:rPr>
            </w:pPr>
            <w:r>
              <w:rPr>
                <w:rFonts w:ascii="Bahnschrift" w:hAnsi="Bahnschrift"/>
                <w:b/>
                <w:bCs/>
                <w:color w:val="262626" w:themeColor="text1" w:themeTint="D9"/>
                <w:szCs w:val="20"/>
              </w:rPr>
              <w:t>6,9</w:t>
            </w:r>
            <w:r w:rsidR="00B348E1" w:rsidRPr="000214B9">
              <w:rPr>
                <w:rFonts w:ascii="Bahnschrift" w:hAnsi="Bahnschrift"/>
                <w:b/>
                <w:bCs/>
                <w:color w:val="262626" w:themeColor="text1" w:themeTint="D9"/>
                <w:szCs w:val="20"/>
              </w:rPr>
              <w:t xml:space="preserve"> TWh</w:t>
            </w:r>
          </w:p>
        </w:tc>
      </w:tr>
      <w:tr w:rsidR="00B348E1" w:rsidRPr="00144F3E" w14:paraId="6D5D2797" w14:textId="6F3965DA" w:rsidTr="000E7591">
        <w:trPr>
          <w:trHeight w:val="143"/>
        </w:trPr>
        <w:tc>
          <w:tcPr>
            <w:tcW w:w="227" w:type="dxa"/>
          </w:tcPr>
          <w:p w14:paraId="0AC55307" w14:textId="77777777" w:rsidR="00B348E1" w:rsidRPr="00960631" w:rsidRDefault="00B348E1" w:rsidP="00B348E1">
            <w:pPr>
              <w:jc w:val="center"/>
              <w:rPr>
                <w:rFonts w:ascii="Bahnschrift" w:hAnsi="Bahnschrift"/>
                <w:b/>
                <w:bCs/>
                <w:color w:val="262626" w:themeColor="text1" w:themeTint="D9"/>
                <w:sz w:val="8"/>
                <w:szCs w:val="8"/>
              </w:rPr>
            </w:pPr>
          </w:p>
        </w:tc>
        <w:tc>
          <w:tcPr>
            <w:tcW w:w="963" w:type="dxa"/>
          </w:tcPr>
          <w:p w14:paraId="21AA12A4" w14:textId="73E09BC9" w:rsidR="00B348E1" w:rsidRPr="00960631" w:rsidRDefault="00B348E1" w:rsidP="00B348E1">
            <w:pPr>
              <w:jc w:val="center"/>
              <w:rPr>
                <w:rFonts w:ascii="Bahnschrift" w:hAnsi="Bahnschrift"/>
                <w:b/>
                <w:bCs/>
                <w:color w:val="262626" w:themeColor="text1" w:themeTint="D9"/>
                <w:sz w:val="8"/>
                <w:szCs w:val="8"/>
              </w:rPr>
            </w:pPr>
          </w:p>
        </w:tc>
        <w:tc>
          <w:tcPr>
            <w:tcW w:w="738" w:type="dxa"/>
          </w:tcPr>
          <w:p w14:paraId="1499DA6C" w14:textId="77777777" w:rsidR="00B348E1" w:rsidRPr="00960631" w:rsidRDefault="00B348E1" w:rsidP="00B348E1">
            <w:pPr>
              <w:jc w:val="center"/>
              <w:rPr>
                <w:rFonts w:ascii="Bahnschrift" w:hAnsi="Bahnschrift"/>
                <w:b/>
                <w:bCs/>
                <w:color w:val="262626" w:themeColor="text1" w:themeTint="D9"/>
                <w:sz w:val="8"/>
                <w:szCs w:val="8"/>
              </w:rPr>
            </w:pPr>
          </w:p>
        </w:tc>
        <w:tc>
          <w:tcPr>
            <w:tcW w:w="1190" w:type="dxa"/>
          </w:tcPr>
          <w:p w14:paraId="08054DCA" w14:textId="77777777" w:rsidR="00B348E1" w:rsidRPr="00960631" w:rsidRDefault="00B348E1" w:rsidP="00B348E1">
            <w:pPr>
              <w:jc w:val="center"/>
              <w:rPr>
                <w:rFonts w:ascii="Bahnschrift" w:hAnsi="Bahnschrift"/>
                <w:b/>
                <w:bCs/>
                <w:color w:val="262626" w:themeColor="text1" w:themeTint="D9"/>
                <w:sz w:val="8"/>
                <w:szCs w:val="8"/>
              </w:rPr>
            </w:pPr>
          </w:p>
        </w:tc>
      </w:tr>
      <w:tr w:rsidR="00B348E1" w:rsidRPr="00144F3E" w14:paraId="0A5385FF" w14:textId="4E85FFF2" w:rsidTr="000E7591">
        <w:trPr>
          <w:trHeight w:val="16"/>
        </w:trPr>
        <w:tc>
          <w:tcPr>
            <w:tcW w:w="227" w:type="dxa"/>
          </w:tcPr>
          <w:p w14:paraId="08E70652"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29C4BB33" w14:textId="5F8C8909" w:rsidR="00B348E1" w:rsidRPr="000214B9" w:rsidRDefault="00B348E1" w:rsidP="00B348E1">
            <w:pPr>
              <w:jc w:val="center"/>
              <w:rPr>
                <w:rFonts w:ascii="Bahnschrift" w:hAnsi="Bahnschrift"/>
                <w:b/>
                <w:bCs/>
                <w:color w:val="262626" w:themeColor="text1" w:themeTint="D9"/>
                <w:szCs w:val="20"/>
              </w:rPr>
            </w:pPr>
            <w:r w:rsidRPr="000214B9">
              <w:rPr>
                <w:rFonts w:ascii="Bahnschrift" w:hAnsi="Bahnschrift"/>
                <w:b/>
                <w:bCs/>
                <w:color w:val="262626" w:themeColor="text1" w:themeTint="D9"/>
                <w:szCs w:val="20"/>
              </w:rPr>
              <w:t>1 GW</w:t>
            </w:r>
          </w:p>
        </w:tc>
        <w:tc>
          <w:tcPr>
            <w:tcW w:w="738" w:type="dxa"/>
            <w:vMerge w:val="restart"/>
          </w:tcPr>
          <w:p w14:paraId="7B4E6A5E" w14:textId="42C020C8" w:rsidR="00B348E1" w:rsidRDefault="00B348E1" w:rsidP="00B348E1">
            <w:pPr>
              <w:jc w:val="center"/>
              <w:rPr>
                <w:rFonts w:ascii="Bahnschrift" w:hAnsi="Bahnschrift"/>
                <w:b/>
                <w:bCs/>
                <w:color w:val="262626" w:themeColor="text1" w:themeTint="D9"/>
                <w:sz w:val="22"/>
              </w:rPr>
            </w:pPr>
            <w:r>
              <w:rPr>
                <w:noProof/>
                <w:lang w:eastAsia="pl-PL"/>
              </w:rPr>
              <w:drawing>
                <wp:anchor distT="0" distB="0" distL="114300" distR="114300" simplePos="0" relativeHeight="251565568" behindDoc="0" locked="0" layoutInCell="1" allowOverlap="1" wp14:anchorId="30AB3E50" wp14:editId="72C83542">
                  <wp:simplePos x="0" y="0"/>
                  <wp:positionH relativeFrom="column">
                    <wp:posOffset>27940</wp:posOffset>
                  </wp:positionH>
                  <wp:positionV relativeFrom="paragraph">
                    <wp:posOffset>-45720</wp:posOffset>
                  </wp:positionV>
                  <wp:extent cx="396000" cy="396000"/>
                  <wp:effectExtent l="0" t="0" r="4445" b="4445"/>
                  <wp:wrapNone/>
                  <wp:docPr id="37" name="Obraz 37"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Obraz zawierający czarne, ciemność&#10;&#10;Opis wygenerowany automatyczni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0" w:type="dxa"/>
          </w:tcPr>
          <w:p w14:paraId="05B8BE49" w14:textId="19647473" w:rsidR="00B348E1" w:rsidRDefault="00B348E1" w:rsidP="00B348E1">
            <w:pPr>
              <w:jc w:val="center"/>
              <w:rPr>
                <w:noProof/>
                <w:lang w:eastAsia="pl-PL"/>
              </w:rPr>
            </w:pPr>
            <w:r w:rsidRPr="000214B9">
              <w:rPr>
                <w:rFonts w:ascii="Bahnschrift" w:hAnsi="Bahnschrift"/>
                <w:b/>
                <w:bCs/>
                <w:color w:val="262626" w:themeColor="text1" w:themeTint="D9"/>
                <w:szCs w:val="20"/>
              </w:rPr>
              <w:t>1,</w:t>
            </w:r>
            <w:r>
              <w:rPr>
                <w:rFonts w:ascii="Bahnschrift" w:hAnsi="Bahnschrift"/>
                <w:b/>
                <w:bCs/>
                <w:color w:val="262626" w:themeColor="text1" w:themeTint="D9"/>
                <w:szCs w:val="20"/>
              </w:rPr>
              <w:t>2</w:t>
            </w:r>
            <w:r w:rsidRPr="000214B9">
              <w:rPr>
                <w:rFonts w:ascii="Bahnschrift" w:hAnsi="Bahnschrift"/>
                <w:b/>
                <w:bCs/>
                <w:color w:val="262626" w:themeColor="text1" w:themeTint="D9"/>
                <w:szCs w:val="20"/>
              </w:rPr>
              <w:t xml:space="preserve"> GW</w:t>
            </w:r>
          </w:p>
        </w:tc>
      </w:tr>
      <w:tr w:rsidR="00B348E1" w:rsidRPr="00144F3E" w14:paraId="57879776" w14:textId="1B68A20E" w:rsidTr="000E7591">
        <w:trPr>
          <w:trHeight w:val="16"/>
        </w:trPr>
        <w:tc>
          <w:tcPr>
            <w:tcW w:w="227" w:type="dxa"/>
          </w:tcPr>
          <w:p w14:paraId="306AD74A" w14:textId="77777777" w:rsidR="00B348E1" w:rsidRPr="000214B9" w:rsidRDefault="00B348E1" w:rsidP="00B348E1">
            <w:pPr>
              <w:jc w:val="center"/>
              <w:rPr>
                <w:rFonts w:ascii="Bahnschrift" w:hAnsi="Bahnschrift"/>
                <w:b/>
                <w:bCs/>
                <w:color w:val="262626" w:themeColor="text1" w:themeTint="D9"/>
                <w:szCs w:val="20"/>
              </w:rPr>
            </w:pPr>
          </w:p>
        </w:tc>
        <w:tc>
          <w:tcPr>
            <w:tcW w:w="963" w:type="dxa"/>
          </w:tcPr>
          <w:p w14:paraId="41484634" w14:textId="5FB67125" w:rsidR="00B348E1" w:rsidRPr="000214B9" w:rsidRDefault="00B348E1" w:rsidP="00B348E1">
            <w:pPr>
              <w:jc w:val="center"/>
              <w:rPr>
                <w:rFonts w:ascii="Bahnschrift" w:hAnsi="Bahnschrift"/>
                <w:b/>
                <w:bCs/>
                <w:color w:val="262626" w:themeColor="text1" w:themeTint="D9"/>
                <w:szCs w:val="20"/>
              </w:rPr>
            </w:pPr>
            <w:r>
              <w:rPr>
                <w:rFonts w:ascii="Bahnschrift" w:hAnsi="Bahnschrift"/>
                <w:b/>
                <w:bCs/>
                <w:color w:val="262626" w:themeColor="text1" w:themeTint="D9"/>
                <w:szCs w:val="20"/>
              </w:rPr>
              <w:t>2</w:t>
            </w:r>
            <w:r w:rsidRPr="000214B9">
              <w:rPr>
                <w:rFonts w:ascii="Bahnschrift" w:hAnsi="Bahnschrift"/>
                <w:b/>
                <w:bCs/>
                <w:color w:val="262626" w:themeColor="text1" w:themeTint="D9"/>
                <w:szCs w:val="20"/>
              </w:rPr>
              <w:t>,</w:t>
            </w:r>
            <w:r w:rsidR="002E3ACF">
              <w:rPr>
                <w:rFonts w:ascii="Bahnschrift" w:hAnsi="Bahnschrift"/>
                <w:b/>
                <w:bCs/>
                <w:color w:val="262626" w:themeColor="text1" w:themeTint="D9"/>
                <w:szCs w:val="20"/>
              </w:rPr>
              <w:t>9</w:t>
            </w:r>
            <w:r w:rsidRPr="000214B9">
              <w:rPr>
                <w:rFonts w:ascii="Bahnschrift" w:hAnsi="Bahnschrift"/>
                <w:b/>
                <w:bCs/>
                <w:color w:val="262626" w:themeColor="text1" w:themeTint="D9"/>
                <w:szCs w:val="20"/>
              </w:rPr>
              <w:t xml:space="preserve"> TWh</w:t>
            </w:r>
          </w:p>
        </w:tc>
        <w:tc>
          <w:tcPr>
            <w:tcW w:w="738" w:type="dxa"/>
            <w:vMerge/>
          </w:tcPr>
          <w:p w14:paraId="0CBA0612" w14:textId="77777777" w:rsidR="00B348E1" w:rsidRDefault="00B348E1" w:rsidP="00B348E1">
            <w:pPr>
              <w:jc w:val="center"/>
              <w:rPr>
                <w:rFonts w:ascii="Bahnschrift" w:hAnsi="Bahnschrift"/>
                <w:b/>
                <w:bCs/>
                <w:color w:val="262626" w:themeColor="text1" w:themeTint="D9"/>
                <w:sz w:val="22"/>
              </w:rPr>
            </w:pPr>
          </w:p>
        </w:tc>
        <w:tc>
          <w:tcPr>
            <w:tcW w:w="1190" w:type="dxa"/>
          </w:tcPr>
          <w:p w14:paraId="181DBB05" w14:textId="47CF8B60" w:rsidR="00B348E1" w:rsidRDefault="00B348E1" w:rsidP="00B348E1">
            <w:pPr>
              <w:jc w:val="center"/>
              <w:rPr>
                <w:rFonts w:ascii="Bahnschrift" w:hAnsi="Bahnschrift"/>
                <w:b/>
                <w:bCs/>
                <w:color w:val="262626" w:themeColor="text1" w:themeTint="D9"/>
                <w:sz w:val="22"/>
              </w:rPr>
            </w:pPr>
            <w:r>
              <w:rPr>
                <w:rFonts w:ascii="Bahnschrift" w:hAnsi="Bahnschrift"/>
                <w:b/>
                <w:bCs/>
                <w:color w:val="262626" w:themeColor="text1" w:themeTint="D9"/>
                <w:szCs w:val="20"/>
              </w:rPr>
              <w:t>3</w:t>
            </w:r>
            <w:r w:rsidRPr="000214B9">
              <w:rPr>
                <w:rFonts w:ascii="Bahnschrift" w:hAnsi="Bahnschrift"/>
                <w:b/>
                <w:bCs/>
                <w:color w:val="262626" w:themeColor="text1" w:themeTint="D9"/>
                <w:szCs w:val="20"/>
              </w:rPr>
              <w:t xml:space="preserve"> TWh</w:t>
            </w:r>
          </w:p>
        </w:tc>
      </w:tr>
      <w:tr w:rsidR="00612A5E" w:rsidRPr="00144F3E" w14:paraId="02A258B7" w14:textId="77777777" w:rsidTr="00B50CEA">
        <w:trPr>
          <w:trHeight w:val="20"/>
        </w:trPr>
        <w:tc>
          <w:tcPr>
            <w:tcW w:w="227" w:type="dxa"/>
          </w:tcPr>
          <w:p w14:paraId="65EB476E" w14:textId="77777777" w:rsidR="00612A5E" w:rsidRPr="00612A5E" w:rsidRDefault="00612A5E" w:rsidP="00B348E1">
            <w:pPr>
              <w:jc w:val="center"/>
              <w:rPr>
                <w:rFonts w:ascii="Bahnschrift" w:hAnsi="Bahnschrift"/>
                <w:b/>
                <w:bCs/>
                <w:color w:val="262626" w:themeColor="text1" w:themeTint="D9"/>
                <w:sz w:val="8"/>
                <w:szCs w:val="8"/>
              </w:rPr>
            </w:pPr>
          </w:p>
        </w:tc>
        <w:tc>
          <w:tcPr>
            <w:tcW w:w="963" w:type="dxa"/>
          </w:tcPr>
          <w:p w14:paraId="0E203EC6" w14:textId="77777777" w:rsidR="00612A5E" w:rsidRPr="00612A5E" w:rsidRDefault="00612A5E" w:rsidP="00B348E1">
            <w:pPr>
              <w:jc w:val="center"/>
              <w:rPr>
                <w:rFonts w:ascii="Bahnschrift" w:hAnsi="Bahnschrift"/>
                <w:b/>
                <w:bCs/>
                <w:color w:val="262626" w:themeColor="text1" w:themeTint="D9"/>
                <w:sz w:val="8"/>
                <w:szCs w:val="8"/>
              </w:rPr>
            </w:pPr>
          </w:p>
        </w:tc>
        <w:tc>
          <w:tcPr>
            <w:tcW w:w="738" w:type="dxa"/>
          </w:tcPr>
          <w:p w14:paraId="0614F66B" w14:textId="77777777" w:rsidR="00612A5E" w:rsidRPr="00612A5E" w:rsidRDefault="00612A5E" w:rsidP="00B348E1">
            <w:pPr>
              <w:jc w:val="center"/>
              <w:rPr>
                <w:rFonts w:ascii="Bahnschrift" w:hAnsi="Bahnschrift"/>
                <w:b/>
                <w:bCs/>
                <w:color w:val="262626" w:themeColor="text1" w:themeTint="D9"/>
                <w:sz w:val="8"/>
                <w:szCs w:val="8"/>
              </w:rPr>
            </w:pPr>
          </w:p>
        </w:tc>
        <w:tc>
          <w:tcPr>
            <w:tcW w:w="1190" w:type="dxa"/>
          </w:tcPr>
          <w:p w14:paraId="6D3E1B18" w14:textId="77777777" w:rsidR="00612A5E" w:rsidRPr="00612A5E" w:rsidRDefault="00612A5E" w:rsidP="00B348E1">
            <w:pPr>
              <w:jc w:val="center"/>
              <w:rPr>
                <w:rFonts w:ascii="Bahnschrift" w:hAnsi="Bahnschrift"/>
                <w:b/>
                <w:bCs/>
                <w:color w:val="262626" w:themeColor="text1" w:themeTint="D9"/>
                <w:sz w:val="8"/>
                <w:szCs w:val="8"/>
              </w:rPr>
            </w:pPr>
          </w:p>
        </w:tc>
      </w:tr>
      <w:tr w:rsidR="00E16B5B" w:rsidRPr="00144F3E" w14:paraId="6B8DEF5E" w14:textId="77777777" w:rsidTr="00B50CEA">
        <w:trPr>
          <w:trHeight w:val="16"/>
        </w:trPr>
        <w:tc>
          <w:tcPr>
            <w:tcW w:w="227" w:type="dxa"/>
          </w:tcPr>
          <w:p w14:paraId="75C97460" w14:textId="77777777" w:rsidR="00E16B5B" w:rsidRPr="000214B9" w:rsidRDefault="00E16B5B" w:rsidP="00E16B5B">
            <w:pPr>
              <w:jc w:val="center"/>
              <w:rPr>
                <w:rFonts w:ascii="Bahnschrift" w:hAnsi="Bahnschrift"/>
                <w:b/>
                <w:bCs/>
                <w:color w:val="262626" w:themeColor="text1" w:themeTint="D9"/>
                <w:szCs w:val="20"/>
              </w:rPr>
            </w:pPr>
          </w:p>
        </w:tc>
        <w:tc>
          <w:tcPr>
            <w:tcW w:w="963" w:type="dxa"/>
          </w:tcPr>
          <w:p w14:paraId="4C828979" w14:textId="77777777" w:rsidR="00E16B5B" w:rsidRPr="00725682" w:rsidRDefault="00E16B5B" w:rsidP="00E16B5B">
            <w:pPr>
              <w:jc w:val="center"/>
              <w:rPr>
                <w:rFonts w:ascii="Bahnschrift" w:hAnsi="Bahnschrift"/>
                <w:b/>
                <w:bCs/>
                <w:color w:val="262626" w:themeColor="text1" w:themeTint="D9"/>
                <w:szCs w:val="20"/>
              </w:rPr>
            </w:pPr>
          </w:p>
        </w:tc>
        <w:tc>
          <w:tcPr>
            <w:tcW w:w="738" w:type="dxa"/>
            <w:vAlign w:val="center"/>
          </w:tcPr>
          <w:p w14:paraId="46E0D7E0" w14:textId="30BD7E34" w:rsidR="00E16B5B" w:rsidRPr="00725682" w:rsidRDefault="00E16B5B" w:rsidP="00E16B5B">
            <w:pPr>
              <w:jc w:val="center"/>
              <w:rPr>
                <w:rFonts w:ascii="Bahnschrift" w:hAnsi="Bahnschrift"/>
                <w:b/>
                <w:bCs/>
                <w:color w:val="262626" w:themeColor="text1" w:themeTint="D9"/>
                <w:szCs w:val="20"/>
              </w:rPr>
            </w:pPr>
            <w:r w:rsidRPr="00725682">
              <w:rPr>
                <w:rFonts w:ascii="Bahnschrift" w:hAnsi="Bahnschrift"/>
                <w:b/>
                <w:bCs/>
                <w:color w:val="262626" w:themeColor="text1" w:themeTint="D9"/>
                <w:szCs w:val="20"/>
              </w:rPr>
              <w:t>bioCH</w:t>
            </w:r>
            <w:r w:rsidRPr="00725682">
              <w:rPr>
                <w:rFonts w:ascii="Bahnschrift" w:hAnsi="Bahnschrift"/>
                <w:b/>
                <w:bCs/>
                <w:color w:val="262626" w:themeColor="text1" w:themeTint="D9"/>
                <w:szCs w:val="20"/>
                <w:vertAlign w:val="subscript"/>
              </w:rPr>
              <w:t>4</w:t>
            </w:r>
            <w:r w:rsidRPr="00725682">
              <w:rPr>
                <w:rFonts w:ascii="Bahnschrift" w:hAnsi="Bahnschrift"/>
                <w:b/>
                <w:bCs/>
                <w:color w:val="262626" w:themeColor="text1" w:themeTint="D9"/>
                <w:szCs w:val="20"/>
              </w:rPr>
              <w:t xml:space="preserve"> + H</w:t>
            </w:r>
            <w:r w:rsidRPr="00725682">
              <w:rPr>
                <w:rFonts w:ascii="Bahnschrift" w:hAnsi="Bahnschrift"/>
                <w:b/>
                <w:bCs/>
                <w:color w:val="262626" w:themeColor="text1" w:themeTint="D9"/>
                <w:szCs w:val="20"/>
                <w:vertAlign w:val="subscript"/>
              </w:rPr>
              <w:t>2</w:t>
            </w:r>
          </w:p>
        </w:tc>
        <w:tc>
          <w:tcPr>
            <w:tcW w:w="1190" w:type="dxa"/>
            <w:vAlign w:val="center"/>
          </w:tcPr>
          <w:p w14:paraId="3AC67BF3" w14:textId="709F56B9" w:rsidR="00E16B5B" w:rsidRDefault="00E16B5B" w:rsidP="00E16B5B">
            <w:pPr>
              <w:jc w:val="center"/>
              <w:rPr>
                <w:rFonts w:ascii="Bahnschrift" w:hAnsi="Bahnschrift"/>
                <w:b/>
                <w:bCs/>
                <w:color w:val="262626" w:themeColor="text1" w:themeTint="D9"/>
                <w:szCs w:val="20"/>
              </w:rPr>
            </w:pPr>
            <w:r>
              <w:rPr>
                <w:rFonts w:ascii="Bahnschrift" w:hAnsi="Bahnschrift"/>
                <w:b/>
                <w:bCs/>
                <w:color w:val="262626" w:themeColor="text1" w:themeTint="D9"/>
                <w:szCs w:val="20"/>
              </w:rPr>
              <w:t>14,3 TWh</w:t>
            </w:r>
          </w:p>
        </w:tc>
      </w:tr>
    </w:tbl>
    <w:bookmarkEnd w:id="65"/>
    <w:p w14:paraId="3264BCE9" w14:textId="6F232EB0" w:rsidR="00CD32A0" w:rsidRDefault="5482B4FC" w:rsidP="00D64602">
      <w:pPr>
        <w:spacing w:before="80"/>
      </w:pPr>
      <w:r>
        <w:t>W</w:t>
      </w:r>
      <w:r w:rsidR="1580B51D">
        <w:t>edług scenariusza WAM w</w:t>
      </w:r>
      <w:r>
        <w:t xml:space="preserve"> perspektywie 2030 r.</w:t>
      </w:r>
      <w:r w:rsidR="403031B7">
        <w:t xml:space="preserve"> i 2040</w:t>
      </w:r>
      <w:r w:rsidR="1580B51D">
        <w:t> </w:t>
      </w:r>
      <w:r w:rsidR="403031B7">
        <w:t>r.</w:t>
      </w:r>
      <w:r>
        <w:t xml:space="preserve"> do przyrostu </w:t>
      </w:r>
      <w:r w:rsidR="05E6023F">
        <w:t>mocy</w:t>
      </w:r>
      <w:r w:rsidR="32D59ED2">
        <w:t xml:space="preserve"> wytwórczych</w:t>
      </w:r>
      <w:r>
        <w:t xml:space="preserve"> OZE </w:t>
      </w:r>
      <w:bookmarkStart w:id="66" w:name="_Hlk175073910"/>
      <w:r>
        <w:t xml:space="preserve">w największym stopniu przyczyniać się będą </w:t>
      </w:r>
      <w:r w:rsidR="403031B7" w:rsidRPr="76317B2B">
        <w:rPr>
          <w:b/>
          <w:bCs/>
        </w:rPr>
        <w:t>elektrownie słoneczne</w:t>
      </w:r>
      <w:r w:rsidR="403031B7">
        <w:t xml:space="preserve"> (o mocy zainstalowanej ok. </w:t>
      </w:r>
      <w:r w:rsidR="09BF5DC9" w:rsidRPr="76317B2B">
        <w:rPr>
          <w:b/>
          <w:bCs/>
        </w:rPr>
        <w:t>31,7</w:t>
      </w:r>
      <w:r w:rsidR="403031B7">
        <w:t xml:space="preserve"> </w:t>
      </w:r>
      <w:r w:rsidR="403031B7" w:rsidRPr="76317B2B">
        <w:rPr>
          <w:b/>
          <w:bCs/>
        </w:rPr>
        <w:t>GW</w:t>
      </w:r>
      <w:r w:rsidR="403031B7">
        <w:t xml:space="preserve"> w 2030 r. i </w:t>
      </w:r>
      <w:r w:rsidR="1A62B803" w:rsidRPr="76317B2B">
        <w:rPr>
          <w:b/>
          <w:bCs/>
        </w:rPr>
        <w:t>51,2</w:t>
      </w:r>
      <w:r w:rsidR="403031B7" w:rsidRPr="76317B2B">
        <w:rPr>
          <w:b/>
          <w:bCs/>
        </w:rPr>
        <w:t xml:space="preserve"> GW</w:t>
      </w:r>
      <w:r w:rsidR="403031B7">
        <w:t xml:space="preserve"> w 2040 r.), następnie </w:t>
      </w:r>
      <w:r w:rsidRPr="76317B2B">
        <w:rPr>
          <w:b/>
          <w:bCs/>
        </w:rPr>
        <w:t>elektrownie wiatrowe na lądzie</w:t>
      </w:r>
      <w:r>
        <w:t xml:space="preserve"> (o mocy zainstalowanej ok. </w:t>
      </w:r>
      <w:r w:rsidR="403031B7" w:rsidRPr="76317B2B">
        <w:rPr>
          <w:b/>
          <w:bCs/>
        </w:rPr>
        <w:t>1</w:t>
      </w:r>
      <w:r w:rsidR="215F5587" w:rsidRPr="76317B2B">
        <w:rPr>
          <w:b/>
          <w:bCs/>
        </w:rPr>
        <w:t>6,6</w:t>
      </w:r>
      <w:r w:rsidR="403031B7" w:rsidRPr="76317B2B">
        <w:rPr>
          <w:b/>
          <w:bCs/>
        </w:rPr>
        <w:t xml:space="preserve"> </w:t>
      </w:r>
      <w:r w:rsidRPr="76317B2B">
        <w:rPr>
          <w:b/>
          <w:bCs/>
        </w:rPr>
        <w:t>GW</w:t>
      </w:r>
      <w:r w:rsidR="403031B7" w:rsidRPr="76317B2B">
        <w:rPr>
          <w:b/>
          <w:bCs/>
        </w:rPr>
        <w:t xml:space="preserve"> </w:t>
      </w:r>
      <w:r w:rsidR="403031B7">
        <w:t>w 2030 r.</w:t>
      </w:r>
      <w:r w:rsidR="403031B7" w:rsidRPr="76317B2B">
        <w:rPr>
          <w:b/>
          <w:bCs/>
        </w:rPr>
        <w:t xml:space="preserve"> i </w:t>
      </w:r>
      <w:r w:rsidR="215F5587" w:rsidRPr="76317B2B">
        <w:rPr>
          <w:b/>
          <w:bCs/>
        </w:rPr>
        <w:t>34,6</w:t>
      </w:r>
      <w:r w:rsidR="5F64B660" w:rsidRPr="76317B2B">
        <w:rPr>
          <w:b/>
          <w:bCs/>
        </w:rPr>
        <w:t xml:space="preserve"> GW</w:t>
      </w:r>
      <w:r w:rsidR="403031B7" w:rsidRPr="76317B2B">
        <w:rPr>
          <w:b/>
          <w:bCs/>
        </w:rPr>
        <w:t xml:space="preserve"> </w:t>
      </w:r>
      <w:r w:rsidR="403031B7">
        <w:t>w 2040 r.</w:t>
      </w:r>
      <w:r>
        <w:t xml:space="preserve">) i wiatrowe na morzu (ok. </w:t>
      </w:r>
      <w:r w:rsidRPr="76317B2B">
        <w:rPr>
          <w:b/>
          <w:bCs/>
        </w:rPr>
        <w:t>5,9 GW</w:t>
      </w:r>
      <w:r w:rsidR="403031B7" w:rsidRPr="76317B2B">
        <w:rPr>
          <w:b/>
          <w:bCs/>
        </w:rPr>
        <w:t xml:space="preserve"> </w:t>
      </w:r>
      <w:r w:rsidR="403031B7">
        <w:t>w</w:t>
      </w:r>
      <w:r w:rsidR="1580B51D">
        <w:t> </w:t>
      </w:r>
      <w:r w:rsidR="403031B7">
        <w:t>2030</w:t>
      </w:r>
      <w:r w:rsidR="1580B51D">
        <w:t> </w:t>
      </w:r>
      <w:r w:rsidR="403031B7">
        <w:t>r.</w:t>
      </w:r>
      <w:r w:rsidR="403031B7" w:rsidRPr="76317B2B">
        <w:rPr>
          <w:b/>
          <w:bCs/>
        </w:rPr>
        <w:t xml:space="preserve"> </w:t>
      </w:r>
      <w:r w:rsidR="403031B7">
        <w:t xml:space="preserve">i </w:t>
      </w:r>
      <w:r w:rsidR="403031B7" w:rsidRPr="76317B2B">
        <w:rPr>
          <w:b/>
          <w:bCs/>
        </w:rPr>
        <w:t>1</w:t>
      </w:r>
      <w:r w:rsidR="6E489E81" w:rsidRPr="76317B2B">
        <w:rPr>
          <w:b/>
          <w:bCs/>
        </w:rPr>
        <w:t>8</w:t>
      </w:r>
      <w:r w:rsidR="403031B7" w:rsidRPr="76317B2B">
        <w:rPr>
          <w:b/>
          <w:bCs/>
        </w:rPr>
        <w:t xml:space="preserve"> GW</w:t>
      </w:r>
      <w:r w:rsidR="403031B7">
        <w:t xml:space="preserve"> w 2040 r.</w:t>
      </w:r>
      <w:r>
        <w:t>), które</w:t>
      </w:r>
      <w:r w:rsidR="0B7C8D88">
        <w:t> funkcjonować będą</w:t>
      </w:r>
      <w:r>
        <w:t xml:space="preserve"> w KSE </w:t>
      </w:r>
      <w:r w:rsidR="0B7C8D88">
        <w:t>od ok.</w:t>
      </w:r>
      <w:r>
        <w:t xml:space="preserve"> 2026 r.</w:t>
      </w:r>
      <w:bookmarkEnd w:id="66"/>
      <w:r>
        <w:t xml:space="preserve"> </w:t>
      </w:r>
      <w:r w:rsidR="48D1FA8E">
        <w:t>W przyszłości</w:t>
      </w:r>
      <w:r w:rsidR="23A940C2">
        <w:t xml:space="preserve"> biometan oraz wodór odnawialny będą mogły pełnić rolę paliwa szczytowego</w:t>
      </w:r>
      <w:r w:rsidR="123902F0">
        <w:t xml:space="preserve">, wykorzystywanego w okresach najwyższego zapotrzebowania </w:t>
      </w:r>
      <w:r w:rsidR="2F19D737">
        <w:t>na energię</w:t>
      </w:r>
      <w:r w:rsidR="7A0EC430">
        <w:t xml:space="preserve"> elektryczną</w:t>
      </w:r>
      <w:r w:rsidR="7FEECCC2">
        <w:t>, jednak w początkowym okresie wodór odnawialny</w:t>
      </w:r>
      <w:r w:rsidR="48E9852A">
        <w:t>, w tym RFNBO,</w:t>
      </w:r>
      <w:r w:rsidR="7FEECCC2">
        <w:t xml:space="preserve"> powinien być wykorzystywany </w:t>
      </w:r>
      <w:r w:rsidR="0CC2FD8B">
        <w:t xml:space="preserve">głównie </w:t>
      </w:r>
      <w:r w:rsidR="7FEECCC2">
        <w:t>do celów przemysłowych</w:t>
      </w:r>
      <w:r w:rsidR="58DFD32A">
        <w:t xml:space="preserve"> i transportowych</w:t>
      </w:r>
      <w:r w:rsidR="33171207">
        <w:t>.</w:t>
      </w:r>
      <w:r w:rsidR="7FEECCC2">
        <w:t xml:space="preserve"> </w:t>
      </w:r>
    </w:p>
    <w:p w14:paraId="42F1E549" w14:textId="13ABF21A" w:rsidR="0073564F" w:rsidRDefault="00CD32A0" w:rsidP="00D64602">
      <w:pPr>
        <w:spacing w:before="80"/>
      </w:pPr>
      <w:r>
        <w:t xml:space="preserve">Rosnąca rola redukcji śladu węglowego, popularyzacja rozproszonej produkcji energii w instalacjach prosumenckich, w klastrach energii, </w:t>
      </w:r>
      <w:r w:rsidR="006E4639">
        <w:t xml:space="preserve">spółdzielniach i </w:t>
      </w:r>
      <w:r w:rsidR="00DC4FBF">
        <w:t xml:space="preserve">społecznościach energetycznych, </w:t>
      </w:r>
      <w:r>
        <w:t>czy w pobliżu zakładów przemysłowych będzie powodować, że</w:t>
      </w:r>
      <w:r w:rsidR="00DC4FBF">
        <w:t> </w:t>
      </w:r>
      <w:r>
        <w:t>źródła te będą rozwijać się w</w:t>
      </w:r>
      <w:r w:rsidR="006D2C23">
        <w:t> </w:t>
      </w:r>
      <w:r>
        <w:t>dużej mierze niezależnie od pomocy publicznej.</w:t>
      </w:r>
      <w:r w:rsidR="007E3187">
        <w:t xml:space="preserve"> </w:t>
      </w:r>
    </w:p>
    <w:p w14:paraId="35635580" w14:textId="51780A1A" w:rsidR="004F6992" w:rsidRPr="00057FAB" w:rsidRDefault="000113A5" w:rsidP="00D64602">
      <w:pPr>
        <w:spacing w:before="80"/>
      </w:pPr>
      <w:r>
        <w:t xml:space="preserve">Wykres </w:t>
      </w:r>
      <w:r w:rsidR="004F6992">
        <w:t xml:space="preserve">poniżej </w:t>
      </w:r>
      <w:r w:rsidR="0008327E">
        <w:t>przedstawia</w:t>
      </w:r>
      <w:r w:rsidR="004F6992">
        <w:t xml:space="preserve"> trajektorię przyrostu </w:t>
      </w:r>
      <w:r w:rsidR="007E3187">
        <w:t xml:space="preserve">udziału </w:t>
      </w:r>
      <w:r w:rsidR="004F6992">
        <w:t>OZE w</w:t>
      </w:r>
      <w:r w:rsidR="00E95B94">
        <w:t> </w:t>
      </w:r>
      <w:r w:rsidR="004F6992">
        <w:t>finalnym zużyciu energii brutto w</w:t>
      </w:r>
      <w:r w:rsidR="007E3187">
        <w:t> </w:t>
      </w:r>
      <w:r w:rsidR="0008327E">
        <w:t>elektroenergetyce</w:t>
      </w:r>
      <w:r w:rsidR="00D0254C">
        <w:t>, a</w:t>
      </w:r>
      <w:r w:rsidR="00E95B94">
        <w:t> </w:t>
      </w:r>
      <w:r w:rsidR="00D0254C">
        <w:t>zestawienie po prawej stronie prezentuje moc zainstalowaną oraz produkcję z poszczególnych rodzajów OZE</w:t>
      </w:r>
      <w:r w:rsidR="00103729">
        <w:t xml:space="preserve">. Warto podkreślić, że w perspektywie 2030 i 2040 r. </w:t>
      </w:r>
      <w:r w:rsidR="00EB2A06">
        <w:t>poziom moc</w:t>
      </w:r>
      <w:r w:rsidR="240C9EC8">
        <w:t>y</w:t>
      </w:r>
      <w:r w:rsidR="00EB2A06">
        <w:t xml:space="preserve"> zainstalowanej OZE uwzględnia to, że część instalacji </w:t>
      </w:r>
      <w:r w:rsidR="00103729">
        <w:t xml:space="preserve">OZE </w:t>
      </w:r>
      <w:r w:rsidR="00EB2A06">
        <w:t>ulegnie wyeksploatowaniu, a ich miejsce zajmą nowe</w:t>
      </w:r>
      <w:r w:rsidR="0008327E">
        <w:t>.</w:t>
      </w:r>
      <w:r w:rsidR="0073564F">
        <w:t xml:space="preserve"> </w:t>
      </w:r>
      <w:r w:rsidR="0073564F" w:rsidRPr="0073564F">
        <w:rPr>
          <w:i/>
          <w:iCs/>
        </w:rPr>
        <w:t>Więcej szczegółowych informacji, w tym wartości wyrażone w ktoe znajdują się w</w:t>
      </w:r>
      <w:r w:rsidR="00E16B5B">
        <w:rPr>
          <w:i/>
          <w:iCs/>
        </w:rPr>
        <w:t> </w:t>
      </w:r>
      <w:r w:rsidR="0073564F" w:rsidRPr="0073564F">
        <w:rPr>
          <w:i/>
          <w:iCs/>
        </w:rPr>
        <w:t>załączniku 1, w rozdziałach 1.</w:t>
      </w:r>
      <w:r w:rsidR="00853C4B">
        <w:rPr>
          <w:i/>
          <w:iCs/>
        </w:rPr>
        <w:t>2</w:t>
      </w:r>
      <w:r w:rsidR="0073564F" w:rsidRPr="0073564F">
        <w:rPr>
          <w:i/>
          <w:iCs/>
        </w:rPr>
        <w:t xml:space="preserve"> oraz 3.7.</w:t>
      </w:r>
    </w:p>
    <w:p w14:paraId="707698FD" w14:textId="43805E9D" w:rsidR="00FC1A29" w:rsidRDefault="00506421" w:rsidP="00A72BCD">
      <w:r>
        <w:rPr>
          <w:noProof/>
        </w:rPr>
        <mc:AlternateContent>
          <mc:Choice Requires="wps">
            <w:drawing>
              <wp:anchor distT="0" distB="0" distL="114300" distR="114300" simplePos="0" relativeHeight="251637248" behindDoc="1" locked="0" layoutInCell="1" allowOverlap="1" wp14:anchorId="345FF846" wp14:editId="1422833D">
                <wp:simplePos x="0" y="0"/>
                <wp:positionH relativeFrom="column">
                  <wp:posOffset>0</wp:posOffset>
                </wp:positionH>
                <wp:positionV relativeFrom="paragraph">
                  <wp:posOffset>2592705</wp:posOffset>
                </wp:positionV>
                <wp:extent cx="5760720" cy="635"/>
                <wp:effectExtent l="0" t="0" r="0" b="0"/>
                <wp:wrapTight wrapText="bothSides">
                  <wp:wrapPolygon edited="0">
                    <wp:start x="0" y="0"/>
                    <wp:lineTo x="0" y="20057"/>
                    <wp:lineTo x="21500" y="20057"/>
                    <wp:lineTo x="21500" y="0"/>
                    <wp:lineTo x="0" y="0"/>
                  </wp:wrapPolygon>
                </wp:wrapTight>
                <wp:docPr id="1037670067" name="Pole tekstowe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0AD7F743" w14:textId="157BFEC5" w:rsidR="00506421" w:rsidRPr="00506421" w:rsidRDefault="00506421" w:rsidP="00506421">
                            <w:pPr>
                              <w:pStyle w:val="Legenda"/>
                              <w:rPr>
                                <w:b/>
                                <w:bCs/>
                                <w:noProof/>
                                <w:color w:val="323E4F" w:themeColor="text2" w:themeShade="BF"/>
                                <w:sz w:val="32"/>
                                <w:szCs w:val="36"/>
                              </w:rPr>
                            </w:pPr>
                            <w:bookmarkStart w:id="67" w:name="_Toc205204441"/>
                            <w:r w:rsidRPr="00506421">
                              <w:rPr>
                                <w:szCs w:val="20"/>
                              </w:rPr>
                              <w:t xml:space="preserve">Wykres </w:t>
                            </w:r>
                            <w:r w:rsidRPr="00506421">
                              <w:rPr>
                                <w:szCs w:val="20"/>
                              </w:rPr>
                              <w:fldChar w:fldCharType="begin"/>
                            </w:r>
                            <w:r w:rsidRPr="00506421">
                              <w:rPr>
                                <w:szCs w:val="20"/>
                              </w:rPr>
                              <w:instrText xml:space="preserve"> SEQ Wykres \* ARABIC </w:instrText>
                            </w:r>
                            <w:r w:rsidRPr="00506421">
                              <w:rPr>
                                <w:szCs w:val="20"/>
                              </w:rPr>
                              <w:fldChar w:fldCharType="separate"/>
                            </w:r>
                            <w:r w:rsidR="00871DD5">
                              <w:rPr>
                                <w:noProof/>
                                <w:szCs w:val="20"/>
                              </w:rPr>
                              <w:t>3</w:t>
                            </w:r>
                            <w:r w:rsidRPr="00506421">
                              <w:rPr>
                                <w:szCs w:val="20"/>
                              </w:rPr>
                              <w:fldChar w:fldCharType="end"/>
                            </w:r>
                            <w:r w:rsidRPr="00506421">
                              <w:rPr>
                                <w:szCs w:val="20"/>
                              </w:rPr>
                              <w:t>. Udział OZE w zużyciu energii w elektroenergetyce do 2030 r.</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5FF846" id="_x0000_s1087" type="#_x0000_t202" style="position:absolute;left:0;text-align:left;margin-left:0;margin-top:204.15pt;width:453.6pt;height:.0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" stroked="f">
                <v:textbox style="mso-fit-shape-to-text:t" inset="0,0,0,0">
                  <w:txbxContent>
                    <w:p w14:paraId="0AD7F743" w14:textId="157BFEC5" w:rsidR="00506421" w:rsidRPr="00506421" w:rsidRDefault="00506421" w:rsidP="00506421">
                      <w:pPr>
                        <w:pStyle w:val="Legenda"/>
                        <w:rPr>
                          <w:b/>
                          <w:bCs/>
                          <w:noProof/>
                          <w:color w:val="323E4F" w:themeColor="text2" w:themeShade="BF"/>
                          <w:sz w:val="32"/>
                          <w:szCs w:val="36"/>
                        </w:rPr>
                      </w:pPr>
                      <w:bookmarkStart w:id="70" w:name="_Toc205204441"/>
                      <w:r w:rsidRPr="00506421">
                        <w:rPr>
                          <w:szCs w:val="20"/>
                        </w:rPr>
                        <w:t xml:space="preserve">Wykres </w:t>
                      </w:r>
                      <w:r w:rsidRPr="00506421">
                        <w:rPr>
                          <w:szCs w:val="20"/>
                        </w:rPr>
                        <w:fldChar w:fldCharType="begin"/>
                      </w:r>
                      <w:r w:rsidRPr="00506421">
                        <w:rPr>
                          <w:szCs w:val="20"/>
                        </w:rPr>
                        <w:instrText xml:space="preserve"> SEQ Wykres \* ARABIC </w:instrText>
                      </w:r>
                      <w:r w:rsidRPr="00506421">
                        <w:rPr>
                          <w:szCs w:val="20"/>
                        </w:rPr>
                        <w:fldChar w:fldCharType="separate"/>
                      </w:r>
                      <w:r w:rsidR="00871DD5">
                        <w:rPr>
                          <w:noProof/>
                          <w:szCs w:val="20"/>
                        </w:rPr>
                        <w:t>3</w:t>
                      </w:r>
                      <w:r w:rsidRPr="00506421">
                        <w:rPr>
                          <w:szCs w:val="20"/>
                        </w:rPr>
                        <w:fldChar w:fldCharType="end"/>
                      </w:r>
                      <w:r w:rsidRPr="00506421">
                        <w:rPr>
                          <w:szCs w:val="20"/>
                        </w:rPr>
                        <w:t>. Udział OZE w zużyciu energii w elektroenergetyce do 2030 r.</w:t>
                      </w:r>
                      <w:bookmarkEnd w:id="70"/>
                    </w:p>
                  </w:txbxContent>
                </v:textbox>
                <w10:wrap type="tight"/>
              </v:shape>
            </w:pict>
          </mc:Fallback>
        </mc:AlternateContent>
      </w:r>
      <w:r w:rsidR="00E16B5B">
        <w:rPr>
          <w:noProof/>
          <w:lang w:eastAsia="pl-PL"/>
        </w:rPr>
        <w:drawing>
          <wp:anchor distT="0" distB="0" distL="114300" distR="114300" simplePos="0" relativeHeight="251780608" behindDoc="0" locked="0" layoutInCell="1" allowOverlap="1" wp14:anchorId="3641A2C8" wp14:editId="7826BEDB">
            <wp:simplePos x="0" y="0"/>
            <wp:positionH relativeFrom="column">
              <wp:posOffset>0</wp:posOffset>
            </wp:positionH>
            <wp:positionV relativeFrom="paragraph">
              <wp:posOffset>227965</wp:posOffset>
            </wp:positionV>
            <wp:extent cx="5760720" cy="2307590"/>
            <wp:effectExtent l="0" t="0" r="0" b="0"/>
            <wp:wrapTight wrapText="bothSides">
              <wp:wrapPolygon edited="0">
                <wp:start x="0" y="0"/>
                <wp:lineTo x="0" y="21398"/>
                <wp:lineTo x="21500" y="21398"/>
                <wp:lineTo x="21500" y="0"/>
                <wp:lineTo x="0" y="0"/>
              </wp:wrapPolygon>
            </wp:wrapTight>
            <wp:docPr id="1942959135" name="Wykres 1">
              <a:extLst xmlns:a="http://schemas.openxmlformats.org/drawingml/2006/main">
                <a:ext uri="{FF2B5EF4-FFF2-40B4-BE49-F238E27FC236}">
                  <a16:creationId xmlns:a16="http://schemas.microsoft.com/office/drawing/2014/main" id="{35CB75FE-959C-494D-8641-9B25FDFAEA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5A40E1A6" w14:textId="74CA9A07" w:rsidR="00EB2A7A" w:rsidRPr="00EB2A7A" w:rsidRDefault="00EB2A7A" w:rsidP="00EB2A7A">
      <w:r w:rsidRPr="00EB2A7A">
        <w:t xml:space="preserve">Szczegółowe dane dot. struktury </w:t>
      </w:r>
      <w:r w:rsidRPr="00EB2A7A">
        <w:rPr>
          <w:szCs w:val="20"/>
        </w:rPr>
        <w:t>mocy i produkcji energii elektrycznej pochodzącej z OZE są zaprezentowanie w dalszej części dokumentu (</w:t>
      </w:r>
      <w:r w:rsidRPr="00EB2A7A">
        <w:rPr>
          <w:szCs w:val="20"/>
        </w:rPr>
        <w:fldChar w:fldCharType="begin"/>
      </w:r>
      <w:r w:rsidRPr="00EB2A7A">
        <w:rPr>
          <w:szCs w:val="20"/>
        </w:rPr>
        <w:instrText xml:space="preserve"> REF _Ref203473763 \h  \* MERGEFORMAT </w:instrText>
      </w:r>
      <w:r w:rsidRPr="00EB2A7A">
        <w:rPr>
          <w:szCs w:val="20"/>
        </w:rPr>
      </w:r>
      <w:r w:rsidRPr="00EB2A7A">
        <w:rPr>
          <w:szCs w:val="20"/>
        </w:rPr>
        <w:fldChar w:fldCharType="separate"/>
      </w:r>
      <w:r w:rsidR="00871DD5">
        <w:t xml:space="preserve">Wykres </w:t>
      </w:r>
      <w:r w:rsidR="00871DD5">
        <w:rPr>
          <w:noProof/>
        </w:rPr>
        <w:t>16</w:t>
      </w:r>
      <w:r w:rsidRPr="00EB2A7A">
        <w:rPr>
          <w:szCs w:val="20"/>
        </w:rPr>
        <w:fldChar w:fldCharType="end"/>
      </w:r>
      <w:r w:rsidRPr="00EB2A7A">
        <w:rPr>
          <w:szCs w:val="20"/>
        </w:rPr>
        <w:t xml:space="preserve">, </w:t>
      </w:r>
      <w:r w:rsidRPr="00EB2A7A">
        <w:rPr>
          <w:szCs w:val="20"/>
        </w:rPr>
        <w:fldChar w:fldCharType="begin"/>
      </w:r>
      <w:r w:rsidRPr="00EB2A7A">
        <w:rPr>
          <w:szCs w:val="20"/>
        </w:rPr>
        <w:instrText xml:space="preserve"> REF _Ref203473775 \h  \* MERGEFORMAT </w:instrText>
      </w:r>
      <w:r w:rsidRPr="00EB2A7A">
        <w:rPr>
          <w:szCs w:val="20"/>
        </w:rPr>
      </w:r>
      <w:r w:rsidRPr="00EB2A7A">
        <w:rPr>
          <w:szCs w:val="20"/>
        </w:rPr>
        <w:fldChar w:fldCharType="separate"/>
      </w:r>
      <w:r w:rsidR="00871DD5">
        <w:t xml:space="preserve">Wykres </w:t>
      </w:r>
      <w:r w:rsidR="00871DD5">
        <w:rPr>
          <w:noProof/>
        </w:rPr>
        <w:t>17</w:t>
      </w:r>
      <w:r w:rsidRPr="00EB2A7A">
        <w:rPr>
          <w:szCs w:val="20"/>
        </w:rPr>
        <w:fldChar w:fldCharType="end"/>
      </w:r>
      <w:r w:rsidRPr="00EB2A7A">
        <w:rPr>
          <w:szCs w:val="20"/>
        </w:rPr>
        <w:t>).</w:t>
      </w:r>
    </w:p>
    <w:p w14:paraId="35D512BF" w14:textId="77777777" w:rsidR="00EB2A7A" w:rsidRDefault="00EB2A7A" w:rsidP="00D5646D">
      <w:pPr>
        <w:pStyle w:val="PaMs"/>
        <w:spacing w:before="160"/>
      </w:pPr>
    </w:p>
    <w:p w14:paraId="53C9CE53" w14:textId="02955471" w:rsidR="00080BA7" w:rsidRDefault="00080BA7" w:rsidP="00D5646D">
      <w:pPr>
        <w:pStyle w:val="PaMs"/>
        <w:spacing w:before="160"/>
      </w:pPr>
      <w:r w:rsidRPr="00C46DAA">
        <w:t>POLITYKA</w:t>
      </w:r>
    </w:p>
    <w:p w14:paraId="28B58D1E" w14:textId="55DE6387" w:rsidR="005F09C1" w:rsidRDefault="00B47E04" w:rsidP="00080BA7">
      <w:r>
        <w:t>W kolejnych latach sukcesywnie odstawiane będą bloki oparte o węgiel kamienny i brunatny. Tempo i kolejność odstawień zależn</w:t>
      </w:r>
      <w:r w:rsidR="001F1F27">
        <w:t>e</w:t>
      </w:r>
      <w:r>
        <w:t xml:space="preserve"> będ</w:t>
      </w:r>
      <w:r w:rsidR="001F1F27">
        <w:t>ą</w:t>
      </w:r>
      <w:r>
        <w:t xml:space="preserve"> zarówno od </w:t>
      </w:r>
      <w:r w:rsidR="005F09C1" w:rsidRPr="001F1F27">
        <w:rPr>
          <w:b/>
          <w:bCs/>
        </w:rPr>
        <w:t>wystarczalności mocy</w:t>
      </w:r>
      <w:r w:rsidR="005F09C1">
        <w:t xml:space="preserve"> </w:t>
      </w:r>
      <w:r w:rsidR="001F1F27">
        <w:t xml:space="preserve">w </w:t>
      </w:r>
      <w:r w:rsidR="005F09C1">
        <w:t xml:space="preserve">systemie </w:t>
      </w:r>
      <w:r w:rsidR="003036B9">
        <w:t>elektro</w:t>
      </w:r>
      <w:r w:rsidR="005F09C1">
        <w:t>energetycznym</w:t>
      </w:r>
      <w:r w:rsidR="001F1F27">
        <w:t xml:space="preserve"> </w:t>
      </w:r>
      <w:r w:rsidR="00190C0F">
        <w:t>jak i</w:t>
      </w:r>
      <w:r w:rsidR="00474177">
        <w:t xml:space="preserve"> </w:t>
      </w:r>
      <w:r w:rsidR="001F1F27">
        <w:t>zapewnienia stabilnych dostaw energii elektrycznej do obiorców końcowych</w:t>
      </w:r>
      <w:r w:rsidR="005F09C1">
        <w:t xml:space="preserve">. Uwzględniana powinna </w:t>
      </w:r>
      <w:r w:rsidR="005F09C1">
        <w:lastRenderedPageBreak/>
        <w:t>być użytecznoś</w:t>
      </w:r>
      <w:r w:rsidR="003036B9">
        <w:t>ć</w:t>
      </w:r>
      <w:r w:rsidR="005F09C1">
        <w:t xml:space="preserve"> poszczególnych elektrowni w danej lokalizacji (pod kątem bilansowania), jak również ich stan techniczny i spełnianie norm emisyjności.</w:t>
      </w:r>
      <w:r w:rsidR="00F24EAA">
        <w:t xml:space="preserve"> </w:t>
      </w:r>
    </w:p>
    <w:p w14:paraId="0DD0D2E5" w14:textId="7A7A50BE" w:rsidR="00B47E04" w:rsidRDefault="00AF4DD4" w:rsidP="00080BA7">
      <w:r w:rsidRPr="00AF4DD4">
        <w:rPr>
          <w:b/>
          <w:bCs/>
        </w:rPr>
        <w:t>W przejściowym okresie</w:t>
      </w:r>
      <w:r>
        <w:t xml:space="preserve"> emisyjność sektora elektroenergetycznego będzie </w:t>
      </w:r>
      <w:r w:rsidR="003036B9">
        <w:t xml:space="preserve">również </w:t>
      </w:r>
      <w:r>
        <w:t xml:space="preserve">obniżana przez częściowe zastępowanie jednostek węglowych przez </w:t>
      </w:r>
      <w:r w:rsidRPr="00AF4DD4">
        <w:rPr>
          <w:b/>
          <w:bCs/>
        </w:rPr>
        <w:t>jednostki gazowe</w:t>
      </w:r>
      <w:r>
        <w:t xml:space="preserve">, cechujące się niższą emisyjnością. </w:t>
      </w:r>
      <w:r w:rsidR="00203235">
        <w:t>Perspektywicznie będzie można wykorzystywać w nich biometan lub wodór</w:t>
      </w:r>
      <w:r w:rsidR="19F9A87C">
        <w:t>, przy czym wodór</w:t>
      </w:r>
      <w:r w:rsidR="56B284FA">
        <w:t xml:space="preserve"> powinien być początkowo wykorzystywany w przemyśle, a dopiero w dalszej </w:t>
      </w:r>
      <w:r w:rsidR="19535870">
        <w:t>kolejności w</w:t>
      </w:r>
      <w:r w:rsidR="000F5631">
        <w:t> </w:t>
      </w:r>
      <w:r w:rsidR="19535870">
        <w:t>elektroenergetyce</w:t>
      </w:r>
      <w:r>
        <w:t>.</w:t>
      </w:r>
      <w:r w:rsidR="00251B17">
        <w:t xml:space="preserve"> </w:t>
      </w:r>
      <w:r w:rsidR="00EA7880">
        <w:t>N</w:t>
      </w:r>
      <w:r>
        <w:t xml:space="preserve">astępnie </w:t>
      </w:r>
      <w:r w:rsidR="00EA7880">
        <w:t>emisyjność sektora elektroenergetycznego</w:t>
      </w:r>
      <w:r w:rsidR="00172E5D">
        <w:t xml:space="preserve"> będzie s</w:t>
      </w:r>
      <w:r w:rsidR="003C4D94">
        <w:t>padać na sk</w:t>
      </w:r>
      <w:r w:rsidR="0031315D">
        <w:t>utek przyrostu mocy zeroemisyjnych, w szczególności OZE</w:t>
      </w:r>
      <w:r w:rsidR="004D289F">
        <w:t>.</w:t>
      </w:r>
      <w:r w:rsidR="00EA7880">
        <w:t xml:space="preserve"> </w:t>
      </w:r>
      <w:r w:rsidR="00A81651">
        <w:t xml:space="preserve">Następować będzie zmiana architektury krajowego systemu elektroenergetycznego </w:t>
      </w:r>
      <w:r w:rsidR="00981972">
        <w:t>w kierunku rozproszonym</w:t>
      </w:r>
      <w:r w:rsidR="00042B3A">
        <w:t>, z jednoczesnym</w:t>
      </w:r>
      <w:r w:rsidR="00981972">
        <w:t xml:space="preserve"> wzrostem roli </w:t>
      </w:r>
      <w:r w:rsidR="00B47563">
        <w:t>różnych rodzajów społeczności energetycznych</w:t>
      </w:r>
      <w:r w:rsidR="0094051D">
        <w:t>.</w:t>
      </w:r>
      <w:r w:rsidR="00974007">
        <w:t xml:space="preserve"> </w:t>
      </w:r>
      <w:r w:rsidR="00BA6513">
        <w:t>W dłuższej perspektywie, duże</w:t>
      </w:r>
      <w:r w:rsidR="00EA1306">
        <w:t xml:space="preserve"> </w:t>
      </w:r>
      <w:r>
        <w:t>znaczenie w</w:t>
      </w:r>
      <w:r w:rsidR="000F5631">
        <w:t> </w:t>
      </w:r>
      <w:r>
        <w:t xml:space="preserve">zastępowaniu jednostek </w:t>
      </w:r>
      <w:r w:rsidR="00396E19">
        <w:t xml:space="preserve">węglowych </w:t>
      </w:r>
      <w:r w:rsidR="007068DC">
        <w:t>na potrzeby</w:t>
      </w:r>
      <w:r>
        <w:t xml:space="preserve"> zapewniania wystarczalności mocy będzie mieć </w:t>
      </w:r>
      <w:r w:rsidR="00B62763" w:rsidRPr="00AF4DD4">
        <w:rPr>
          <w:b/>
          <w:bCs/>
        </w:rPr>
        <w:t xml:space="preserve">energetyka jądrowa </w:t>
      </w:r>
      <w:r w:rsidR="00B62763" w:rsidRPr="00B62763">
        <w:t>–</w:t>
      </w:r>
      <w:r w:rsidR="00B62763">
        <w:rPr>
          <w:b/>
          <w:bCs/>
        </w:rPr>
        <w:t xml:space="preserve"> </w:t>
      </w:r>
      <w:r w:rsidR="00B62763">
        <w:t xml:space="preserve">przewidziana </w:t>
      </w:r>
      <w:r w:rsidRPr="00AF4DD4">
        <w:rPr>
          <w:b/>
          <w:bCs/>
        </w:rPr>
        <w:t xml:space="preserve">do wdrożenia </w:t>
      </w:r>
      <w:r w:rsidR="008D4321">
        <w:rPr>
          <w:b/>
          <w:bCs/>
        </w:rPr>
        <w:t xml:space="preserve">po </w:t>
      </w:r>
      <w:r w:rsidR="00B62763">
        <w:rPr>
          <w:b/>
          <w:bCs/>
        </w:rPr>
        <w:t>2035</w:t>
      </w:r>
      <w:r w:rsidR="008D4321">
        <w:rPr>
          <w:b/>
          <w:bCs/>
        </w:rPr>
        <w:t xml:space="preserve"> r</w:t>
      </w:r>
      <w:r>
        <w:t xml:space="preserve">. </w:t>
      </w:r>
    </w:p>
    <w:p w14:paraId="759DE4B6" w14:textId="25E18BBC" w:rsidR="00AF4DD4" w:rsidRDefault="00AF4DD4" w:rsidP="00080BA7">
      <w:r>
        <w:t xml:space="preserve">W 2030 r. za </w:t>
      </w:r>
      <w:r w:rsidR="00E02327">
        <w:t>ponad</w:t>
      </w:r>
      <w:r>
        <w:t xml:space="preserve"> połowę produkcji energii elektrycznej odpowiadać będą </w:t>
      </w:r>
      <w:r w:rsidRPr="00385BC9">
        <w:rPr>
          <w:b/>
          <w:bCs/>
        </w:rPr>
        <w:t>odnawialne źródła energii</w:t>
      </w:r>
      <w:r w:rsidR="00343262">
        <w:t>, a</w:t>
      </w:r>
      <w:r w:rsidR="000748F8">
        <w:t> </w:t>
      </w:r>
      <w:r w:rsidR="00343262">
        <w:t xml:space="preserve">w 2040 r. już za </w:t>
      </w:r>
      <w:r w:rsidR="00203235">
        <w:t>ok.</w:t>
      </w:r>
      <w:r w:rsidR="00343262">
        <w:t xml:space="preserve"> </w:t>
      </w:r>
      <w:r w:rsidR="00EE34EF">
        <w:t>80</w:t>
      </w:r>
      <w:r w:rsidR="00343262">
        <w:t>%</w:t>
      </w:r>
      <w:r>
        <w:t xml:space="preserve">. </w:t>
      </w:r>
      <w:r w:rsidR="00CD32A0">
        <w:t>Oczekuje się, że s</w:t>
      </w:r>
      <w:r w:rsidR="00385BC9">
        <w:t xml:space="preserve">zczególną rolę </w:t>
      </w:r>
      <w:r w:rsidR="00343262">
        <w:t xml:space="preserve">spośród OZE </w:t>
      </w:r>
      <w:r w:rsidR="00385BC9">
        <w:t>będą mieć elektrownie wiatrowe na lądzie, fotowoltaika i morskie elektrownie wiatrowe</w:t>
      </w:r>
      <w:r w:rsidR="001F1F27">
        <w:t>.</w:t>
      </w:r>
      <w:r w:rsidR="00385BC9">
        <w:t xml:space="preserve"> </w:t>
      </w:r>
      <w:r>
        <w:t>W</w:t>
      </w:r>
      <w:r w:rsidR="001F1F27">
        <w:t xml:space="preserve"> </w:t>
      </w:r>
      <w:r>
        <w:t>ujęciu długookresowym OZE i energetyka jądrowa będą stanowić główne narzędzia redukcji emisji w tym podsektorze</w:t>
      </w:r>
      <w:r w:rsidR="002E13F1">
        <w:t>, gdyż</w:t>
      </w:r>
      <w:r w:rsidR="00343262">
        <w:t xml:space="preserve"> w 2040 r. mogą odpowiadać za łączną produkcję </w:t>
      </w:r>
      <w:r w:rsidR="00203235" w:rsidRPr="00203235">
        <w:t>85</w:t>
      </w:r>
      <w:r w:rsidR="002E13F1" w:rsidRPr="00203235">
        <w:t>%</w:t>
      </w:r>
      <w:r w:rsidR="002E13F1">
        <w:t xml:space="preserve"> energii elektrycznej w kraju</w:t>
      </w:r>
      <w:r>
        <w:t xml:space="preserve">. </w:t>
      </w:r>
    </w:p>
    <w:p w14:paraId="25A33B6E" w14:textId="545D7992" w:rsidR="000D3EAD" w:rsidRDefault="00CD32A0" w:rsidP="005457D4">
      <w:pPr>
        <w:spacing w:before="120" w:after="120" w:line="276" w:lineRule="auto"/>
      </w:pPr>
      <w:r>
        <w:t xml:space="preserve">W kolejnych latach utrzymane zostaną dotychczasowe systemy bezpośredniego </w:t>
      </w:r>
      <w:r w:rsidRPr="00AD2AAE">
        <w:rPr>
          <w:b/>
          <w:bCs/>
        </w:rPr>
        <w:t>w</w:t>
      </w:r>
      <w:r w:rsidRPr="00103729">
        <w:rPr>
          <w:b/>
          <w:bCs/>
        </w:rPr>
        <w:t>sparcia rozwoju OZE w elektroenergetyce</w:t>
      </w:r>
      <w:r w:rsidR="00DA333E">
        <w:t xml:space="preserve"> (świadectwa pochodzenia – zielone certyfikaty, aukcyjny system OZE, taryfy gwarantowane</w:t>
      </w:r>
      <w:r w:rsidR="00103729">
        <w:t>)</w:t>
      </w:r>
      <w:r w:rsidR="00703451">
        <w:t xml:space="preserve">. </w:t>
      </w:r>
      <w:r w:rsidR="005255BE">
        <w:t>J</w:t>
      </w:r>
      <w:r w:rsidR="001F1F27">
        <w:t xml:space="preserve">ednocześnie zakładany jest </w:t>
      </w:r>
      <w:r w:rsidR="006934E2">
        <w:rPr>
          <w:rStyle w:val="ui-provider"/>
        </w:rPr>
        <w:t xml:space="preserve">znaczący </w:t>
      </w:r>
      <w:r w:rsidR="001F1F27">
        <w:rPr>
          <w:rStyle w:val="ui-provider"/>
        </w:rPr>
        <w:t>wzrost liczby instalacji budowanych poza systemami wsparcia, w</w:t>
      </w:r>
      <w:r w:rsidR="005255BE">
        <w:rPr>
          <w:rStyle w:val="ui-provider"/>
        </w:rPr>
        <w:t> </w:t>
      </w:r>
      <w:r w:rsidR="001F1F27">
        <w:rPr>
          <w:rStyle w:val="ui-provider"/>
        </w:rPr>
        <w:t xml:space="preserve">tym przyłączanych bezpośrednio </w:t>
      </w:r>
      <w:r w:rsidR="001F1F27">
        <w:t xml:space="preserve">do odbiorcy. </w:t>
      </w:r>
      <w:r w:rsidR="000D3EAD">
        <w:t>Perspektywicznie w</w:t>
      </w:r>
      <w:r w:rsidR="324EFD55">
        <w:t>s</w:t>
      </w:r>
      <w:r w:rsidR="000D3EAD">
        <w:t xml:space="preserve">parcie będzie stopniowo przesuwane w kierunku rozwiązań zapewniających bezpieczny i efektywny ekonomicznie przyrost OZE. Premiowane będzie zapewnianie wysokiej elastyczności i dyspozycyjności. </w:t>
      </w:r>
    </w:p>
    <w:p w14:paraId="28E27783" w14:textId="61DE3BA6" w:rsidR="001E6751" w:rsidRDefault="00103729" w:rsidP="005457D4">
      <w:pPr>
        <w:spacing w:before="120" w:after="120" w:line="276" w:lineRule="auto"/>
      </w:pPr>
      <w:r>
        <w:t>W</w:t>
      </w:r>
      <w:r w:rsidR="001E6751">
        <w:t xml:space="preserve"> celu rozwoju poszczególnych technologii OZE obok rozwiązań wskazanych powyżej:</w:t>
      </w:r>
    </w:p>
    <w:p w14:paraId="52F184F5" w14:textId="77777777" w:rsidR="00B34B5F" w:rsidRDefault="00B34B5F" w:rsidP="000625AC">
      <w:pPr>
        <w:pStyle w:val="Akapitzlist"/>
        <w:numPr>
          <w:ilvl w:val="0"/>
          <w:numId w:val="40"/>
        </w:numPr>
        <w:spacing w:before="120" w:after="120" w:line="276" w:lineRule="auto"/>
      </w:pPr>
      <w:r w:rsidRPr="005C608A">
        <w:t xml:space="preserve">wdrożony zostanie pakiet rozwiązań skutkujących dalszym efektywnym i zrównoważonym rozwojem </w:t>
      </w:r>
      <w:r w:rsidRPr="00B34B5F">
        <w:rPr>
          <w:b/>
          <w:bCs/>
        </w:rPr>
        <w:t>morskiej energetyki wiatrowej</w:t>
      </w:r>
      <w:r w:rsidRPr="005C608A">
        <w:t xml:space="preserve"> (dostosowanie ram prawnych do zmieniających się realiów rynkowych, usprawnienie procedur, w tym w zakresie kształcenia kadr czy krajowego łańcucha dostaw materiałów i usług);</w:t>
      </w:r>
    </w:p>
    <w:p w14:paraId="59AE58A1" w14:textId="572D38E1" w:rsidR="00B34B5F" w:rsidRDefault="00B34B5F" w:rsidP="000625AC">
      <w:pPr>
        <w:pStyle w:val="Akapitzlist"/>
        <w:numPr>
          <w:ilvl w:val="0"/>
          <w:numId w:val="40"/>
        </w:numPr>
        <w:spacing w:before="120" w:after="120" w:line="276" w:lineRule="auto"/>
      </w:pPr>
      <w:r>
        <w:t xml:space="preserve">wykorzystanie potencjału rozwoju energetyki wiatrowej na lądzie zostanie wzmocnione </w:t>
      </w:r>
      <w:r w:rsidR="00C91961">
        <w:t>dzięki</w:t>
      </w:r>
      <w:r>
        <w:t xml:space="preserve"> modyfikacj</w:t>
      </w:r>
      <w:r w:rsidR="00C91961">
        <w:t>i</w:t>
      </w:r>
      <w:r>
        <w:t xml:space="preserve"> zasad lokowania </w:t>
      </w:r>
      <w:r w:rsidRPr="005C608A">
        <w:rPr>
          <w:b/>
          <w:bCs/>
        </w:rPr>
        <w:t>turbin wiatrowych na lądzie</w:t>
      </w:r>
      <w:r w:rsidRPr="006D7CAC">
        <w:t>;</w:t>
      </w:r>
      <w:r>
        <w:t xml:space="preserve"> </w:t>
      </w:r>
    </w:p>
    <w:p w14:paraId="794AE61B" w14:textId="55FF185F" w:rsidR="00183CF4" w:rsidRDefault="00B34B5F" w:rsidP="000625AC">
      <w:pPr>
        <w:pStyle w:val="Akapitzlist"/>
        <w:numPr>
          <w:ilvl w:val="0"/>
          <w:numId w:val="40"/>
        </w:numPr>
      </w:pPr>
      <w:r w:rsidRPr="003E0650">
        <w:t xml:space="preserve">wdrożony zostanie pakiet rozwiązań wspierających rozwój wykorzystania </w:t>
      </w:r>
      <w:r w:rsidRPr="00B96BF4">
        <w:rPr>
          <w:b/>
          <w:bCs/>
        </w:rPr>
        <w:t xml:space="preserve">biometanu </w:t>
      </w:r>
      <w:r w:rsidRPr="003E0650">
        <w:t>(dodatkowy system wsparcia finansowego dla instalacji powyżej 1 MW, poprawa warunków współpracy z operatorami systemu elektroenergetycznego i gazowego)</w:t>
      </w:r>
      <w:r w:rsidR="00AD2AAE">
        <w:rPr>
          <w:rStyle w:val="Odwoanieprzypisudolnego"/>
        </w:rPr>
        <w:footnoteReference w:id="19"/>
      </w:r>
      <w:r w:rsidR="005D2F2F">
        <w:t>;</w:t>
      </w:r>
    </w:p>
    <w:p w14:paraId="108B0FB4" w14:textId="3656D4DF" w:rsidR="00B34B5F" w:rsidRPr="003E0650" w:rsidRDefault="00376FFB" w:rsidP="000625AC">
      <w:pPr>
        <w:pStyle w:val="Akapitzlist"/>
        <w:numPr>
          <w:ilvl w:val="0"/>
          <w:numId w:val="40"/>
        </w:numPr>
      </w:pPr>
      <w:r>
        <w:t xml:space="preserve">zastosowanie biomasy stałej w bezpośrednim spalaniu </w:t>
      </w:r>
      <w:r w:rsidR="00790BE4">
        <w:t xml:space="preserve">w </w:t>
      </w:r>
      <w:r w:rsidR="007D3AB4" w:rsidRPr="007D3AB4">
        <w:t>dłuższe</w:t>
      </w:r>
      <w:r w:rsidR="00790BE4">
        <w:t>j</w:t>
      </w:r>
      <w:r w:rsidR="007D3AB4" w:rsidRPr="007D3AB4">
        <w:t xml:space="preserve"> perspektywie będzie zmniejszane</w:t>
      </w:r>
      <w:r w:rsidR="00B34B5F" w:rsidRPr="003E0650">
        <w:t>;</w:t>
      </w:r>
    </w:p>
    <w:p w14:paraId="7F0FE0E8" w14:textId="69A52BC7" w:rsidR="006D7CAC" w:rsidRDefault="00B34B5F" w:rsidP="000625AC">
      <w:pPr>
        <w:pStyle w:val="Akapitzlist"/>
        <w:numPr>
          <w:ilvl w:val="0"/>
          <w:numId w:val="40"/>
        </w:numPr>
        <w:spacing w:before="120" w:after="120" w:line="276" w:lineRule="auto"/>
      </w:pPr>
      <w:r>
        <w:t xml:space="preserve">wdrażanie obowiązków stosowania </w:t>
      </w:r>
      <w:r w:rsidRPr="006D7CAC">
        <w:rPr>
          <w:b/>
          <w:bCs/>
        </w:rPr>
        <w:t>instalacji fotowoltaicznych na budynkach</w:t>
      </w:r>
      <w:r>
        <w:t>, sukcesywnie dla poszczególnych typów budynków nowych i istniejących</w:t>
      </w:r>
      <w:r>
        <w:rPr>
          <w:rStyle w:val="Odwoanieprzypisudolnego"/>
        </w:rPr>
        <w:footnoteReference w:id="20"/>
      </w:r>
      <w:r w:rsidR="0070192D">
        <w:t>, a także zachęty dla agrofotowoltaiki</w:t>
      </w:r>
      <w:r w:rsidR="006D6297">
        <w:rPr>
          <w:rStyle w:val="Odwoanieprzypisudolnego"/>
        </w:rPr>
        <w:footnoteReference w:id="21"/>
      </w:r>
      <w:r w:rsidR="0070192D">
        <w:t xml:space="preserve"> oraz do lokowania paneli na terenach poprzemysłowych</w:t>
      </w:r>
      <w:r>
        <w:t>.</w:t>
      </w:r>
    </w:p>
    <w:p w14:paraId="0E166B5E" w14:textId="77777777" w:rsidR="0030550B" w:rsidRDefault="006934E2" w:rsidP="006907BE">
      <w:r>
        <w:rPr>
          <w:rStyle w:val="ui-provider"/>
        </w:rPr>
        <w:t xml:space="preserve">Dodatkowo, podobnie jak w innych państwach UE, zakłada się wzrost udziału instalacji OZE, których finansowanie zapewnią umowy </w:t>
      </w:r>
      <w:r>
        <w:t>na dostawy energii elektrycznej między dwiema stronami</w:t>
      </w:r>
      <w:r>
        <w:rPr>
          <w:rStyle w:val="ui-provider"/>
        </w:rPr>
        <w:t xml:space="preserve"> tzw. umowy typu PPA (ang. </w:t>
      </w:r>
      <w:r w:rsidRPr="006934E2">
        <w:rPr>
          <w:rStyle w:val="ui-provider"/>
          <w:i/>
          <w:iCs/>
        </w:rPr>
        <w:t>power purchas</w:t>
      </w:r>
      <w:r>
        <w:rPr>
          <w:rStyle w:val="ui-provider"/>
          <w:i/>
          <w:iCs/>
        </w:rPr>
        <w:t>e</w:t>
      </w:r>
      <w:r w:rsidRPr="006934E2">
        <w:rPr>
          <w:rStyle w:val="ui-provider"/>
          <w:i/>
          <w:iCs/>
        </w:rPr>
        <w:t xml:space="preserve"> agreement</w:t>
      </w:r>
      <w:r>
        <w:rPr>
          <w:rStyle w:val="ui-provider"/>
        </w:rPr>
        <w:t>).</w:t>
      </w:r>
      <w:r>
        <w:t xml:space="preserve"> </w:t>
      </w:r>
    </w:p>
    <w:p w14:paraId="1AC09F8D" w14:textId="04171DF9" w:rsidR="0030550B" w:rsidRPr="00D45013" w:rsidRDefault="0030550B" w:rsidP="006907BE">
      <w:r>
        <w:t xml:space="preserve">Działania mające na celu dalszy rozwój OZE będą skupione także wokół </w:t>
      </w:r>
      <w:r w:rsidRPr="0030550B">
        <w:rPr>
          <w:b/>
          <w:bCs/>
        </w:rPr>
        <w:t>wsparcia informacyjnego</w:t>
      </w:r>
      <w:r w:rsidR="00755335" w:rsidRPr="00755335">
        <w:t>,</w:t>
      </w:r>
      <w:r w:rsidR="00755335">
        <w:t xml:space="preserve"> czemu służyć </w:t>
      </w:r>
      <w:r w:rsidR="00D45013">
        <w:t xml:space="preserve">będzie w szczególności </w:t>
      </w:r>
      <w:r>
        <w:t>Krajowy Punkt Kontaktowy ds. OZE</w:t>
      </w:r>
      <w:r w:rsidR="00755335">
        <w:t xml:space="preserve"> (KPK OZE)</w:t>
      </w:r>
      <w:r w:rsidR="00303C09">
        <w:t xml:space="preserve">, a w dalszej przyszłości </w:t>
      </w:r>
      <w:r w:rsidR="00303C09">
        <w:lastRenderedPageBreak/>
        <w:t xml:space="preserve">także </w:t>
      </w:r>
      <w:r w:rsidR="00303C09" w:rsidRPr="00303C09">
        <w:rPr>
          <w:b/>
          <w:bCs/>
        </w:rPr>
        <w:t>Centrum Wsparcia Transformacji Energetycznej</w:t>
      </w:r>
      <w:r w:rsidR="00303C09">
        <w:t xml:space="preserve"> (CWTE)</w:t>
      </w:r>
      <w:r w:rsidR="00755335">
        <w:t>.</w:t>
      </w:r>
      <w:r>
        <w:t xml:space="preserve"> </w:t>
      </w:r>
      <w:r w:rsidR="00303C09">
        <w:t>KPK OZE będzie</w:t>
      </w:r>
      <w:r w:rsidR="00D45013">
        <w:t xml:space="preserve"> </w:t>
      </w:r>
      <w:r>
        <w:t>narzędzie</w:t>
      </w:r>
      <w:r w:rsidR="00303C09">
        <w:t>m</w:t>
      </w:r>
      <w:r>
        <w:t xml:space="preserve"> informacyjn</w:t>
      </w:r>
      <w:r w:rsidR="00303C09">
        <w:t>ym</w:t>
      </w:r>
      <w:r w:rsidR="00263847">
        <w:t xml:space="preserve"> dla</w:t>
      </w:r>
      <w:r>
        <w:t xml:space="preserve"> inwestorów i wszystkich osób zainteresowanych inwestycjami w OZE</w:t>
      </w:r>
      <w:r w:rsidR="00303C09">
        <w:t xml:space="preserve">, natomiast CTWE będzie miało </w:t>
      </w:r>
      <w:r w:rsidR="00126A88">
        <w:t>szerszy charakter, także lokalny</w:t>
      </w:r>
      <w:r>
        <w:t xml:space="preserve">. Wśród planowanych rozwiązań </w:t>
      </w:r>
      <w:r w:rsidR="00755335">
        <w:t xml:space="preserve">systemowych </w:t>
      </w:r>
      <w:r w:rsidR="00D45013">
        <w:t xml:space="preserve">dotyczących </w:t>
      </w:r>
      <w:r w:rsidR="00D45013" w:rsidRPr="0030550B">
        <w:rPr>
          <w:b/>
          <w:bCs/>
        </w:rPr>
        <w:t>wdrażania innowacyjnych rozwiązań służących przyspieszaniu inwestycji w energetyce odnawialnej</w:t>
      </w:r>
      <w:r w:rsidR="00D45013">
        <w:t xml:space="preserve"> </w:t>
      </w:r>
      <w:r>
        <w:t xml:space="preserve">wyróżnić należy przeprowadzenie mapowania potencjału OZE (zgodnie z art. 15b dyrektywy RED III), a także </w:t>
      </w:r>
      <w:r w:rsidRPr="00B868A7">
        <w:rPr>
          <w:b/>
          <w:bCs/>
        </w:rPr>
        <w:t>w</w:t>
      </w:r>
      <w:r w:rsidRPr="0030550B">
        <w:rPr>
          <w:b/>
          <w:bCs/>
        </w:rPr>
        <w:t>drożenie obszarów przyspieszonego rozwoju energii ze źródeł odnawialnych</w:t>
      </w:r>
      <w:r w:rsidR="00543338" w:rsidRPr="00543338">
        <w:t>, tzw.</w:t>
      </w:r>
      <w:r w:rsidR="000F5631">
        <w:t> </w:t>
      </w:r>
      <w:r w:rsidR="00543338" w:rsidRPr="00543338">
        <w:t>OPRO</w:t>
      </w:r>
      <w:r w:rsidRPr="00DB7E12">
        <w:t xml:space="preserve">. Obszary te mają zostać wyznaczone na powierzchniach i terenach niebudzących wątpliwości z punktu widzenia ochrony środowiska, dzięki czemu czas </w:t>
      </w:r>
      <w:r w:rsidR="00C10264">
        <w:t xml:space="preserve">na </w:t>
      </w:r>
      <w:r w:rsidRPr="00DB7E12">
        <w:t>wydawani</w:t>
      </w:r>
      <w:r>
        <w:t>e</w:t>
      </w:r>
      <w:r w:rsidRPr="00DB7E12">
        <w:t xml:space="preserve"> zezwoleń potrzebnych do rozpoczęcia inwestycji ma zostać znacząco skrócony (nie może przekroczyć 12 miesięcy, z wyjątkiem morskich elektrowni wiatrowych</w:t>
      </w:r>
      <w:r>
        <w:t>, w przypadku których mają być to 24 miesiące</w:t>
      </w:r>
      <w:r w:rsidRPr="00DB7E12">
        <w:t>).</w:t>
      </w:r>
      <w:r w:rsidR="00303C09">
        <w:t xml:space="preserve"> </w:t>
      </w:r>
    </w:p>
    <w:p w14:paraId="58FF2107" w14:textId="0A2C0CE0" w:rsidR="00586D95" w:rsidRDefault="00CD32A0" w:rsidP="006907BE">
      <w:pPr>
        <w:spacing w:before="360"/>
      </w:pPr>
      <w:r>
        <w:t>Rozwój OZE jest zależny nie tylko od</w:t>
      </w:r>
      <w:r w:rsidR="003036B9">
        <w:t> </w:t>
      </w:r>
      <w:r>
        <w:t>inwestycji w nowe moce</w:t>
      </w:r>
      <w:r w:rsidR="006934E2">
        <w:t xml:space="preserve"> wytwórcze</w:t>
      </w:r>
      <w:r>
        <w:t>, ale w coraz większym stopniu od działań pośrednich</w:t>
      </w:r>
      <w:r w:rsidR="006D2C23">
        <w:t>, umożliwiających funkcjo</w:t>
      </w:r>
      <w:r w:rsidR="0021070C">
        <w:t>nowanie</w:t>
      </w:r>
      <w:r w:rsidR="006D2C23">
        <w:t xml:space="preserve"> OZE w</w:t>
      </w:r>
      <w:r w:rsidR="001E6751">
        <w:t> </w:t>
      </w:r>
      <w:r w:rsidR="006D2C23">
        <w:t>KSE</w:t>
      </w:r>
      <w:r>
        <w:t xml:space="preserve">. </w:t>
      </w:r>
      <w:r w:rsidR="005A74D5">
        <w:t>W</w:t>
      </w:r>
      <w:r w:rsidR="006934E2">
        <w:t>sparci</w:t>
      </w:r>
      <w:r w:rsidR="005A74D5">
        <w:t>e</w:t>
      </w:r>
      <w:r w:rsidR="006934E2">
        <w:t xml:space="preserve"> będzie</w:t>
      </w:r>
      <w:r w:rsidR="005A74D5">
        <w:t xml:space="preserve"> intensywniej adresowane dla</w:t>
      </w:r>
      <w:r w:rsidR="006934E2">
        <w:t xml:space="preserve"> technologii </w:t>
      </w:r>
      <w:r w:rsidR="006934E2" w:rsidRPr="00824620">
        <w:rPr>
          <w:b/>
          <w:bCs/>
        </w:rPr>
        <w:t>zapewniani</w:t>
      </w:r>
      <w:r w:rsidR="006934E2">
        <w:rPr>
          <w:b/>
          <w:bCs/>
        </w:rPr>
        <w:t>ających</w:t>
      </w:r>
      <w:r w:rsidR="006934E2">
        <w:t xml:space="preserve"> </w:t>
      </w:r>
      <w:r w:rsidR="00DD62B7" w:rsidRPr="00DD62B7">
        <w:rPr>
          <w:b/>
          <w:bCs/>
        </w:rPr>
        <w:t>integrację i</w:t>
      </w:r>
      <w:r w:rsidR="00126A88">
        <w:t xml:space="preserve"> </w:t>
      </w:r>
      <w:r w:rsidR="006934E2" w:rsidRPr="00824620">
        <w:rPr>
          <w:b/>
          <w:bCs/>
        </w:rPr>
        <w:t>bezpieczn</w:t>
      </w:r>
      <w:r w:rsidR="006934E2">
        <w:rPr>
          <w:b/>
          <w:bCs/>
        </w:rPr>
        <w:t>y</w:t>
      </w:r>
      <w:r w:rsidR="006934E2" w:rsidRPr="00824620">
        <w:rPr>
          <w:b/>
          <w:bCs/>
        </w:rPr>
        <w:t xml:space="preserve"> przyrost</w:t>
      </w:r>
      <w:r w:rsidR="006934E2">
        <w:t xml:space="preserve"> najtańszych OZ</w:t>
      </w:r>
      <w:r w:rsidR="00DD62B7">
        <w:t>E (</w:t>
      </w:r>
      <w:r w:rsidR="005A74D5">
        <w:t>tj.</w:t>
      </w:r>
      <w:r w:rsidR="00376FFB">
        <w:t> </w:t>
      </w:r>
      <w:r w:rsidR="005A74D5">
        <w:t xml:space="preserve">innych niż te, które </w:t>
      </w:r>
      <w:r w:rsidR="00DD62B7">
        <w:t>osiągają dojrzałość ekonomiczną)</w:t>
      </w:r>
      <w:r w:rsidR="006934E2">
        <w:t xml:space="preserve">. </w:t>
      </w:r>
      <w:r>
        <w:t>Priorytetem jest wsparcie modernizacji i</w:t>
      </w:r>
      <w:r w:rsidR="00FF0E4B">
        <w:t> </w:t>
      </w:r>
      <w:r>
        <w:t>rozbudowy sieci dystrybucyjnych i przesyłowych</w:t>
      </w:r>
      <w:r w:rsidR="003036B9">
        <w:t xml:space="preserve"> (</w:t>
      </w:r>
      <w:r>
        <w:t>w tym inteligentnych rozwiązań</w:t>
      </w:r>
      <w:r w:rsidR="003036B9">
        <w:t>)</w:t>
      </w:r>
      <w:r w:rsidR="00F24EAA">
        <w:t>,</w:t>
      </w:r>
      <w:r>
        <w:t xml:space="preserve"> różnych sposobów magazynowania energii, mechanizmów zarządzania popytem oraz zapewnienie wystarczalności mocy i</w:t>
      </w:r>
      <w:r w:rsidR="00FF0E4B">
        <w:t> </w:t>
      </w:r>
      <w:r>
        <w:t>elastyczności systemu</w:t>
      </w:r>
      <w:r w:rsidR="006D2C23">
        <w:t>, m.in.</w:t>
      </w:r>
      <w:r>
        <w:t xml:space="preserve"> poprzez rozwój dyspozycyjnych elektrowni opartych o gazy </w:t>
      </w:r>
      <w:r w:rsidR="007068DC">
        <w:t xml:space="preserve">zdekarbonizowane (odnawialne i niskoemisyjne) </w:t>
      </w:r>
      <w:r>
        <w:t xml:space="preserve">tj. wodór, biogaz, biometan, amoniak. </w:t>
      </w:r>
      <w:r w:rsidR="00741069" w:rsidRPr="00F47689">
        <w:t>Ze względu na niedostateczn</w:t>
      </w:r>
      <w:r w:rsidR="006D2C23">
        <w:t>y</w:t>
      </w:r>
      <w:r w:rsidR="00741069" w:rsidRPr="00F47689">
        <w:t xml:space="preserve"> rozw</w:t>
      </w:r>
      <w:r w:rsidR="006D2C23">
        <w:t>ój</w:t>
      </w:r>
      <w:r w:rsidR="00741069">
        <w:t xml:space="preserve"> tych rozwiązań,</w:t>
      </w:r>
      <w:r w:rsidR="00741069" w:rsidRPr="006934E2">
        <w:rPr>
          <w:b/>
          <w:bCs/>
        </w:rPr>
        <w:t xml:space="preserve"> </w:t>
      </w:r>
      <w:r w:rsidR="00741069">
        <w:rPr>
          <w:b/>
          <w:bCs/>
        </w:rPr>
        <w:t>w</w:t>
      </w:r>
      <w:r w:rsidRPr="006934E2">
        <w:rPr>
          <w:b/>
          <w:bCs/>
        </w:rPr>
        <w:t xml:space="preserve"> przejściowym okresie transformacji </w:t>
      </w:r>
      <w:r>
        <w:t>ważną rolę w</w:t>
      </w:r>
      <w:r w:rsidR="00660495">
        <w:t> </w:t>
      </w:r>
      <w:r>
        <w:t xml:space="preserve">uzupełnianiu bilansu elektroenergetycznego będą mieć </w:t>
      </w:r>
      <w:r w:rsidR="00741069">
        <w:t>j</w:t>
      </w:r>
      <w:r>
        <w:t>ednostki oparte o</w:t>
      </w:r>
      <w:r w:rsidR="00867D4A">
        <w:t> </w:t>
      </w:r>
      <w:r>
        <w:t>gaz ziemny i </w:t>
      </w:r>
      <w:r w:rsidR="006934E2">
        <w:t>–</w:t>
      </w:r>
      <w:r w:rsidR="003036B9">
        <w:t xml:space="preserve"> </w:t>
      </w:r>
      <w:r>
        <w:t>w coraz mniejszym stopniu</w:t>
      </w:r>
      <w:r w:rsidR="003036B9">
        <w:t xml:space="preserve"> </w:t>
      </w:r>
      <w:r w:rsidR="006934E2">
        <w:t>–</w:t>
      </w:r>
      <w:r>
        <w:t xml:space="preserve"> elektrownie węglowe.</w:t>
      </w:r>
      <w:r w:rsidR="00741069">
        <w:t xml:space="preserve"> </w:t>
      </w:r>
      <w:r w:rsidR="00FF0E4B">
        <w:t>Przy czym jednostki gazowe będą mogły wykorzystywać również wymienione wyżej inne gazy.</w:t>
      </w:r>
    </w:p>
    <w:p w14:paraId="7C562471" w14:textId="7CEBF962" w:rsidR="006D7CAC" w:rsidRPr="001E6751" w:rsidRDefault="00586D95" w:rsidP="005C4530">
      <w:pPr>
        <w:rPr>
          <w:szCs w:val="20"/>
        </w:rPr>
      </w:pPr>
      <w:r w:rsidRPr="00A546C1">
        <w:rPr>
          <w:szCs w:val="20"/>
        </w:rPr>
        <w:t xml:space="preserve">W celu przeprowadzenia głębokiej dekarbonizacji </w:t>
      </w:r>
      <w:r w:rsidR="00FF0E4B">
        <w:rPr>
          <w:szCs w:val="20"/>
        </w:rPr>
        <w:t xml:space="preserve">może być </w:t>
      </w:r>
      <w:r w:rsidRPr="00A546C1">
        <w:rPr>
          <w:szCs w:val="20"/>
        </w:rPr>
        <w:t>wdrażana również technologia wychwyt</w:t>
      </w:r>
      <w:r>
        <w:rPr>
          <w:szCs w:val="20"/>
        </w:rPr>
        <w:t>u</w:t>
      </w:r>
      <w:r w:rsidRPr="00A546C1">
        <w:rPr>
          <w:szCs w:val="20"/>
        </w:rPr>
        <w:t xml:space="preserve"> </w:t>
      </w:r>
      <w:r w:rsidR="00EA7880">
        <w:rPr>
          <w:szCs w:val="20"/>
        </w:rPr>
        <w:t>i</w:t>
      </w:r>
      <w:r w:rsidR="004E1F10">
        <w:rPr>
          <w:szCs w:val="20"/>
        </w:rPr>
        <w:t> </w:t>
      </w:r>
      <w:r w:rsidRPr="00A546C1">
        <w:rPr>
          <w:szCs w:val="20"/>
        </w:rPr>
        <w:t>składowani</w:t>
      </w:r>
      <w:r>
        <w:rPr>
          <w:szCs w:val="20"/>
        </w:rPr>
        <w:t>a</w:t>
      </w:r>
      <w:r w:rsidRPr="00A546C1">
        <w:rPr>
          <w:szCs w:val="20"/>
        </w:rPr>
        <w:t xml:space="preserve"> CO</w:t>
      </w:r>
      <w:r w:rsidRPr="003C02F1">
        <w:rPr>
          <w:szCs w:val="20"/>
          <w:vertAlign w:val="subscript"/>
        </w:rPr>
        <w:t>2</w:t>
      </w:r>
      <w:r>
        <w:rPr>
          <w:szCs w:val="20"/>
        </w:rPr>
        <w:t xml:space="preserve"> – CCS</w:t>
      </w:r>
      <w:r w:rsidRPr="00A546C1">
        <w:rPr>
          <w:szCs w:val="20"/>
        </w:rPr>
        <w:t xml:space="preserve"> oraz wychwyt</w:t>
      </w:r>
      <w:r>
        <w:rPr>
          <w:szCs w:val="20"/>
        </w:rPr>
        <w:t>u</w:t>
      </w:r>
      <w:r w:rsidRPr="00A546C1">
        <w:rPr>
          <w:szCs w:val="20"/>
        </w:rPr>
        <w:t xml:space="preserve"> i wykorzystani</w:t>
      </w:r>
      <w:r>
        <w:rPr>
          <w:szCs w:val="20"/>
        </w:rPr>
        <w:t>a</w:t>
      </w:r>
      <w:r w:rsidRPr="00A546C1">
        <w:rPr>
          <w:szCs w:val="20"/>
        </w:rPr>
        <w:t xml:space="preserve"> CO</w:t>
      </w:r>
      <w:r w:rsidRPr="00A546C1">
        <w:rPr>
          <w:szCs w:val="20"/>
          <w:vertAlign w:val="subscript"/>
        </w:rPr>
        <w:t>2</w:t>
      </w:r>
      <w:r>
        <w:rPr>
          <w:szCs w:val="20"/>
        </w:rPr>
        <w:t xml:space="preserve"> – CCU</w:t>
      </w:r>
      <w:r w:rsidRPr="00A546C1">
        <w:rPr>
          <w:szCs w:val="20"/>
        </w:rPr>
        <w:t>. Zastosowanie tych technologii będzie nakierowane</w:t>
      </w:r>
      <w:r w:rsidR="00142400">
        <w:rPr>
          <w:szCs w:val="20"/>
        </w:rPr>
        <w:t xml:space="preserve"> również</w:t>
      </w:r>
      <w:r w:rsidRPr="00A546C1">
        <w:rPr>
          <w:szCs w:val="20"/>
        </w:rPr>
        <w:t xml:space="preserve"> na wychwytywanie CO</w:t>
      </w:r>
      <w:r w:rsidRPr="00A546C1">
        <w:rPr>
          <w:szCs w:val="20"/>
          <w:vertAlign w:val="subscript"/>
        </w:rPr>
        <w:t>2</w:t>
      </w:r>
      <w:r w:rsidRPr="00A546C1">
        <w:rPr>
          <w:szCs w:val="20"/>
        </w:rPr>
        <w:t xml:space="preserve"> z innych źródeł niż paliwa kopalne (bio-CCS)</w:t>
      </w:r>
      <w:r w:rsidR="000748F8">
        <w:rPr>
          <w:rStyle w:val="Odwoanieprzypisudolnego"/>
          <w:szCs w:val="20"/>
        </w:rPr>
        <w:footnoteReference w:id="22"/>
      </w:r>
      <w:r w:rsidR="005457D4">
        <w:rPr>
          <w:szCs w:val="20"/>
        </w:rPr>
        <w:t>.</w:t>
      </w:r>
    </w:p>
    <w:p w14:paraId="2A013F65" w14:textId="143BC01B" w:rsidR="00080BA7" w:rsidRPr="00C46DAA" w:rsidRDefault="00080BA7" w:rsidP="00F6387B">
      <w:pPr>
        <w:pStyle w:val="PaMs"/>
      </w:pPr>
      <w:r w:rsidRPr="00C46DAA">
        <w:t>DZIAŁANIA</w:t>
      </w:r>
    </w:p>
    <w:p w14:paraId="3F86B72B" w14:textId="1C85CD57" w:rsidR="004827C7" w:rsidRPr="00B461EA" w:rsidRDefault="004827C7" w:rsidP="003530A9">
      <w:pPr>
        <w:pStyle w:val="Akapitzlist"/>
        <w:numPr>
          <w:ilvl w:val="0"/>
          <w:numId w:val="14"/>
        </w:numPr>
        <w:rPr>
          <w:szCs w:val="20"/>
        </w:rPr>
      </w:pPr>
      <w:r w:rsidRPr="00B461EA">
        <w:rPr>
          <w:szCs w:val="20"/>
        </w:rPr>
        <w:fldChar w:fldCharType="begin"/>
      </w:r>
      <w:r w:rsidRPr="00B461EA">
        <w:rPr>
          <w:szCs w:val="20"/>
        </w:rPr>
        <w:instrText xml:space="preserve"> REF _Ref195881549 \h </w:instrText>
      </w:r>
      <w:r w:rsidR="00B461EA">
        <w:rPr>
          <w:szCs w:val="20"/>
        </w:rPr>
        <w:instrText xml:space="preserve"> \* MERGEFORMAT </w:instrText>
      </w:r>
      <w:r w:rsidRPr="00B461EA">
        <w:rPr>
          <w:szCs w:val="20"/>
        </w:rPr>
      </w:r>
      <w:r w:rsidRPr="00B461EA">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1</w:t>
      </w:r>
      <w:r w:rsidR="00871DD5" w:rsidRPr="00871DD5">
        <w:rPr>
          <w:rStyle w:val="Nagwek6Znak"/>
          <w:rFonts w:ascii="Lato" w:hAnsi="Lato"/>
          <w:b w:val="0"/>
        </w:rPr>
        <w:t>.</w:t>
      </w:r>
      <w:r w:rsidR="00871DD5" w:rsidRPr="008A084B">
        <w:t xml:space="preserve"> Uczestnictwo w systemie handlu emisjami EU-ETS</w:t>
      </w:r>
      <w:r w:rsidRPr="00B461EA">
        <w:rPr>
          <w:szCs w:val="20"/>
        </w:rPr>
        <w:fldChar w:fldCharType="end"/>
      </w:r>
    </w:p>
    <w:p w14:paraId="4293C598" w14:textId="4EFAF8F8" w:rsidR="004827C7" w:rsidRPr="00B461EA" w:rsidRDefault="004827C7" w:rsidP="003530A9">
      <w:pPr>
        <w:pStyle w:val="Akapitzlist"/>
        <w:numPr>
          <w:ilvl w:val="0"/>
          <w:numId w:val="14"/>
        </w:numPr>
        <w:rPr>
          <w:szCs w:val="20"/>
        </w:rPr>
      </w:pPr>
      <w:r w:rsidRPr="00B461EA">
        <w:rPr>
          <w:szCs w:val="20"/>
        </w:rPr>
        <w:fldChar w:fldCharType="begin"/>
      </w:r>
      <w:r w:rsidRPr="00B461EA">
        <w:rPr>
          <w:szCs w:val="20"/>
        </w:rPr>
        <w:instrText xml:space="preserve"> REF _Ref195881562 \h </w:instrText>
      </w:r>
      <w:r w:rsidR="00B461EA">
        <w:rPr>
          <w:szCs w:val="20"/>
        </w:rPr>
        <w:instrText xml:space="preserve"> \* MERGEFORMAT </w:instrText>
      </w:r>
      <w:r w:rsidRPr="00B461EA">
        <w:rPr>
          <w:szCs w:val="20"/>
        </w:rPr>
      </w:r>
      <w:r w:rsidRPr="00B461EA">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2</w:t>
      </w:r>
      <w:r w:rsidR="00871DD5" w:rsidRPr="00871DD5">
        <w:rPr>
          <w:rStyle w:val="Nagwek6Znak"/>
          <w:rFonts w:ascii="Lato" w:hAnsi="Lato"/>
          <w:b w:val="0"/>
        </w:rPr>
        <w:t xml:space="preserve">. </w:t>
      </w:r>
      <w:r w:rsidR="00871DD5" w:rsidRPr="00077D7F">
        <w:t>Instrument finansowy – Fundusz Modernizacyjny</w:t>
      </w:r>
      <w:r w:rsidRPr="00B461EA">
        <w:rPr>
          <w:szCs w:val="20"/>
        </w:rPr>
        <w:fldChar w:fldCharType="end"/>
      </w:r>
    </w:p>
    <w:p w14:paraId="609B7F77" w14:textId="44EE332E" w:rsidR="004827C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_Ref195881624 \h </w:instrText>
      </w:r>
      <w:r w:rsidR="00B461EA">
        <w:rPr>
          <w:szCs w:val="20"/>
        </w:rPr>
        <w:instrText xml:space="preserve"> \* MERGEFORMAT </w:instrText>
      </w:r>
      <w:r w:rsidRPr="00B461EA">
        <w:rPr>
          <w:szCs w:val="20"/>
        </w:rPr>
      </w:r>
      <w:r w:rsidRPr="00B461EA">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4</w:t>
      </w:r>
      <w:r w:rsidR="00871DD5" w:rsidRPr="00871DD5">
        <w:rPr>
          <w:rStyle w:val="Nagwek6Znak"/>
          <w:rFonts w:ascii="Lato" w:hAnsi="Lato"/>
          <w:b w:val="0"/>
        </w:rPr>
        <w:t>.</w:t>
      </w:r>
      <w:r w:rsidR="00871DD5" w:rsidRPr="00544917">
        <w:t xml:space="preserve"> Instrument finansowy – obowiązek zakupu energii elektrycznej wytwarzanej w</w:t>
      </w:r>
      <w:r w:rsidR="00871DD5" w:rsidRPr="00544917">
        <w:rPr>
          <w:rFonts w:ascii="Arial" w:hAnsi="Arial" w:cs="Arial"/>
        </w:rPr>
        <w:t> </w:t>
      </w:r>
      <w:r w:rsidR="00871DD5" w:rsidRPr="00544917">
        <w:t>instalacjach OZE (z określonym progiem mocy)</w:t>
      </w:r>
      <w:r w:rsidRPr="00B461EA">
        <w:rPr>
          <w:szCs w:val="20"/>
        </w:rPr>
        <w:fldChar w:fldCharType="end"/>
      </w:r>
    </w:p>
    <w:p w14:paraId="4A93ED69" w14:textId="79B82280" w:rsidR="00DE7C8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_Ref195881636 \h </w:instrText>
      </w:r>
      <w:r w:rsidR="00B461EA">
        <w:rPr>
          <w:szCs w:val="20"/>
        </w:rPr>
        <w:instrText xml:space="preserve"> \* MERGEFORMAT </w:instrText>
      </w:r>
      <w:r w:rsidRPr="00B461EA">
        <w:rPr>
          <w:szCs w:val="20"/>
        </w:rPr>
      </w:r>
      <w:r w:rsidRPr="00B461EA">
        <w:rPr>
          <w:szCs w:val="20"/>
        </w:rPr>
        <w:fldChar w:fldCharType="separate"/>
      </w:r>
      <w:r w:rsidR="00871DD5">
        <w:t xml:space="preserve">Działanie </w:t>
      </w:r>
      <w:r w:rsidR="00871DD5">
        <w:rPr>
          <w:noProof/>
        </w:rPr>
        <w:t>5</w:t>
      </w:r>
      <w:r w:rsidR="00871DD5">
        <w:t xml:space="preserve">. </w:t>
      </w:r>
      <w:r w:rsidR="00871DD5" w:rsidRPr="00AF1A69">
        <w:t>Instrument finansowy – system świadectw pochodzenia OZE</w:t>
      </w:r>
      <w:r w:rsidRPr="00B461EA">
        <w:rPr>
          <w:szCs w:val="20"/>
        </w:rPr>
        <w:fldChar w:fldCharType="end"/>
      </w:r>
    </w:p>
    <w:p w14:paraId="285C8B34" w14:textId="63E7957D" w:rsidR="00DE7C8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_Ref195881646 \h </w:instrText>
      </w:r>
      <w:r w:rsidR="00B461EA">
        <w:rPr>
          <w:szCs w:val="20"/>
        </w:rPr>
        <w:instrText xml:space="preserve"> \* MERGEFORMAT </w:instrText>
      </w:r>
      <w:r w:rsidRPr="00B461EA">
        <w:rPr>
          <w:szCs w:val="20"/>
        </w:rPr>
      </w:r>
      <w:r w:rsidRPr="00B461EA">
        <w:rPr>
          <w:szCs w:val="20"/>
        </w:rPr>
        <w:fldChar w:fldCharType="separate"/>
      </w:r>
      <w:r w:rsidR="00871DD5">
        <w:t xml:space="preserve">Działanie </w:t>
      </w:r>
      <w:r w:rsidR="00871DD5">
        <w:rPr>
          <w:noProof/>
        </w:rPr>
        <w:t>6</w:t>
      </w:r>
      <w:r w:rsidR="00871DD5">
        <w:t xml:space="preserve">. </w:t>
      </w:r>
      <w:r w:rsidR="00871DD5" w:rsidRPr="0052561B">
        <w:t>Instrument finansowy – aukcyjny system OZE</w:t>
      </w:r>
      <w:r w:rsidRPr="00B461EA">
        <w:rPr>
          <w:szCs w:val="20"/>
        </w:rPr>
        <w:fldChar w:fldCharType="end"/>
      </w:r>
    </w:p>
    <w:p w14:paraId="7FE7A19A" w14:textId="196CCAE3" w:rsidR="00DE7C8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_Ref195881655 \h </w:instrText>
      </w:r>
      <w:r w:rsidR="00B461EA">
        <w:rPr>
          <w:szCs w:val="20"/>
        </w:rPr>
        <w:instrText xml:space="preserve"> \* MERGEFORMAT </w:instrText>
      </w:r>
      <w:r w:rsidRPr="00B461EA">
        <w:rPr>
          <w:szCs w:val="20"/>
        </w:rPr>
      </w:r>
      <w:r w:rsidRPr="00B461EA">
        <w:rPr>
          <w:szCs w:val="20"/>
        </w:rPr>
        <w:fldChar w:fldCharType="separate"/>
      </w:r>
      <w:r w:rsidR="00871DD5">
        <w:t xml:space="preserve">Działanie </w:t>
      </w:r>
      <w:r w:rsidR="00871DD5">
        <w:rPr>
          <w:noProof/>
        </w:rPr>
        <w:t>7</w:t>
      </w:r>
      <w:r w:rsidR="00871DD5">
        <w:t xml:space="preserve">. </w:t>
      </w:r>
      <w:r w:rsidR="00871DD5" w:rsidRPr="00474B9E">
        <w:t xml:space="preserve">Instrument finansowy – kontrakty różnicowe </w:t>
      </w:r>
      <w:r w:rsidR="00871DD5">
        <w:t xml:space="preserve">na wytwarzanie </w:t>
      </w:r>
      <w:r w:rsidR="00871DD5" w:rsidRPr="00474B9E">
        <w:t>energii elektrycznej w morskich farmach wiatrowych</w:t>
      </w:r>
      <w:r w:rsidRPr="00B461EA">
        <w:rPr>
          <w:szCs w:val="20"/>
        </w:rPr>
        <w:fldChar w:fldCharType="end"/>
      </w:r>
    </w:p>
    <w:p w14:paraId="39FF88DF" w14:textId="2837D142" w:rsidR="00DE7C8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_Ref195881674 \h </w:instrText>
      </w:r>
      <w:r w:rsidR="00B461EA">
        <w:rPr>
          <w:szCs w:val="20"/>
        </w:rPr>
        <w:instrText xml:space="preserve"> \* MERGEFORMAT </w:instrText>
      </w:r>
      <w:r w:rsidRPr="00B461EA">
        <w:rPr>
          <w:szCs w:val="20"/>
        </w:rPr>
      </w:r>
      <w:r w:rsidRPr="00B461EA">
        <w:rPr>
          <w:szCs w:val="20"/>
        </w:rPr>
        <w:fldChar w:fldCharType="separate"/>
      </w:r>
      <w:r w:rsidR="00871DD5">
        <w:t xml:space="preserve">Działanie </w:t>
      </w:r>
      <w:r w:rsidR="00871DD5">
        <w:rPr>
          <w:noProof/>
        </w:rPr>
        <w:t>8</w:t>
      </w:r>
      <w:r w:rsidR="00871DD5">
        <w:t xml:space="preserve">. </w:t>
      </w:r>
      <w:r w:rsidR="00871DD5" w:rsidRPr="00C467FB">
        <w:t>Pakiet wsparcia rozwoju morskiej energetyki wiatrowej</w:t>
      </w:r>
      <w:r w:rsidRPr="00B461EA">
        <w:rPr>
          <w:szCs w:val="20"/>
        </w:rPr>
        <w:fldChar w:fldCharType="end"/>
      </w:r>
    </w:p>
    <w:p w14:paraId="48A943B7" w14:textId="25290234" w:rsidR="00DE7C8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_Ref195881678 \h </w:instrText>
      </w:r>
      <w:r w:rsidR="00B461EA">
        <w:rPr>
          <w:szCs w:val="20"/>
        </w:rPr>
        <w:instrText xml:space="preserve"> \* MERGEFORMAT </w:instrText>
      </w:r>
      <w:r w:rsidRPr="00B461EA">
        <w:rPr>
          <w:szCs w:val="20"/>
        </w:rPr>
      </w:r>
      <w:r w:rsidRPr="00B461EA">
        <w:rPr>
          <w:szCs w:val="20"/>
        </w:rPr>
        <w:fldChar w:fldCharType="separate"/>
      </w:r>
      <w:r w:rsidR="00871DD5">
        <w:t xml:space="preserve">Działanie </w:t>
      </w:r>
      <w:r w:rsidR="00871DD5">
        <w:rPr>
          <w:noProof/>
        </w:rPr>
        <w:t>9</w:t>
      </w:r>
      <w:r w:rsidR="00871DD5">
        <w:t xml:space="preserve">. </w:t>
      </w:r>
      <w:r w:rsidR="00871DD5" w:rsidRPr="0053520E">
        <w:t>Przyspieszenie rozwoju lądowej energetyki wiatrowej</w:t>
      </w:r>
      <w:r w:rsidRPr="00B461EA">
        <w:rPr>
          <w:szCs w:val="20"/>
        </w:rPr>
        <w:fldChar w:fldCharType="end"/>
      </w:r>
    </w:p>
    <w:p w14:paraId="49B4CC20" w14:textId="4BE75ACE" w:rsidR="00DE7C87" w:rsidRPr="00B461EA" w:rsidRDefault="00DE7C87" w:rsidP="003530A9">
      <w:pPr>
        <w:pStyle w:val="Akapitzlist"/>
        <w:numPr>
          <w:ilvl w:val="0"/>
          <w:numId w:val="14"/>
        </w:numPr>
        <w:rPr>
          <w:szCs w:val="20"/>
        </w:rPr>
      </w:pPr>
      <w:r w:rsidRPr="00B461EA">
        <w:rPr>
          <w:szCs w:val="20"/>
        </w:rPr>
        <w:fldChar w:fldCharType="begin"/>
      </w:r>
      <w:r w:rsidRPr="00B461EA">
        <w:rPr>
          <w:szCs w:val="20"/>
        </w:rPr>
        <w:instrText xml:space="preserve"> REF _Ref195881682 \h </w:instrText>
      </w:r>
      <w:r w:rsidR="00B461EA">
        <w:rPr>
          <w:szCs w:val="20"/>
        </w:rPr>
        <w:instrText xml:space="preserve"> \* MERGEFORMAT </w:instrText>
      </w:r>
      <w:r w:rsidRPr="00B461EA">
        <w:rPr>
          <w:szCs w:val="20"/>
        </w:rPr>
      </w:r>
      <w:r w:rsidRPr="00B461EA">
        <w:rPr>
          <w:szCs w:val="20"/>
        </w:rPr>
        <w:fldChar w:fldCharType="separate"/>
      </w:r>
      <w:r w:rsidR="00871DD5">
        <w:t xml:space="preserve">Działanie </w:t>
      </w:r>
      <w:r w:rsidR="00871DD5">
        <w:rPr>
          <w:noProof/>
        </w:rPr>
        <w:t>10</w:t>
      </w:r>
      <w:r w:rsidR="00871DD5">
        <w:t xml:space="preserve">. </w:t>
      </w:r>
      <w:r w:rsidR="00871DD5" w:rsidRPr="00796696">
        <w:t>Przyspieszenie rozwoju fotowoltaik</w:t>
      </w:r>
      <w:r w:rsidR="00871DD5">
        <w:t>i</w:t>
      </w:r>
      <w:r w:rsidRPr="00B461EA">
        <w:rPr>
          <w:szCs w:val="20"/>
        </w:rPr>
        <w:fldChar w:fldCharType="end"/>
      </w:r>
    </w:p>
    <w:p w14:paraId="473AA13E" w14:textId="12A1F03C" w:rsidR="00DE7C87" w:rsidRDefault="00DE7C87" w:rsidP="003530A9">
      <w:pPr>
        <w:pStyle w:val="Akapitzlist"/>
        <w:numPr>
          <w:ilvl w:val="0"/>
          <w:numId w:val="14"/>
        </w:numPr>
        <w:rPr>
          <w:szCs w:val="20"/>
        </w:rPr>
      </w:pPr>
      <w:r>
        <w:rPr>
          <w:szCs w:val="20"/>
        </w:rPr>
        <w:fldChar w:fldCharType="begin"/>
      </w:r>
      <w:r>
        <w:rPr>
          <w:szCs w:val="20"/>
        </w:rPr>
        <w:instrText xml:space="preserve"> REF _Ref195881691 \h </w:instrText>
      </w:r>
      <w:r>
        <w:rPr>
          <w:szCs w:val="20"/>
        </w:rPr>
      </w:r>
      <w:r>
        <w:rPr>
          <w:szCs w:val="20"/>
        </w:rPr>
        <w:fldChar w:fldCharType="separate"/>
      </w:r>
      <w:r w:rsidR="00871DD5">
        <w:t xml:space="preserve">Działanie </w:t>
      </w:r>
      <w:r w:rsidR="00871DD5">
        <w:rPr>
          <w:noProof/>
        </w:rPr>
        <w:t>11</w:t>
      </w:r>
      <w:r w:rsidR="00871DD5">
        <w:t xml:space="preserve">. </w:t>
      </w:r>
      <w:r w:rsidR="00871DD5" w:rsidRPr="009D065B">
        <w:t>Instrument finansowy – system taryf gwarantowanych i dopłat do cen rynkowych</w:t>
      </w:r>
      <w:r>
        <w:rPr>
          <w:szCs w:val="20"/>
        </w:rPr>
        <w:fldChar w:fldCharType="end"/>
      </w:r>
    </w:p>
    <w:p w14:paraId="232D474E" w14:textId="78C53318" w:rsidR="00DE7C87" w:rsidRDefault="00DE7C87" w:rsidP="003530A9">
      <w:pPr>
        <w:pStyle w:val="Akapitzlist"/>
        <w:numPr>
          <w:ilvl w:val="0"/>
          <w:numId w:val="14"/>
        </w:numPr>
        <w:rPr>
          <w:szCs w:val="20"/>
        </w:rPr>
      </w:pPr>
      <w:r>
        <w:rPr>
          <w:szCs w:val="20"/>
        </w:rPr>
        <w:fldChar w:fldCharType="begin"/>
      </w:r>
      <w:r>
        <w:rPr>
          <w:szCs w:val="20"/>
        </w:rPr>
        <w:instrText xml:space="preserve"> REF _Ref195881697 \h </w:instrText>
      </w:r>
      <w:r>
        <w:rPr>
          <w:szCs w:val="20"/>
        </w:rPr>
      </w:r>
      <w:r>
        <w:rPr>
          <w:szCs w:val="20"/>
        </w:rPr>
        <w:fldChar w:fldCharType="separate"/>
      </w:r>
      <w:r w:rsidR="00871DD5">
        <w:t xml:space="preserve">Działanie </w:t>
      </w:r>
      <w:r w:rsidR="00871DD5">
        <w:rPr>
          <w:noProof/>
        </w:rPr>
        <w:t>12</w:t>
      </w:r>
      <w:r w:rsidR="00871DD5">
        <w:t xml:space="preserve">. </w:t>
      </w:r>
      <w:r w:rsidR="00871DD5" w:rsidRPr="00B178F3">
        <w:t>Pakiet wsparcia rozwoju rynku biometanu i biogazu</w:t>
      </w:r>
      <w:r>
        <w:rPr>
          <w:szCs w:val="20"/>
        </w:rPr>
        <w:fldChar w:fldCharType="end"/>
      </w:r>
    </w:p>
    <w:p w14:paraId="3B8123E2" w14:textId="6E2F2B02" w:rsidR="00DE7C87" w:rsidRDefault="00DE7C87" w:rsidP="003530A9">
      <w:pPr>
        <w:pStyle w:val="Akapitzlist"/>
        <w:numPr>
          <w:ilvl w:val="0"/>
          <w:numId w:val="14"/>
        </w:numPr>
        <w:rPr>
          <w:szCs w:val="20"/>
        </w:rPr>
      </w:pPr>
      <w:r>
        <w:rPr>
          <w:szCs w:val="20"/>
        </w:rPr>
        <w:fldChar w:fldCharType="begin"/>
      </w:r>
      <w:r>
        <w:rPr>
          <w:szCs w:val="20"/>
        </w:rPr>
        <w:instrText xml:space="preserve"> REF _Ref195881710 \h </w:instrText>
      </w:r>
      <w:r>
        <w:rPr>
          <w:szCs w:val="20"/>
        </w:rPr>
      </w:r>
      <w:r>
        <w:rPr>
          <w:szCs w:val="20"/>
        </w:rPr>
        <w:fldChar w:fldCharType="separate"/>
      </w:r>
      <w:r w:rsidR="00871DD5">
        <w:t xml:space="preserve">Działanie </w:t>
      </w:r>
      <w:r w:rsidR="00871DD5">
        <w:rPr>
          <w:noProof/>
        </w:rPr>
        <w:t>13</w:t>
      </w:r>
      <w:r w:rsidR="00871DD5">
        <w:t xml:space="preserve">. </w:t>
      </w:r>
      <w:r w:rsidR="00871DD5" w:rsidRPr="0088276F">
        <w:t>Zapewnienie możliwości funkcjonowania obszarów przyspieszonego rozwoju</w:t>
      </w:r>
      <w:r w:rsidR="00871DD5">
        <w:t> </w:t>
      </w:r>
      <w:r w:rsidR="00871DD5" w:rsidRPr="0088276F">
        <w:t>OZE</w:t>
      </w:r>
      <w:r>
        <w:rPr>
          <w:szCs w:val="20"/>
        </w:rPr>
        <w:fldChar w:fldCharType="end"/>
      </w:r>
    </w:p>
    <w:p w14:paraId="1DC56770" w14:textId="6E2FCA56" w:rsidR="00DE7C87" w:rsidRDefault="00DE7C87" w:rsidP="003530A9">
      <w:pPr>
        <w:pStyle w:val="Akapitzlist"/>
        <w:numPr>
          <w:ilvl w:val="0"/>
          <w:numId w:val="14"/>
        </w:numPr>
        <w:rPr>
          <w:szCs w:val="20"/>
        </w:rPr>
      </w:pPr>
      <w:r>
        <w:rPr>
          <w:szCs w:val="20"/>
        </w:rPr>
        <w:fldChar w:fldCharType="begin"/>
      </w:r>
      <w:r>
        <w:rPr>
          <w:szCs w:val="20"/>
        </w:rPr>
        <w:instrText xml:space="preserve"> REF _Ref195881713 \h </w:instrText>
      </w:r>
      <w:r>
        <w:rPr>
          <w:szCs w:val="20"/>
        </w:rPr>
      </w:r>
      <w:r>
        <w:rPr>
          <w:szCs w:val="20"/>
        </w:rPr>
        <w:fldChar w:fldCharType="separate"/>
      </w:r>
      <w:r w:rsidR="00871DD5">
        <w:t xml:space="preserve">Działanie </w:t>
      </w:r>
      <w:r w:rsidR="00871DD5">
        <w:rPr>
          <w:noProof/>
        </w:rPr>
        <w:t>14</w:t>
      </w:r>
      <w:r w:rsidR="00871DD5">
        <w:t xml:space="preserve">. </w:t>
      </w:r>
      <w:r w:rsidR="00871DD5" w:rsidRPr="00FC0840">
        <w:t>Instrument finansowy – Program Priorytetowy NFOŚiGW – „Mój Prąd”</w:t>
      </w:r>
      <w:r>
        <w:rPr>
          <w:szCs w:val="20"/>
        </w:rPr>
        <w:fldChar w:fldCharType="end"/>
      </w:r>
    </w:p>
    <w:p w14:paraId="2DEBDE0D" w14:textId="1162392E" w:rsidR="00DE7C87" w:rsidRDefault="00DE7C87" w:rsidP="003530A9">
      <w:pPr>
        <w:pStyle w:val="Akapitzlist"/>
        <w:numPr>
          <w:ilvl w:val="0"/>
          <w:numId w:val="14"/>
        </w:numPr>
        <w:rPr>
          <w:szCs w:val="20"/>
        </w:rPr>
      </w:pPr>
      <w:r>
        <w:rPr>
          <w:szCs w:val="20"/>
        </w:rPr>
        <w:fldChar w:fldCharType="begin"/>
      </w:r>
      <w:r>
        <w:rPr>
          <w:szCs w:val="20"/>
        </w:rPr>
        <w:instrText xml:space="preserve"> REF _Ref195881727 \h </w:instrText>
      </w:r>
      <w:r>
        <w:rPr>
          <w:szCs w:val="20"/>
        </w:rPr>
      </w:r>
      <w:r>
        <w:rPr>
          <w:szCs w:val="20"/>
        </w:rPr>
        <w:fldChar w:fldCharType="separate"/>
      </w:r>
      <w:r w:rsidR="00871DD5">
        <w:t xml:space="preserve">Działanie </w:t>
      </w:r>
      <w:r w:rsidR="00871DD5">
        <w:rPr>
          <w:noProof/>
        </w:rPr>
        <w:t>17</w:t>
      </w:r>
      <w:r w:rsidR="00871DD5">
        <w:t>.</w:t>
      </w:r>
      <w:r w:rsidR="00871DD5" w:rsidRPr="00077D7F">
        <w:rPr>
          <w:lang w:eastAsia="pl-PL"/>
        </w:rPr>
        <w:t xml:space="preserve"> Rozwój rynku </w:t>
      </w:r>
      <w:r w:rsidR="00871DD5" w:rsidRPr="00731E3F">
        <w:t>magazynów</w:t>
      </w:r>
      <w:r w:rsidR="00871DD5" w:rsidRPr="00077D7F">
        <w:rPr>
          <w:lang w:eastAsia="pl-PL"/>
        </w:rPr>
        <w:t xml:space="preserve"> energii elektrycznej oraz magazynów ciepła</w:t>
      </w:r>
      <w:r>
        <w:rPr>
          <w:szCs w:val="20"/>
        </w:rPr>
        <w:fldChar w:fldCharType="end"/>
      </w:r>
    </w:p>
    <w:p w14:paraId="36FBC29A" w14:textId="50960BE5" w:rsidR="00474835" w:rsidRDefault="00474835" w:rsidP="003530A9">
      <w:pPr>
        <w:pStyle w:val="Akapitzlist"/>
        <w:numPr>
          <w:ilvl w:val="0"/>
          <w:numId w:val="14"/>
        </w:numPr>
        <w:rPr>
          <w:szCs w:val="20"/>
        </w:rPr>
      </w:pPr>
      <w:r>
        <w:rPr>
          <w:szCs w:val="20"/>
        </w:rPr>
        <w:fldChar w:fldCharType="begin"/>
      </w:r>
      <w:r>
        <w:rPr>
          <w:szCs w:val="20"/>
        </w:rPr>
        <w:instrText xml:space="preserve"> REF _Ref195881603 \h </w:instrText>
      </w:r>
      <w:r>
        <w:rPr>
          <w:szCs w:val="20"/>
        </w:rPr>
      </w:r>
      <w:r>
        <w:rPr>
          <w:szCs w:val="20"/>
        </w:rPr>
        <w:fldChar w:fldCharType="separate"/>
      </w:r>
      <w:r w:rsidR="00871DD5">
        <w:t xml:space="preserve">Działanie </w:t>
      </w:r>
      <w:r w:rsidR="00871DD5">
        <w:rPr>
          <w:noProof/>
        </w:rPr>
        <w:t>18</w:t>
      </w:r>
      <w:r w:rsidR="00871DD5">
        <w:t xml:space="preserve">. </w:t>
      </w:r>
      <w:r w:rsidR="00871DD5" w:rsidRPr="002123E7">
        <w:t>Rozw</w:t>
      </w:r>
      <w:r w:rsidR="00871DD5">
        <w:t>ó</w:t>
      </w:r>
      <w:r w:rsidR="00871DD5" w:rsidRPr="002123E7">
        <w:t xml:space="preserve">j </w:t>
      </w:r>
      <w:r w:rsidR="00871DD5">
        <w:t>o</w:t>
      </w:r>
      <w:r w:rsidR="00871DD5" w:rsidRPr="002123E7">
        <w:t xml:space="preserve">bywatelskich </w:t>
      </w:r>
      <w:r w:rsidR="00871DD5">
        <w:t>s</w:t>
      </w:r>
      <w:r w:rsidR="00871DD5" w:rsidRPr="002123E7">
        <w:t xml:space="preserve">połeczności </w:t>
      </w:r>
      <w:r w:rsidR="00871DD5">
        <w:t>e</w:t>
      </w:r>
      <w:r w:rsidR="00871DD5" w:rsidRPr="002123E7">
        <w:t>nergetycznych (OSE)</w:t>
      </w:r>
      <w:r>
        <w:rPr>
          <w:szCs w:val="20"/>
        </w:rPr>
        <w:fldChar w:fldCharType="end"/>
      </w:r>
    </w:p>
    <w:p w14:paraId="6A0A451E" w14:textId="00415C9D" w:rsidR="00B461EA" w:rsidRDefault="00B461EA" w:rsidP="003530A9">
      <w:pPr>
        <w:pStyle w:val="Akapitzlist"/>
        <w:numPr>
          <w:ilvl w:val="0"/>
          <w:numId w:val="14"/>
        </w:numPr>
        <w:rPr>
          <w:szCs w:val="20"/>
        </w:rPr>
      </w:pPr>
      <w:r>
        <w:rPr>
          <w:szCs w:val="20"/>
        </w:rPr>
        <w:fldChar w:fldCharType="begin"/>
      </w:r>
      <w:r>
        <w:rPr>
          <w:szCs w:val="20"/>
        </w:rPr>
        <w:instrText xml:space="preserve"> REF _Ref195882268 \h </w:instrText>
      </w:r>
      <w:r>
        <w:rPr>
          <w:szCs w:val="20"/>
        </w:rPr>
      </w:r>
      <w:r>
        <w:rPr>
          <w:szCs w:val="20"/>
        </w:rPr>
        <w:fldChar w:fldCharType="separate"/>
      </w:r>
      <w:r w:rsidR="00871DD5">
        <w:t xml:space="preserve">Działanie </w:t>
      </w:r>
      <w:r w:rsidR="00871DD5">
        <w:rPr>
          <w:noProof/>
        </w:rPr>
        <w:t>19</w:t>
      </w:r>
      <w:r w:rsidR="00871DD5">
        <w:t xml:space="preserve">. </w:t>
      </w:r>
      <w:r w:rsidR="00871DD5" w:rsidRPr="00ED04BA">
        <w:t>Rozwój i usprawniania w zakresie funkcjonowania spółdzielni energetycznych</w:t>
      </w:r>
      <w:r>
        <w:rPr>
          <w:szCs w:val="20"/>
        </w:rPr>
        <w:fldChar w:fldCharType="end"/>
      </w:r>
    </w:p>
    <w:p w14:paraId="2DF9B5CF" w14:textId="073C37F0" w:rsidR="00B461EA" w:rsidRDefault="00B461EA" w:rsidP="003530A9">
      <w:pPr>
        <w:pStyle w:val="Akapitzlist"/>
        <w:numPr>
          <w:ilvl w:val="0"/>
          <w:numId w:val="14"/>
        </w:numPr>
        <w:rPr>
          <w:szCs w:val="20"/>
        </w:rPr>
      </w:pPr>
      <w:r>
        <w:rPr>
          <w:szCs w:val="20"/>
        </w:rPr>
        <w:fldChar w:fldCharType="begin"/>
      </w:r>
      <w:r>
        <w:rPr>
          <w:szCs w:val="20"/>
        </w:rPr>
        <w:instrText xml:space="preserve"> REF _Ref195882280 \h </w:instrText>
      </w:r>
      <w:r>
        <w:rPr>
          <w:szCs w:val="20"/>
        </w:rPr>
      </w:r>
      <w:r>
        <w:rPr>
          <w:szCs w:val="20"/>
        </w:rPr>
        <w:fldChar w:fldCharType="separate"/>
      </w:r>
      <w:r w:rsidR="00871DD5">
        <w:t xml:space="preserve">Działanie </w:t>
      </w:r>
      <w:r w:rsidR="00871DD5">
        <w:rPr>
          <w:noProof/>
        </w:rPr>
        <w:t>20</w:t>
      </w:r>
      <w:r w:rsidR="00871DD5">
        <w:t xml:space="preserve">. </w:t>
      </w:r>
      <w:r w:rsidR="00871DD5">
        <w:rPr>
          <w:rFonts w:eastAsia="Times New Roman" w:cs="Times New Roman"/>
          <w:bCs/>
          <w:lang w:eastAsia="pl-PL"/>
        </w:rPr>
        <w:t>Rozwój k</w:t>
      </w:r>
      <w:r w:rsidR="00871DD5" w:rsidRPr="0096716D">
        <w:rPr>
          <w:rFonts w:eastAsia="Times New Roman" w:cs="Times New Roman"/>
          <w:bCs/>
          <w:lang w:eastAsia="pl-PL"/>
        </w:rPr>
        <w:t>lastr</w:t>
      </w:r>
      <w:r w:rsidR="00871DD5">
        <w:rPr>
          <w:rFonts w:eastAsia="Times New Roman" w:cs="Times New Roman"/>
          <w:bCs/>
          <w:lang w:eastAsia="pl-PL"/>
        </w:rPr>
        <w:t>ów</w:t>
      </w:r>
      <w:r w:rsidR="00871DD5" w:rsidRPr="0096716D">
        <w:rPr>
          <w:rFonts w:eastAsia="Times New Roman" w:cs="Times New Roman"/>
          <w:bCs/>
          <w:lang w:eastAsia="pl-PL"/>
        </w:rPr>
        <w:t xml:space="preserve"> energii</w:t>
      </w:r>
      <w:r>
        <w:rPr>
          <w:szCs w:val="20"/>
        </w:rPr>
        <w:fldChar w:fldCharType="end"/>
      </w:r>
    </w:p>
    <w:p w14:paraId="6567C91B" w14:textId="6E828521" w:rsidR="00B461EA" w:rsidRDefault="00B461EA" w:rsidP="003530A9">
      <w:pPr>
        <w:pStyle w:val="Akapitzlist"/>
        <w:numPr>
          <w:ilvl w:val="0"/>
          <w:numId w:val="14"/>
        </w:numPr>
        <w:rPr>
          <w:szCs w:val="20"/>
        </w:rPr>
      </w:pPr>
      <w:r>
        <w:rPr>
          <w:szCs w:val="20"/>
        </w:rPr>
        <w:fldChar w:fldCharType="begin"/>
      </w:r>
      <w:r>
        <w:rPr>
          <w:szCs w:val="20"/>
        </w:rPr>
        <w:instrText xml:space="preserve"> REF _Ref195882290 \h </w:instrText>
      </w:r>
      <w:r>
        <w:rPr>
          <w:szCs w:val="20"/>
        </w:rPr>
      </w:r>
      <w:r>
        <w:rPr>
          <w:szCs w:val="20"/>
        </w:rPr>
        <w:fldChar w:fldCharType="separate"/>
      </w:r>
      <w:r w:rsidR="00871DD5">
        <w:t xml:space="preserve">Działanie </w:t>
      </w:r>
      <w:r w:rsidR="00871DD5">
        <w:rPr>
          <w:noProof/>
        </w:rPr>
        <w:t>21</w:t>
      </w:r>
      <w:r w:rsidR="00871DD5">
        <w:t xml:space="preserve">. </w:t>
      </w:r>
      <w:r w:rsidR="00871DD5" w:rsidRPr="00E34034">
        <w:t>Wdrożenie energetyki jądrowej</w:t>
      </w:r>
      <w:r>
        <w:rPr>
          <w:szCs w:val="20"/>
        </w:rPr>
        <w:fldChar w:fldCharType="end"/>
      </w:r>
    </w:p>
    <w:p w14:paraId="535D68C8" w14:textId="3137E7B6" w:rsidR="00B461EA" w:rsidRDefault="00B461EA" w:rsidP="003530A9">
      <w:pPr>
        <w:pStyle w:val="Akapitzlist"/>
        <w:numPr>
          <w:ilvl w:val="0"/>
          <w:numId w:val="14"/>
        </w:numPr>
        <w:rPr>
          <w:szCs w:val="20"/>
        </w:rPr>
      </w:pPr>
      <w:r>
        <w:rPr>
          <w:szCs w:val="20"/>
        </w:rPr>
        <w:lastRenderedPageBreak/>
        <w:fldChar w:fldCharType="begin"/>
      </w:r>
      <w:r>
        <w:rPr>
          <w:szCs w:val="20"/>
        </w:rPr>
        <w:instrText xml:space="preserve"> REF _Ref195882298 \h </w:instrText>
      </w:r>
      <w:r>
        <w:rPr>
          <w:szCs w:val="20"/>
        </w:rPr>
      </w:r>
      <w:r>
        <w:rPr>
          <w:szCs w:val="20"/>
        </w:rPr>
        <w:fldChar w:fldCharType="separate"/>
      </w:r>
      <w:r w:rsidR="00871DD5">
        <w:t xml:space="preserve">Działanie </w:t>
      </w:r>
      <w:r w:rsidR="00871DD5">
        <w:rPr>
          <w:noProof/>
        </w:rPr>
        <w:t>22</w:t>
      </w:r>
      <w:r w:rsidR="00871DD5">
        <w:t xml:space="preserve">. </w:t>
      </w:r>
      <w:r w:rsidR="00871DD5" w:rsidRPr="00D211F4">
        <w:t>Instrument finansowy – Program NFOŚiGW „Elektroenergetyka – Inteligentna infrastruktura energetyczna”</w:t>
      </w:r>
      <w:r>
        <w:rPr>
          <w:szCs w:val="20"/>
        </w:rPr>
        <w:fldChar w:fldCharType="end"/>
      </w:r>
    </w:p>
    <w:p w14:paraId="029B0255" w14:textId="6D8F1301" w:rsidR="00B461EA" w:rsidRDefault="00B461EA" w:rsidP="003530A9">
      <w:pPr>
        <w:pStyle w:val="Akapitzlist"/>
        <w:numPr>
          <w:ilvl w:val="0"/>
          <w:numId w:val="14"/>
        </w:numPr>
        <w:rPr>
          <w:szCs w:val="20"/>
        </w:rPr>
      </w:pPr>
      <w:r>
        <w:rPr>
          <w:szCs w:val="20"/>
        </w:rPr>
        <w:fldChar w:fldCharType="begin"/>
      </w:r>
      <w:r>
        <w:rPr>
          <w:szCs w:val="20"/>
        </w:rPr>
        <w:instrText xml:space="preserve"> REF _Ref195882314 \h </w:instrText>
      </w:r>
      <w:r>
        <w:rPr>
          <w:szCs w:val="20"/>
        </w:rPr>
      </w:r>
      <w:r>
        <w:rPr>
          <w:szCs w:val="20"/>
        </w:rPr>
        <w:fldChar w:fldCharType="separate"/>
      </w:r>
      <w:r w:rsidR="00871DD5">
        <w:t xml:space="preserve">Działanie </w:t>
      </w:r>
      <w:r w:rsidR="00871DD5">
        <w:rPr>
          <w:noProof/>
        </w:rPr>
        <w:t>23</w:t>
      </w:r>
      <w:r w:rsidR="00871DD5">
        <w:t xml:space="preserve">. </w:t>
      </w:r>
      <w:r w:rsidR="00871DD5" w:rsidRPr="002259C9">
        <w:t xml:space="preserve">Działania w zakresie zwiększenia elastyczności systemu </w:t>
      </w:r>
      <w:r w:rsidR="00871DD5">
        <w:t>elektro</w:t>
      </w:r>
      <w:r w:rsidR="00871DD5" w:rsidRPr="002259C9">
        <w:t>energetycznego w</w:t>
      </w:r>
      <w:r w:rsidR="00871DD5">
        <w:t xml:space="preserve"> </w:t>
      </w:r>
      <w:r w:rsidR="00871DD5" w:rsidRPr="002259C9">
        <w:t xml:space="preserve">odniesieniu do wytwarzania energii </w:t>
      </w:r>
      <w:r w:rsidR="00871DD5">
        <w:t>z OZE</w:t>
      </w:r>
      <w:r w:rsidR="00871DD5" w:rsidRPr="002259C9">
        <w:t xml:space="preserve"> i dostosowania się do przewidywanych zmian KSE</w:t>
      </w:r>
      <w:r>
        <w:rPr>
          <w:szCs w:val="20"/>
        </w:rPr>
        <w:fldChar w:fldCharType="end"/>
      </w:r>
    </w:p>
    <w:p w14:paraId="624CBA7C" w14:textId="223F0864" w:rsidR="00B461EA" w:rsidRDefault="00B461EA" w:rsidP="003530A9">
      <w:pPr>
        <w:pStyle w:val="Akapitzlist"/>
        <w:numPr>
          <w:ilvl w:val="0"/>
          <w:numId w:val="14"/>
        </w:numPr>
        <w:rPr>
          <w:szCs w:val="20"/>
        </w:rPr>
      </w:pPr>
      <w:r>
        <w:rPr>
          <w:szCs w:val="20"/>
        </w:rPr>
        <w:fldChar w:fldCharType="begin"/>
      </w:r>
      <w:r>
        <w:rPr>
          <w:szCs w:val="20"/>
        </w:rPr>
        <w:instrText xml:space="preserve"> REF _Ref195882336 \h </w:instrText>
      </w:r>
      <w:r>
        <w:rPr>
          <w:szCs w:val="20"/>
        </w:rPr>
      </w:r>
      <w:r>
        <w:rPr>
          <w:szCs w:val="20"/>
        </w:rPr>
        <w:fldChar w:fldCharType="separate"/>
      </w:r>
      <w:r w:rsidR="00871DD5">
        <w:t xml:space="preserve">Działanie </w:t>
      </w:r>
      <w:r w:rsidR="00871DD5">
        <w:rPr>
          <w:noProof/>
        </w:rPr>
        <w:t>24</w:t>
      </w:r>
      <w:r w:rsidR="00871DD5">
        <w:t xml:space="preserve">. </w:t>
      </w:r>
      <w:r w:rsidR="00871DD5" w:rsidRPr="00DE588D">
        <w:t>Inteligentne zarządzanie energią</w:t>
      </w:r>
      <w:r>
        <w:rPr>
          <w:szCs w:val="20"/>
        </w:rPr>
        <w:fldChar w:fldCharType="end"/>
      </w:r>
    </w:p>
    <w:p w14:paraId="453BA67E" w14:textId="793798D5" w:rsidR="00B461EA" w:rsidRDefault="00B461EA" w:rsidP="003530A9">
      <w:pPr>
        <w:pStyle w:val="Akapitzlist"/>
        <w:numPr>
          <w:ilvl w:val="0"/>
          <w:numId w:val="14"/>
        </w:numPr>
        <w:rPr>
          <w:szCs w:val="20"/>
        </w:rPr>
      </w:pPr>
      <w:r>
        <w:rPr>
          <w:szCs w:val="20"/>
        </w:rPr>
        <w:fldChar w:fldCharType="begin"/>
      </w:r>
      <w:r>
        <w:rPr>
          <w:szCs w:val="20"/>
        </w:rPr>
        <w:instrText xml:space="preserve"> REF _Ref195882340 \h </w:instrText>
      </w:r>
      <w:r>
        <w:rPr>
          <w:szCs w:val="20"/>
        </w:rPr>
      </w:r>
      <w:r>
        <w:rPr>
          <w:szCs w:val="20"/>
        </w:rPr>
        <w:fldChar w:fldCharType="separate"/>
      </w:r>
      <w:r w:rsidR="00871DD5">
        <w:t xml:space="preserve">Działanie </w:t>
      </w:r>
      <w:r w:rsidR="00871DD5">
        <w:rPr>
          <w:noProof/>
        </w:rPr>
        <w:t>25</w:t>
      </w:r>
      <w:r w:rsidR="00871DD5">
        <w:t xml:space="preserve">. </w:t>
      </w:r>
      <w:r w:rsidR="00871DD5" w:rsidRPr="007E6338">
        <w:t>Rozwój i modernizacja elektroenergetycznych sieci przesyłowych i</w:t>
      </w:r>
      <w:r w:rsidR="00871DD5" w:rsidRPr="007E6338">
        <w:rPr>
          <w:rFonts w:ascii="Arial" w:hAnsi="Arial" w:cs="Arial"/>
        </w:rPr>
        <w:t> </w:t>
      </w:r>
      <w:r w:rsidR="00871DD5" w:rsidRPr="007E6338">
        <w:t>dystrybucyjnych</w:t>
      </w:r>
      <w:r>
        <w:rPr>
          <w:szCs w:val="20"/>
        </w:rPr>
        <w:fldChar w:fldCharType="end"/>
      </w:r>
    </w:p>
    <w:p w14:paraId="78B2B598" w14:textId="09CBAC90" w:rsidR="005C1793" w:rsidRDefault="005C1793" w:rsidP="003530A9">
      <w:pPr>
        <w:pStyle w:val="Akapitzlist"/>
        <w:numPr>
          <w:ilvl w:val="0"/>
          <w:numId w:val="14"/>
        </w:numPr>
        <w:rPr>
          <w:szCs w:val="20"/>
        </w:rPr>
      </w:pPr>
      <w:r>
        <w:rPr>
          <w:szCs w:val="20"/>
        </w:rPr>
        <w:fldChar w:fldCharType="begin"/>
      </w:r>
      <w:r>
        <w:rPr>
          <w:szCs w:val="20"/>
        </w:rPr>
        <w:instrText xml:space="preserve"> REF _Ref195885997 \h </w:instrText>
      </w:r>
      <w:r>
        <w:rPr>
          <w:szCs w:val="20"/>
        </w:rPr>
      </w:r>
      <w:r>
        <w:rPr>
          <w:szCs w:val="20"/>
        </w:rPr>
        <w:fldChar w:fldCharType="separate"/>
      </w:r>
      <w:r w:rsidR="00871DD5">
        <w:t xml:space="preserve">Działanie </w:t>
      </w:r>
      <w:r w:rsidR="00871DD5">
        <w:rPr>
          <w:noProof/>
        </w:rPr>
        <w:t>69</w:t>
      </w:r>
      <w:r w:rsidR="00871DD5">
        <w:t xml:space="preserve">. </w:t>
      </w:r>
      <w:r w:rsidR="00871DD5" w:rsidRPr="00A47125">
        <w:t>Instrument finansowy – Program NFOŚiGW „Energia dla wsi”</w:t>
      </w:r>
      <w:r>
        <w:rPr>
          <w:szCs w:val="20"/>
        </w:rPr>
        <w:fldChar w:fldCharType="end"/>
      </w:r>
    </w:p>
    <w:p w14:paraId="4B1396CB" w14:textId="459950DC" w:rsidR="004A3E80" w:rsidRPr="00C21079" w:rsidRDefault="001039C9" w:rsidP="005A0EA7">
      <w:pPr>
        <w:pStyle w:val="Nagwek4"/>
        <w:rPr>
          <w:color w:val="70AD47" w:themeColor="accent6"/>
        </w:rPr>
      </w:pPr>
      <w:bookmarkStart w:id="68" w:name="_Toc159598290"/>
      <w:bookmarkStart w:id="69" w:name="_Toc195897186"/>
      <w:bookmarkStart w:id="70" w:name="_Toc205203162"/>
      <w:r>
        <w:rPr>
          <w:color w:val="70AD47" w:themeColor="accent6"/>
        </w:rPr>
        <w:t>R</w:t>
      </w:r>
      <w:r w:rsidR="00014C8E">
        <w:rPr>
          <w:color w:val="70AD47" w:themeColor="accent6"/>
        </w:rPr>
        <w:t>edukcj</w:t>
      </w:r>
      <w:r>
        <w:rPr>
          <w:color w:val="70AD47" w:themeColor="accent6"/>
        </w:rPr>
        <w:t xml:space="preserve">a </w:t>
      </w:r>
      <w:r w:rsidR="00014C8E">
        <w:rPr>
          <w:color w:val="70AD47" w:themeColor="accent6"/>
        </w:rPr>
        <w:t xml:space="preserve">emisji </w:t>
      </w:r>
      <w:r w:rsidR="00AD0FB0">
        <w:rPr>
          <w:color w:val="70AD47" w:themeColor="accent6"/>
        </w:rPr>
        <w:t>GHG</w:t>
      </w:r>
      <w:r w:rsidR="00014C8E">
        <w:rPr>
          <w:color w:val="70AD47" w:themeColor="accent6"/>
        </w:rPr>
        <w:t xml:space="preserve"> </w:t>
      </w:r>
      <w:r w:rsidR="00270892">
        <w:rPr>
          <w:color w:val="70AD47" w:themeColor="accent6"/>
        </w:rPr>
        <w:t>z</w:t>
      </w:r>
      <w:r w:rsidR="00014C8E">
        <w:rPr>
          <w:color w:val="70AD47" w:themeColor="accent6"/>
        </w:rPr>
        <w:t xml:space="preserve"> ciepłownictw</w:t>
      </w:r>
      <w:r w:rsidR="00270892">
        <w:rPr>
          <w:color w:val="70AD47" w:themeColor="accent6"/>
        </w:rPr>
        <w:t>a</w:t>
      </w:r>
      <w:r w:rsidR="00B6570B">
        <w:rPr>
          <w:color w:val="70AD47" w:themeColor="accent6"/>
        </w:rPr>
        <w:t>, w tym rozwój</w:t>
      </w:r>
      <w:r>
        <w:rPr>
          <w:color w:val="70AD47" w:themeColor="accent6"/>
        </w:rPr>
        <w:t> </w:t>
      </w:r>
      <w:r w:rsidR="00B6570B">
        <w:rPr>
          <w:color w:val="70AD47" w:themeColor="accent6"/>
        </w:rPr>
        <w:t>OZE</w:t>
      </w:r>
      <w:bookmarkEnd w:id="68"/>
      <w:bookmarkEnd w:id="69"/>
      <w:bookmarkEnd w:id="70"/>
    </w:p>
    <w:p w14:paraId="551AEF98" w14:textId="03CB2927" w:rsidR="00EF61BE" w:rsidRDefault="00EF61BE" w:rsidP="00EF61BE">
      <w:r>
        <w:t>Ogrzewanie i chłodzenie odpowiada</w:t>
      </w:r>
      <w:r w:rsidR="00D5040C">
        <w:t>ją</w:t>
      </w:r>
      <w:r>
        <w:t xml:space="preserve"> </w:t>
      </w:r>
      <w:r w:rsidR="007639E1">
        <w:t xml:space="preserve">obecnie </w:t>
      </w:r>
      <w:r>
        <w:t xml:space="preserve">za około połowę zużycia energii zarówno </w:t>
      </w:r>
      <w:r w:rsidR="00952815">
        <w:t>w UE</w:t>
      </w:r>
      <w:r>
        <w:t>, jak i w</w:t>
      </w:r>
      <w:r w:rsidR="008663C5">
        <w:t xml:space="preserve"> </w:t>
      </w:r>
      <w:r>
        <w:t xml:space="preserve">Polsce. </w:t>
      </w:r>
      <w:r w:rsidR="007639E1">
        <w:t>Zagadnienie to o</w:t>
      </w:r>
      <w:r>
        <w:t>bejmuje szeroki zakres zastosowań końcowych i technologii w budynkach, przemyśle i</w:t>
      </w:r>
      <w:r w:rsidR="00425F8E">
        <w:t> </w:t>
      </w:r>
      <w:r>
        <w:t>systemach ciepłowniczych lub chłodniczych, dlatego stało się ważnym obszarem określania celów.</w:t>
      </w:r>
    </w:p>
    <w:p w14:paraId="58FBA1A6" w14:textId="212FD330" w:rsidR="005F43D4" w:rsidRDefault="00EF61BE" w:rsidP="00EF61BE">
      <w:r>
        <w:t>Potrzeby cieplne w Polsce pokrywane są w dużej mierze przez systemy ciepłownicze</w:t>
      </w:r>
      <w:r w:rsidR="00316716">
        <w:t xml:space="preserve"> </w:t>
      </w:r>
      <w:r w:rsidR="00B527F1">
        <w:t>(</w:t>
      </w:r>
      <w:r w:rsidR="00C8474E">
        <w:t>57</w:t>
      </w:r>
      <w:r w:rsidR="00316716" w:rsidRPr="00316716">
        <w:t>% wszystkich mieszkań</w:t>
      </w:r>
      <w:r w:rsidR="0060437A">
        <w:rPr>
          <w:rStyle w:val="Odwoanieprzypisudolnego"/>
        </w:rPr>
        <w:footnoteReference w:id="23"/>
      </w:r>
      <w:r w:rsidR="00B527F1">
        <w:t>)</w:t>
      </w:r>
      <w:r>
        <w:t xml:space="preserve">, </w:t>
      </w:r>
      <w:r w:rsidR="00077B36">
        <w:t>pozostałe przez</w:t>
      </w:r>
      <w:r>
        <w:t xml:space="preserve"> instalacje indywidualne. Głównym źródłem energii pierwotnej w obu przypadkach jest węgiel kamienny. </w:t>
      </w:r>
      <w:r w:rsidR="005F43D4">
        <w:t xml:space="preserve">W 2021 r. Polska określiła cel wycofania węgla z </w:t>
      </w:r>
      <w:r w:rsidR="00FC4631">
        <w:t xml:space="preserve">ogrzewnictwa indywidualnego </w:t>
      </w:r>
      <w:r w:rsidR="005F43D4">
        <w:t>gospodarstw domowych</w:t>
      </w:r>
      <w:r w:rsidR="005F43D4">
        <w:rPr>
          <w:rStyle w:val="Odwoanieprzypisudolnego"/>
          <w:b/>
          <w:bCs/>
        </w:rPr>
        <w:footnoteReference w:id="24"/>
      </w:r>
      <w:r w:rsidR="008F731E">
        <w:t xml:space="preserve"> </w:t>
      </w:r>
    </w:p>
    <w:p w14:paraId="5C6440D7" w14:textId="5DD144DD" w:rsidR="00EF61BE" w:rsidRDefault="00EF61BE" w:rsidP="00EF61BE">
      <w:r w:rsidRPr="006065DE">
        <w:rPr>
          <w:b/>
          <w:bCs/>
        </w:rPr>
        <w:t>W ciepłownictwie indywidualnym</w:t>
      </w:r>
      <w:r>
        <w:t xml:space="preserve"> </w:t>
      </w:r>
      <w:r w:rsidR="000A6E24">
        <w:t>należy dążyć do</w:t>
      </w:r>
      <w:r>
        <w:t xml:space="preserve"> </w:t>
      </w:r>
      <w:r w:rsidR="005F43D4">
        <w:t>odchodzeni</w:t>
      </w:r>
      <w:r w:rsidR="000A6E24">
        <w:t>a</w:t>
      </w:r>
      <w:r w:rsidR="005F43D4">
        <w:t xml:space="preserve"> od węgla </w:t>
      </w:r>
      <w:r w:rsidR="00572811">
        <w:t xml:space="preserve">na rzecz </w:t>
      </w:r>
      <w:r w:rsidR="00F771E0">
        <w:t xml:space="preserve">wzrostu wykorzystania </w:t>
      </w:r>
      <w:r>
        <w:t xml:space="preserve"> OZE</w:t>
      </w:r>
      <w:r w:rsidR="00D67375">
        <w:t>, poprzez</w:t>
      </w:r>
      <w:r>
        <w:t xml:space="preserve"> </w:t>
      </w:r>
      <w:r w:rsidRPr="00735102">
        <w:t xml:space="preserve">zastępowanie </w:t>
      </w:r>
      <w:r w:rsidRPr="00735102">
        <w:rPr>
          <w:u w:val="single"/>
        </w:rPr>
        <w:t>istniejących</w:t>
      </w:r>
      <w:r w:rsidRPr="00735102">
        <w:t xml:space="preserve"> instalacji</w:t>
      </w:r>
      <w:r>
        <w:t xml:space="preserve"> węglowych alternatywnymi rozwiązaniami, takimi jak pompy ciepła</w:t>
      </w:r>
      <w:r w:rsidR="007D096E">
        <w:t>, zwłaszcza sprzężone z magazynami ciepła</w:t>
      </w:r>
      <w:r>
        <w:t xml:space="preserve">. </w:t>
      </w:r>
      <w:r w:rsidR="00E35EEA" w:rsidRPr="00E35EEA">
        <w:t xml:space="preserve">W przypadku budynków wielorodzinnych, możliwe jest wykorzystanie na dużą skalę wysokosprawnych pomp ciepła, zasilanych </w:t>
      </w:r>
      <w:r w:rsidR="00711FEA">
        <w:t>energią elektryczną wytworzoną w instalacj</w:t>
      </w:r>
      <w:r w:rsidR="00C77A78">
        <w:t>ach</w:t>
      </w:r>
      <w:r w:rsidR="00E35EEA" w:rsidRPr="00E35EEA">
        <w:t xml:space="preserve"> </w:t>
      </w:r>
      <w:r w:rsidR="00E1001E">
        <w:t xml:space="preserve">OZE, w szczególności </w:t>
      </w:r>
      <w:r w:rsidR="001B5E38">
        <w:t xml:space="preserve">wiatrowych </w:t>
      </w:r>
      <w:r w:rsidR="00E35EEA" w:rsidRPr="00E35EEA">
        <w:t xml:space="preserve"> </w:t>
      </w:r>
      <w:r w:rsidR="00495C2A">
        <w:t>zintegrowanych</w:t>
      </w:r>
      <w:r w:rsidR="00495C2A" w:rsidRPr="00E35EEA">
        <w:t xml:space="preserve"> </w:t>
      </w:r>
      <w:r w:rsidR="00E35EEA" w:rsidRPr="00E35EEA">
        <w:t>z magazynem ciepła i ewentualnie magazynem energii elektrycznej</w:t>
      </w:r>
      <w:r w:rsidR="007D096E">
        <w:t>, a  także wykorzystując</w:t>
      </w:r>
      <w:r w:rsidR="006602AD">
        <w:t>ych</w:t>
      </w:r>
      <w:r w:rsidR="007D096E">
        <w:t xml:space="preserve"> ciepło odpadowe, np.</w:t>
      </w:r>
      <w:r w:rsidR="003237AF">
        <w:t> </w:t>
      </w:r>
      <w:r w:rsidR="00CD7448">
        <w:t>z</w:t>
      </w:r>
      <w:r w:rsidR="0094768B">
        <w:t> </w:t>
      </w:r>
      <w:r w:rsidR="00F85881" w:rsidRPr="00F85881">
        <w:t xml:space="preserve">wentylacji </w:t>
      </w:r>
      <w:r w:rsidR="00CD7448">
        <w:t>(</w:t>
      </w:r>
      <w:r w:rsidR="00F85881" w:rsidRPr="00F85881">
        <w:t>systemy wentylacji z odzyskiem ciepła</w:t>
      </w:r>
      <w:r w:rsidR="00CD7448">
        <w:t>)</w:t>
      </w:r>
      <w:r w:rsidR="00AE77CE">
        <w:t>,</w:t>
      </w:r>
      <w:r w:rsidR="00F85881" w:rsidRPr="00F85881">
        <w:t xml:space="preserve"> </w:t>
      </w:r>
      <w:r w:rsidR="007D096E">
        <w:t>ze ścieków</w:t>
      </w:r>
      <w:r w:rsidR="00AE77CE">
        <w:t xml:space="preserve"> i in</w:t>
      </w:r>
      <w:r w:rsidR="00E35EEA" w:rsidRPr="00E35EEA">
        <w:t>.</w:t>
      </w:r>
      <w:r w:rsidR="007D096E">
        <w:t xml:space="preserve"> </w:t>
      </w:r>
      <w:r w:rsidR="0070047A">
        <w:t xml:space="preserve">Jednocześnie </w:t>
      </w:r>
      <w:r w:rsidR="002F371B">
        <w:t>– zgodnie z</w:t>
      </w:r>
      <w:r w:rsidR="003237AF">
        <w:t> </w:t>
      </w:r>
      <w:r w:rsidR="002F371B">
        <w:t xml:space="preserve">dyrektywą EPBD – </w:t>
      </w:r>
      <w:r w:rsidR="0070047A">
        <w:t xml:space="preserve">od 2025 r. nie jest możliwe dofinasowanie </w:t>
      </w:r>
      <w:r w:rsidR="0063646F">
        <w:t xml:space="preserve">nowych </w:t>
      </w:r>
      <w:r w:rsidR="0070047A">
        <w:t>indywidualnych instalacji opartych o paliwa kopalne, w tym gaz ziemny</w:t>
      </w:r>
      <w:r w:rsidR="0063646F">
        <w:rPr>
          <w:rStyle w:val="Odwoanieprzypisudolnego"/>
        </w:rPr>
        <w:footnoteReference w:id="25"/>
      </w:r>
      <w:r w:rsidR="0070047A">
        <w:t>.</w:t>
      </w:r>
      <w:r w:rsidR="000113A5">
        <w:t xml:space="preserve"> </w:t>
      </w:r>
      <w:r w:rsidR="006B4FB4">
        <w:t xml:space="preserve">Łącznie ze zmianą źródła ogrzewania </w:t>
      </w:r>
      <w:r w:rsidR="00A62857">
        <w:t>najczęściej</w:t>
      </w:r>
      <w:r w:rsidR="00403786">
        <w:t xml:space="preserve"> </w:t>
      </w:r>
      <w:r w:rsidR="006B4FB4">
        <w:t>n</w:t>
      </w:r>
      <w:r w:rsidR="00B31E5A">
        <w:t>iezbędna jest termomodernizacja budynku</w:t>
      </w:r>
      <w:r w:rsidR="00403786">
        <w:t>, aby zmniejszyć zapotrzebowanie na ciepło</w:t>
      </w:r>
      <w:r w:rsidR="00B31E5A">
        <w:t>.</w:t>
      </w:r>
      <w:r w:rsidR="00974007">
        <w:t xml:space="preserve"> </w:t>
      </w:r>
      <w:r w:rsidR="006D2C23">
        <w:t>Dodatkowo, warunki klimatyczne w Polsce cechują się okresami występowania niskich temperatur w okresach zimowych, przy których rozwiązania oparte wyłącznie o ogrzewanie elektryczne wniedostosowanych termoizolacyjnie budynkach rodzić może wyzwania zarówno w zakresie komfortu cieplnego, jak i ponoszonych kosztów. Nowe budynki, cechują się wyższą efektywnością energetyczną, dlatego takie rozwiązania są korzystne ekonomicznie i</w:t>
      </w:r>
      <w:r w:rsidR="006D7CAC">
        <w:t> </w:t>
      </w:r>
      <w:r w:rsidR="006D2C23">
        <w:t>środowiskowo</w:t>
      </w:r>
      <w:r w:rsidR="007D096E">
        <w:t xml:space="preserve">, </w:t>
      </w:r>
      <w:r w:rsidR="007645AB" w:rsidRPr="007645AB">
        <w:t>zwłaszcza gdy ciepło przekazywane jest przez wielkopowierzchniowe systemy grzewcze</w:t>
      </w:r>
      <w:r w:rsidR="007645AB">
        <w:t xml:space="preserve"> (ogrzewanie podłogowe, ścienne)</w:t>
      </w:r>
      <w:r w:rsidR="006D2C23">
        <w:t>.</w:t>
      </w:r>
    </w:p>
    <w:p w14:paraId="0D186BA6" w14:textId="7774B0FB" w:rsidR="00EF61BE" w:rsidRPr="00737FD0" w:rsidRDefault="00EF61BE" w:rsidP="00EF61BE">
      <w:pPr>
        <w:rPr>
          <w:u w:val="words"/>
        </w:rPr>
      </w:pPr>
      <w:r>
        <w:t xml:space="preserve">Kluczowym wyzwaniem jest jednak </w:t>
      </w:r>
      <w:r w:rsidR="00486632">
        <w:t>dekarbonizacja</w:t>
      </w:r>
      <w:r>
        <w:t xml:space="preserve"> </w:t>
      </w:r>
      <w:r w:rsidRPr="005F43D4">
        <w:rPr>
          <w:b/>
          <w:bCs/>
        </w:rPr>
        <w:t>systemów ciepłowniczych</w:t>
      </w:r>
      <w:r>
        <w:t xml:space="preserve">, </w:t>
      </w:r>
      <w:r w:rsidR="00A87281">
        <w:t>zarówno w dużych jak i</w:t>
      </w:r>
      <w:r w:rsidR="003237AF">
        <w:t> </w:t>
      </w:r>
      <w:r w:rsidR="00A87281">
        <w:t>wmniejszych miastach, w których dostępność środków i możliwość ich pozyskania często bywa bardzo ograniczona</w:t>
      </w:r>
      <w:r w:rsidR="003266CE">
        <w:t xml:space="preserve"> ze względu na strukturę </w:t>
      </w:r>
      <w:r w:rsidR="000D2EC4">
        <w:t>własnościową</w:t>
      </w:r>
      <w:r>
        <w:t xml:space="preserve">. </w:t>
      </w:r>
      <w:r w:rsidR="009B4B07">
        <w:t>Isto</w:t>
      </w:r>
      <w:r w:rsidR="002C71B5">
        <w:t xml:space="preserve">tne będzie </w:t>
      </w:r>
      <w:r>
        <w:t>wykorzystanie</w:t>
      </w:r>
      <w:r w:rsidR="00486632">
        <w:t xml:space="preserve"> </w:t>
      </w:r>
      <w:r w:rsidR="00486632" w:rsidRPr="00486632">
        <w:t>wysokosprawn</w:t>
      </w:r>
      <w:r w:rsidR="002C71B5">
        <w:t>ych technologii, w tym</w:t>
      </w:r>
      <w:r w:rsidR="00F328DE">
        <w:t xml:space="preserve"> kogeneracji</w:t>
      </w:r>
      <w:r w:rsidR="00FA5C3D">
        <w:t xml:space="preserve"> </w:t>
      </w:r>
      <w:r w:rsidR="00C942B1">
        <w:t xml:space="preserve">czy kotłów elektrodowych </w:t>
      </w:r>
      <w:r w:rsidR="00486632">
        <w:t>zasilanych np. energią wiatrową</w:t>
      </w:r>
      <w:r w:rsidR="00CF39D1">
        <w:t>. Ważnym elementem transformacji będzie wykorzystanie</w:t>
      </w:r>
      <w:r w:rsidR="007645AB">
        <w:t xml:space="preserve"> </w:t>
      </w:r>
      <w:r w:rsidR="00DF2B52">
        <w:t>p</w:t>
      </w:r>
      <w:r w:rsidR="00DF2B52" w:rsidRPr="00DF2B52">
        <w:t>omp ciepła typu woda-woda, któr</w:t>
      </w:r>
      <w:r w:rsidR="00DF2B52">
        <w:t>ych</w:t>
      </w:r>
      <w:r w:rsidR="00DF2B52" w:rsidRPr="00DF2B52">
        <w:t xml:space="preserve"> dolnym źródłem </w:t>
      </w:r>
      <w:r w:rsidR="00FA5C3D">
        <w:t>będzie</w:t>
      </w:r>
      <w:r w:rsidR="00DF2B52" w:rsidRPr="00DF2B52">
        <w:t xml:space="preserve"> woda pochodząca z rzeki </w:t>
      </w:r>
      <w:r w:rsidR="00462C09">
        <w:t xml:space="preserve">lub </w:t>
      </w:r>
      <w:r w:rsidR="007645AB">
        <w:t>ciepło ze ścieków,</w:t>
      </w:r>
      <w:r w:rsidR="00486632" w:rsidRPr="00486632">
        <w:t xml:space="preserve"> </w:t>
      </w:r>
      <w:r w:rsidR="008E1FDB">
        <w:t xml:space="preserve">zintegrowanych </w:t>
      </w:r>
      <w:r w:rsidR="00C67C7A">
        <w:t xml:space="preserve">z </w:t>
      </w:r>
      <w:r w:rsidR="00486632" w:rsidRPr="00486632">
        <w:t>system</w:t>
      </w:r>
      <w:r w:rsidR="00850D9B">
        <w:t>em</w:t>
      </w:r>
      <w:r w:rsidR="00486632" w:rsidRPr="00486632">
        <w:t xml:space="preserve"> magazynów ciepła</w:t>
      </w:r>
      <w:r w:rsidR="00486632">
        <w:t>. W</w:t>
      </w:r>
      <w:r w:rsidR="00850D9B">
        <w:t xml:space="preserve"> w</w:t>
      </w:r>
      <w:r w:rsidR="00486632">
        <w:t xml:space="preserve">iększych systemach konieczne </w:t>
      </w:r>
      <w:r w:rsidR="00C67C7A">
        <w:t>jest wówczas dodatkowe źródło stabilne oparte np.</w:t>
      </w:r>
      <w:r w:rsidR="007645AB">
        <w:t xml:space="preserve"> o</w:t>
      </w:r>
      <w:r w:rsidR="00C67C7A">
        <w:t xml:space="preserve"> gaz ziemny</w:t>
      </w:r>
      <w:r w:rsidR="00984CEB">
        <w:t>, który w</w:t>
      </w:r>
      <w:r w:rsidR="00C740DB">
        <w:t> </w:t>
      </w:r>
      <w:r w:rsidR="00984CEB">
        <w:t>przyszłości będzie mógł zostać zastąpiony przez biometan lub wodór</w:t>
      </w:r>
      <w:r>
        <w:t xml:space="preserve">. </w:t>
      </w:r>
      <w:r w:rsidRPr="000068F0">
        <w:rPr>
          <w:b/>
          <w:bCs/>
        </w:rPr>
        <w:t>W</w:t>
      </w:r>
      <w:r w:rsidRPr="006227A1">
        <w:rPr>
          <w:b/>
          <w:bCs/>
        </w:rPr>
        <w:t xml:space="preserve">ykorzystanie geotermii, </w:t>
      </w:r>
      <w:r w:rsidRPr="006227A1">
        <w:rPr>
          <w:b/>
          <w:bCs/>
        </w:rPr>
        <w:lastRenderedPageBreak/>
        <w:t>czy ciepła odpadowego</w:t>
      </w:r>
      <w:r w:rsidR="007773C3">
        <w:rPr>
          <w:rStyle w:val="Odwoanieprzypisudolnego"/>
        </w:rPr>
        <w:footnoteReference w:id="26"/>
      </w:r>
      <w:r>
        <w:t xml:space="preserve"> zależne jest od lokalnej dostępności.</w:t>
      </w:r>
      <w:r w:rsidR="007645AB">
        <w:t xml:space="preserve"> W przypadku biomasy problemem jest „konkurowanie” o surowiec z innymi sektorami</w:t>
      </w:r>
      <w:r w:rsidR="5132DD8A">
        <w:t>.</w:t>
      </w:r>
      <w:r w:rsidR="007645AB">
        <w:t xml:space="preserve"> </w:t>
      </w:r>
      <w:r w:rsidR="003B164D">
        <w:t>W</w:t>
      </w:r>
      <w:r w:rsidR="008B2371">
        <w:t> </w:t>
      </w:r>
      <w:r w:rsidR="003B164D">
        <w:t>przyszłości wsparcie</w:t>
      </w:r>
      <w:r w:rsidR="006227A1">
        <w:t>m</w:t>
      </w:r>
      <w:r w:rsidR="003B164D">
        <w:t xml:space="preserve"> dla systemów ciepłowniczych mogą być także </w:t>
      </w:r>
      <w:r w:rsidR="003B164D" w:rsidRPr="006227A1">
        <w:rPr>
          <w:b/>
          <w:bCs/>
        </w:rPr>
        <w:t>technologie wykorzystujące mieszaninę gazu ziemnego z</w:t>
      </w:r>
      <w:r w:rsidR="007645AB">
        <w:rPr>
          <w:b/>
          <w:bCs/>
        </w:rPr>
        <w:t xml:space="preserve"> biometanem lub </w:t>
      </w:r>
      <w:r w:rsidR="003B164D" w:rsidRPr="006227A1">
        <w:rPr>
          <w:b/>
          <w:bCs/>
        </w:rPr>
        <w:t>wodorem</w:t>
      </w:r>
      <w:r w:rsidR="003B164D">
        <w:t xml:space="preserve">, jak również rozwiązania oparte na wykorzystaniu czystego </w:t>
      </w:r>
      <w:r w:rsidR="007645AB">
        <w:t xml:space="preserve">biometanu lub </w:t>
      </w:r>
      <w:r w:rsidR="003B164D">
        <w:t>wodoru jako źród</w:t>
      </w:r>
      <w:r w:rsidR="006D2C23">
        <w:t>ła</w:t>
      </w:r>
      <w:r w:rsidR="003B164D">
        <w:t xml:space="preserve"> energii</w:t>
      </w:r>
      <w:r w:rsidR="773C7B3B">
        <w:t xml:space="preserve"> </w:t>
      </w:r>
      <w:r w:rsidR="00CE6F98">
        <w:t>–</w:t>
      </w:r>
      <w:r w:rsidR="773C7B3B">
        <w:t xml:space="preserve"> przy czym wodór w systemach ciepłowniczych </w:t>
      </w:r>
      <w:r w:rsidR="00CE6F98">
        <w:t xml:space="preserve">może </w:t>
      </w:r>
      <w:r w:rsidR="773C7B3B">
        <w:t>pojawi</w:t>
      </w:r>
      <w:r w:rsidR="00CE6F98">
        <w:t>ć</w:t>
      </w:r>
      <w:r w:rsidR="773C7B3B">
        <w:t xml:space="preserve"> się w dalszej perspektywie</w:t>
      </w:r>
      <w:r w:rsidR="0F99EABC">
        <w:t>. Możliwe będzie</w:t>
      </w:r>
      <w:r w:rsidR="003B164D">
        <w:t xml:space="preserve"> także</w:t>
      </w:r>
      <w:r w:rsidR="4A1BA655">
        <w:t xml:space="preserve"> stosowanie</w:t>
      </w:r>
      <w:r w:rsidR="003B164D">
        <w:t xml:space="preserve"> </w:t>
      </w:r>
      <w:r w:rsidR="003B164D" w:rsidRPr="003B164D">
        <w:t>inn</w:t>
      </w:r>
      <w:r w:rsidR="2522D72E" w:rsidRPr="003B164D">
        <w:t>ych</w:t>
      </w:r>
      <w:r w:rsidR="003B164D" w:rsidRPr="003B164D">
        <w:t xml:space="preserve"> rozwiąza</w:t>
      </w:r>
      <w:r w:rsidR="2C50AC63" w:rsidRPr="003B164D">
        <w:t>ń</w:t>
      </w:r>
      <w:r w:rsidR="003B164D" w:rsidRPr="003B164D">
        <w:t xml:space="preserve"> pozwalając</w:t>
      </w:r>
      <w:r w:rsidR="34BF77A5" w:rsidRPr="003B164D">
        <w:t>ych</w:t>
      </w:r>
      <w:r w:rsidR="003B164D" w:rsidRPr="003B164D">
        <w:t xml:space="preserve"> na współspalanie surowców kopa</w:t>
      </w:r>
      <w:r w:rsidR="007645AB">
        <w:t>l</w:t>
      </w:r>
      <w:r w:rsidR="003B164D" w:rsidRPr="003B164D">
        <w:t xml:space="preserve">nych z odnawialnymi związkami </w:t>
      </w:r>
      <w:r w:rsidR="003B164D" w:rsidRPr="00737FD0">
        <w:t>chemicznymi (np. amoniak)</w:t>
      </w:r>
      <w:r w:rsidR="006227A1" w:rsidRPr="00737FD0">
        <w:t>.</w:t>
      </w:r>
    </w:p>
    <w:p w14:paraId="62451124" w14:textId="46AC1E74" w:rsidR="00EF61BE" w:rsidRDefault="005E16E5" w:rsidP="00EF61BE">
      <w:pPr>
        <w:pStyle w:val="Cele"/>
        <w:spacing w:after="160"/>
        <w:rPr>
          <w:b/>
          <w:bCs/>
        </w:rPr>
      </w:pPr>
      <w:r>
        <w:rPr>
          <w:b/>
          <w:bCs/>
        </w:rPr>
        <w:t xml:space="preserve">Celem jest zapewnienie, aby do </w:t>
      </w:r>
      <w:r w:rsidR="006D2C23">
        <w:rPr>
          <w:b/>
          <w:bCs/>
        </w:rPr>
        <w:t xml:space="preserve">ok. </w:t>
      </w:r>
      <w:r>
        <w:rPr>
          <w:b/>
          <w:bCs/>
        </w:rPr>
        <w:t xml:space="preserve">2040 r. wszystkie potrzeby cieplne w gospodarce byłby pokrywane przez ciepło systemowe </w:t>
      </w:r>
      <w:r w:rsidR="00DD62B7">
        <w:rPr>
          <w:b/>
          <w:bCs/>
        </w:rPr>
        <w:t>oraz</w:t>
      </w:r>
      <w:r>
        <w:rPr>
          <w:b/>
          <w:bCs/>
        </w:rPr>
        <w:t xml:space="preserve"> </w:t>
      </w:r>
      <w:r w:rsidR="00DD62B7">
        <w:rPr>
          <w:b/>
          <w:bCs/>
        </w:rPr>
        <w:t xml:space="preserve">nisko- i </w:t>
      </w:r>
      <w:r>
        <w:rPr>
          <w:b/>
          <w:bCs/>
        </w:rPr>
        <w:t>zeroemisyjne źródła indywidualne.</w:t>
      </w:r>
    </w:p>
    <w:p w14:paraId="2EF6B68F" w14:textId="242BC31F" w:rsidR="00A52A73" w:rsidRDefault="00A52A73" w:rsidP="005E16E5">
      <w:pPr>
        <w:spacing w:before="360"/>
      </w:pPr>
      <w:r>
        <w:t>W ramach EU ETS instalacje ciepłownicze objęte systemem mogą ubiegać się o przydział bezpłatnych uprawnień do emisji. Zgodnie z zasadami, systemem objęte s</w:t>
      </w:r>
      <w:r w:rsidR="15EED6BD">
        <w:t>ą</w:t>
      </w:r>
      <w:r>
        <w:t xml:space="preserve"> instalacje spalania paliw o całkowitej nominalne</w:t>
      </w:r>
      <w:r w:rsidR="00CE3305">
        <w:t>j</w:t>
      </w:r>
      <w:r>
        <w:t xml:space="preserve"> mocy cieplnej przekraczającej 20 MW. </w:t>
      </w:r>
      <w:r w:rsidRPr="00496ED7">
        <w:t xml:space="preserve">Dyrektywa 2023/959 wprowadziła w ramach systemu </w:t>
      </w:r>
      <w:r>
        <w:t xml:space="preserve">EU </w:t>
      </w:r>
      <w:r w:rsidRPr="00496ED7">
        <w:t xml:space="preserve">ETS możliwość przydziału dodatkowych 30% uprawnień do emisji na lata 2026-2030 dla instalacji ciepłowniczych. Warunkiem ubiegania się o dodatkowy przydział jest m.in. ustanowienie </w:t>
      </w:r>
      <w:r w:rsidR="00CE3305">
        <w:rPr>
          <w:i/>
          <w:iCs/>
        </w:rPr>
        <w:t>p</w:t>
      </w:r>
      <w:r w:rsidRPr="00CE3305">
        <w:rPr>
          <w:i/>
          <w:iCs/>
        </w:rPr>
        <w:t xml:space="preserve">lanów </w:t>
      </w:r>
      <w:r w:rsidR="00CE3305">
        <w:rPr>
          <w:i/>
          <w:iCs/>
        </w:rPr>
        <w:t>n</w:t>
      </w:r>
      <w:r w:rsidRPr="00CE3305">
        <w:rPr>
          <w:i/>
          <w:iCs/>
        </w:rPr>
        <w:t xml:space="preserve">eutralności </w:t>
      </w:r>
      <w:r w:rsidR="00CE3305">
        <w:rPr>
          <w:i/>
          <w:iCs/>
        </w:rPr>
        <w:t>k</w:t>
      </w:r>
      <w:r w:rsidRPr="00CE3305">
        <w:rPr>
          <w:i/>
          <w:iCs/>
        </w:rPr>
        <w:t xml:space="preserve">limatycznej </w:t>
      </w:r>
      <w:r w:rsidRPr="00496ED7">
        <w:t xml:space="preserve">oraz przeprowadzenie inwestycji </w:t>
      </w:r>
      <w:r w:rsidR="00B078E7">
        <w:t>(</w:t>
      </w:r>
      <w:r w:rsidRPr="00496ED7">
        <w:t xml:space="preserve">zgodnie z tym </w:t>
      </w:r>
      <w:r w:rsidR="00CE3305">
        <w:t>p</w:t>
      </w:r>
      <w:r w:rsidRPr="00496ED7">
        <w:t>lanem</w:t>
      </w:r>
      <w:r w:rsidR="00B078E7">
        <w:t>) prowadzących</w:t>
      </w:r>
      <w:r w:rsidRPr="00496ED7">
        <w:t xml:space="preserve"> do osiągnięcia znaczącej redukcji emisji do 2030</w:t>
      </w:r>
      <w:r>
        <w:t xml:space="preserve"> r</w:t>
      </w:r>
      <w:r w:rsidRPr="00496ED7">
        <w:t>.</w:t>
      </w:r>
      <w:r w:rsidR="00C50C06">
        <w:rPr>
          <w:rStyle w:val="Odwoanieprzypisudolnego"/>
        </w:rPr>
        <w:footnoteReference w:id="27"/>
      </w:r>
      <w:r w:rsidRPr="00496ED7">
        <w:t xml:space="preserve"> </w:t>
      </w:r>
    </w:p>
    <w:p w14:paraId="055DA56B" w14:textId="3E0A5F4C" w:rsidR="00EF61BE" w:rsidRDefault="00EF61BE" w:rsidP="005E16E5">
      <w:pPr>
        <w:spacing w:before="360"/>
      </w:pPr>
      <w:r>
        <w:t xml:space="preserve">Dyrektywa RED III </w:t>
      </w:r>
      <w:r w:rsidR="00351BA1">
        <w:t xml:space="preserve">dokonała nieznacznej </w:t>
      </w:r>
      <w:r>
        <w:t>modyfik</w:t>
      </w:r>
      <w:r w:rsidR="00351BA1">
        <w:t>acji</w:t>
      </w:r>
      <w:r>
        <w:t xml:space="preserve"> </w:t>
      </w:r>
      <w:r w:rsidR="00351BA1">
        <w:t>dotychczasowych</w:t>
      </w:r>
      <w:r>
        <w:t xml:space="preserve"> cel</w:t>
      </w:r>
      <w:r w:rsidR="00351BA1">
        <w:t>ów</w:t>
      </w:r>
      <w:r>
        <w:t xml:space="preserve"> w zakresie wykorzystania OZE w ciepłownictwie i chłodnictwie. Każde państwo członkowskie jest zobowiązane</w:t>
      </w:r>
      <w:r w:rsidR="00351BA1">
        <w:t xml:space="preserve"> do</w:t>
      </w:r>
      <w:r>
        <w:t xml:space="preserve"> zwiększania udział</w:t>
      </w:r>
      <w:r w:rsidR="00FC4631">
        <w:t>u</w:t>
      </w:r>
      <w:r>
        <w:t xml:space="preserve"> OZE w tym sektorze </w:t>
      </w:r>
      <w:r w:rsidRPr="00A55065">
        <w:rPr>
          <w:b/>
          <w:bCs/>
        </w:rPr>
        <w:t>o co najmniej 0,8 pkt proc. średniorocznie w okresie 2021–2025 i 1,1 pkt proc. średniorocznie w okresie 2026–2030</w:t>
      </w:r>
      <w:r>
        <w:t>. Państwa UE powinny zadeklarować taki dodatkowy wzrost, aby łącznie UE osiągnęła średni wzrost o 1,8 pkt proc. na poziomie Unii</w:t>
      </w:r>
      <w:r>
        <w:rPr>
          <w:rStyle w:val="Odwoanieprzypisudolnego"/>
        </w:rPr>
        <w:footnoteReference w:id="28"/>
      </w:r>
      <w:r>
        <w:t xml:space="preserve">. </w:t>
      </w:r>
    </w:p>
    <w:p w14:paraId="749FAB2C" w14:textId="3DE9380E" w:rsidR="00EF61BE" w:rsidRDefault="00EF61BE" w:rsidP="00EF61BE">
      <w:r>
        <w:t>W 2020 r. udział OZE w ciepłownictwie i chłodnictwie w Polsce wyniósł 22,1%, co oznacza, że Polska powinna osiągnąć orientacyjn</w:t>
      </w:r>
      <w:r w:rsidR="006D2C23">
        <w:t>e poziomy:</w:t>
      </w:r>
      <w:r>
        <w:t xml:space="preserve"> 26,1% w 2025 r. i 31,6% w 2030 r. Z analiz wynika, że cel na 2030</w:t>
      </w:r>
      <w:r w:rsidR="00D64602">
        <w:t> </w:t>
      </w:r>
      <w:r>
        <w:t>r. zostanie przekroczony.</w:t>
      </w:r>
      <w:r w:rsidR="003E2DE5">
        <w:t xml:space="preserve"> </w:t>
      </w:r>
    </w:p>
    <w:p w14:paraId="2C76A4C1" w14:textId="32551E46" w:rsidR="00EF61BE" w:rsidRDefault="00EF61BE" w:rsidP="00330E56">
      <w:pPr>
        <w:pStyle w:val="Cele"/>
        <w:spacing w:after="160"/>
        <w:rPr>
          <w:b/>
          <w:bCs/>
        </w:rPr>
      </w:pPr>
      <w:r w:rsidRPr="00B377B2">
        <w:rPr>
          <w:rStyle w:val="CeleZnak"/>
          <w:b/>
        </w:rPr>
        <w:t xml:space="preserve">Polska wyznacza na 2030 r. cel </w:t>
      </w:r>
      <w:r>
        <w:rPr>
          <w:rStyle w:val="CeleZnak"/>
          <w:b/>
        </w:rPr>
        <w:t xml:space="preserve">osiągnięcia </w:t>
      </w:r>
      <w:r w:rsidR="005C4530">
        <w:rPr>
          <w:rStyle w:val="CeleZnak"/>
          <w:b/>
        </w:rPr>
        <w:t>36,7</w:t>
      </w:r>
      <w:r w:rsidRPr="00351BA1">
        <w:rPr>
          <w:b/>
          <w:bCs/>
          <w:szCs w:val="24"/>
        </w:rPr>
        <w:t>%</w:t>
      </w:r>
      <w:r w:rsidRPr="00EE60D1">
        <w:rPr>
          <w:b/>
          <w:bCs/>
        </w:rPr>
        <w:t xml:space="preserve"> udziału OZE w finalnym zużyciu energii w</w:t>
      </w:r>
      <w:r>
        <w:rPr>
          <w:b/>
          <w:bCs/>
        </w:rPr>
        <w:t xml:space="preserve"> ciepłownictwie i chłodnictwie. </w:t>
      </w:r>
      <w:r w:rsidR="004B162F">
        <w:rPr>
          <w:b/>
          <w:bCs/>
        </w:rPr>
        <w:br/>
        <w:t xml:space="preserve">W perspektywie 2040 r. udział ten może wynieść </w:t>
      </w:r>
      <w:r w:rsidR="005C4530">
        <w:rPr>
          <w:b/>
          <w:bCs/>
        </w:rPr>
        <w:t>67</w:t>
      </w:r>
      <w:r w:rsidR="004B162F">
        <w:rPr>
          <w:b/>
          <w:bCs/>
        </w:rPr>
        <w:t>,6%</w:t>
      </w:r>
      <w:r w:rsidR="00330E56">
        <w:rPr>
          <w:b/>
          <w:bCs/>
        </w:rPr>
        <w:t>.</w:t>
      </w:r>
    </w:p>
    <w:p w14:paraId="4105A988" w14:textId="2F2AF25E" w:rsidR="00330E56" w:rsidRDefault="00330E56" w:rsidP="00EF61BE">
      <w:pPr>
        <w:pStyle w:val="Cele"/>
      </w:pPr>
      <w:r>
        <w:rPr>
          <w:b/>
          <w:bCs/>
        </w:rPr>
        <w:t>Ponadto wyznacza się cel zakończenia produkcji ciepła systemowego z węgla kamiennego do końca 2035 r.</w:t>
      </w:r>
    </w:p>
    <w:p w14:paraId="5259C20E" w14:textId="52B677CE" w:rsidR="00A817BE" w:rsidRDefault="005E16E5" w:rsidP="005E16E5">
      <w:r>
        <w:t xml:space="preserve">Dyrektywa RED III określiła także zobowiązania do </w:t>
      </w:r>
      <w:r w:rsidRPr="00735102">
        <w:rPr>
          <w:b/>
          <w:bCs/>
        </w:rPr>
        <w:t>zwiększenia udziału OZE oraz z ciepła odpadowego i chłodu odpadowego w systemach ciepłowniczych i chłodniczych o około 2,2 pkt proc. średniorocznie</w:t>
      </w:r>
      <w:r w:rsidRPr="00735102">
        <w:t xml:space="preserve"> w</w:t>
      </w:r>
      <w:r>
        <w:t> </w:t>
      </w:r>
      <w:r w:rsidRPr="00735102">
        <w:t xml:space="preserve">okresie </w:t>
      </w:r>
      <w:r>
        <w:t>2021–2030</w:t>
      </w:r>
      <w:r>
        <w:rPr>
          <w:rStyle w:val="Odwoanieprzypisudolnego"/>
        </w:rPr>
        <w:footnoteReference w:id="29"/>
      </w:r>
      <w:r>
        <w:t>. Biorąc pod uwagę krajowe uwarunkowania cel ten będzie bardzo trudny do</w:t>
      </w:r>
      <w:r w:rsidR="006D2C23">
        <w:t> </w:t>
      </w:r>
      <w:r>
        <w:t>zrealizowania</w:t>
      </w:r>
      <w:r w:rsidR="00E6262E">
        <w:t xml:space="preserve">, gdyż przewiduje się, że w szybszym tempie przyrost OZE może następować </w:t>
      </w:r>
      <w:r w:rsidR="00E6262E">
        <w:lastRenderedPageBreak/>
        <w:t>w ogrzewnictwie indywidualnym</w:t>
      </w:r>
      <w:r>
        <w:t xml:space="preserve">. </w:t>
      </w:r>
      <w:r w:rsidR="00A817BE">
        <w:t xml:space="preserve">Na </w:t>
      </w:r>
      <w:r w:rsidR="000113A5">
        <w:t xml:space="preserve">wykresie </w:t>
      </w:r>
      <w:r w:rsidR="00A817BE">
        <w:t xml:space="preserve">poniżej przedstawiono łączny udział OZE </w:t>
      </w:r>
      <w:r w:rsidR="00A817BE" w:rsidRPr="00A817BE">
        <w:t>w zużyciu energii w ciepłownictwie i chłodnictwie do 2030 r.</w:t>
      </w:r>
    </w:p>
    <w:p w14:paraId="72D74AE0" w14:textId="3D1F05F5" w:rsidR="00963A02" w:rsidRDefault="00A14D49" w:rsidP="00A14D49">
      <w:pPr>
        <w:spacing w:before="240"/>
        <w:rPr>
          <w:i/>
          <w:iCs/>
        </w:rPr>
      </w:pPr>
      <w:r>
        <w:rPr>
          <w:noProof/>
        </w:rPr>
        <mc:AlternateContent>
          <mc:Choice Requires="wps">
            <w:drawing>
              <wp:anchor distT="0" distB="0" distL="114300" distR="114300" simplePos="0" relativeHeight="251920896" behindDoc="1" locked="0" layoutInCell="1" allowOverlap="1" wp14:anchorId="3D6E3600" wp14:editId="20D3CADF">
                <wp:simplePos x="0" y="0"/>
                <wp:positionH relativeFrom="margin">
                  <wp:align>right</wp:align>
                </wp:positionH>
                <wp:positionV relativeFrom="paragraph">
                  <wp:posOffset>2424319</wp:posOffset>
                </wp:positionV>
                <wp:extent cx="5760720" cy="635"/>
                <wp:effectExtent l="0" t="0" r="0" b="0"/>
                <wp:wrapTight wrapText="bothSides">
                  <wp:wrapPolygon edited="0">
                    <wp:start x="0" y="0"/>
                    <wp:lineTo x="0" y="20057"/>
                    <wp:lineTo x="21500" y="20057"/>
                    <wp:lineTo x="21500" y="0"/>
                    <wp:lineTo x="0" y="0"/>
                  </wp:wrapPolygon>
                </wp:wrapTight>
                <wp:docPr id="992328851" name="Pole tekstowe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39EECC1" w14:textId="707ED544" w:rsidR="00A14D49" w:rsidRPr="00655202" w:rsidRDefault="00A14D49" w:rsidP="00A14D49">
                            <w:pPr>
                              <w:pStyle w:val="Legenda"/>
                              <w:rPr>
                                <w:b/>
                                <w:bCs/>
                                <w:noProof/>
                                <w:color w:val="323E4F" w:themeColor="text2" w:themeShade="BF"/>
                                <w:sz w:val="28"/>
                                <w:szCs w:val="32"/>
                              </w:rPr>
                            </w:pPr>
                            <w:bookmarkStart w:id="71" w:name="_Toc205204442"/>
                            <w:r>
                              <w:t xml:space="preserve">Wykres </w:t>
                            </w:r>
                            <w:fldSimple w:instr=" SEQ Wykres \* ARABIC ">
                              <w:r w:rsidR="00871DD5">
                                <w:rPr>
                                  <w:noProof/>
                                </w:rPr>
                                <w:t>4</w:t>
                              </w:r>
                            </w:fldSimple>
                            <w:r>
                              <w:t xml:space="preserve">. </w:t>
                            </w:r>
                            <w:r w:rsidRPr="00D954D2">
                              <w:t>Udział OZE w zużyciu energii w ciepłownictwie i chłodnictwie do 2030 r</w:t>
                            </w:r>
                            <w:r>
                              <w: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6E3600" id="_x0000_s1088" type="#_x0000_t202" style="position:absolute;left:0;text-align:left;margin-left:402.4pt;margin-top:190.9pt;width:453.6pt;height:.05pt;z-index:-2513955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" stroked="f">
                <v:textbox style="mso-fit-shape-to-text:t" inset="0,0,0,0">
                  <w:txbxContent>
                    <w:p w14:paraId="539EECC1" w14:textId="707ED544" w:rsidR="00A14D49" w:rsidRPr="00655202" w:rsidRDefault="00A14D49" w:rsidP="00A14D49">
                      <w:pPr>
                        <w:pStyle w:val="Legenda"/>
                        <w:rPr>
                          <w:b/>
                          <w:bCs/>
                          <w:noProof/>
                          <w:color w:val="323E4F" w:themeColor="text2" w:themeShade="BF"/>
                          <w:sz w:val="28"/>
                          <w:szCs w:val="32"/>
                        </w:rPr>
                      </w:pPr>
                      <w:bookmarkStart w:id="75" w:name="_Toc205204442"/>
                      <w:r>
                        <w:t xml:space="preserve">Wykres </w:t>
                      </w:r>
                      <w:r w:rsidR="0095335A">
                        <w:fldChar w:fldCharType="begin"/>
                      </w:r>
                      <w:r w:rsidR="0095335A">
                        <w:instrText xml:space="preserve"> SEQ Wykres \* ARABIC </w:instrText>
                      </w:r>
                      <w:r w:rsidR="0095335A">
                        <w:fldChar w:fldCharType="separate"/>
                      </w:r>
                      <w:r w:rsidR="00871DD5">
                        <w:rPr>
                          <w:noProof/>
                        </w:rPr>
                        <w:t>4</w:t>
                      </w:r>
                      <w:r w:rsidR="0095335A">
                        <w:rPr>
                          <w:noProof/>
                        </w:rPr>
                        <w:fldChar w:fldCharType="end"/>
                      </w:r>
                      <w:r>
                        <w:t xml:space="preserve">. </w:t>
                      </w:r>
                      <w:r w:rsidRPr="00D954D2">
                        <w:t>Udział OZE w zużyciu energii w ciepłownictwie i chłodnictwie do 2030 r</w:t>
                      </w:r>
                      <w:r>
                        <w:t>.</w:t>
                      </w:r>
                      <w:bookmarkEnd w:id="75"/>
                    </w:p>
                  </w:txbxContent>
                </v:textbox>
                <w10:wrap type="tight" anchorx="margin"/>
              </v:shape>
            </w:pict>
          </mc:Fallback>
        </mc:AlternateContent>
      </w:r>
      <w:r>
        <w:rPr>
          <w:noProof/>
          <w:lang w:eastAsia="pl-PL"/>
        </w:rPr>
        <w:drawing>
          <wp:anchor distT="0" distB="0" distL="114300" distR="114300" simplePos="0" relativeHeight="251794944" behindDoc="0" locked="0" layoutInCell="1" allowOverlap="1" wp14:anchorId="12CD53D0" wp14:editId="0174E1BB">
            <wp:simplePos x="0" y="0"/>
            <wp:positionH relativeFrom="margin">
              <wp:align>right</wp:align>
            </wp:positionH>
            <wp:positionV relativeFrom="paragraph">
              <wp:posOffset>138</wp:posOffset>
            </wp:positionV>
            <wp:extent cx="5760720" cy="2448560"/>
            <wp:effectExtent l="0" t="0" r="0" b="8890"/>
            <wp:wrapTight wrapText="bothSides">
              <wp:wrapPolygon edited="0">
                <wp:start x="0" y="0"/>
                <wp:lineTo x="0" y="21510"/>
                <wp:lineTo x="21500" y="21510"/>
                <wp:lineTo x="21500" y="0"/>
                <wp:lineTo x="0" y="0"/>
              </wp:wrapPolygon>
            </wp:wrapTight>
            <wp:docPr id="45939832" name="Wykres 1">
              <a:extLst xmlns:a="http://schemas.openxmlformats.org/drawingml/2006/main">
                <a:ext uri="{FF2B5EF4-FFF2-40B4-BE49-F238E27FC236}">
                  <a16:creationId xmlns:a16="http://schemas.microsoft.com/office/drawing/2014/main" id="{43F965EC-0516-4D01-A44E-A262172CA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D131DE">
        <w:t xml:space="preserve">Kolejne </w:t>
      </w:r>
      <w:r w:rsidR="000113A5">
        <w:t xml:space="preserve">wykresy </w:t>
      </w:r>
      <w:r w:rsidR="00963A02">
        <w:t>przedstawi</w:t>
      </w:r>
      <w:r w:rsidR="00D131DE">
        <w:t>aj</w:t>
      </w:r>
      <w:r w:rsidR="31215B46">
        <w:t>ą</w:t>
      </w:r>
      <w:r w:rsidR="00963A02">
        <w:t xml:space="preserve"> </w:t>
      </w:r>
      <w:r w:rsidR="007D57DE">
        <w:t xml:space="preserve">strukturę produkcji ciepła systemowego </w:t>
      </w:r>
      <w:r w:rsidR="00D131DE">
        <w:t>oraz ciepło wytwarzane w gospodarstwach domowych (</w:t>
      </w:r>
      <w:r w:rsidR="00CA55CC">
        <w:t xml:space="preserve">bez </w:t>
      </w:r>
      <w:r w:rsidR="00D131DE">
        <w:t xml:space="preserve">produkcji własnej w pozostałych sektorach takich </w:t>
      </w:r>
      <w:r w:rsidR="079F79FE">
        <w:t xml:space="preserve">jak </w:t>
      </w:r>
      <w:r w:rsidR="00D131DE">
        <w:t xml:space="preserve">przemysł, czy usługi) </w:t>
      </w:r>
      <w:r w:rsidR="007D57DE">
        <w:t>w perspektywie 2040 r.</w:t>
      </w:r>
      <w:r w:rsidR="00853C4B">
        <w:t xml:space="preserve"> </w:t>
      </w:r>
      <w:r w:rsidR="00853C4B" w:rsidRPr="0073564F">
        <w:rPr>
          <w:i/>
          <w:iCs/>
        </w:rPr>
        <w:t>Więcej szczegółowych informacji</w:t>
      </w:r>
      <w:r w:rsidR="00853C4B">
        <w:rPr>
          <w:i/>
          <w:iCs/>
        </w:rPr>
        <w:t xml:space="preserve"> w wartościach </w:t>
      </w:r>
      <w:r w:rsidR="00853C4B" w:rsidRPr="0073564F">
        <w:rPr>
          <w:i/>
          <w:iCs/>
        </w:rPr>
        <w:t>wyrażone w ktoe znajdują się w załączniku 1, w rozdzia</w:t>
      </w:r>
      <w:r w:rsidR="00853C4B">
        <w:rPr>
          <w:i/>
          <w:iCs/>
        </w:rPr>
        <w:t>le</w:t>
      </w:r>
      <w:r w:rsidR="00853C4B" w:rsidRPr="0073564F">
        <w:rPr>
          <w:i/>
          <w:iCs/>
        </w:rPr>
        <w:t xml:space="preserve"> 1.</w:t>
      </w:r>
      <w:r w:rsidR="00853C4B">
        <w:rPr>
          <w:i/>
          <w:iCs/>
        </w:rPr>
        <w:t>2.</w:t>
      </w:r>
    </w:p>
    <w:p w14:paraId="5416789D" w14:textId="6A3465F6" w:rsidR="008225F2" w:rsidRPr="00637A78" w:rsidRDefault="00CE004A" w:rsidP="005E16E5">
      <w:r w:rsidRPr="00CE004A">
        <w:t>W ciepłownictwie systemowym większość ciepła w 2040 r</w:t>
      </w:r>
      <w:r>
        <w:t>.</w:t>
      </w:r>
      <w:r w:rsidRPr="00CE004A">
        <w:t xml:space="preserve"> produkowana będzie przez źródła OZE, głównie w postaci pomp ciepła oraz z wykorzystaniem gazów </w:t>
      </w:r>
      <w:r w:rsidR="00D91800">
        <w:t>odnawialnych</w:t>
      </w:r>
      <w:r w:rsidRPr="00CE004A">
        <w:t>. Choć prognozowana w</w:t>
      </w:r>
      <w:r w:rsidR="00D91800">
        <w:t xml:space="preserve"> </w:t>
      </w:r>
      <w:r>
        <w:t>scenariuszu WAM</w:t>
      </w:r>
      <w:r w:rsidRPr="00CE004A">
        <w:t xml:space="preserve"> struktura produkcji ciepła wskazuje na określony kierunek, </w:t>
      </w:r>
      <w:r w:rsidR="004A1709">
        <w:t xml:space="preserve">elektryfikacja </w:t>
      </w:r>
      <w:r w:rsidR="00494B1B">
        <w:t>tego sektora</w:t>
      </w:r>
      <w:r w:rsidR="00030B36" w:rsidRPr="00CE004A">
        <w:t xml:space="preserve"> do 2040 r</w:t>
      </w:r>
      <w:r w:rsidR="00030B36">
        <w:t>.</w:t>
      </w:r>
      <w:r w:rsidR="00494B1B">
        <w:t xml:space="preserve"> może przebiegać nawet bardziej dynamicznie</w:t>
      </w:r>
      <w:r w:rsidR="00030B36">
        <w:rPr>
          <w:rStyle w:val="Odwoanieprzypisudolnego"/>
        </w:rPr>
        <w:footnoteReference w:id="30"/>
      </w:r>
      <w:r w:rsidR="00494B1B">
        <w:t xml:space="preserve"> </w:t>
      </w:r>
      <w:r w:rsidRPr="00CE004A">
        <w:t xml:space="preserve">. </w:t>
      </w:r>
    </w:p>
    <w:p w14:paraId="5DFA1CA0" w14:textId="7FFA241C" w:rsidR="0095335A" w:rsidRDefault="00996FD8" w:rsidP="0095335A">
      <w:pPr>
        <w:keepNext/>
      </w:pPr>
      <w:r w:rsidRPr="005866C5" w:rsidDel="00996FD8">
        <w:t xml:space="preserve"> </w:t>
      </w:r>
      <w:r>
        <w:rPr>
          <w:noProof/>
        </w:rPr>
        <w:drawing>
          <wp:inline distT="0" distB="0" distL="0" distR="0" wp14:anchorId="09BC1D66" wp14:editId="618A814F">
            <wp:extent cx="5760720" cy="2767054"/>
            <wp:effectExtent l="0" t="0" r="0" b="0"/>
            <wp:docPr id="714750075" name="Wykres 1">
              <a:extLst xmlns:a="http://schemas.openxmlformats.org/drawingml/2006/main">
                <a:ext uri="{FF2B5EF4-FFF2-40B4-BE49-F238E27FC236}">
                  <a16:creationId xmlns:a16="http://schemas.microsoft.com/office/drawing/2014/main" id="{C26CA74E-F9EE-4CB4-8972-4C5B99777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C4379E6" w14:textId="56B608B8" w:rsidR="00734026" w:rsidRDefault="0095335A" w:rsidP="0095335A">
      <w:pPr>
        <w:pStyle w:val="Legenda"/>
      </w:pPr>
      <w:bookmarkStart w:id="72" w:name="_Toc205204443"/>
      <w:r>
        <w:t xml:space="preserve">Wykres </w:t>
      </w:r>
      <w:fldSimple w:instr=" SEQ Wykres \* ARABIC ">
        <w:r w:rsidR="00871DD5">
          <w:rPr>
            <w:noProof/>
          </w:rPr>
          <w:t>5</w:t>
        </w:r>
      </w:fldSimple>
      <w:r>
        <w:t xml:space="preserve">. </w:t>
      </w:r>
      <w:r w:rsidRPr="00C161F2">
        <w:t>Produkcja ciepła systemowego w podziale na paliwa</w:t>
      </w:r>
      <w:bookmarkEnd w:id="72"/>
    </w:p>
    <w:p w14:paraId="509E9FCE" w14:textId="00A066BD" w:rsidR="00020DAD" w:rsidRDefault="009A34A2" w:rsidP="00020DAD">
      <w:pPr>
        <w:pStyle w:val="Legenda"/>
        <w:keepNext/>
        <w:jc w:val="left"/>
      </w:pPr>
      <w:r>
        <w:rPr>
          <w:noProof/>
        </w:rPr>
        <w:lastRenderedPageBreak/>
        <w:drawing>
          <wp:inline distT="0" distB="0" distL="0" distR="0" wp14:anchorId="58E9C535" wp14:editId="198F9DA7">
            <wp:extent cx="5760720" cy="3236181"/>
            <wp:effectExtent l="0" t="0" r="0" b="2540"/>
            <wp:docPr id="1648126154" name="Wykres 1">
              <a:extLst xmlns:a="http://schemas.openxmlformats.org/drawingml/2006/main">
                <a:ext uri="{FF2B5EF4-FFF2-40B4-BE49-F238E27FC236}">
                  <a16:creationId xmlns:a16="http://schemas.microsoft.com/office/drawing/2014/main" id="{442F3445-E63D-BD2F-D300-3D71A845B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A02CD31" w14:textId="4F937328" w:rsidR="009A34A2" w:rsidRDefault="00020DAD" w:rsidP="00020DAD">
      <w:pPr>
        <w:pStyle w:val="Legenda"/>
        <w:rPr>
          <w:b/>
          <w:bCs/>
          <w:color w:val="auto"/>
          <w:szCs w:val="22"/>
        </w:rPr>
      </w:pPr>
      <w:bookmarkStart w:id="73" w:name="_Toc205204444"/>
      <w:r>
        <w:t xml:space="preserve">Wykres </w:t>
      </w:r>
      <w:fldSimple w:instr=" SEQ Wykres \* ARABIC ">
        <w:r w:rsidR="00871DD5">
          <w:rPr>
            <w:noProof/>
          </w:rPr>
          <w:t>6</w:t>
        </w:r>
      </w:fldSimple>
      <w:r>
        <w:t>. Produkcja ciepła w gospodarstwach domowych (n</w:t>
      </w:r>
      <w:r w:rsidRPr="00020DAD">
        <w:t>a potrzeby ogrzewania pomieszczeń, ciepłej wody użytkowej oraz przygotowania posiłków</w:t>
      </w:r>
      <w:r>
        <w:t>)</w:t>
      </w:r>
      <w:bookmarkEnd w:id="73"/>
    </w:p>
    <w:p w14:paraId="477D5330" w14:textId="6662D61F" w:rsidR="00653B7A" w:rsidRDefault="00653B7A" w:rsidP="00020DAD">
      <w:pPr>
        <w:spacing w:before="160" w:after="0"/>
      </w:pPr>
    </w:p>
    <w:p w14:paraId="6D75F965" w14:textId="7A97C151" w:rsidR="00AF1EFD" w:rsidRDefault="00E6262E" w:rsidP="00A86FDA">
      <w:pPr>
        <w:spacing w:before="360"/>
        <w:jc w:val="left"/>
      </w:pPr>
      <w:r>
        <w:t xml:space="preserve">Dyrektywa RED III wskazuje również na konieczność </w:t>
      </w:r>
      <w:r w:rsidR="00291A48">
        <w:t xml:space="preserve">określenia orientacyjnego celu w zakresie udziału OZE </w:t>
      </w:r>
      <w:r w:rsidR="00291A48" w:rsidRPr="00291A48">
        <w:t>w</w:t>
      </w:r>
      <w:r w:rsidR="00AF1EFD">
        <w:t xml:space="preserve"> </w:t>
      </w:r>
      <w:r w:rsidR="00291A48" w:rsidRPr="00291A48">
        <w:t>zużyciu energii końcowej w budynkach w</w:t>
      </w:r>
      <w:r w:rsidR="00AF1EFD">
        <w:t xml:space="preserve"> </w:t>
      </w:r>
      <w:r w:rsidR="00291A48" w:rsidRPr="00291A48">
        <w:t>2030 r</w:t>
      </w:r>
      <w:r w:rsidR="00AF1EFD">
        <w:t>., przy czym na poziomie UE wyznaczono 49%</w:t>
      </w:r>
      <w:r w:rsidR="00291A48">
        <w:rPr>
          <w:rStyle w:val="Odwoanieprzypisudolnego"/>
        </w:rPr>
        <w:footnoteReference w:id="31"/>
      </w:r>
      <w:r w:rsidR="00AF1EFD">
        <w:t>.</w:t>
      </w:r>
      <w:r w:rsidR="00291A48" w:rsidRPr="00291A48">
        <w:t xml:space="preserve"> </w:t>
      </w:r>
    </w:p>
    <w:p w14:paraId="08CF633B" w14:textId="2D75B7A9" w:rsidR="00D351D9" w:rsidRDefault="0011496D" w:rsidP="00AF1EFD">
      <w:pPr>
        <w:pStyle w:val="Cele"/>
      </w:pPr>
      <w:r w:rsidRPr="00B377B2">
        <w:rPr>
          <w:rStyle w:val="CeleZnak"/>
          <w:b/>
        </w:rPr>
        <w:t>P</w:t>
      </w:r>
      <w:r>
        <w:rPr>
          <w:rStyle w:val="CeleZnak"/>
          <w:b/>
        </w:rPr>
        <w:t>rognozy</w:t>
      </w:r>
      <w:r w:rsidRPr="00B377B2">
        <w:rPr>
          <w:rStyle w:val="CeleZnak"/>
          <w:b/>
        </w:rPr>
        <w:t xml:space="preserve"> </w:t>
      </w:r>
      <w:r w:rsidRPr="00EE60D1">
        <w:rPr>
          <w:b/>
          <w:bCs/>
        </w:rPr>
        <w:t>wskazują, że Polska może osiągnąć</w:t>
      </w:r>
      <w:r w:rsidR="00AF1EFD">
        <w:t xml:space="preserve"> </w:t>
      </w:r>
      <w:r w:rsidR="00263643">
        <w:t>49,2</w:t>
      </w:r>
      <w:r w:rsidR="00AF1EFD" w:rsidRPr="00AF1EFD">
        <w:rPr>
          <w:b/>
          <w:bCs/>
        </w:rPr>
        <w:t>% udziału OZE w zużyciu energii w</w:t>
      </w:r>
      <w:r w:rsidR="00122867">
        <w:rPr>
          <w:b/>
          <w:bCs/>
        </w:rPr>
        <w:t> </w:t>
      </w:r>
      <w:r w:rsidR="00AF1EFD" w:rsidRPr="00AF1EFD">
        <w:rPr>
          <w:b/>
          <w:bCs/>
        </w:rPr>
        <w:t>budynkach</w:t>
      </w:r>
      <w:r w:rsidR="00AF1EFD" w:rsidRPr="000508D4">
        <w:rPr>
          <w:b/>
        </w:rPr>
        <w:t xml:space="preserve"> w 2030 r.</w:t>
      </w:r>
      <w:r w:rsidR="00E1264A">
        <w:rPr>
          <w:rStyle w:val="Odwoanieprzypisudolnego"/>
          <w:b/>
        </w:rPr>
        <w:footnoteReference w:id="32"/>
      </w:r>
      <w:r w:rsidR="00974007">
        <w:rPr>
          <w:b/>
        </w:rPr>
        <w:t xml:space="preserve"> </w:t>
      </w:r>
      <w:r w:rsidR="00974007" w:rsidRPr="00CD4286">
        <w:rPr>
          <w:b/>
        </w:rPr>
        <w:t xml:space="preserve"> </w:t>
      </w:r>
      <w:r w:rsidR="005E2E79">
        <w:t xml:space="preserve">oraz </w:t>
      </w:r>
      <w:r w:rsidR="00263643">
        <w:t>86,9</w:t>
      </w:r>
      <w:r w:rsidR="00AF1EFD">
        <w:t>% w 2040 r.</w:t>
      </w:r>
      <w:r w:rsidR="003E2DE5">
        <w:t xml:space="preserve"> </w:t>
      </w:r>
    </w:p>
    <w:p w14:paraId="4C25CD5E" w14:textId="690DF506" w:rsidR="003535CB" w:rsidRDefault="003535CB" w:rsidP="003535CB">
      <w:r>
        <w:t xml:space="preserve">Najwięcej energii w budynkach wykorzystywane jest na cele </w:t>
      </w:r>
      <w:r w:rsidR="00344315">
        <w:t xml:space="preserve">grzewcze </w:t>
      </w:r>
      <w:r>
        <w:t xml:space="preserve">i chłodnicze (oprócz tego energia elektryczna), dlatego właśnie w tym podrozdziale wskazany został powyższy cel. </w:t>
      </w:r>
      <w:r w:rsidR="0010243C" w:rsidRPr="0010243C">
        <w:t xml:space="preserve">Obecnie większość ciepła z OZE pochodzi ze spalania biomasy. Jednak z uwagi na ograniczoną dostępność tego surowca oraz możliwość jego wykorzystania w innych sektorach gospodarki, udział biomasy w produkcji ciepła będzie spadać, a wzrastać będzie udział pomp ciepła zasilanych energia elektryczna </w:t>
      </w:r>
      <w:r w:rsidR="00E90091">
        <w:t xml:space="preserve">z </w:t>
      </w:r>
      <w:r w:rsidR="0010243C">
        <w:t>k</w:t>
      </w:r>
      <w:r w:rsidR="0010243C" w:rsidRPr="0010243C">
        <w:t xml:space="preserve">rajowego </w:t>
      </w:r>
      <w:r w:rsidR="0010243C">
        <w:t>s</w:t>
      </w:r>
      <w:r w:rsidR="0010243C" w:rsidRPr="0010243C">
        <w:t xml:space="preserve">ystemu </w:t>
      </w:r>
      <w:r w:rsidR="0010243C">
        <w:t>e</w:t>
      </w:r>
      <w:r w:rsidR="0010243C" w:rsidRPr="0010243C">
        <w:t>lektroenergetycznego (pochodząca z OZE) oraz kolektorów słonecznych. Wzrośnie także wykorzystanie OZE w budynkach</w:t>
      </w:r>
      <w:r w:rsidR="007B269E">
        <w:t xml:space="preserve"> przyłączonych do sieci ciepłowniczej</w:t>
      </w:r>
      <w:r w:rsidR="0010243C" w:rsidRPr="0010243C">
        <w:t>, ze</w:t>
      </w:r>
      <w:r w:rsidR="00301D40">
        <w:t> </w:t>
      </w:r>
      <w:r w:rsidR="0010243C" w:rsidRPr="0010243C">
        <w:t xml:space="preserve">względu na zazielenianie </w:t>
      </w:r>
      <w:r w:rsidR="005D3862">
        <w:t>systemów ciepłowniczych</w:t>
      </w:r>
      <w:r w:rsidR="0010243C" w:rsidRPr="0010243C">
        <w:t>. Przewidywany jest również rozwój węzłów hybrydowych, wyposażonych w magazyny ciepła zasilane zarówno przez system ciepłowniczy jak i</w:t>
      </w:r>
      <w:r w:rsidR="00122867">
        <w:t> </w:t>
      </w:r>
      <w:r w:rsidR="0010243C" w:rsidRPr="0010243C">
        <w:t>lokalne źródła takie jak pompy ciepła czy kolektory słoneczne.</w:t>
      </w:r>
    </w:p>
    <w:p w14:paraId="2FD0AB3E" w14:textId="77777777" w:rsidR="00014C8E" w:rsidRDefault="00014C8E" w:rsidP="00F34A58">
      <w:pPr>
        <w:pStyle w:val="PaMs"/>
      </w:pPr>
      <w:r w:rsidRPr="00C46DAA">
        <w:lastRenderedPageBreak/>
        <w:t>POLITYKA</w:t>
      </w:r>
    </w:p>
    <w:p w14:paraId="55D26AAB" w14:textId="77777777" w:rsidR="008422EA" w:rsidRDefault="00D65530" w:rsidP="00D65530">
      <w:r>
        <w:t xml:space="preserve">Bardzo ważnym czynnikiem kształtowania polityki w obszarze </w:t>
      </w:r>
      <w:r w:rsidR="008422EA">
        <w:t xml:space="preserve">pokrywania potrzeb cieplnych i dekarbonizacji tego obszaru będzie </w:t>
      </w:r>
      <w:r w:rsidR="008422EA" w:rsidRPr="008422EA">
        <w:rPr>
          <w:b/>
          <w:bCs/>
        </w:rPr>
        <w:t>redukcja zapotrzebowania na ciepło</w:t>
      </w:r>
      <w:r w:rsidR="008422EA">
        <w:t>. Odbywać się to będzie poprzez powszechną termomodernizację istniejących budynków oraz wysokie wymagania techniczne dla nowych budynków, które powodują, że wskaźniki zapotrzebowanie na energię użytkową budynków są znacznie niższe niż w poprzednich latach.</w:t>
      </w:r>
    </w:p>
    <w:p w14:paraId="111849E8" w14:textId="1AAD00EA" w:rsidR="00D65530" w:rsidRDefault="008422EA" w:rsidP="00D65530">
      <w:r>
        <w:t xml:space="preserve">Uwaga skupiona będzie nie tylko na budynkach mieszkalnych, ale także budynków użyteczności publicznej, zwłaszcza </w:t>
      </w:r>
      <w:r w:rsidR="00B41072">
        <w:t>służących edukacji.</w:t>
      </w:r>
      <w:r>
        <w:t xml:space="preserve"> </w:t>
      </w:r>
    </w:p>
    <w:p w14:paraId="354C09F6" w14:textId="7592857F" w:rsidR="002E51AC" w:rsidRDefault="002E51AC" w:rsidP="00B41072">
      <w:pPr>
        <w:pStyle w:val="Nagwek5"/>
      </w:pPr>
      <w:r>
        <w:t>Ciepłownictwo systemowe</w:t>
      </w:r>
    </w:p>
    <w:p w14:paraId="7FE3CCAB" w14:textId="0715986F" w:rsidR="00270BCB" w:rsidRDefault="005E16E5" w:rsidP="00F25183">
      <w:r>
        <w:t xml:space="preserve">Działania podejmowane w </w:t>
      </w:r>
      <w:r w:rsidR="00F14191">
        <w:t xml:space="preserve">ciepłownictwie systemowym będą zmierzały do </w:t>
      </w:r>
      <w:r w:rsidR="007566E3">
        <w:t>ograniczenia wykorzystania paliw kopalnych</w:t>
      </w:r>
      <w:r w:rsidR="00330E56">
        <w:t xml:space="preserve">, a w szczególności wyeliminowania do 2035 r. ciepłowni i elektrociepłowni węglowych. </w:t>
      </w:r>
      <w:r w:rsidR="00330E56" w:rsidRPr="00270BCB">
        <w:rPr>
          <w:b/>
          <w:bCs/>
        </w:rPr>
        <w:t xml:space="preserve">Dążyć się będzie do tego, by ciepło </w:t>
      </w:r>
      <w:r w:rsidR="007566E3" w:rsidRPr="00270BCB">
        <w:rPr>
          <w:b/>
          <w:bCs/>
        </w:rPr>
        <w:t>system</w:t>
      </w:r>
      <w:r w:rsidR="00330E56" w:rsidRPr="00270BCB">
        <w:rPr>
          <w:b/>
          <w:bCs/>
        </w:rPr>
        <w:t xml:space="preserve">owe było produkowane w systemach </w:t>
      </w:r>
      <w:r w:rsidR="007566E3" w:rsidRPr="00270BCB">
        <w:rPr>
          <w:b/>
          <w:bCs/>
        </w:rPr>
        <w:t>o wysokim nasyceniu OZE</w:t>
      </w:r>
      <w:r w:rsidR="00270BCB" w:rsidRPr="00270BCB">
        <w:rPr>
          <w:b/>
          <w:bCs/>
        </w:rPr>
        <w:t>, z wykorzystaniem energii elektrycznej</w:t>
      </w:r>
      <w:r w:rsidR="004F78ED">
        <w:rPr>
          <w:b/>
          <w:bCs/>
        </w:rPr>
        <w:t>, ciepła odpadowego</w:t>
      </w:r>
      <w:r w:rsidR="00270BCB" w:rsidRPr="00270BCB">
        <w:rPr>
          <w:b/>
          <w:bCs/>
        </w:rPr>
        <w:t xml:space="preserve"> </w:t>
      </w:r>
      <w:r w:rsidR="004F78ED">
        <w:rPr>
          <w:b/>
          <w:bCs/>
        </w:rPr>
        <w:t>i</w:t>
      </w:r>
      <w:r w:rsidR="00270BCB" w:rsidRPr="00270BCB">
        <w:rPr>
          <w:b/>
          <w:bCs/>
        </w:rPr>
        <w:t xml:space="preserve"> uzupełniającej roli </w:t>
      </w:r>
      <w:r w:rsidR="00270BCB">
        <w:rPr>
          <w:b/>
          <w:bCs/>
        </w:rPr>
        <w:t>paliw gazowych</w:t>
      </w:r>
      <w:r w:rsidR="007566E3">
        <w:t xml:space="preserve">. </w:t>
      </w:r>
    </w:p>
    <w:p w14:paraId="070C1588" w14:textId="77361DB3" w:rsidR="00270BCB" w:rsidRDefault="00270BCB" w:rsidP="00270BCB">
      <w:pPr>
        <w:spacing w:after="80"/>
      </w:pPr>
      <w:r>
        <w:t>W tym celu wsparcie finansowe będzie kierunkowane na rozwiązania oparte o następujące elementy, przy czym poziom wykorzystania OZE i energii elektrycznej może być różny w zależności od wielkości systemu (im mniejszy system, tym wyższy oczekiwany udział OZE i elektryfikacji):</w:t>
      </w:r>
    </w:p>
    <w:p w14:paraId="7470489A" w14:textId="1D9C4A6B" w:rsidR="00270BCB" w:rsidRPr="00F14191" w:rsidRDefault="00270BCB" w:rsidP="000625AC">
      <w:pPr>
        <w:pStyle w:val="Akapitzlist"/>
        <w:numPr>
          <w:ilvl w:val="0"/>
          <w:numId w:val="79"/>
        </w:numPr>
      </w:pPr>
      <w:r w:rsidRPr="00F14191">
        <w:t>wielkoskalowe pompy ciepła, </w:t>
      </w:r>
    </w:p>
    <w:p w14:paraId="129E2812" w14:textId="50D44E79" w:rsidR="00270BCB" w:rsidRPr="00F14191" w:rsidRDefault="00270BCB" w:rsidP="000625AC">
      <w:pPr>
        <w:pStyle w:val="Akapitzlist"/>
        <w:numPr>
          <w:ilvl w:val="0"/>
          <w:numId w:val="79"/>
        </w:numPr>
      </w:pPr>
      <w:r w:rsidRPr="00F14191">
        <w:t>wielkoskalowe kotły elektrodowe, </w:t>
      </w:r>
    </w:p>
    <w:p w14:paraId="5873F236" w14:textId="7AB6DB9A" w:rsidR="00270BCB" w:rsidRPr="00F14191" w:rsidRDefault="00270BCB" w:rsidP="000625AC">
      <w:pPr>
        <w:pStyle w:val="Akapitzlist"/>
        <w:numPr>
          <w:ilvl w:val="0"/>
          <w:numId w:val="79"/>
        </w:numPr>
      </w:pPr>
      <w:r w:rsidRPr="00F14191">
        <w:t>wielkoskalowe magazyny ciepła (minimum na 24 h przy minimalnej temperaturze normatywnej</w:t>
      </w:r>
      <w:r w:rsidR="002221E4">
        <w:t xml:space="preserve">, a także magazyny </w:t>
      </w:r>
      <w:r w:rsidR="0050350E">
        <w:t>sezonowe</w:t>
      </w:r>
      <w:r w:rsidRPr="00F14191">
        <w:t>), </w:t>
      </w:r>
    </w:p>
    <w:p w14:paraId="731FD9E1" w14:textId="69E8A4C3" w:rsidR="00270BCB" w:rsidRPr="00F14191" w:rsidRDefault="00270BCB" w:rsidP="000625AC">
      <w:pPr>
        <w:pStyle w:val="Akapitzlist"/>
        <w:numPr>
          <w:ilvl w:val="0"/>
          <w:numId w:val="79"/>
        </w:numPr>
      </w:pPr>
      <w:r w:rsidRPr="00F14191">
        <w:t xml:space="preserve">moce wytwórcze </w:t>
      </w:r>
      <w:r>
        <w:t>OZE</w:t>
      </w:r>
      <w:r w:rsidRPr="00F14191">
        <w:t xml:space="preserve">: elektrownie wiatrowe, </w:t>
      </w:r>
      <w:r>
        <w:t>PV</w:t>
      </w:r>
      <w:r w:rsidRPr="00F14191">
        <w:t>, kolektory słoneczne, </w:t>
      </w:r>
    </w:p>
    <w:p w14:paraId="27F68BE5" w14:textId="39A035CB" w:rsidR="00270BCB" w:rsidRPr="00F14191" w:rsidRDefault="00270BCB" w:rsidP="000625AC">
      <w:pPr>
        <w:pStyle w:val="Akapitzlist"/>
        <w:numPr>
          <w:ilvl w:val="0"/>
          <w:numId w:val="79"/>
        </w:numPr>
      </w:pPr>
      <w:r w:rsidRPr="00F14191">
        <w:t>źródła szczytowe na gaz ziemny lub biometan, </w:t>
      </w:r>
    </w:p>
    <w:p w14:paraId="38618D1C" w14:textId="523C6C82" w:rsidR="00270BCB" w:rsidRPr="00F14191" w:rsidRDefault="00270BCB" w:rsidP="000625AC">
      <w:pPr>
        <w:pStyle w:val="Akapitzlist"/>
        <w:numPr>
          <w:ilvl w:val="0"/>
          <w:numId w:val="79"/>
        </w:numPr>
      </w:pPr>
      <w:r w:rsidRPr="00F14191">
        <w:t>modernizacja sieci ciepłowniczej, </w:t>
      </w:r>
    </w:p>
    <w:p w14:paraId="116F3880" w14:textId="6DACD01F" w:rsidR="00270BCB" w:rsidRPr="00F14191" w:rsidRDefault="00270BCB" w:rsidP="000625AC">
      <w:pPr>
        <w:pStyle w:val="Akapitzlist"/>
        <w:numPr>
          <w:ilvl w:val="0"/>
          <w:numId w:val="79"/>
        </w:numPr>
      </w:pPr>
      <w:r w:rsidRPr="00F14191">
        <w:t>przyłącza do sieci energetycznej, systemy sterowania, </w:t>
      </w:r>
    </w:p>
    <w:p w14:paraId="72D74B5B" w14:textId="64D9DFD3" w:rsidR="00270BCB" w:rsidRPr="00F14191" w:rsidRDefault="7C156154" w:rsidP="000625AC">
      <w:pPr>
        <w:pStyle w:val="Akapitzlist"/>
        <w:numPr>
          <w:ilvl w:val="0"/>
          <w:numId w:val="79"/>
        </w:numPr>
      </w:pPr>
      <w:r>
        <w:t xml:space="preserve">w dalszej perspektywie </w:t>
      </w:r>
      <w:r w:rsidR="00270BCB" w:rsidRPr="00F14191">
        <w:t>systemy produkcji i magazynowania wodoru i turbiny wodorowe, </w:t>
      </w:r>
    </w:p>
    <w:p w14:paraId="45333223" w14:textId="3516E372" w:rsidR="00270BCB" w:rsidRDefault="00270BCB" w:rsidP="000625AC">
      <w:pPr>
        <w:pStyle w:val="Akapitzlist"/>
        <w:numPr>
          <w:ilvl w:val="0"/>
          <w:numId w:val="79"/>
        </w:numPr>
      </w:pPr>
      <w:r w:rsidRPr="00F14191">
        <w:t>systemy zarządzania i kontroli sieci</w:t>
      </w:r>
      <w:r>
        <w:t>.</w:t>
      </w:r>
    </w:p>
    <w:p w14:paraId="6F28F06F" w14:textId="577DD6E6" w:rsidR="002C3D30" w:rsidRPr="002C3D30" w:rsidRDefault="004F78ED" w:rsidP="00D574D2">
      <w:pPr>
        <w:spacing w:after="80"/>
      </w:pPr>
      <w:r>
        <w:t>Dążyć się będzie także to tego, by sieci ciepłownicze pozwalały na dostawy ciepła niskotemperaturowego</w:t>
      </w:r>
      <w:r w:rsidR="002C3D30">
        <w:t xml:space="preserve">. </w:t>
      </w:r>
      <w:r w:rsidR="00A0789E" w:rsidRPr="00A0789E">
        <w:t>Podnoszenie temperatury czynnika grzewczego</w:t>
      </w:r>
      <w:r w:rsidR="00A0789E">
        <w:t xml:space="preserve"> </w:t>
      </w:r>
      <w:r w:rsidR="002C3D30">
        <w:t xml:space="preserve">może odbywać się bezpośrednio w budynku lub w niewielkim oddaleniu. Wymagać to będzie </w:t>
      </w:r>
      <w:r w:rsidR="002C3D30" w:rsidRPr="002C3D30">
        <w:t>węzłów ciepłowniczych</w:t>
      </w:r>
      <w:r w:rsidR="002C3D30">
        <w:t xml:space="preserve"> i m</w:t>
      </w:r>
      <w:r w:rsidR="002C3D30" w:rsidRPr="002C3D30">
        <w:t>odernizac</w:t>
      </w:r>
      <w:r w:rsidR="002C3D30">
        <w:t>ji w</w:t>
      </w:r>
      <w:r w:rsidR="005866C5">
        <w:t> </w:t>
      </w:r>
      <w:r w:rsidR="002C3D30" w:rsidRPr="002C3D30">
        <w:t>budynk</w:t>
      </w:r>
      <w:r w:rsidR="002C3D30">
        <w:t>ach, poprzez zastosowanie</w:t>
      </w:r>
      <w:r w:rsidR="002C3D30" w:rsidRPr="002C3D30">
        <w:t>: </w:t>
      </w:r>
    </w:p>
    <w:p w14:paraId="109CBD7A" w14:textId="51661064" w:rsidR="002C3D30" w:rsidRPr="002C3D30" w:rsidRDefault="002C3D30" w:rsidP="000625AC">
      <w:pPr>
        <w:pStyle w:val="Akapitzlist"/>
        <w:numPr>
          <w:ilvl w:val="0"/>
          <w:numId w:val="80"/>
        </w:numPr>
      </w:pPr>
      <w:r w:rsidRPr="002C3D30">
        <w:t>pomp ciepła, </w:t>
      </w:r>
    </w:p>
    <w:p w14:paraId="681D9B34" w14:textId="0F84F10F" w:rsidR="002C3D30" w:rsidRPr="002C3D30" w:rsidRDefault="002C3D30" w:rsidP="000625AC">
      <w:pPr>
        <w:pStyle w:val="Akapitzlist"/>
        <w:numPr>
          <w:ilvl w:val="0"/>
          <w:numId w:val="80"/>
        </w:numPr>
      </w:pPr>
      <w:r w:rsidRPr="002C3D30">
        <w:t>kotł</w:t>
      </w:r>
      <w:r>
        <w:t xml:space="preserve">ów </w:t>
      </w:r>
      <w:r w:rsidRPr="002C3D30">
        <w:t>elektrodow</w:t>
      </w:r>
      <w:r>
        <w:t>ych</w:t>
      </w:r>
      <w:r w:rsidRPr="002C3D30">
        <w:t>, </w:t>
      </w:r>
    </w:p>
    <w:p w14:paraId="52D80856" w14:textId="622C8FC3" w:rsidR="002C3D30" w:rsidRPr="002C3D30" w:rsidRDefault="002C3D30" w:rsidP="000625AC">
      <w:pPr>
        <w:pStyle w:val="Akapitzlist"/>
        <w:numPr>
          <w:ilvl w:val="0"/>
          <w:numId w:val="80"/>
        </w:numPr>
      </w:pPr>
      <w:r w:rsidRPr="002C3D30">
        <w:t>magazyn</w:t>
      </w:r>
      <w:r>
        <w:t>ów</w:t>
      </w:r>
      <w:r w:rsidRPr="002C3D30">
        <w:t xml:space="preserve"> ciepła, chłodu i energii elektrycznej, </w:t>
      </w:r>
    </w:p>
    <w:p w14:paraId="44C49B0A" w14:textId="47FDC5EC" w:rsidR="002C3D30" w:rsidRPr="002C3D30" w:rsidRDefault="002C3D30" w:rsidP="000625AC">
      <w:pPr>
        <w:pStyle w:val="Akapitzlist"/>
        <w:numPr>
          <w:ilvl w:val="0"/>
          <w:numId w:val="80"/>
        </w:numPr>
      </w:pPr>
      <w:r>
        <w:t xml:space="preserve">zmiany </w:t>
      </w:r>
      <w:r w:rsidRPr="002C3D30">
        <w:t>instalacj</w:t>
      </w:r>
      <w:r w:rsidR="003C6C72">
        <w:t>i</w:t>
      </w:r>
      <w:r w:rsidRPr="002C3D30">
        <w:t xml:space="preserve"> grzejnikow</w:t>
      </w:r>
      <w:r w:rsidR="003C6C72">
        <w:t>ych</w:t>
      </w:r>
      <w:r>
        <w:t xml:space="preserve"> na</w:t>
      </w:r>
      <w:r w:rsidRPr="002C3D30">
        <w:t xml:space="preserve"> nisko</w:t>
      </w:r>
      <w:r w:rsidR="00CD5B4C">
        <w:t xml:space="preserve">temperaturowe ogrzewanie </w:t>
      </w:r>
      <w:r w:rsidRPr="002C3D30">
        <w:t>podłogowe i</w:t>
      </w:r>
      <w:r w:rsidR="00F15387">
        <w:t> </w:t>
      </w:r>
      <w:r w:rsidRPr="002C3D30">
        <w:t xml:space="preserve">klimakonwektory, </w:t>
      </w:r>
      <w:r w:rsidR="00E6214F">
        <w:t xml:space="preserve">czy </w:t>
      </w:r>
      <w:r w:rsidRPr="002C3D30">
        <w:t>maty kapilarne,</w:t>
      </w:r>
    </w:p>
    <w:p w14:paraId="457CB9A1" w14:textId="3DF442F6" w:rsidR="002C3D30" w:rsidRPr="002C3D30" w:rsidRDefault="002C3D30" w:rsidP="000625AC">
      <w:pPr>
        <w:pStyle w:val="Akapitzlist"/>
        <w:numPr>
          <w:ilvl w:val="0"/>
          <w:numId w:val="80"/>
        </w:numPr>
      </w:pPr>
      <w:r w:rsidRPr="002C3D30">
        <w:t>automatyk</w:t>
      </w:r>
      <w:r>
        <w:t>i</w:t>
      </w:r>
      <w:r w:rsidRPr="002C3D30">
        <w:t xml:space="preserve"> budynkow</w:t>
      </w:r>
      <w:r>
        <w:t>ej</w:t>
      </w:r>
      <w:r w:rsidRPr="002C3D30">
        <w:t xml:space="preserve"> i przyłącz</w:t>
      </w:r>
      <w:r>
        <w:t>y</w:t>
      </w:r>
      <w:r w:rsidRPr="002C3D30">
        <w:t xml:space="preserve"> energetyczn</w:t>
      </w:r>
      <w:r>
        <w:t>ych</w:t>
      </w:r>
      <w:r w:rsidRPr="002C3D30">
        <w:t>.</w:t>
      </w:r>
    </w:p>
    <w:p w14:paraId="76A37FDF" w14:textId="431D92E0" w:rsidR="004F78ED" w:rsidRDefault="002C3D30" w:rsidP="002C3D30">
      <w:pPr>
        <w:spacing w:before="360"/>
      </w:pPr>
      <w:r>
        <w:t>Opisany wyżej</w:t>
      </w:r>
      <w:r w:rsidR="00270BCB">
        <w:t xml:space="preserve"> model pozwoli na sukcesywne </w:t>
      </w:r>
      <w:r w:rsidR="00270BCB" w:rsidRPr="002C3D30">
        <w:rPr>
          <w:b/>
          <w:bCs/>
        </w:rPr>
        <w:t xml:space="preserve">zwiększanie liczby </w:t>
      </w:r>
      <w:r w:rsidR="00270BCB" w:rsidRPr="002C3D30">
        <w:rPr>
          <w:b/>
          <w:bCs/>
          <w:i/>
          <w:iCs/>
        </w:rPr>
        <w:t>efektywnych systemów ciepłowniczych</w:t>
      </w:r>
      <w:r w:rsidR="00270BCB">
        <w:rPr>
          <w:i/>
          <w:iCs/>
        </w:rPr>
        <w:t xml:space="preserve">, </w:t>
      </w:r>
      <w:r w:rsidR="00270BCB" w:rsidRPr="00270BCB">
        <w:t>choć</w:t>
      </w:r>
      <w:r w:rsidR="00270BCB">
        <w:rPr>
          <w:i/>
          <w:iCs/>
        </w:rPr>
        <w:t xml:space="preserve"> </w:t>
      </w:r>
      <w:r w:rsidR="00270BCB" w:rsidRPr="00270BCB">
        <w:t>p</w:t>
      </w:r>
      <w:r w:rsidR="00270BCB">
        <w:t>rogresywne wymagania dyrektywy EED w zakresie definicji takich systemów mogą powodować ryzyko utraty statusu</w:t>
      </w:r>
      <w:r w:rsidR="00E90091">
        <w:t>,</w:t>
      </w:r>
      <w:r w:rsidR="003E2DE5">
        <w:t xml:space="preserve"> </w:t>
      </w:r>
      <w:r w:rsidR="00270BCB">
        <w:t>co dotyczy w szczególności dużych systemów ciepłowniczych. W</w:t>
      </w:r>
      <w:r w:rsidR="00CC6D90">
        <w:t> </w:t>
      </w:r>
      <w:r w:rsidR="00270BCB">
        <w:t>najbliższej perspektywie wciąż ważne pozostaną źródła ciepła oparte o gaz ziemny, ale dążyć się będzie do ograniczania produkcji ciepła z tych źródeł.</w:t>
      </w:r>
      <w:r w:rsidR="004F78ED">
        <w:t xml:space="preserve"> W dużych miastach wciąż zasadne </w:t>
      </w:r>
      <w:r w:rsidR="4FFA1168">
        <w:t xml:space="preserve">będą </w:t>
      </w:r>
      <w:r w:rsidR="004F78ED">
        <w:t xml:space="preserve">inwestycje w elektrociepłownie gazowe. </w:t>
      </w:r>
      <w:r w:rsidR="007C5883">
        <w:t>Natomiast w</w:t>
      </w:r>
      <w:r w:rsidR="004F78ED">
        <w:t xml:space="preserve">sparcie jednostek biomasowych </w:t>
      </w:r>
      <w:r w:rsidR="007C5883">
        <w:t>nie będzie</w:t>
      </w:r>
      <w:r w:rsidR="00A74F1D">
        <w:t xml:space="preserve"> </w:t>
      </w:r>
      <w:r w:rsidR="007C5883">
        <w:t xml:space="preserve">realizowane. </w:t>
      </w:r>
      <w:r w:rsidR="004F78ED">
        <w:t>Zależnie od warunków geologicznych, pewną rolę może odgrywać geotermia głęboka. Niewielką, uzupełniającą rolę mogą mieć także</w:t>
      </w:r>
      <w:r w:rsidR="004F78ED" w:rsidRPr="00270BCB">
        <w:t xml:space="preserve"> </w:t>
      </w:r>
      <w:r w:rsidR="004F78ED">
        <w:t>instalacj</w:t>
      </w:r>
      <w:r w:rsidR="54EDF9B5">
        <w:t>e</w:t>
      </w:r>
      <w:r w:rsidR="004F78ED">
        <w:t xml:space="preserve"> termicznego przekształcania odpadów (również z</w:t>
      </w:r>
      <w:r w:rsidR="00BD5E24">
        <w:t> </w:t>
      </w:r>
      <w:r w:rsidR="004F78ED">
        <w:t>wychwytem CO</w:t>
      </w:r>
      <w:r w:rsidR="004F78ED" w:rsidRPr="006227A1">
        <w:rPr>
          <w:vertAlign w:val="subscript"/>
        </w:rPr>
        <w:t>2</w:t>
      </w:r>
      <w:r w:rsidR="004F78ED">
        <w:t>), działające zgodnie z hierarchią wykorzystania odpadów.</w:t>
      </w:r>
    </w:p>
    <w:p w14:paraId="470E08D4" w14:textId="56BCB1E5" w:rsidR="00D65530" w:rsidRDefault="00B868A7" w:rsidP="00D65530">
      <w:r>
        <w:lastRenderedPageBreak/>
        <w:t xml:space="preserve">Wsparcie dla rozwoju wykorzystania ciepła z OZE stanowić mogą także </w:t>
      </w:r>
      <w:r w:rsidRPr="002E51AC">
        <w:rPr>
          <w:b/>
          <w:bCs/>
        </w:rPr>
        <w:t>obszary przyspieszonego rozwoju OZE</w:t>
      </w:r>
      <w:r>
        <w:t xml:space="preserve">, na których docelowo w krótszych terminach administracyjnych będą mogły powstawać instalacje </w:t>
      </w:r>
      <w:r w:rsidR="007D57DE">
        <w:t xml:space="preserve">OZE </w:t>
      </w:r>
      <w:r>
        <w:t>wraz z infrastrukturą towarzyszącą (sieciową i magazynową)</w:t>
      </w:r>
      <w:r w:rsidR="00F25183">
        <w:t xml:space="preserve">. </w:t>
      </w:r>
      <w:r w:rsidR="005E16E5">
        <w:t>Istotne znaczenie w</w:t>
      </w:r>
      <w:r w:rsidR="00FC4631">
        <w:t> </w:t>
      </w:r>
      <w:r w:rsidR="005E16E5">
        <w:t>realizacji cel</w:t>
      </w:r>
      <w:r w:rsidR="002C3D30">
        <w:t>ów KPEiK</w:t>
      </w:r>
      <w:r w:rsidR="005E16E5">
        <w:t xml:space="preserve"> może mieć również szersze zastosowanie łączenia sektora elektroenergetycznego i</w:t>
      </w:r>
      <w:r w:rsidR="002C3D30">
        <w:t> </w:t>
      </w:r>
      <w:r w:rsidR="005E16E5">
        <w:t xml:space="preserve">ciepłowniczych (ang. </w:t>
      </w:r>
      <w:r w:rsidR="005E16E5" w:rsidRPr="00EF1228">
        <w:rPr>
          <w:i/>
          <w:iCs/>
        </w:rPr>
        <w:t>sector coupling</w:t>
      </w:r>
      <w:r w:rsidR="005E16E5">
        <w:t xml:space="preserve">). </w:t>
      </w:r>
    </w:p>
    <w:p w14:paraId="2959BE67" w14:textId="2B646F49" w:rsidR="00D65530" w:rsidRDefault="00D65530" w:rsidP="00D65530">
      <w:r>
        <w:t>W związku z reformą systemu EU ETS, polskie ciepłownictwo uzyska dodatkowo 30% bezpłatnych uprawnień do emisji CO</w:t>
      </w:r>
      <w:r w:rsidRPr="0026311B">
        <w:rPr>
          <w:vertAlign w:val="subscript"/>
        </w:rPr>
        <w:t>2</w:t>
      </w:r>
      <w:r>
        <w:t xml:space="preserve">, co powinno zostać wykorzystane jako środki na przyspieszenie dekarbonizacji do 2030 r. W celu rozliczenia uzyskanych środków dokonane będą </w:t>
      </w:r>
      <w:r w:rsidRPr="00883ED9">
        <w:rPr>
          <w:b/>
          <w:bCs/>
        </w:rPr>
        <w:t>zmiany w przepisach określających zasady kształtowania taryf dla ciepła oraz warunki wykorzystania środków finansowych wygenerowanych wskutek przydziału bezpłatnych uprawnień na finansowanie inwestycji</w:t>
      </w:r>
      <w:r>
        <w:t xml:space="preserve"> w celu dążenia do neutralności klimatycznej.</w:t>
      </w:r>
    </w:p>
    <w:p w14:paraId="354A2188" w14:textId="025E24C2" w:rsidR="005E16E5" w:rsidRDefault="00D65530" w:rsidP="00D65530">
      <w:r>
        <w:t xml:space="preserve">Prowadzone będą zmiany regulacji w kierunku ograniczenia barier stosowania OZE w ciepłownictwie, preferencyjnych warunków dla rozwoju systemów ciepłowniczych stosujących OZE, a także położenie nacisku na budowę magazynów ciepła zarówno dobowych, jak i sezonowych w rożnych technologiach, celem pełnej integracji </w:t>
      </w:r>
      <w:r w:rsidR="00786D25">
        <w:t xml:space="preserve">pogodozależnych </w:t>
      </w:r>
      <w:r>
        <w:t>źródeł energii odnawialnej w</w:t>
      </w:r>
      <w:r w:rsidR="006A4AB7">
        <w:t> </w:t>
      </w:r>
      <w:r>
        <w:t>systemach ciepłowniczych.</w:t>
      </w:r>
    </w:p>
    <w:p w14:paraId="4BE25B17" w14:textId="3D53955C" w:rsidR="004F6D8E" w:rsidRDefault="00565FFF" w:rsidP="00D65530">
      <w:r>
        <w:t xml:space="preserve">Aktualny stan sektora ciepłowniczego oraz </w:t>
      </w:r>
      <w:r w:rsidR="00C261B8">
        <w:t xml:space="preserve">dominująca </w:t>
      </w:r>
      <w:r>
        <w:t xml:space="preserve">struktura własności (często </w:t>
      </w:r>
      <w:r w:rsidRPr="00565FFF">
        <w:t>przedsiębiorstwa komunalne</w:t>
      </w:r>
      <w:r>
        <w:t>, należące do gmin) powodują, że transformacja energetyczna ciepłownictwa to spore wyzwanie</w:t>
      </w:r>
      <w:r w:rsidR="00C261B8">
        <w:t xml:space="preserve"> – organizacyjne i finansowe</w:t>
      </w:r>
      <w:r>
        <w:t xml:space="preserve">. </w:t>
      </w:r>
      <w:r w:rsidR="00C261B8">
        <w:t xml:space="preserve">Wychodząc naprzeciw potrzebom od strony </w:t>
      </w:r>
      <w:r>
        <w:t xml:space="preserve">pozyskania środków </w:t>
      </w:r>
      <w:r w:rsidR="00C261B8">
        <w:t xml:space="preserve">opracowany zostanie </w:t>
      </w:r>
      <w:r w:rsidR="00C261B8" w:rsidRPr="00C261B8">
        <w:rPr>
          <w:b/>
          <w:bCs/>
          <w:i/>
          <w:iCs/>
        </w:rPr>
        <w:t>plan finansowy dla transformacji ciepłownictwa</w:t>
      </w:r>
      <w:r w:rsidR="00C261B8">
        <w:rPr>
          <w:b/>
          <w:bCs/>
        </w:rPr>
        <w:t>,</w:t>
      </w:r>
      <w:r w:rsidR="003718E3">
        <w:rPr>
          <w:b/>
          <w:bCs/>
        </w:rPr>
        <w:t xml:space="preserve"> </w:t>
      </w:r>
      <w:r w:rsidR="003718E3" w:rsidRPr="003718E3">
        <w:t>który ma zapewnić</w:t>
      </w:r>
      <w:r w:rsidR="003718E3">
        <w:rPr>
          <w:b/>
          <w:bCs/>
        </w:rPr>
        <w:t xml:space="preserve"> </w:t>
      </w:r>
      <w:r w:rsidR="002C5464">
        <w:t xml:space="preserve">model/montaż finansowany </w:t>
      </w:r>
      <w:r w:rsidR="003718E3">
        <w:t>skoordynowany i</w:t>
      </w:r>
      <w:r w:rsidR="002C5464">
        <w:t> </w:t>
      </w:r>
      <w:r w:rsidR="003718E3">
        <w:t>opart</w:t>
      </w:r>
      <w:r w:rsidR="002C5464">
        <w:t>y</w:t>
      </w:r>
      <w:r w:rsidR="003718E3">
        <w:t xml:space="preserve"> na współpracy różnych instytucji</w:t>
      </w:r>
      <w:r w:rsidR="002C5464">
        <w:t xml:space="preserve">. Co ważne – ma to zapewnić spójność programów. </w:t>
      </w:r>
      <w:r w:rsidR="00A67072">
        <w:t>Z tego wzgl</w:t>
      </w:r>
      <w:r w:rsidR="00622A7E">
        <w:t xml:space="preserve">ędu należy się spodziewać, że aktualna struktura programów wsparcia ulegnie zmianie. Dążyć się będzie do tego, by </w:t>
      </w:r>
      <w:r w:rsidR="0035507C">
        <w:t xml:space="preserve">katalog programów wsparcia </w:t>
      </w:r>
      <w:r w:rsidR="00630195">
        <w:t xml:space="preserve">był </w:t>
      </w:r>
      <w:r w:rsidR="00FB00FC">
        <w:t xml:space="preserve">możliwie </w:t>
      </w:r>
      <w:r w:rsidR="00630195">
        <w:t>prosty</w:t>
      </w:r>
      <w:r w:rsidR="00096B89">
        <w:t>, a przez to by ułatwiał podejmowanie decyzji o transformacji.</w:t>
      </w:r>
      <w:r w:rsidR="00926967">
        <w:t xml:space="preserve"> </w:t>
      </w:r>
      <w:r w:rsidR="001C483F">
        <w:t xml:space="preserve">Przewiduje się, że podział </w:t>
      </w:r>
      <w:r w:rsidR="00AC02DE">
        <w:t>programów</w:t>
      </w:r>
      <w:r w:rsidR="00CB27D4">
        <w:t>/</w:t>
      </w:r>
      <w:r w:rsidR="00AC02DE">
        <w:t>koszyków może być zależny od wielkości systemów ciepłowniczych</w:t>
      </w:r>
      <w:r w:rsidR="00CB27D4">
        <w:t xml:space="preserve"> i pozwala</w:t>
      </w:r>
      <w:r w:rsidR="004F6D8E">
        <w:t>ć</w:t>
      </w:r>
      <w:r w:rsidR="00CB27D4">
        <w:t xml:space="preserve"> na kompleksową </w:t>
      </w:r>
      <w:r w:rsidR="00402BD5">
        <w:t>transformację z</w:t>
      </w:r>
      <w:r w:rsidR="00122867">
        <w:t> </w:t>
      </w:r>
      <w:r w:rsidR="00402BD5">
        <w:t xml:space="preserve">zastosowaniem </w:t>
      </w:r>
      <w:r w:rsidR="00B36F18">
        <w:t>różnych</w:t>
      </w:r>
      <w:r w:rsidR="00402BD5">
        <w:t xml:space="preserve"> </w:t>
      </w:r>
      <w:r w:rsidR="00B36F18">
        <w:t>dostępnych</w:t>
      </w:r>
      <w:r w:rsidR="00402BD5">
        <w:t xml:space="preserve"> rozwiązań (więcej w opisie </w:t>
      </w:r>
      <w:r w:rsidR="00B36F18">
        <w:fldChar w:fldCharType="begin"/>
      </w:r>
      <w:r w:rsidR="00B36F18">
        <w:instrText xml:space="preserve"> REF _Ref198716514 \h </w:instrText>
      </w:r>
      <w:r w:rsidR="00B36F18">
        <w:fldChar w:fldCharType="separate"/>
      </w:r>
      <w:r w:rsidR="00871DD5">
        <w:t xml:space="preserve">Działanie </w:t>
      </w:r>
      <w:r w:rsidR="00871DD5">
        <w:rPr>
          <w:noProof/>
        </w:rPr>
        <w:t>27</w:t>
      </w:r>
      <w:r w:rsidR="00B36F18">
        <w:fldChar w:fldCharType="end"/>
      </w:r>
      <w:r w:rsidR="00B36F18">
        <w:t>).</w:t>
      </w:r>
      <w:r w:rsidR="00AC02DE">
        <w:rPr>
          <w:rStyle w:val="Odwoanieprzypisudolnego"/>
        </w:rPr>
        <w:footnoteReference w:id="33"/>
      </w:r>
      <w:r w:rsidR="00974007">
        <w:t xml:space="preserve">  </w:t>
      </w:r>
    </w:p>
    <w:p w14:paraId="4BE8EB28" w14:textId="513D8E87" w:rsidR="00565FFF" w:rsidRDefault="002C5464" w:rsidP="00D65530">
      <w:r>
        <w:t xml:space="preserve">Od strony organizacyjnej </w:t>
      </w:r>
      <w:r w:rsidR="00096B89">
        <w:t xml:space="preserve">wsparcie </w:t>
      </w:r>
      <w:r w:rsidR="004F6D8E">
        <w:t xml:space="preserve">w transformacji ciepłownictwa systemowego </w:t>
      </w:r>
      <w:r>
        <w:t xml:space="preserve">powinno zapewnić </w:t>
      </w:r>
      <w:r w:rsidR="00096B89">
        <w:t>w</w:t>
      </w:r>
      <w:r w:rsidR="006A4AB7">
        <w:t> </w:t>
      </w:r>
      <w:r w:rsidR="00096B89">
        <w:t xml:space="preserve">przyszłości </w:t>
      </w:r>
      <w:r w:rsidR="00565FFF" w:rsidRPr="00303C09">
        <w:rPr>
          <w:b/>
          <w:bCs/>
        </w:rPr>
        <w:t>Centrum Wsparcia Transformacji Energetycznej</w:t>
      </w:r>
      <w:r w:rsidR="00565FFF">
        <w:t xml:space="preserve"> (CWTE)</w:t>
      </w:r>
      <w:r>
        <w:t>.</w:t>
      </w:r>
    </w:p>
    <w:p w14:paraId="1F45FCEA" w14:textId="25492F31" w:rsidR="00F14191" w:rsidRDefault="002C3D30" w:rsidP="002C3D30">
      <w:pPr>
        <w:pStyle w:val="Nagwek5"/>
      </w:pPr>
      <w:r>
        <w:t>Ogrzewnictwo indywidulane</w:t>
      </w:r>
    </w:p>
    <w:p w14:paraId="07328C5B" w14:textId="51F5C658" w:rsidR="00883ED9" w:rsidRPr="000E240E" w:rsidRDefault="006065DE" w:rsidP="00883ED9">
      <w:r>
        <w:t xml:space="preserve">Polska jako priorytet stawia </w:t>
      </w:r>
      <w:r w:rsidRPr="006065DE">
        <w:rPr>
          <w:b/>
          <w:bCs/>
        </w:rPr>
        <w:t>wycofani</w:t>
      </w:r>
      <w:r>
        <w:rPr>
          <w:b/>
          <w:bCs/>
        </w:rPr>
        <w:t>e</w:t>
      </w:r>
      <w:r w:rsidRPr="006065DE">
        <w:rPr>
          <w:b/>
          <w:bCs/>
        </w:rPr>
        <w:t xml:space="preserve"> węgla z </w:t>
      </w:r>
      <w:r w:rsidR="00FC4631">
        <w:rPr>
          <w:b/>
          <w:bCs/>
        </w:rPr>
        <w:t xml:space="preserve">ogrzewnictwa indywidualnego </w:t>
      </w:r>
      <w:r w:rsidRPr="006065DE">
        <w:rPr>
          <w:b/>
          <w:bCs/>
        </w:rPr>
        <w:t>gospodarstw domowych</w:t>
      </w:r>
      <w:r>
        <w:t xml:space="preserve"> (wraz z </w:t>
      </w:r>
      <w:r w:rsidR="00772AFF">
        <w:t xml:space="preserve">postępującą </w:t>
      </w:r>
      <w:r>
        <w:t>termomodernizacją</w:t>
      </w:r>
      <w:r w:rsidR="00772AFF">
        <w:t xml:space="preserve"> budynków</w:t>
      </w:r>
      <w:r>
        <w:t>)</w:t>
      </w:r>
      <w:r w:rsidR="008F731E">
        <w:t xml:space="preserve">, służąc szczególnie poprawie jakości powietrza. </w:t>
      </w:r>
      <w:r w:rsidR="00044D05">
        <w:t xml:space="preserve">Dekarbonizacja i </w:t>
      </w:r>
      <w:r w:rsidR="002C3D30">
        <w:rPr>
          <w:b/>
          <w:bCs/>
        </w:rPr>
        <w:t>ogrze</w:t>
      </w:r>
      <w:r w:rsidR="002C3D30" w:rsidRPr="00044D05">
        <w:rPr>
          <w:b/>
          <w:bCs/>
        </w:rPr>
        <w:t xml:space="preserve">wnictwa </w:t>
      </w:r>
      <w:r w:rsidR="005E16E5" w:rsidRPr="00044D05">
        <w:rPr>
          <w:b/>
          <w:bCs/>
        </w:rPr>
        <w:t>indywidualnego</w:t>
      </w:r>
      <w:r w:rsidR="005E16E5">
        <w:t xml:space="preserve"> będzie odbywać się w </w:t>
      </w:r>
      <w:r w:rsidR="002D78DE">
        <w:t>pewnej</w:t>
      </w:r>
      <w:r w:rsidR="005E16E5">
        <w:t xml:space="preserve"> mierze przez </w:t>
      </w:r>
      <w:r w:rsidR="0066422A" w:rsidRPr="00D65530">
        <w:rPr>
          <w:b/>
          <w:bCs/>
        </w:rPr>
        <w:t xml:space="preserve">podłączenie do </w:t>
      </w:r>
      <w:r w:rsidR="0066422A" w:rsidRPr="00D65530">
        <w:rPr>
          <w:b/>
          <w:bCs/>
          <w:i/>
          <w:iCs/>
        </w:rPr>
        <w:t xml:space="preserve">efektywnych </w:t>
      </w:r>
      <w:r w:rsidR="00853C4B" w:rsidRPr="00D65530">
        <w:rPr>
          <w:b/>
          <w:bCs/>
          <w:i/>
          <w:iCs/>
        </w:rPr>
        <w:t xml:space="preserve">energetycznie </w:t>
      </w:r>
      <w:r w:rsidR="0066422A" w:rsidRPr="00D65530">
        <w:rPr>
          <w:b/>
          <w:bCs/>
          <w:i/>
          <w:iCs/>
        </w:rPr>
        <w:t>systemów ciepłowniczych</w:t>
      </w:r>
      <w:r w:rsidR="005E16E5" w:rsidRPr="00D65530">
        <w:rPr>
          <w:b/>
          <w:bCs/>
        </w:rPr>
        <w:t xml:space="preserve"> </w:t>
      </w:r>
      <w:r w:rsidR="006A4045" w:rsidRPr="00D65530">
        <w:rPr>
          <w:b/>
          <w:bCs/>
        </w:rPr>
        <w:t xml:space="preserve">i </w:t>
      </w:r>
      <w:r w:rsidR="005E16E5" w:rsidRPr="00D65530">
        <w:rPr>
          <w:b/>
          <w:bCs/>
        </w:rPr>
        <w:t>popularyzację zastosowania pomp ciepła</w:t>
      </w:r>
      <w:r w:rsidR="005E16E5">
        <w:t>, sprzężonych z</w:t>
      </w:r>
      <w:r w:rsidR="00044D05">
        <w:t> </w:t>
      </w:r>
      <w:r w:rsidR="005E16E5">
        <w:t xml:space="preserve">instalacjami </w:t>
      </w:r>
      <w:r w:rsidR="00C74400">
        <w:t xml:space="preserve">OZE </w:t>
      </w:r>
      <w:r w:rsidR="00C67C7A">
        <w:t>i</w:t>
      </w:r>
      <w:r w:rsidR="00DF6545">
        <w:t> </w:t>
      </w:r>
      <w:r w:rsidR="00C67C7A">
        <w:t>różnego rodzaju magazynami energii</w:t>
      </w:r>
      <w:r w:rsidR="00853C4B">
        <w:t>.</w:t>
      </w:r>
      <w:r w:rsidR="005E16E5">
        <w:t xml:space="preserve"> </w:t>
      </w:r>
      <w:r w:rsidR="006A4045">
        <w:t xml:space="preserve">Zastosowanie pomp ciepła będzie szczególnie </w:t>
      </w:r>
      <w:r w:rsidR="00887B70">
        <w:t>popularne w</w:t>
      </w:r>
      <w:r w:rsidR="005E16E5">
        <w:t xml:space="preserve"> nowych budynkach, </w:t>
      </w:r>
      <w:r w:rsidR="006A4045">
        <w:t xml:space="preserve">ale termomodernizacja istniejących budynków powinna być prowadzona w taki sposób, by </w:t>
      </w:r>
      <w:r w:rsidR="00D65530">
        <w:t>te rozwiązania zapewniały komfort cieplny również w istniejącej tkance</w:t>
      </w:r>
      <w:r w:rsidR="005E16E5">
        <w:t>. Wciąż wykorzystywana będzie biomasa</w:t>
      </w:r>
      <w:r w:rsidR="00C67C7A">
        <w:t xml:space="preserve"> i gaz ziemny</w:t>
      </w:r>
      <w:r w:rsidR="005E16E5">
        <w:t>,</w:t>
      </w:r>
      <w:r w:rsidR="00C67C7A">
        <w:t xml:space="preserve"> choć dążyć się będzie do tego, aby inne rozwiązania były bardziej atrakcyjne dla odbiorców</w:t>
      </w:r>
      <w:r w:rsidR="005E16E5">
        <w:t xml:space="preserve">. </w:t>
      </w:r>
      <w:r w:rsidR="00D65530">
        <w:t xml:space="preserve">Wsparcie finansowe dla zastosowania biomasy będzie stopniowo zmniejszane. </w:t>
      </w:r>
      <w:r w:rsidR="008F731E">
        <w:t>W</w:t>
      </w:r>
      <w:r w:rsidR="00D65530">
        <w:t>arto podkreślić, że w</w:t>
      </w:r>
      <w:r w:rsidR="008F731E">
        <w:t>zrost wykorzystania OZE w</w:t>
      </w:r>
      <w:r w:rsidR="006A4AB7">
        <w:t> </w:t>
      </w:r>
      <w:r w:rsidR="008F731E">
        <w:t xml:space="preserve">poszczególnych systemach ciepłowniczych będzie również zachętą do przyłączania do sieci nowych budynków. </w:t>
      </w:r>
    </w:p>
    <w:p w14:paraId="15FCF4BE" w14:textId="77777777" w:rsidR="005E16E5" w:rsidRPr="00C46DAA" w:rsidRDefault="005E16E5" w:rsidP="00F34A58">
      <w:pPr>
        <w:pStyle w:val="PaMs"/>
      </w:pPr>
      <w:r w:rsidRPr="00F34A58">
        <w:t>DZIAŁANIA</w:t>
      </w:r>
    </w:p>
    <w:p w14:paraId="2445D67F" w14:textId="3712C796" w:rsidR="005E16E5" w:rsidRPr="00837A1F" w:rsidRDefault="005E16E5" w:rsidP="005E16E5">
      <w:pPr>
        <w:rPr>
          <w:b/>
          <w:bCs/>
        </w:rPr>
      </w:pPr>
      <w:r w:rsidRPr="00837A1F">
        <w:rPr>
          <w:b/>
          <w:bCs/>
        </w:rPr>
        <w:t xml:space="preserve">W odniesieniu do </w:t>
      </w:r>
      <w:r w:rsidR="00620976" w:rsidRPr="00837A1F">
        <w:rPr>
          <w:b/>
          <w:bCs/>
        </w:rPr>
        <w:t>dekarbonizacji</w:t>
      </w:r>
      <w:r w:rsidRPr="00837A1F">
        <w:rPr>
          <w:b/>
          <w:bCs/>
        </w:rPr>
        <w:t xml:space="preserve"> w ciepłownictwie systemowym:</w:t>
      </w:r>
    </w:p>
    <w:p w14:paraId="16A30582" w14:textId="33313B97" w:rsidR="0018324B" w:rsidRPr="00871C27" w:rsidRDefault="0018324B" w:rsidP="003530A9">
      <w:pPr>
        <w:pStyle w:val="Akapitzlist"/>
        <w:numPr>
          <w:ilvl w:val="0"/>
          <w:numId w:val="3"/>
        </w:numPr>
        <w:rPr>
          <w:szCs w:val="20"/>
        </w:rPr>
      </w:pPr>
      <w:r w:rsidRPr="00871C27">
        <w:rPr>
          <w:szCs w:val="20"/>
        </w:rPr>
        <w:fldChar w:fldCharType="begin"/>
      </w:r>
      <w:r w:rsidRPr="00871C27">
        <w:rPr>
          <w:szCs w:val="20"/>
        </w:rPr>
        <w:instrText xml:space="preserve"> REF _Ref195882436 \h </w:instrText>
      </w:r>
      <w:r w:rsidR="00871C27">
        <w:rPr>
          <w:szCs w:val="20"/>
        </w:rPr>
        <w:instrText xml:space="preserve"> \* MERGEFORMAT </w:instrText>
      </w:r>
      <w:r w:rsidRPr="00871C27">
        <w:rPr>
          <w:szCs w:val="20"/>
        </w:rPr>
      </w:r>
      <w:r w:rsidRPr="00871C27">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1</w:t>
      </w:r>
      <w:r w:rsidR="00871DD5" w:rsidRPr="00871DD5">
        <w:rPr>
          <w:rStyle w:val="Nagwek6Znak"/>
          <w:rFonts w:ascii="Lato" w:hAnsi="Lato"/>
          <w:b w:val="0"/>
        </w:rPr>
        <w:t>.</w:t>
      </w:r>
      <w:r w:rsidR="00871DD5" w:rsidRPr="008A084B">
        <w:t xml:space="preserve"> Uczestnictwo w systemie handlu emisjami EU-ETS</w:t>
      </w:r>
      <w:r w:rsidRPr="00871C27">
        <w:rPr>
          <w:szCs w:val="20"/>
        </w:rPr>
        <w:fldChar w:fldCharType="end"/>
      </w:r>
    </w:p>
    <w:p w14:paraId="234BE956" w14:textId="71328F6F" w:rsidR="00D36282" w:rsidRPr="00871C27" w:rsidRDefault="00D36282" w:rsidP="00D36282">
      <w:pPr>
        <w:pStyle w:val="Akapitzlist"/>
        <w:numPr>
          <w:ilvl w:val="0"/>
          <w:numId w:val="3"/>
        </w:numPr>
        <w:rPr>
          <w:szCs w:val="20"/>
        </w:rPr>
      </w:pPr>
      <w:r w:rsidRPr="00871C27">
        <w:rPr>
          <w:szCs w:val="20"/>
        </w:rPr>
        <w:lastRenderedPageBreak/>
        <w:fldChar w:fldCharType="begin"/>
      </w:r>
      <w:r w:rsidRPr="00871C27">
        <w:rPr>
          <w:szCs w:val="20"/>
        </w:rPr>
        <w:instrText xml:space="preserve"> REF _Ref195882440 \h </w:instrText>
      </w:r>
      <w:r>
        <w:rPr>
          <w:szCs w:val="20"/>
        </w:rPr>
        <w:instrText xml:space="preserve"> \* MERGEFORMAT </w:instrText>
      </w:r>
      <w:r w:rsidRPr="00871C27">
        <w:rPr>
          <w:szCs w:val="20"/>
        </w:rPr>
      </w:r>
      <w:r w:rsidRPr="00871C27">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2</w:t>
      </w:r>
      <w:r w:rsidR="00871DD5" w:rsidRPr="00871DD5">
        <w:rPr>
          <w:rStyle w:val="Nagwek6Znak"/>
          <w:rFonts w:ascii="Lato" w:hAnsi="Lato"/>
          <w:b w:val="0"/>
        </w:rPr>
        <w:t xml:space="preserve">. </w:t>
      </w:r>
      <w:r w:rsidR="00871DD5" w:rsidRPr="00077D7F">
        <w:t>Instrument finansowy – Fundusz Modernizacyjny</w:t>
      </w:r>
      <w:r w:rsidRPr="00871C27">
        <w:rPr>
          <w:szCs w:val="20"/>
        </w:rPr>
        <w:fldChar w:fldCharType="end"/>
      </w:r>
    </w:p>
    <w:p w14:paraId="63585356" w14:textId="5F8983B4" w:rsidR="00D36282" w:rsidRPr="00871C27" w:rsidRDefault="00D36282" w:rsidP="00D36282">
      <w:pPr>
        <w:pStyle w:val="Akapitzlist"/>
        <w:numPr>
          <w:ilvl w:val="0"/>
          <w:numId w:val="3"/>
        </w:numPr>
        <w:rPr>
          <w:szCs w:val="20"/>
        </w:rPr>
      </w:pPr>
      <w:r w:rsidRPr="00871C27">
        <w:rPr>
          <w:szCs w:val="20"/>
        </w:rPr>
        <w:fldChar w:fldCharType="begin"/>
      </w:r>
      <w:r w:rsidRPr="00871C27">
        <w:rPr>
          <w:szCs w:val="20"/>
        </w:rPr>
        <w:instrText xml:space="preserve"> REF _Ref195882449 \h </w:instrText>
      </w:r>
      <w:r>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16</w:t>
      </w:r>
      <w:r w:rsidR="00871DD5">
        <w:t xml:space="preserve">. </w:t>
      </w:r>
      <w:r w:rsidR="00871DD5" w:rsidRPr="00E1469C">
        <w:t>Instrument finansowy – Program Priorytetowy NFOŚiGW – „Polska Geotermia Plus”</w:t>
      </w:r>
      <w:r w:rsidRPr="00871C27">
        <w:rPr>
          <w:szCs w:val="20"/>
        </w:rPr>
        <w:fldChar w:fldCharType="end"/>
      </w:r>
    </w:p>
    <w:p w14:paraId="304057E7" w14:textId="5168168F" w:rsidR="00FC1248" w:rsidRPr="00871C27" w:rsidRDefault="00FC1248" w:rsidP="00FC1248">
      <w:pPr>
        <w:pStyle w:val="Akapitzlist"/>
        <w:numPr>
          <w:ilvl w:val="0"/>
          <w:numId w:val="3"/>
        </w:numPr>
        <w:rPr>
          <w:szCs w:val="20"/>
        </w:rPr>
      </w:pPr>
      <w:r w:rsidRPr="00871C27">
        <w:rPr>
          <w:szCs w:val="20"/>
        </w:rPr>
        <w:fldChar w:fldCharType="begin"/>
      </w:r>
      <w:r w:rsidRPr="00871C27">
        <w:rPr>
          <w:szCs w:val="20"/>
        </w:rPr>
        <w:instrText xml:space="preserve"> REF _Ref195882485 \h </w:instrText>
      </w:r>
      <w:r>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26</w:t>
      </w:r>
      <w:r w:rsidR="00871DD5">
        <w:t xml:space="preserve">. </w:t>
      </w:r>
      <w:r w:rsidR="00871DD5" w:rsidRPr="004B4F3F">
        <w:t>Wzmocnienie skuteczności wykorzystania środków z bezpłatnych uprawnień do redukcji emisji gazów cieplarnianych w ciepłownictwie</w:t>
      </w:r>
      <w:r w:rsidRPr="00871C27">
        <w:rPr>
          <w:szCs w:val="20"/>
        </w:rPr>
        <w:fldChar w:fldCharType="end"/>
      </w:r>
    </w:p>
    <w:p w14:paraId="2FAB229D" w14:textId="6EF876AB" w:rsidR="00FC1248" w:rsidRPr="00871C27" w:rsidRDefault="00FC1248" w:rsidP="00FC1248">
      <w:pPr>
        <w:pStyle w:val="Akapitzlist"/>
        <w:numPr>
          <w:ilvl w:val="0"/>
          <w:numId w:val="3"/>
        </w:numPr>
        <w:rPr>
          <w:szCs w:val="20"/>
        </w:rPr>
      </w:pPr>
      <w:r w:rsidRPr="00871C27">
        <w:rPr>
          <w:szCs w:val="20"/>
        </w:rPr>
        <w:fldChar w:fldCharType="begin"/>
      </w:r>
      <w:r w:rsidRPr="00871C27">
        <w:rPr>
          <w:szCs w:val="20"/>
        </w:rPr>
        <w:instrText xml:space="preserve"> REF _Ref195882488 \h </w:instrText>
      </w:r>
      <w:r>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27</w:t>
      </w:r>
      <w:r w:rsidR="00871DD5">
        <w:t>.</w:t>
      </w:r>
      <w:r w:rsidR="00871DD5" w:rsidRPr="0048309D">
        <w:t xml:space="preserve"> Instrument finansowy – Program transformacji ciepłownictwa systemowego</w:t>
      </w:r>
      <w:r w:rsidRPr="00871C27">
        <w:rPr>
          <w:szCs w:val="20"/>
        </w:rPr>
        <w:fldChar w:fldCharType="end"/>
      </w:r>
    </w:p>
    <w:p w14:paraId="3D49ED71" w14:textId="59B24B22" w:rsidR="00FC1248" w:rsidRPr="00871C27" w:rsidRDefault="00FC1248" w:rsidP="00FC1248">
      <w:pPr>
        <w:pStyle w:val="Akapitzlist"/>
        <w:numPr>
          <w:ilvl w:val="0"/>
          <w:numId w:val="3"/>
        </w:numPr>
        <w:rPr>
          <w:szCs w:val="20"/>
        </w:rPr>
      </w:pPr>
      <w:r w:rsidRPr="00871C27">
        <w:rPr>
          <w:szCs w:val="20"/>
        </w:rPr>
        <w:fldChar w:fldCharType="begin"/>
      </w:r>
      <w:r w:rsidRPr="00871C27">
        <w:rPr>
          <w:szCs w:val="20"/>
        </w:rPr>
        <w:instrText xml:space="preserve"> REF _Ref195882496 \h </w:instrText>
      </w:r>
      <w:r>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29</w:t>
      </w:r>
      <w:r w:rsidR="00871DD5">
        <w:t xml:space="preserve">. </w:t>
      </w:r>
      <w:r w:rsidR="00871DD5" w:rsidRPr="008863D7">
        <w:t>Instrument finansowy – Program Priorytetowy NFOŚiGW – „Udostępnianie wód termalnych w Polsce”</w:t>
      </w:r>
      <w:r w:rsidRPr="00871C27">
        <w:rPr>
          <w:szCs w:val="20"/>
        </w:rPr>
        <w:fldChar w:fldCharType="end"/>
      </w:r>
    </w:p>
    <w:p w14:paraId="510BAA27" w14:textId="42244363" w:rsidR="0018324B" w:rsidRPr="00871C27" w:rsidRDefault="0018324B" w:rsidP="003530A9">
      <w:pPr>
        <w:pStyle w:val="Akapitzlist"/>
        <w:numPr>
          <w:ilvl w:val="0"/>
          <w:numId w:val="3"/>
        </w:numPr>
        <w:rPr>
          <w:szCs w:val="20"/>
        </w:rPr>
      </w:pPr>
      <w:r w:rsidRPr="00871C27">
        <w:rPr>
          <w:szCs w:val="20"/>
        </w:rPr>
        <w:fldChar w:fldCharType="begin"/>
      </w:r>
      <w:r w:rsidRPr="00871C27">
        <w:rPr>
          <w:szCs w:val="20"/>
        </w:rPr>
        <w:instrText xml:space="preserve"> REF _Ref195882453 \h </w:instrText>
      </w:r>
      <w:r w:rsidR="00871C27">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17</w:t>
      </w:r>
      <w:r w:rsidR="00871DD5">
        <w:t>.</w:t>
      </w:r>
      <w:r w:rsidR="00871DD5" w:rsidRPr="00077D7F">
        <w:rPr>
          <w:lang w:eastAsia="pl-PL"/>
        </w:rPr>
        <w:t xml:space="preserve"> Rozwój rynku </w:t>
      </w:r>
      <w:r w:rsidR="00871DD5" w:rsidRPr="00731E3F">
        <w:rPr>
          <w:lang w:eastAsia="pl-PL"/>
        </w:rPr>
        <w:t>magazynów</w:t>
      </w:r>
      <w:r w:rsidR="00871DD5" w:rsidRPr="00077D7F">
        <w:rPr>
          <w:lang w:eastAsia="pl-PL"/>
        </w:rPr>
        <w:t xml:space="preserve"> energii elektrycznej oraz magazynów ciepła</w:t>
      </w:r>
      <w:r w:rsidRPr="00871C27">
        <w:rPr>
          <w:szCs w:val="20"/>
        </w:rPr>
        <w:fldChar w:fldCharType="end"/>
      </w:r>
    </w:p>
    <w:p w14:paraId="30B46426" w14:textId="49DD38FC" w:rsidR="00BD6BE3" w:rsidRPr="00871C27" w:rsidRDefault="00CA0082" w:rsidP="003530A9">
      <w:pPr>
        <w:pStyle w:val="Akapitzlist"/>
        <w:numPr>
          <w:ilvl w:val="0"/>
          <w:numId w:val="3"/>
        </w:numPr>
        <w:rPr>
          <w:szCs w:val="20"/>
        </w:rPr>
      </w:pPr>
      <w:r w:rsidRPr="00871C27">
        <w:rPr>
          <w:szCs w:val="20"/>
        </w:rPr>
        <w:fldChar w:fldCharType="begin"/>
      </w:r>
      <w:r w:rsidRPr="00871C27">
        <w:rPr>
          <w:szCs w:val="20"/>
        </w:rPr>
        <w:instrText xml:space="preserve"> REF _Ref195882502 \h </w:instrText>
      </w:r>
      <w:r w:rsidR="00871C27">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30</w:t>
      </w:r>
      <w:r w:rsidR="00871DD5">
        <w:t>.</w:t>
      </w:r>
      <w:r w:rsidR="00871DD5" w:rsidRPr="004E28D4">
        <w:t xml:space="preserve"> Plan finansowy dla transformacji ciepłownictw</w:t>
      </w:r>
      <w:r w:rsidR="00871DD5">
        <w:t>a</w:t>
      </w:r>
      <w:r w:rsidRPr="00871C27">
        <w:rPr>
          <w:szCs w:val="20"/>
        </w:rPr>
        <w:fldChar w:fldCharType="end"/>
      </w:r>
    </w:p>
    <w:p w14:paraId="06A4D1BF" w14:textId="77777777" w:rsidR="00845CDE" w:rsidRDefault="00845CDE" w:rsidP="00CA6554">
      <w:pPr>
        <w:pStyle w:val="Bezodstpw"/>
      </w:pPr>
    </w:p>
    <w:p w14:paraId="0258C1FC" w14:textId="6D5B7FE9" w:rsidR="00B65E10" w:rsidRPr="00837A1F" w:rsidRDefault="005E16E5" w:rsidP="00B65E10">
      <w:pPr>
        <w:rPr>
          <w:b/>
          <w:bCs/>
          <w:szCs w:val="20"/>
        </w:rPr>
      </w:pPr>
      <w:r w:rsidRPr="00837A1F">
        <w:rPr>
          <w:b/>
          <w:bCs/>
        </w:rPr>
        <w:t xml:space="preserve">W odniesieniu </w:t>
      </w:r>
      <w:r w:rsidR="00620976" w:rsidRPr="00837A1F">
        <w:rPr>
          <w:b/>
          <w:bCs/>
        </w:rPr>
        <w:t xml:space="preserve">do </w:t>
      </w:r>
      <w:r w:rsidRPr="00837A1F">
        <w:rPr>
          <w:b/>
          <w:bCs/>
        </w:rPr>
        <w:t xml:space="preserve">dekarbonizacji w </w:t>
      </w:r>
      <w:r w:rsidR="0071119F">
        <w:rPr>
          <w:b/>
          <w:bCs/>
        </w:rPr>
        <w:t xml:space="preserve">ogrzewnictwie </w:t>
      </w:r>
      <w:r w:rsidRPr="00837A1F">
        <w:rPr>
          <w:b/>
          <w:bCs/>
        </w:rPr>
        <w:t>indywidulanym:</w:t>
      </w:r>
    </w:p>
    <w:p w14:paraId="08680224" w14:textId="3547B63F" w:rsidR="00CA0082" w:rsidRPr="00871C27" w:rsidRDefault="00CA0082" w:rsidP="003530A9">
      <w:pPr>
        <w:pStyle w:val="Akapitzlist"/>
        <w:numPr>
          <w:ilvl w:val="0"/>
          <w:numId w:val="3"/>
        </w:numPr>
        <w:rPr>
          <w:szCs w:val="20"/>
        </w:rPr>
      </w:pPr>
      <w:r w:rsidRPr="00871C27">
        <w:rPr>
          <w:szCs w:val="20"/>
        </w:rPr>
        <w:fldChar w:fldCharType="begin"/>
      </w:r>
      <w:r w:rsidRPr="00871C27">
        <w:rPr>
          <w:szCs w:val="20"/>
        </w:rPr>
        <w:instrText xml:space="preserve"> REF _Ref195882540 \h </w:instrText>
      </w:r>
      <w:r w:rsidR="00871C27">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14</w:t>
      </w:r>
      <w:r w:rsidR="00871DD5">
        <w:t xml:space="preserve">. </w:t>
      </w:r>
      <w:r w:rsidR="00871DD5" w:rsidRPr="00FC0840">
        <w:t>Instrument finansowy – Program Priorytetowy NFOŚiGW – „Mój Prąd”</w:t>
      </w:r>
      <w:r w:rsidRPr="00871C27">
        <w:rPr>
          <w:szCs w:val="20"/>
        </w:rPr>
        <w:fldChar w:fldCharType="end"/>
      </w:r>
    </w:p>
    <w:p w14:paraId="580F2058" w14:textId="60CD3BE3" w:rsidR="00CA0082" w:rsidRPr="00871C27" w:rsidRDefault="00CA0082" w:rsidP="003530A9">
      <w:pPr>
        <w:pStyle w:val="Akapitzlist"/>
        <w:numPr>
          <w:ilvl w:val="0"/>
          <w:numId w:val="3"/>
        </w:numPr>
        <w:rPr>
          <w:szCs w:val="20"/>
        </w:rPr>
      </w:pPr>
      <w:r w:rsidRPr="00871C27">
        <w:rPr>
          <w:szCs w:val="20"/>
        </w:rPr>
        <w:fldChar w:fldCharType="begin"/>
      </w:r>
      <w:r w:rsidRPr="00871C27">
        <w:rPr>
          <w:szCs w:val="20"/>
        </w:rPr>
        <w:instrText xml:space="preserve"> REF _Ref195882547 \h </w:instrText>
      </w:r>
      <w:r w:rsidR="00871C27">
        <w:rPr>
          <w:szCs w:val="20"/>
        </w:rPr>
        <w:instrText xml:space="preserve"> \* MERGEFORMAT </w:instrText>
      </w:r>
      <w:r w:rsidRPr="00871C27">
        <w:rPr>
          <w:szCs w:val="20"/>
        </w:rPr>
      </w:r>
      <w:r w:rsidRPr="00871C27">
        <w:rPr>
          <w:szCs w:val="20"/>
        </w:rPr>
        <w:fldChar w:fldCharType="separate"/>
      </w:r>
      <w:r w:rsidR="00871DD5">
        <w:t xml:space="preserve">Działanie </w:t>
      </w:r>
      <w:r w:rsidR="00871DD5">
        <w:rPr>
          <w:noProof/>
        </w:rPr>
        <w:t>15</w:t>
      </w:r>
      <w:r w:rsidR="00871DD5">
        <w:t xml:space="preserve">. </w:t>
      </w:r>
      <w:r w:rsidR="00871DD5" w:rsidRPr="00FD671B">
        <w:t>Instrument finansowy – Program Priorytetowy NFOŚiGW – „Energia Plus”</w:t>
      </w:r>
      <w:r w:rsidRPr="00871C27">
        <w:rPr>
          <w:szCs w:val="20"/>
        </w:rPr>
        <w:fldChar w:fldCharType="end"/>
      </w:r>
    </w:p>
    <w:p w14:paraId="794930B0" w14:textId="45A19B8A" w:rsidR="00CA0082" w:rsidRPr="00871C27" w:rsidRDefault="00CA0082" w:rsidP="003530A9">
      <w:pPr>
        <w:pStyle w:val="Akapitzlist"/>
        <w:numPr>
          <w:ilvl w:val="0"/>
          <w:numId w:val="3"/>
        </w:numPr>
        <w:rPr>
          <w:szCs w:val="20"/>
        </w:rPr>
      </w:pPr>
      <w:r w:rsidRPr="00871C27">
        <w:rPr>
          <w:szCs w:val="20"/>
        </w:rPr>
        <w:fldChar w:fldCharType="begin"/>
      </w:r>
      <w:r w:rsidRPr="00871C27">
        <w:rPr>
          <w:szCs w:val="20"/>
        </w:rPr>
        <w:instrText xml:space="preserve"> REF _Ref195882565 \h </w:instrText>
      </w:r>
      <w:r w:rsidR="00BD6BE3" w:rsidRPr="00871C27">
        <w:rPr>
          <w:szCs w:val="20"/>
        </w:rPr>
        <w:instrText xml:space="preserve"> \* MERGEFORMAT </w:instrText>
      </w:r>
      <w:r w:rsidRPr="00871C27">
        <w:rPr>
          <w:szCs w:val="20"/>
        </w:rPr>
      </w:r>
      <w:r w:rsidRPr="00871C27">
        <w:rPr>
          <w:szCs w:val="20"/>
        </w:rPr>
        <w:fldChar w:fldCharType="separate"/>
      </w:r>
      <w:r w:rsidR="00871DD5" w:rsidRPr="00871DD5">
        <w:rPr>
          <w:rStyle w:val="Nagwek6Znak"/>
          <w:rFonts w:ascii="Lato" w:hAnsi="Lato"/>
          <w:b w:val="0"/>
        </w:rPr>
        <w:t xml:space="preserve">Działanie 28. </w:t>
      </w:r>
      <w:r w:rsidR="00871DD5" w:rsidRPr="00077D7F">
        <w:rPr>
          <w:rFonts w:eastAsia="Times New Roman" w:cs="Times New Roman"/>
          <w:bCs/>
          <w:color w:val="000000"/>
          <w:lang w:eastAsia="pl-PL"/>
        </w:rPr>
        <w:t>Rozwój rynku pomp ciepła w Polsce</w:t>
      </w:r>
      <w:r w:rsidRPr="00871C27">
        <w:rPr>
          <w:szCs w:val="20"/>
        </w:rPr>
        <w:fldChar w:fldCharType="end"/>
      </w:r>
    </w:p>
    <w:p w14:paraId="7CC53367" w14:textId="33C29A55" w:rsidR="00BD6BE3" w:rsidRPr="00871C27" w:rsidRDefault="00BD6BE3" w:rsidP="003530A9">
      <w:pPr>
        <w:pStyle w:val="Akapitzlist"/>
        <w:numPr>
          <w:ilvl w:val="0"/>
          <w:numId w:val="3"/>
        </w:numPr>
        <w:rPr>
          <w:szCs w:val="20"/>
        </w:rPr>
      </w:pPr>
      <w:r w:rsidRPr="00871C27">
        <w:rPr>
          <w:szCs w:val="20"/>
        </w:rPr>
        <w:fldChar w:fldCharType="begin"/>
      </w:r>
      <w:r w:rsidRPr="00871C27">
        <w:rPr>
          <w:szCs w:val="20"/>
        </w:rPr>
        <w:instrText xml:space="preserve"> REF _Ref195889076 \h </w:instrText>
      </w:r>
      <w:r w:rsidR="00871C27">
        <w:rPr>
          <w:szCs w:val="20"/>
        </w:rPr>
        <w:instrText xml:space="preserve"> \* MERGEFORMAT </w:instrText>
      </w:r>
      <w:r w:rsidRPr="00871C27">
        <w:rPr>
          <w:szCs w:val="20"/>
        </w:rPr>
      </w:r>
      <w:r w:rsidRPr="00871C27">
        <w:rPr>
          <w:szCs w:val="20"/>
        </w:rPr>
        <w:fldChar w:fldCharType="separate"/>
      </w:r>
      <w:r w:rsidR="00871DD5" w:rsidRPr="00871DD5">
        <w:rPr>
          <w:rStyle w:val="Nagwek6Znak"/>
          <w:rFonts w:ascii="Lato" w:hAnsi="Lato"/>
          <w:b w:val="0"/>
        </w:rPr>
        <w:t xml:space="preserve">Działanie </w:t>
      </w:r>
      <w:r w:rsidR="00871DD5" w:rsidRPr="00871DD5">
        <w:rPr>
          <w:lang w:eastAsia="pl-PL"/>
        </w:rPr>
        <w:t>103</w:t>
      </w:r>
      <w:r w:rsidR="00871DD5">
        <w:rPr>
          <w:lang w:eastAsia="pl-PL"/>
        </w:rPr>
        <w:t xml:space="preserve">. </w:t>
      </w:r>
      <w:r w:rsidR="00871DD5" w:rsidRPr="00077D7F">
        <w:rPr>
          <w:lang w:eastAsia="pl-PL"/>
        </w:rPr>
        <w:t>Instrument finansowy – Program Priorytetowy NFOŚiGW – „Moje ciepło”</w:t>
      </w:r>
      <w:r w:rsidRPr="00871C27">
        <w:rPr>
          <w:szCs w:val="20"/>
        </w:rPr>
        <w:fldChar w:fldCharType="end"/>
      </w:r>
    </w:p>
    <w:p w14:paraId="269AC139" w14:textId="141F3A5C" w:rsidR="00BD6BE3" w:rsidRPr="00871C27" w:rsidRDefault="00BD6BE3" w:rsidP="003530A9">
      <w:pPr>
        <w:pStyle w:val="Akapitzlist"/>
        <w:numPr>
          <w:ilvl w:val="0"/>
          <w:numId w:val="3"/>
        </w:numPr>
        <w:rPr>
          <w:szCs w:val="20"/>
        </w:rPr>
      </w:pPr>
      <w:r w:rsidRPr="00871C27">
        <w:rPr>
          <w:szCs w:val="20"/>
        </w:rPr>
        <w:fldChar w:fldCharType="begin"/>
      </w:r>
      <w:r w:rsidRPr="00871C27">
        <w:rPr>
          <w:szCs w:val="20"/>
        </w:rPr>
        <w:instrText xml:space="preserve"> REF _Ref195889082 \h </w:instrText>
      </w:r>
      <w:r w:rsidR="00871C27">
        <w:rPr>
          <w:szCs w:val="20"/>
        </w:rPr>
        <w:instrText xml:space="preserve"> \* MERGEFORMAT </w:instrText>
      </w:r>
      <w:r w:rsidRPr="00871C27">
        <w:rPr>
          <w:szCs w:val="20"/>
        </w:rPr>
      </w:r>
      <w:r w:rsidRPr="00871C27">
        <w:rPr>
          <w:szCs w:val="20"/>
        </w:rPr>
        <w:fldChar w:fldCharType="separate"/>
      </w:r>
      <w:r w:rsidR="00871DD5" w:rsidRPr="00871DD5">
        <w:rPr>
          <w:rStyle w:val="Nagwek6Znak"/>
          <w:rFonts w:ascii="Lato" w:hAnsi="Lato"/>
          <w:b w:val="0"/>
        </w:rPr>
        <w:t xml:space="preserve">Działanie </w:t>
      </w:r>
      <w:r w:rsidR="00871DD5" w:rsidRPr="00871DD5">
        <w:rPr>
          <w:lang w:eastAsia="pl-PL"/>
        </w:rPr>
        <w:t>104</w:t>
      </w:r>
      <w:r w:rsidR="00871DD5">
        <w:rPr>
          <w:lang w:eastAsia="pl-PL"/>
        </w:rPr>
        <w:t xml:space="preserve">. </w:t>
      </w:r>
      <w:r w:rsidR="00871DD5" w:rsidRPr="00077D7F">
        <w:rPr>
          <w:lang w:eastAsia="pl-PL"/>
        </w:rPr>
        <w:t>Instrument finansowy – Program Priorytetowy NFOŚiGW – „Czyste Powietrze”</w:t>
      </w:r>
      <w:r w:rsidRPr="00871C27">
        <w:rPr>
          <w:szCs w:val="20"/>
        </w:rPr>
        <w:fldChar w:fldCharType="end"/>
      </w:r>
    </w:p>
    <w:p w14:paraId="22C881FD" w14:textId="5D41FEF3" w:rsidR="00BD6BE3" w:rsidRPr="00871C27" w:rsidRDefault="00BD6BE3" w:rsidP="003530A9">
      <w:pPr>
        <w:pStyle w:val="Akapitzlist"/>
        <w:numPr>
          <w:ilvl w:val="0"/>
          <w:numId w:val="3"/>
        </w:numPr>
        <w:rPr>
          <w:szCs w:val="20"/>
        </w:rPr>
      </w:pPr>
      <w:r w:rsidRPr="00871C27">
        <w:rPr>
          <w:szCs w:val="20"/>
        </w:rPr>
        <w:fldChar w:fldCharType="begin"/>
      </w:r>
      <w:r w:rsidRPr="00871C27">
        <w:rPr>
          <w:szCs w:val="20"/>
        </w:rPr>
        <w:instrText xml:space="preserve"> REF _Ref195889094 \h </w:instrText>
      </w:r>
      <w:r w:rsidR="00871C27">
        <w:rPr>
          <w:szCs w:val="20"/>
        </w:rPr>
        <w:instrText xml:space="preserve"> \* MERGEFORMAT </w:instrText>
      </w:r>
      <w:r w:rsidRPr="00871C27">
        <w:rPr>
          <w:szCs w:val="20"/>
        </w:rPr>
      </w:r>
      <w:r w:rsidRPr="00871C27">
        <w:rPr>
          <w:szCs w:val="20"/>
        </w:rPr>
        <w:fldChar w:fldCharType="separate"/>
      </w:r>
      <w:r w:rsidR="00871DD5" w:rsidRPr="00871DD5">
        <w:rPr>
          <w:rStyle w:val="Nagwek6Znak"/>
          <w:rFonts w:ascii="Lato" w:hAnsi="Lato"/>
          <w:b w:val="0"/>
        </w:rPr>
        <w:t xml:space="preserve">Działanie </w:t>
      </w:r>
      <w:r w:rsidR="00871DD5" w:rsidRPr="00871DD5">
        <w:rPr>
          <w:lang w:eastAsia="pl-PL"/>
        </w:rPr>
        <w:t>105</w:t>
      </w:r>
      <w:r w:rsidR="00871DD5">
        <w:rPr>
          <w:lang w:eastAsia="pl-PL"/>
        </w:rPr>
        <w:t xml:space="preserve">. </w:t>
      </w:r>
      <w:r w:rsidR="00871DD5" w:rsidRPr="00077D7F">
        <w:rPr>
          <w:lang w:eastAsia="pl-PL"/>
        </w:rPr>
        <w:t>Instrument finansowy – Ulga podatkowa dotycząca wydatków poniesionych na termomodernizację jednorodzinnych budynków mieszkalnych (ulga termomodernizacyjna)</w:t>
      </w:r>
      <w:r w:rsidRPr="00871C27">
        <w:rPr>
          <w:szCs w:val="20"/>
        </w:rPr>
        <w:fldChar w:fldCharType="end"/>
      </w:r>
    </w:p>
    <w:p w14:paraId="6D09398C" w14:textId="23C039F5" w:rsidR="00871C27" w:rsidRPr="002D7BAB" w:rsidRDefault="00871C27" w:rsidP="003530A9">
      <w:pPr>
        <w:pStyle w:val="Akapitzlist"/>
        <w:numPr>
          <w:ilvl w:val="0"/>
          <w:numId w:val="3"/>
        </w:numPr>
        <w:rPr>
          <w:szCs w:val="20"/>
        </w:rPr>
      </w:pPr>
      <w:r w:rsidRPr="002D7BAB">
        <w:rPr>
          <w:szCs w:val="20"/>
        </w:rPr>
        <w:fldChar w:fldCharType="begin"/>
      </w:r>
      <w:r w:rsidRPr="002D7BAB">
        <w:rPr>
          <w:szCs w:val="20"/>
        </w:rPr>
        <w:instrText xml:space="preserve"> REF _Ref195889472 \h  \* MERGEFORMAT </w:instrText>
      </w:r>
      <w:r w:rsidRPr="002D7BAB">
        <w:rPr>
          <w:szCs w:val="20"/>
        </w:rPr>
      </w:r>
      <w:r w:rsidRPr="002D7BAB">
        <w:rPr>
          <w:szCs w:val="20"/>
        </w:rPr>
        <w:fldChar w:fldCharType="separate"/>
      </w:r>
      <w:r w:rsidR="00871DD5" w:rsidRPr="00871DD5">
        <w:rPr>
          <w:rStyle w:val="Nagwek6Znak"/>
          <w:rFonts w:ascii="Lato" w:hAnsi="Lato"/>
          <w:b w:val="0"/>
        </w:rPr>
        <w:t xml:space="preserve">Działanie 106. Instrument finansowy – Program TERMO, wsparcie poprawy efektywności energetycznej w budynkach </w:t>
      </w:r>
      <w:r w:rsidR="00871DD5" w:rsidRPr="00B86593">
        <w:t>wielorodzinnych</w:t>
      </w:r>
      <w:r w:rsidRPr="002D7BAB">
        <w:rPr>
          <w:szCs w:val="20"/>
        </w:rPr>
        <w:fldChar w:fldCharType="end"/>
      </w:r>
    </w:p>
    <w:p w14:paraId="641FB85B" w14:textId="4C283451" w:rsidR="004E000C" w:rsidRPr="004E000C" w:rsidRDefault="001039C9" w:rsidP="004E000C">
      <w:pPr>
        <w:pStyle w:val="Nagwek4"/>
        <w:rPr>
          <w:color w:val="70AD47" w:themeColor="accent6"/>
        </w:rPr>
      </w:pPr>
      <w:bookmarkStart w:id="74" w:name="_Toc195897187"/>
      <w:bookmarkStart w:id="75" w:name="_Toc195899432"/>
      <w:bookmarkStart w:id="76" w:name="_Toc195897188"/>
      <w:bookmarkStart w:id="77" w:name="_Toc195899433"/>
      <w:bookmarkStart w:id="78" w:name="_Toc195897189"/>
      <w:bookmarkStart w:id="79" w:name="_Toc195899434"/>
      <w:bookmarkStart w:id="80" w:name="_Toc195897190"/>
      <w:bookmarkStart w:id="81" w:name="_Toc195899435"/>
      <w:bookmarkStart w:id="82" w:name="_Toc195897191"/>
      <w:bookmarkStart w:id="83" w:name="_Toc195899436"/>
      <w:bookmarkStart w:id="84" w:name="_Toc195897192"/>
      <w:bookmarkStart w:id="85" w:name="_Toc195899437"/>
      <w:bookmarkStart w:id="86" w:name="_Toc195897193"/>
      <w:bookmarkStart w:id="87" w:name="_Toc195899438"/>
      <w:bookmarkStart w:id="88" w:name="_Toc195897194"/>
      <w:bookmarkStart w:id="89" w:name="_Toc195899439"/>
      <w:bookmarkStart w:id="90" w:name="_Toc159598291"/>
      <w:bookmarkStart w:id="91" w:name="_Toc195897195"/>
      <w:bookmarkStart w:id="92" w:name="_Toc20520316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color w:val="70AD47" w:themeColor="accent6"/>
        </w:rPr>
        <w:t>R</w:t>
      </w:r>
      <w:r w:rsidR="00C06AA6">
        <w:rPr>
          <w:color w:val="70AD47" w:themeColor="accent6"/>
        </w:rPr>
        <w:t>edukcj</w:t>
      </w:r>
      <w:r>
        <w:rPr>
          <w:color w:val="70AD47" w:themeColor="accent6"/>
        </w:rPr>
        <w:t>a</w:t>
      </w:r>
      <w:r w:rsidR="00C06AA6">
        <w:rPr>
          <w:color w:val="70AD47" w:themeColor="accent6"/>
        </w:rPr>
        <w:t xml:space="preserve"> emisji </w:t>
      </w:r>
      <w:r w:rsidR="00AD0FB0">
        <w:rPr>
          <w:color w:val="70AD47" w:themeColor="accent6"/>
        </w:rPr>
        <w:t>GHG</w:t>
      </w:r>
      <w:r w:rsidR="00C06AA6">
        <w:rPr>
          <w:color w:val="70AD47" w:themeColor="accent6"/>
        </w:rPr>
        <w:t xml:space="preserve"> </w:t>
      </w:r>
      <w:r w:rsidR="00270892">
        <w:rPr>
          <w:color w:val="70AD47" w:themeColor="accent6"/>
        </w:rPr>
        <w:t>z</w:t>
      </w:r>
      <w:r w:rsidR="00C06AA6">
        <w:rPr>
          <w:color w:val="70AD47" w:themeColor="accent6"/>
        </w:rPr>
        <w:t xml:space="preserve"> transpor</w:t>
      </w:r>
      <w:r w:rsidR="00270892">
        <w:rPr>
          <w:color w:val="70AD47" w:themeColor="accent6"/>
        </w:rPr>
        <w:t>tu</w:t>
      </w:r>
      <w:r w:rsidR="00FA794D">
        <w:rPr>
          <w:color w:val="70AD47" w:themeColor="accent6"/>
        </w:rPr>
        <w:t>, w tym rozwój OZE i</w:t>
      </w:r>
      <w:r>
        <w:rPr>
          <w:color w:val="70AD47" w:themeColor="accent6"/>
        </w:rPr>
        <w:t> </w:t>
      </w:r>
      <w:r w:rsidR="00FA794D">
        <w:rPr>
          <w:color w:val="70AD47" w:themeColor="accent6"/>
        </w:rPr>
        <w:t>elektromobilności</w:t>
      </w:r>
      <w:bookmarkEnd w:id="90"/>
      <w:bookmarkEnd w:id="91"/>
      <w:bookmarkEnd w:id="92"/>
    </w:p>
    <w:p w14:paraId="3BA09215" w14:textId="116BAF8F" w:rsidR="00835A09" w:rsidRPr="007433FE" w:rsidRDefault="00DE0CED" w:rsidP="00835A09">
      <w:r>
        <w:rPr>
          <w:noProof/>
          <w:lang w:eastAsia="pl-PL"/>
        </w:rPr>
        <mc:AlternateContent>
          <mc:Choice Requires="wps">
            <w:drawing>
              <wp:anchor distT="0" distB="0" distL="114300" distR="114300" simplePos="0" relativeHeight="251451904" behindDoc="1" locked="0" layoutInCell="1" allowOverlap="1" wp14:anchorId="5A025D2A" wp14:editId="556653DF">
                <wp:simplePos x="0" y="0"/>
                <wp:positionH relativeFrom="margin">
                  <wp:posOffset>2686050</wp:posOffset>
                </wp:positionH>
                <wp:positionV relativeFrom="paragraph">
                  <wp:posOffset>53340</wp:posOffset>
                </wp:positionV>
                <wp:extent cx="2952750" cy="1045845"/>
                <wp:effectExtent l="19050" t="57150" r="95250" b="59055"/>
                <wp:wrapSquare wrapText="bothSides"/>
                <wp:docPr id="898339589" name="Prostokąt: zaokrąglone rogi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104584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6538FFB" w14:textId="24BE0A5D" w:rsidR="00C36C5C" w:rsidRPr="004E21CF" w:rsidRDefault="00C36C5C" w:rsidP="00B64F0D">
                            <w:pPr>
                              <w:pStyle w:val="Ramka"/>
                            </w:pPr>
                            <w:r>
                              <w:t xml:space="preserve">Ze względu na rodzaj wyróżnia się transport samochodowy/drogowy, kolejowy, lotniczy, wodny śródlądowy, morski. Podziału dokonuje się także ze względu na to, czy ma charakter pasażerski czy towarowy. Definiuje się także typy pojazdów.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A025D2A" id="Prostokąt: zaokrąglone rogi 71" o:spid="_x0000_s1089" style="position:absolute;left:0;text-align:left;margin-left:211.5pt;margin-top:4.2pt;width:232.5pt;height:82.35pt;z-index:-25186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" fillcolor="white [3212]" strokecolor="#70ad47 [3209]">
                <v:stroke joinstyle="miter"/>
                <v:shadow on="t" color="black" opacity="26214f" origin="-.5" offset="3pt,0"/>
                <v:path arrowok="t"/>
                <v:textbox style="mso-fit-shape-to-text:t" inset="2mm,2.5mm,2mm,0">
                  <w:txbxContent>
                    <w:p w14:paraId="26538FFB" w14:textId="24BE0A5D" w:rsidR="00C36C5C" w:rsidRPr="004E21CF" w:rsidRDefault="00C36C5C" w:rsidP="00B64F0D">
                      <w:pPr>
                        <w:pStyle w:val="Ramka"/>
                      </w:pPr>
                      <w:r>
                        <w:t xml:space="preserve">Ze względu na rodzaj wyróżnia się transport samochodowy/drogowy, kolejowy, lotniczy, wodny śródlądowy, morski. Podziału dokonuje się także ze względu na to, czy ma charakter pasażerski czy towarowy. Definiuje się także typy pojazdów. </w:t>
                      </w:r>
                    </w:p>
                  </w:txbxContent>
                </v:textbox>
                <w10:wrap type="square" anchorx="margin"/>
              </v:roundrect>
            </w:pict>
          </mc:Fallback>
        </mc:AlternateContent>
      </w:r>
      <w:r w:rsidR="006227A1">
        <w:t>W sektorze t</w:t>
      </w:r>
      <w:r w:rsidR="002B4F0C">
        <w:t>ransport</w:t>
      </w:r>
      <w:r w:rsidR="006227A1">
        <w:t>u</w:t>
      </w:r>
      <w:r w:rsidR="002B4F0C">
        <w:t xml:space="preserve"> wykorzystuje </w:t>
      </w:r>
      <w:r w:rsidR="006227A1">
        <w:t xml:space="preserve">się obecnie </w:t>
      </w:r>
      <w:r w:rsidR="002B4F0C">
        <w:t>głównie paliwa ropopochodne</w:t>
      </w:r>
      <w:r w:rsidR="00A2388F">
        <w:t xml:space="preserve">. </w:t>
      </w:r>
      <w:r w:rsidR="0011451D" w:rsidRPr="007433FE">
        <w:t>Dotychczas r</w:t>
      </w:r>
      <w:r w:rsidR="00D14D80" w:rsidRPr="007433FE">
        <w:t>edukcja</w:t>
      </w:r>
      <w:r w:rsidR="005A5D1B" w:rsidRPr="007433FE">
        <w:t xml:space="preserve"> emisji </w:t>
      </w:r>
      <w:r w:rsidR="00183501" w:rsidRPr="007433FE">
        <w:t>w transporcie jest realizowan</w:t>
      </w:r>
      <w:r w:rsidR="005A5D1B" w:rsidRPr="007433FE">
        <w:t>a</w:t>
      </w:r>
      <w:r w:rsidR="00183501" w:rsidRPr="007433FE">
        <w:t xml:space="preserve"> przede wszystkim przy wykorzystaniu biokomponentów I generacji</w:t>
      </w:r>
      <w:r w:rsidR="005A5D1B" w:rsidRPr="007433FE">
        <w:t xml:space="preserve">, czyli </w:t>
      </w:r>
      <w:r w:rsidR="00C23A1A" w:rsidRPr="007433FE">
        <w:t xml:space="preserve">estrów metylowych </w:t>
      </w:r>
      <w:r w:rsidR="00AC3F61" w:rsidRPr="007433FE">
        <w:t xml:space="preserve">kwasów tłuszczowych </w:t>
      </w:r>
      <w:r w:rsidR="00C23A1A" w:rsidRPr="007433FE">
        <w:t xml:space="preserve">oraz bioetanolu </w:t>
      </w:r>
      <w:r w:rsidR="00835A09" w:rsidRPr="007433FE">
        <w:t>wytworzon</w:t>
      </w:r>
      <w:r w:rsidR="005A5D1B" w:rsidRPr="007433FE">
        <w:t>ych</w:t>
      </w:r>
      <w:r w:rsidR="00835A09" w:rsidRPr="007433FE">
        <w:t xml:space="preserve"> z roślin spożywczych lub pastewnych. </w:t>
      </w:r>
      <w:r w:rsidR="00F902FF" w:rsidRPr="007433FE">
        <w:t xml:space="preserve">Stanowią one </w:t>
      </w:r>
      <w:r w:rsidR="0011451D" w:rsidRPr="007433FE">
        <w:t>typowo</w:t>
      </w:r>
      <w:r w:rsidR="00870363" w:rsidRPr="007433FE">
        <w:t xml:space="preserve"> </w:t>
      </w:r>
      <w:r w:rsidR="00F902FF" w:rsidRPr="007433FE">
        <w:t xml:space="preserve">domieszkę </w:t>
      </w:r>
      <w:r w:rsidR="00870363" w:rsidRPr="007433FE">
        <w:t xml:space="preserve">(tzw. </w:t>
      </w:r>
      <w:r w:rsidR="00870363" w:rsidRPr="00CD4286">
        <w:rPr>
          <w:i/>
        </w:rPr>
        <w:t>blending</w:t>
      </w:r>
      <w:r w:rsidR="00870363" w:rsidRPr="007433FE">
        <w:t xml:space="preserve">) </w:t>
      </w:r>
      <w:r w:rsidR="00F902FF" w:rsidRPr="007433FE">
        <w:t xml:space="preserve">do </w:t>
      </w:r>
      <w:r w:rsidR="00780A3A" w:rsidRPr="007433FE">
        <w:t xml:space="preserve">ciekłych </w:t>
      </w:r>
      <w:r w:rsidR="00F902FF" w:rsidRPr="007433FE">
        <w:t xml:space="preserve">paliw konwencjonalnych. </w:t>
      </w:r>
      <w:r w:rsidR="00835A09" w:rsidRPr="007433FE">
        <w:t xml:space="preserve">Ich </w:t>
      </w:r>
      <w:r w:rsidR="00F6644F" w:rsidRPr="007433FE">
        <w:t xml:space="preserve">szersze </w:t>
      </w:r>
      <w:r w:rsidR="00835A09" w:rsidRPr="007433FE">
        <w:t>sto</w:t>
      </w:r>
      <w:r w:rsidR="00C002F5">
        <w:t>s</w:t>
      </w:r>
      <w:r w:rsidR="00835A09" w:rsidRPr="007433FE">
        <w:t>owanie jest jednak ograniczone przez dyrektywę RED III do limitu określonego poziomem zużycia osiągniętym w 2020 r.</w:t>
      </w:r>
      <w:r w:rsidR="00AC5D6B" w:rsidRPr="007433FE">
        <w:t xml:space="preserve"> (</w:t>
      </w:r>
      <w:r w:rsidR="00835A09" w:rsidRPr="007433FE">
        <w:t>z możliwością zwiększenia o 1 punkt procentowy</w:t>
      </w:r>
      <w:r w:rsidR="00AC5D6B" w:rsidRPr="007433FE">
        <w:t>)</w:t>
      </w:r>
      <w:r w:rsidR="00835A09" w:rsidRPr="007433FE">
        <w:t xml:space="preserve">. Dotychczasowe krajowe regulacje ustanowiły limit dla biokomponentów I generacji na poziomie do 6,1% </w:t>
      </w:r>
      <w:r w:rsidR="001973F9" w:rsidRPr="007433FE">
        <w:t>w ogólnej ilości paliw ciekłych i biopaliw ciekłych.</w:t>
      </w:r>
    </w:p>
    <w:p w14:paraId="6D162EBA" w14:textId="6E556AB4" w:rsidR="00080BA7" w:rsidRDefault="00DD0321" w:rsidP="003829EA">
      <w:r w:rsidRPr="007433FE">
        <w:t xml:space="preserve">Konieczne jest zatem </w:t>
      </w:r>
      <w:r w:rsidR="00BA0F12" w:rsidRPr="007433FE">
        <w:t>wdrożenie</w:t>
      </w:r>
      <w:r w:rsidR="008A59DF" w:rsidRPr="007433FE">
        <w:t xml:space="preserve"> </w:t>
      </w:r>
      <w:r w:rsidR="00BA0F12" w:rsidRPr="007433FE">
        <w:t xml:space="preserve">innych </w:t>
      </w:r>
      <w:r w:rsidR="00D72820" w:rsidRPr="007433FE">
        <w:t xml:space="preserve">sposobów </w:t>
      </w:r>
      <w:r w:rsidR="00955C3E" w:rsidRPr="007433FE">
        <w:t xml:space="preserve">efektywnej </w:t>
      </w:r>
      <w:r w:rsidR="00D72820" w:rsidRPr="007433FE">
        <w:t xml:space="preserve">dekarbonizacji tego sektora. </w:t>
      </w:r>
      <w:r w:rsidR="002A391D" w:rsidRPr="007433FE">
        <w:t>Istotną rolę w</w:t>
      </w:r>
      <w:r w:rsidR="00D03F4D">
        <w:t> </w:t>
      </w:r>
      <w:r w:rsidR="002A391D" w:rsidRPr="007433FE">
        <w:t>osiąganiu zamierzonych celów przypisuje się energii elektrycznej z OZE stosowanej w transporcie</w:t>
      </w:r>
      <w:r w:rsidR="00955C3E" w:rsidRPr="007433FE">
        <w:t>, a</w:t>
      </w:r>
      <w:r w:rsidR="00122867">
        <w:t> </w:t>
      </w:r>
      <w:r w:rsidR="003509B2" w:rsidRPr="007433FE">
        <w:t>także biokomponentom</w:t>
      </w:r>
      <w:r w:rsidR="00A46CAF" w:rsidRPr="007433FE">
        <w:t xml:space="preserve"> </w:t>
      </w:r>
      <w:r w:rsidR="003F3FDE" w:rsidRPr="007433FE">
        <w:t>zaawansowanym</w:t>
      </w:r>
      <w:r w:rsidR="00A46CAF" w:rsidRPr="007433FE">
        <w:t xml:space="preserve">, </w:t>
      </w:r>
      <w:r w:rsidR="003F3FDE" w:rsidRPr="007433FE">
        <w:t>tzw.</w:t>
      </w:r>
      <w:r w:rsidR="00A46CAF" w:rsidRPr="007433FE">
        <w:t xml:space="preserve"> </w:t>
      </w:r>
      <w:r w:rsidR="003F3FDE" w:rsidRPr="007433FE">
        <w:t xml:space="preserve">II generacji </w:t>
      </w:r>
      <w:r w:rsidR="006A1752" w:rsidRPr="007433FE">
        <w:t>(</w:t>
      </w:r>
      <w:r w:rsidR="00917870" w:rsidRPr="007433FE">
        <w:t>np. biometan w</w:t>
      </w:r>
      <w:r w:rsidR="006601FB">
        <w:t> </w:t>
      </w:r>
      <w:r w:rsidR="00917870" w:rsidRPr="007433FE">
        <w:t>formie skroplonej i</w:t>
      </w:r>
      <w:r w:rsidR="00122867">
        <w:t> </w:t>
      </w:r>
      <w:r w:rsidR="00917870" w:rsidRPr="007433FE">
        <w:t xml:space="preserve">sprężonej) </w:t>
      </w:r>
      <w:r w:rsidR="003F3FDE" w:rsidRPr="007433FE">
        <w:t xml:space="preserve">oraz </w:t>
      </w:r>
      <w:r w:rsidR="002A391D" w:rsidRPr="007433FE">
        <w:t>paliwom</w:t>
      </w:r>
      <w:r w:rsidR="00A96319" w:rsidRPr="007433FE">
        <w:t xml:space="preserve"> </w:t>
      </w:r>
      <w:r w:rsidR="00955C3E" w:rsidRPr="007433FE">
        <w:t xml:space="preserve">odnawialnym </w:t>
      </w:r>
      <w:r w:rsidR="003F3FDE" w:rsidRPr="007433FE">
        <w:t>pochodzenia</w:t>
      </w:r>
      <w:r w:rsidR="00955C3E" w:rsidRPr="007433FE">
        <w:t xml:space="preserve"> niebiologicznego</w:t>
      </w:r>
      <w:r w:rsidR="00F57E2D" w:rsidRPr="007433FE">
        <w:t xml:space="preserve"> oraz paliw pochodzących z</w:t>
      </w:r>
      <w:r w:rsidR="00122867">
        <w:t> </w:t>
      </w:r>
      <w:r w:rsidR="00F57E2D" w:rsidRPr="007433FE">
        <w:t>recyklingu</w:t>
      </w:r>
      <w:r w:rsidR="003F3FDE" w:rsidRPr="007433FE">
        <w:t>.</w:t>
      </w:r>
      <w:r w:rsidR="000C40B0" w:rsidRPr="007433FE">
        <w:t xml:space="preserve"> </w:t>
      </w:r>
    </w:p>
    <w:p w14:paraId="5E89CC33" w14:textId="330C5F58" w:rsidR="00080BA7" w:rsidRDefault="00D72820" w:rsidP="003829EA">
      <w:r>
        <w:t>M</w:t>
      </w:r>
      <w:r w:rsidR="00952815" w:rsidRPr="00FC0BEF">
        <w:t xml:space="preserve">ożliwości redukcji emisyjności różnią się w zależności od rodzaju transportu. W </w:t>
      </w:r>
      <w:r w:rsidR="00952815" w:rsidRPr="00952815">
        <w:rPr>
          <w:b/>
          <w:bCs/>
        </w:rPr>
        <w:t>drogowym transporcie pasażerskim</w:t>
      </w:r>
      <w:r w:rsidR="00952815" w:rsidRPr="00952815">
        <w:t>,</w:t>
      </w:r>
      <w:r w:rsidR="00952815" w:rsidRPr="00FC0BEF">
        <w:t xml:space="preserve"> gdzie technologia elektryfikacji jest już dostępna, proces ten można wdrożyć </w:t>
      </w:r>
      <w:r w:rsidR="00AC4227">
        <w:t>naj</w:t>
      </w:r>
      <w:r w:rsidR="00952815" w:rsidRPr="00FC0BEF">
        <w:t xml:space="preserve">sprawniej. Natomiast </w:t>
      </w:r>
      <w:r w:rsidR="00952815" w:rsidRPr="00952815">
        <w:rPr>
          <w:b/>
          <w:bCs/>
        </w:rPr>
        <w:t xml:space="preserve">w drogowym </w:t>
      </w:r>
      <w:r w:rsidR="00952815" w:rsidRPr="002D62B4">
        <w:rPr>
          <w:b/>
          <w:bCs/>
        </w:rPr>
        <w:t>transporcie towarowym</w:t>
      </w:r>
      <w:r w:rsidR="00952815" w:rsidRPr="002D62B4">
        <w:t>, gdzie dominują pojazdy ciężkie, napotyka się na większe wyzwania</w:t>
      </w:r>
      <w:r w:rsidR="005C0CCC" w:rsidRPr="002D62B4">
        <w:t xml:space="preserve"> elektryfikacji</w:t>
      </w:r>
      <w:r w:rsidR="00AC4227" w:rsidRPr="002D62B4">
        <w:t xml:space="preserve"> (</w:t>
      </w:r>
      <w:r w:rsidR="003A4979" w:rsidRPr="002D62B4">
        <w:t xml:space="preserve">jak np. </w:t>
      </w:r>
      <w:r w:rsidR="00AC4227" w:rsidRPr="002D62B4">
        <w:t>obniżenie kosztów produkcji pojazdów</w:t>
      </w:r>
      <w:r w:rsidR="009F29C7" w:rsidRPr="002D62B4">
        <w:t>,</w:t>
      </w:r>
      <w:r w:rsidR="00AC4227" w:rsidRPr="002D62B4">
        <w:t xml:space="preserve"> </w:t>
      </w:r>
      <w:r w:rsidR="00EA2E07" w:rsidRPr="002D62B4">
        <w:t xml:space="preserve">zwiększenie gęstości </w:t>
      </w:r>
      <w:r w:rsidR="00AC4227" w:rsidRPr="002D62B4">
        <w:t>baterii</w:t>
      </w:r>
      <w:r w:rsidR="009F29C7" w:rsidRPr="002D62B4">
        <w:t xml:space="preserve"> i in</w:t>
      </w:r>
      <w:r w:rsidR="00C002F5">
        <w:t>ne</w:t>
      </w:r>
      <w:r w:rsidR="00AC4227" w:rsidRPr="002D62B4">
        <w:t>)</w:t>
      </w:r>
      <w:r w:rsidR="00952815" w:rsidRPr="002D62B4">
        <w:t xml:space="preserve">. W obu przypadkach istotna jest </w:t>
      </w:r>
      <w:r w:rsidR="0011527F" w:rsidRPr="002D62B4">
        <w:t>konkurencyjność</w:t>
      </w:r>
      <w:r w:rsidR="00DE3B05" w:rsidRPr="002D62B4">
        <w:t xml:space="preserve"> </w:t>
      </w:r>
      <w:r w:rsidR="00952815" w:rsidRPr="002D62B4">
        <w:t>pojazdów</w:t>
      </w:r>
      <w:r w:rsidR="002D62B4" w:rsidRPr="002D62B4">
        <w:t xml:space="preserve"> elektrycznych wobec spalinowych</w:t>
      </w:r>
      <w:r w:rsidR="00952815" w:rsidRPr="002D62B4">
        <w:t xml:space="preserve">. </w:t>
      </w:r>
      <w:r w:rsidR="00A43E87" w:rsidRPr="002D62B4">
        <w:t>Jeszcze inną specyfiką cechuje się lotnictwo i transport morski, podczas</w:t>
      </w:r>
      <w:r w:rsidR="00A868D5" w:rsidRPr="002D62B4">
        <w:t>,</w:t>
      </w:r>
      <w:r w:rsidR="00A43E87" w:rsidRPr="002D62B4">
        <w:t xml:space="preserve"> gdy </w:t>
      </w:r>
      <w:r w:rsidR="000413B3" w:rsidRPr="002D62B4">
        <w:t>transport szynowy jest w większości zelektryfikowany</w:t>
      </w:r>
      <w:r w:rsidR="00A43E87" w:rsidRPr="002D62B4">
        <w:t>.</w:t>
      </w:r>
    </w:p>
    <w:p w14:paraId="7EBE92B2" w14:textId="5DB4FBF0" w:rsidR="001039C9" w:rsidRDefault="001039C9" w:rsidP="003829EA">
      <w:r w:rsidRPr="00A868D5">
        <w:rPr>
          <w:b/>
          <w:bCs/>
        </w:rPr>
        <w:lastRenderedPageBreak/>
        <w:t>Lotnictwo</w:t>
      </w:r>
      <w:r>
        <w:t xml:space="preserve"> objęte jest system</w:t>
      </w:r>
      <w:r w:rsidR="005E5A77">
        <w:t>em</w:t>
      </w:r>
      <w:r>
        <w:t xml:space="preserve"> EU ETS, z kole</w:t>
      </w:r>
      <w:r w:rsidR="005E7EAD">
        <w:t>i</w:t>
      </w:r>
      <w:r>
        <w:t xml:space="preserve"> </w:t>
      </w:r>
      <w:r w:rsidRPr="00A868D5">
        <w:rPr>
          <w:b/>
          <w:bCs/>
        </w:rPr>
        <w:t>transport morski</w:t>
      </w:r>
      <w:r w:rsidR="005E7EAD">
        <w:t xml:space="preserve"> został włączony do systemu w 2024 r., zaś </w:t>
      </w:r>
      <w:r w:rsidR="005E7EAD" w:rsidRPr="00A868D5">
        <w:rPr>
          <w:b/>
          <w:bCs/>
        </w:rPr>
        <w:t>t</w:t>
      </w:r>
      <w:r w:rsidRPr="00A868D5">
        <w:rPr>
          <w:b/>
          <w:bCs/>
        </w:rPr>
        <w:t>ransport drogowy</w:t>
      </w:r>
      <w:r>
        <w:t xml:space="preserve"> realizu</w:t>
      </w:r>
      <w:r w:rsidR="005E7EAD">
        <w:t>je</w:t>
      </w:r>
      <w:r>
        <w:t xml:space="preserve"> wkład w tzw. wspólny wysiłek redukcyjny (ES</w:t>
      </w:r>
      <w:r w:rsidR="001A567B">
        <w:t>R</w:t>
      </w:r>
      <w:r>
        <w:t xml:space="preserve"> – non-ETS). Dodatkowo transport drogowy będzie objęty </w:t>
      </w:r>
      <w:r w:rsidR="7FC9BC95">
        <w:t>przez</w:t>
      </w:r>
      <w:r>
        <w:t xml:space="preserve"> system </w:t>
      </w:r>
      <w:r w:rsidR="00D03F4D">
        <w:t>EU </w:t>
      </w:r>
      <w:r>
        <w:t>ETS</w:t>
      </w:r>
      <w:r>
        <w:noBreakHyphen/>
        <w:t>2.</w:t>
      </w:r>
      <w:r w:rsidR="005E7EAD">
        <w:t xml:space="preserve"> Dekarbonizacja t</w:t>
      </w:r>
      <w:r w:rsidR="005E7EAD">
        <w:rPr>
          <w:kern w:val="0"/>
          <w14:ligatures w14:val="none"/>
        </w:rPr>
        <w:t>ransportu lotniczego i</w:t>
      </w:r>
      <w:r w:rsidR="00D03F4D">
        <w:rPr>
          <w:kern w:val="0"/>
          <w14:ligatures w14:val="none"/>
        </w:rPr>
        <w:t> </w:t>
      </w:r>
      <w:r w:rsidR="005E7EAD">
        <w:rPr>
          <w:kern w:val="0"/>
          <w14:ligatures w14:val="none"/>
        </w:rPr>
        <w:t>transportu morskiego jest szczególnie trudna, bo wykorzystanie energii elektrycznej ma ograniczone zastosowanie i konieczne jest rozwijanie paliw alternatywnych, w tym paliw syntetycznych.</w:t>
      </w:r>
    </w:p>
    <w:p w14:paraId="2A9A34A1" w14:textId="79A878AE" w:rsidR="00A868D5" w:rsidRDefault="00A868D5" w:rsidP="00A868D5">
      <w:r w:rsidRPr="00C31514">
        <w:t xml:space="preserve">Dyrektywa </w:t>
      </w:r>
      <w:bookmarkStart w:id="93" w:name="_Hlk158646982"/>
      <w:r w:rsidRPr="00C31514">
        <w:t>2023/959</w:t>
      </w:r>
      <w:bookmarkEnd w:id="93"/>
      <w:r>
        <w:t xml:space="preserve"> </w:t>
      </w:r>
      <w:r>
        <w:softHyphen/>
        <w:t>–</w:t>
      </w:r>
      <w:r w:rsidRPr="00C31514">
        <w:t xml:space="preserve"> EU ETS wprowadza obowiązek nabywania przez </w:t>
      </w:r>
      <w:r w:rsidRPr="00A868D5">
        <w:rPr>
          <w:b/>
          <w:bCs/>
        </w:rPr>
        <w:t>przedsiębiorstwa żeglugowe</w:t>
      </w:r>
      <w:r w:rsidRPr="00C31514">
        <w:t xml:space="preserve"> uprawnień do emisji każdej tony gazu cieplarnianego emitowanej przez statek w odniesieniu do 100% emisji z rejsów wewnątrzunijnych, 50% emisji z rejsów z portów UE do państw trzecich oraz z państw trzecich do portów UE. Obowiązek umarzania uprawnień wprowadzany jest etapowo: 40% – dla zweryfikowanych emisji w 2024 r., 70% w 2025 r. i 100% – od 2026 r.</w:t>
      </w:r>
    </w:p>
    <w:p w14:paraId="69E7251B" w14:textId="03320E44" w:rsidR="00B078E7" w:rsidRPr="00C31514" w:rsidRDefault="00B078E7" w:rsidP="00A868D5">
      <w:r w:rsidRPr="00D72ACE">
        <w:t xml:space="preserve">Dyrektywa 2023/958 wprowadza zmiany w odniesieniu do </w:t>
      </w:r>
      <w:r w:rsidRPr="00B078E7">
        <w:rPr>
          <w:b/>
          <w:bCs/>
        </w:rPr>
        <w:t>transportu lotniczego</w:t>
      </w:r>
      <w:r w:rsidRPr="00D72ACE">
        <w:t>. Przewiduje ona m.in. stopniowe znoszenie przydziału nieodpłatnych uprawnień do emisji i przejście od 2026 r. na aukcyjny model zaopatrywania operatorów statków powietrznych w uprawnienia do emisji. Zmiany przewidują również ustanowienie puli uprawnień</w:t>
      </w:r>
      <w:r>
        <w:t xml:space="preserve"> do emisji</w:t>
      </w:r>
      <w:r w:rsidRPr="00D72ACE">
        <w:t xml:space="preserve"> przewidzianej dla operatorów korzystających </w:t>
      </w:r>
      <w:r>
        <w:br/>
      </w:r>
      <w:r w:rsidRPr="00D72ACE">
        <w:t>z kwalifikujących się paliw lotniczych (zrównoważonych)</w:t>
      </w:r>
      <w:r>
        <w:t>.</w:t>
      </w:r>
      <w:r w:rsidRPr="00D72ACE">
        <w:t xml:space="preserve"> </w:t>
      </w:r>
      <w:r>
        <w:t>C</w:t>
      </w:r>
      <w:r w:rsidRPr="00D72ACE">
        <w:t>el</w:t>
      </w:r>
      <w:r>
        <w:t>em jest</w:t>
      </w:r>
      <w:r w:rsidRPr="00D72ACE">
        <w:t xml:space="preserve"> zmniejszani</w:t>
      </w:r>
      <w:r>
        <w:t>e</w:t>
      </w:r>
      <w:r w:rsidRPr="00D72ACE">
        <w:t xml:space="preserve"> różnic w cenie między tymi paliwami a paliwami konwencjonalnymi i zachęcani</w:t>
      </w:r>
      <w:r>
        <w:t>e</w:t>
      </w:r>
      <w:r w:rsidRPr="00D72ACE">
        <w:t xml:space="preserve"> operatorów do zwiększania udziału kwalifikujących się paliw lotniczych w ogólnym zużyciu paliw. Dyrektywa 2023/958 wdraża również kolejne elementy tzw. mechanizmu CORSIA</w:t>
      </w:r>
      <w:r w:rsidR="00F32516">
        <w:t xml:space="preserve"> (</w:t>
      </w:r>
      <w:r w:rsidR="00F32516" w:rsidRPr="00F32516">
        <w:t xml:space="preserve">ang. </w:t>
      </w:r>
      <w:r w:rsidR="00F32516" w:rsidRPr="00F32516">
        <w:rPr>
          <w:i/>
          <w:iCs/>
        </w:rPr>
        <w:t>Carbon Offsetting and Reduction Scheme for International Aviation</w:t>
      </w:r>
      <w:r w:rsidR="00F32516">
        <w:t>)</w:t>
      </w:r>
      <w:r w:rsidRPr="00D72ACE">
        <w:t>, który jest nakierowany na redukowanie emisji w lotnictwie cywilnym</w:t>
      </w:r>
      <w:r>
        <w:t>.</w:t>
      </w:r>
    </w:p>
    <w:p w14:paraId="6B458D65" w14:textId="788B9829" w:rsidR="00FA794D" w:rsidRDefault="00FA794D" w:rsidP="00FA794D">
      <w:r>
        <w:t>Dyrektywa RED II wskazywała dla wszystkich państw członkowskich UE zobowiązanie do osiągnięcia 1</w:t>
      </w:r>
      <w:r w:rsidR="00A92592">
        <w:t>4</w:t>
      </w:r>
      <w:r>
        <w:t>% OZE w transporcie</w:t>
      </w:r>
      <w:r w:rsidR="00BB74D4">
        <w:t xml:space="preserve"> w 2030 r</w:t>
      </w:r>
      <w:r>
        <w:t>. Polska zadeklarowała realizację tego celu, zgłaszając trudność w jego</w:t>
      </w:r>
      <w:r w:rsidR="00C965FF">
        <w:t xml:space="preserve"> wykonaniu</w:t>
      </w:r>
      <w:r>
        <w:t xml:space="preserve">, podobnie jak szereg innych państw UE. W ramach prac nad rewizją RED II </w:t>
      </w:r>
      <w:r w:rsidR="00C27AE6">
        <w:t>uznano</w:t>
      </w:r>
      <w:r>
        <w:t>, że</w:t>
      </w:r>
      <w:r w:rsidR="00A92592">
        <w:t> </w:t>
      </w:r>
      <w:r w:rsidR="00214F1C">
        <w:t xml:space="preserve">stymulowanie </w:t>
      </w:r>
      <w:r>
        <w:t>dekarbonizacj</w:t>
      </w:r>
      <w:r w:rsidR="00214F1C">
        <w:t>i</w:t>
      </w:r>
      <w:r>
        <w:t xml:space="preserve"> sektora transportu może okazać się </w:t>
      </w:r>
      <w:r w:rsidR="00A92592">
        <w:t>bardziej optymaln</w:t>
      </w:r>
      <w:r w:rsidR="00214F1C">
        <w:t>e</w:t>
      </w:r>
      <w:r>
        <w:t xml:space="preserve"> poprzez określenie cel</w:t>
      </w:r>
      <w:r w:rsidR="003F5833">
        <w:t>u</w:t>
      </w:r>
      <w:r>
        <w:t xml:space="preserve"> dotycząc</w:t>
      </w:r>
      <w:r w:rsidR="003F5833">
        <w:t>ego</w:t>
      </w:r>
      <w:r>
        <w:t xml:space="preserve"> redukcji emisji </w:t>
      </w:r>
      <w:r w:rsidR="006D5630">
        <w:t>w tym</w:t>
      </w:r>
      <w:r>
        <w:t xml:space="preserve"> sektor</w:t>
      </w:r>
      <w:r w:rsidR="006D5630">
        <w:t>ze</w:t>
      </w:r>
      <w:r>
        <w:t xml:space="preserve"> niż </w:t>
      </w:r>
      <w:r w:rsidR="00551BC0">
        <w:t xml:space="preserve">ustanowienie konkretnego </w:t>
      </w:r>
      <w:r>
        <w:t>udziału OZE</w:t>
      </w:r>
      <w:r>
        <w:rPr>
          <w:rStyle w:val="Odwoanieprzypisudolnego"/>
        </w:rPr>
        <w:footnoteReference w:id="34"/>
      </w:r>
      <w:r w:rsidR="000E03F4">
        <w:t>.</w:t>
      </w:r>
    </w:p>
    <w:p w14:paraId="664E4ACF" w14:textId="5DEB7466" w:rsidR="00FA794D" w:rsidRDefault="00FA794D" w:rsidP="00FA794D">
      <w:bookmarkStart w:id="94" w:name="_Hlk159551302"/>
      <w:r>
        <w:t xml:space="preserve">Nowe cele wyznaczone w RED III zobowiązują państwa członkowskie UE do </w:t>
      </w:r>
      <w:r w:rsidRPr="00475F96">
        <w:rPr>
          <w:b/>
          <w:bCs/>
        </w:rPr>
        <w:t xml:space="preserve">osiągnięcia </w:t>
      </w:r>
      <w:r w:rsidR="003A193F" w:rsidRPr="00C8526B">
        <w:t>w ramach wybranego jednego z alternatywnych sposobów</w:t>
      </w:r>
      <w:r w:rsidR="003A193F">
        <w:t>:</w:t>
      </w:r>
      <w:r w:rsidR="003A193F" w:rsidRPr="00C8526B">
        <w:t xml:space="preserve"> </w:t>
      </w:r>
      <w:r w:rsidRPr="00475F96">
        <w:rPr>
          <w:b/>
          <w:bCs/>
        </w:rPr>
        <w:t>29% udziału OZE w końcowym zużyciu energii w</w:t>
      </w:r>
      <w:r w:rsidR="00085307">
        <w:rPr>
          <w:b/>
          <w:bCs/>
        </w:rPr>
        <w:t> </w:t>
      </w:r>
      <w:r w:rsidRPr="00475F96">
        <w:rPr>
          <w:b/>
          <w:bCs/>
        </w:rPr>
        <w:t xml:space="preserve">sektorze </w:t>
      </w:r>
      <w:r w:rsidRPr="009221A8">
        <w:rPr>
          <w:b/>
          <w:bCs/>
        </w:rPr>
        <w:t>transportu lub redukcji intensywności emisji gazów cieplarnianych z sektora transportu na poziomie 14,5%</w:t>
      </w:r>
      <w:bookmarkEnd w:id="94"/>
      <w:r w:rsidRPr="009221A8">
        <w:t>.</w:t>
      </w:r>
      <w:r w:rsidRPr="009221A8">
        <w:rPr>
          <w:rStyle w:val="Odwoanieprzypisudolnego"/>
        </w:rPr>
        <w:footnoteReference w:id="35"/>
      </w:r>
      <w:r w:rsidR="00631510" w:rsidRPr="009221A8">
        <w:t xml:space="preserve"> W Polsce </w:t>
      </w:r>
      <w:r w:rsidR="00EA0717" w:rsidRPr="009221A8">
        <w:t xml:space="preserve">zakłada się </w:t>
      </w:r>
      <w:r w:rsidR="00631510" w:rsidRPr="009221A8">
        <w:t xml:space="preserve">utrzymanie dotychczasowego </w:t>
      </w:r>
      <w:r w:rsidR="00EA0717" w:rsidRPr="009221A8">
        <w:t xml:space="preserve">podejścia, tj. </w:t>
      </w:r>
      <w:r w:rsidR="00631510" w:rsidRPr="009221A8">
        <w:t xml:space="preserve">zapewnienia </w:t>
      </w:r>
      <w:r w:rsidR="009221A8">
        <w:t xml:space="preserve">odpowiedniego </w:t>
      </w:r>
      <w:r w:rsidR="00631510" w:rsidRPr="009221A8">
        <w:t>udziału OZE w sektorze transportu</w:t>
      </w:r>
      <w:r w:rsidR="00EA0717" w:rsidRPr="009221A8">
        <w:t>.</w:t>
      </w:r>
    </w:p>
    <w:p w14:paraId="581529A6" w14:textId="7C96289A" w:rsidR="009C03D5" w:rsidRDefault="00F21A69" w:rsidP="00FA794D">
      <w:r w:rsidRPr="009221A8">
        <w:t>Dalsza r</w:t>
      </w:r>
      <w:r w:rsidR="009C03D5" w:rsidRPr="009221A8">
        <w:t xml:space="preserve">ealizacja celów dekarbonizacyjnych </w:t>
      </w:r>
      <w:r w:rsidRPr="009221A8">
        <w:t xml:space="preserve">w Polsce </w:t>
      </w:r>
      <w:r w:rsidR="009C03D5" w:rsidRPr="009221A8">
        <w:t>odbywa</w:t>
      </w:r>
      <w:r w:rsidRPr="009221A8">
        <w:t>ć</w:t>
      </w:r>
      <w:r w:rsidR="009C03D5" w:rsidRPr="009221A8">
        <w:t xml:space="preserve"> się </w:t>
      </w:r>
      <w:r w:rsidRPr="009221A8">
        <w:t xml:space="preserve">będzie </w:t>
      </w:r>
      <w:r w:rsidR="009C03D5" w:rsidRPr="009221A8">
        <w:t xml:space="preserve">w szczególności poprzez </w:t>
      </w:r>
      <w:r w:rsidR="0040051E" w:rsidRPr="009221A8">
        <w:t xml:space="preserve">zwiększanie </w:t>
      </w:r>
      <w:r w:rsidR="00B97A47" w:rsidRPr="009221A8">
        <w:t xml:space="preserve">udziału </w:t>
      </w:r>
      <w:r w:rsidR="009C03D5" w:rsidRPr="009221A8">
        <w:t>paliw alternatywnych</w:t>
      </w:r>
      <w:r w:rsidR="00711E46" w:rsidRPr="009221A8">
        <w:t>: energi</w:t>
      </w:r>
      <w:r w:rsidR="00AA581B" w:rsidRPr="009221A8">
        <w:t>i</w:t>
      </w:r>
      <w:r w:rsidR="00711E46" w:rsidRPr="009221A8">
        <w:t xml:space="preserve"> elektryczn</w:t>
      </w:r>
      <w:r w:rsidR="00B00BCA" w:rsidRPr="009221A8">
        <w:t>ej</w:t>
      </w:r>
      <w:r w:rsidR="00711E46" w:rsidRPr="009221A8">
        <w:t xml:space="preserve">, </w:t>
      </w:r>
      <w:r w:rsidR="009C03D5" w:rsidRPr="009221A8">
        <w:t>wodoru i jego pochodnych np. amoniaku, paliw syntetycznych</w:t>
      </w:r>
      <w:r w:rsidR="00C03379" w:rsidRPr="009221A8" w:rsidDel="00175855">
        <w:t xml:space="preserve"> oraz </w:t>
      </w:r>
      <w:r w:rsidR="00C03379" w:rsidRPr="009221A8">
        <w:t>zwiększani</w:t>
      </w:r>
      <w:r w:rsidR="00DB3C07" w:rsidRPr="009221A8">
        <w:t>a</w:t>
      </w:r>
      <w:r w:rsidR="00C03379" w:rsidRPr="009221A8">
        <w:t xml:space="preserve"> wykorzystania bio</w:t>
      </w:r>
      <w:r w:rsidR="00AC6FF6" w:rsidRPr="009221A8">
        <w:t xml:space="preserve">komponentów </w:t>
      </w:r>
      <w:r w:rsidR="00C03379" w:rsidRPr="009221A8">
        <w:t>II generacji</w:t>
      </w:r>
      <w:r w:rsidR="00B524DE" w:rsidRPr="009221A8">
        <w:t xml:space="preserve"> (w szczególności biometan</w:t>
      </w:r>
      <w:r w:rsidR="00DB3C07" w:rsidRPr="009221A8">
        <w:t>u</w:t>
      </w:r>
      <w:r w:rsidR="009C03D5" w:rsidRPr="009221A8">
        <w:t xml:space="preserve">, </w:t>
      </w:r>
      <w:r w:rsidR="0018501E" w:rsidRPr="009221A8">
        <w:t xml:space="preserve">a także </w:t>
      </w:r>
      <w:r w:rsidR="00175855" w:rsidRPr="009221A8">
        <w:t>paliw odnawialn</w:t>
      </w:r>
      <w:r w:rsidR="00DB3C07" w:rsidRPr="009221A8">
        <w:t>ych</w:t>
      </w:r>
      <w:r w:rsidR="00175855" w:rsidRPr="009221A8">
        <w:t xml:space="preserve"> pochodzenia niebiologicznego</w:t>
      </w:r>
      <w:r w:rsidR="00885717" w:rsidRPr="009221A8">
        <w:t xml:space="preserve"> oraz </w:t>
      </w:r>
      <w:r w:rsidR="00360409" w:rsidRPr="009221A8">
        <w:t>paliw z recyklingu</w:t>
      </w:r>
      <w:r w:rsidR="0018501E" w:rsidRPr="009221A8">
        <w:t>. Istotne znaczenie będzie miało</w:t>
      </w:r>
      <w:r w:rsidR="009C03D5" w:rsidRPr="009221A8">
        <w:t xml:space="preserve"> również </w:t>
      </w:r>
      <w:r w:rsidR="007734CF" w:rsidRPr="009221A8">
        <w:t xml:space="preserve">zwiększanie efektywności </w:t>
      </w:r>
      <w:r w:rsidR="001860E8" w:rsidRPr="009221A8">
        <w:t>transportu</w:t>
      </w:r>
      <w:r w:rsidR="007734CF" w:rsidRPr="009221A8">
        <w:t xml:space="preserve"> </w:t>
      </w:r>
      <w:r w:rsidR="00F65CA3" w:rsidRPr="009221A8">
        <w:t xml:space="preserve">oraz </w:t>
      </w:r>
      <w:r w:rsidR="007734CF" w:rsidRPr="009221A8">
        <w:t>zwiększanie ruchu pieszego i</w:t>
      </w:r>
      <w:r w:rsidR="00122867">
        <w:t> </w:t>
      </w:r>
      <w:r w:rsidR="007734CF" w:rsidRPr="009221A8">
        <w:t>rowerowego.</w:t>
      </w:r>
      <w:r w:rsidR="007734CF">
        <w:t xml:space="preserve"> </w:t>
      </w:r>
    </w:p>
    <w:p w14:paraId="593F4EBE" w14:textId="5B1D9CA8" w:rsidR="006404A9" w:rsidRDefault="006404A9" w:rsidP="006404A9">
      <w:pPr>
        <w:rPr>
          <w:i/>
          <w:iCs/>
        </w:rPr>
      </w:pPr>
      <w:r w:rsidRPr="00A03664">
        <w:t xml:space="preserve">Prognozy wskazują, że w 2030 r. </w:t>
      </w:r>
      <w:r>
        <w:t xml:space="preserve">sektor transportu w </w:t>
      </w:r>
      <w:r w:rsidRPr="00A03664">
        <w:t>Pols</w:t>
      </w:r>
      <w:r>
        <w:t>ce</w:t>
      </w:r>
      <w:r w:rsidRPr="00A03664">
        <w:t xml:space="preserve"> </w:t>
      </w:r>
      <w:r>
        <w:t>będzie emitować więcej niż w 1990 i 2005</w:t>
      </w:r>
      <w:r w:rsidR="001A567B">
        <w:t> </w:t>
      </w:r>
      <w:r>
        <w:t>r., co związane jest ze znacznie większą aktywnością w tym sektorze niż występowała po przemianach gospodarczych. Wyzwaniem jest w pierwszej kolejności wyhamowanie wzrostu emisji.</w:t>
      </w:r>
    </w:p>
    <w:p w14:paraId="04BEDEFE" w14:textId="42C15FA4" w:rsidR="00464D06" w:rsidRPr="00464D06" w:rsidRDefault="00A24793" w:rsidP="00464D06">
      <w:pPr>
        <w:pStyle w:val="Cele"/>
        <w:spacing w:before="0"/>
        <w:rPr>
          <w:b/>
          <w:bCs/>
        </w:rPr>
      </w:pPr>
      <w:r w:rsidRPr="00B93EC2">
        <w:t>Zgodnie z prognozami</w:t>
      </w:r>
      <w:r>
        <w:rPr>
          <w:b/>
          <w:bCs/>
        </w:rPr>
        <w:t xml:space="preserve"> do 2030 r. udział </w:t>
      </w:r>
      <w:r w:rsidR="00464D06" w:rsidRPr="00464D06">
        <w:rPr>
          <w:b/>
          <w:bCs/>
        </w:rPr>
        <w:t>OZE w finalnym zużyciu energii w</w:t>
      </w:r>
      <w:r w:rsidR="00464D06">
        <w:rPr>
          <w:b/>
          <w:bCs/>
        </w:rPr>
        <w:t> </w:t>
      </w:r>
      <w:r w:rsidR="00464D06" w:rsidRPr="00464D06">
        <w:rPr>
          <w:b/>
          <w:bCs/>
        </w:rPr>
        <w:t>transporcie</w:t>
      </w:r>
      <w:r w:rsidRPr="00464D06">
        <w:rPr>
          <w:rStyle w:val="Odwoanieprzypisudolnego"/>
          <w:b/>
          <w:bCs/>
        </w:rPr>
        <w:footnoteReference w:id="36"/>
      </w:r>
      <w:r>
        <w:rPr>
          <w:b/>
          <w:bCs/>
        </w:rPr>
        <w:t xml:space="preserve"> może wynieść </w:t>
      </w:r>
      <w:r w:rsidR="00CD267D">
        <w:rPr>
          <w:b/>
          <w:bCs/>
        </w:rPr>
        <w:t>18,9</w:t>
      </w:r>
      <w:r>
        <w:rPr>
          <w:b/>
          <w:bCs/>
        </w:rPr>
        <w:t>%</w:t>
      </w:r>
      <w:r w:rsidR="0015051C">
        <w:rPr>
          <w:b/>
          <w:bCs/>
        </w:rPr>
        <w:t xml:space="preserve"> oraz </w:t>
      </w:r>
      <w:r w:rsidR="00C279BB">
        <w:rPr>
          <w:b/>
          <w:bCs/>
        </w:rPr>
        <w:t>49,9</w:t>
      </w:r>
      <w:r>
        <w:rPr>
          <w:b/>
          <w:bCs/>
        </w:rPr>
        <w:t>%</w:t>
      </w:r>
      <w:r w:rsidR="00E85D03">
        <w:rPr>
          <w:b/>
          <w:bCs/>
        </w:rPr>
        <w:t xml:space="preserve"> do 2040</w:t>
      </w:r>
      <w:r w:rsidR="000C497C">
        <w:rPr>
          <w:b/>
          <w:bCs/>
        </w:rPr>
        <w:t xml:space="preserve"> r</w:t>
      </w:r>
      <w:r w:rsidR="00464D06" w:rsidRPr="00464D06">
        <w:rPr>
          <w:b/>
          <w:bCs/>
        </w:rPr>
        <w:t>.</w:t>
      </w:r>
    </w:p>
    <w:p w14:paraId="244A30DA" w14:textId="726C242B" w:rsidR="00A24793" w:rsidRDefault="00AE134F" w:rsidP="00AE134F">
      <w:r>
        <w:rPr>
          <w:noProof/>
        </w:rPr>
        <w:lastRenderedPageBreak/>
        <mc:AlternateContent>
          <mc:Choice Requires="wps">
            <w:drawing>
              <wp:anchor distT="0" distB="0" distL="114300" distR="114300" simplePos="0" relativeHeight="251724288" behindDoc="1" locked="0" layoutInCell="1" allowOverlap="1" wp14:anchorId="5529CB5F" wp14:editId="239A08B6">
                <wp:simplePos x="0" y="0"/>
                <wp:positionH relativeFrom="margin">
                  <wp:align>right</wp:align>
                </wp:positionH>
                <wp:positionV relativeFrom="paragraph">
                  <wp:posOffset>2361068</wp:posOffset>
                </wp:positionV>
                <wp:extent cx="5760720" cy="635"/>
                <wp:effectExtent l="0" t="0" r="0" b="0"/>
                <wp:wrapTight wrapText="bothSides">
                  <wp:wrapPolygon edited="0">
                    <wp:start x="0" y="0"/>
                    <wp:lineTo x="0" y="20057"/>
                    <wp:lineTo x="21500" y="20057"/>
                    <wp:lineTo x="21500" y="0"/>
                    <wp:lineTo x="0" y="0"/>
                  </wp:wrapPolygon>
                </wp:wrapTight>
                <wp:docPr id="1994930031" name="Pole tekstowe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D908A3E" w14:textId="56F3EC4B" w:rsidR="00014500" w:rsidRPr="003D68BF" w:rsidRDefault="00014500" w:rsidP="00014500">
                            <w:pPr>
                              <w:pStyle w:val="Legenda"/>
                              <w:rPr>
                                <w:noProof/>
                                <w:szCs w:val="22"/>
                              </w:rPr>
                            </w:pPr>
                            <w:bookmarkStart w:id="95" w:name="_Toc205204445"/>
                            <w:r>
                              <w:t xml:space="preserve">Wykres </w:t>
                            </w:r>
                            <w:fldSimple w:instr=" SEQ Wykres \* ARABIC ">
                              <w:r w:rsidR="00871DD5">
                                <w:rPr>
                                  <w:noProof/>
                                </w:rPr>
                                <w:t>7</w:t>
                              </w:r>
                            </w:fldSimple>
                            <w:r>
                              <w:t xml:space="preserve">. </w:t>
                            </w:r>
                            <w:r w:rsidRPr="00014500">
                              <w:t>Udział OZE w zużyciu energii w transporcie do 2030 r.</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29CB5F" id="_x0000_s1090" type="#_x0000_t202" style="position:absolute;left:0;text-align:left;margin-left:402.4pt;margin-top:185.9pt;width:453.6pt;height:.05pt;z-index:-2515921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" stroked="f">
                <v:textbox style="mso-fit-shape-to-text:t" inset="0,0,0,0">
                  <w:txbxContent>
                    <w:p w14:paraId="7D908A3E" w14:textId="56F3EC4B" w:rsidR="00014500" w:rsidRPr="003D68BF" w:rsidRDefault="00014500" w:rsidP="00014500">
                      <w:pPr>
                        <w:pStyle w:val="Legenda"/>
                        <w:rPr>
                          <w:noProof/>
                          <w:szCs w:val="22"/>
                        </w:rPr>
                      </w:pPr>
                      <w:bookmarkStart w:id="100" w:name="_Toc205204445"/>
                      <w:r>
                        <w:t xml:space="preserve">Wykres </w:t>
                      </w:r>
                      <w:r w:rsidR="000559D5">
                        <w:fldChar w:fldCharType="begin"/>
                      </w:r>
                      <w:r w:rsidR="000559D5">
                        <w:instrText xml:space="preserve"> SEQ Wykres \* ARABIC </w:instrText>
                      </w:r>
                      <w:r w:rsidR="000559D5">
                        <w:fldChar w:fldCharType="separate"/>
                      </w:r>
                      <w:r w:rsidR="00871DD5">
                        <w:rPr>
                          <w:noProof/>
                        </w:rPr>
                        <w:t>7</w:t>
                      </w:r>
                      <w:r w:rsidR="000559D5">
                        <w:rPr>
                          <w:noProof/>
                        </w:rPr>
                        <w:fldChar w:fldCharType="end"/>
                      </w:r>
                      <w:r>
                        <w:t xml:space="preserve">. </w:t>
                      </w:r>
                      <w:r w:rsidRPr="00014500">
                        <w:t>Udział OZE w zużyciu energii w transporcie do 2030 r.</w:t>
                      </w:r>
                      <w:bookmarkEnd w:id="100"/>
                    </w:p>
                  </w:txbxContent>
                </v:textbox>
                <w10:wrap type="tight" anchorx="margin"/>
              </v:shape>
            </w:pict>
          </mc:Fallback>
        </mc:AlternateContent>
      </w:r>
      <w:r>
        <w:rPr>
          <w:noProof/>
          <w:lang w:eastAsia="pl-PL"/>
        </w:rPr>
        <w:drawing>
          <wp:anchor distT="0" distB="0" distL="114300" distR="114300" simplePos="0" relativeHeight="251835904" behindDoc="0" locked="0" layoutInCell="1" allowOverlap="1" wp14:anchorId="10083FE1" wp14:editId="22015E41">
            <wp:simplePos x="0" y="0"/>
            <wp:positionH relativeFrom="margin">
              <wp:align>right</wp:align>
            </wp:positionH>
            <wp:positionV relativeFrom="paragraph">
              <wp:posOffset>6350</wp:posOffset>
            </wp:positionV>
            <wp:extent cx="5760720" cy="2295525"/>
            <wp:effectExtent l="0" t="0" r="0" b="0"/>
            <wp:wrapTight wrapText="bothSides">
              <wp:wrapPolygon edited="0">
                <wp:start x="0" y="0"/>
                <wp:lineTo x="0" y="21331"/>
                <wp:lineTo x="21500" y="21331"/>
                <wp:lineTo x="21500" y="0"/>
                <wp:lineTo x="0" y="0"/>
              </wp:wrapPolygon>
            </wp:wrapTight>
            <wp:docPr id="1586977545" name="Wykres 1">
              <a:extLst xmlns:a="http://schemas.openxmlformats.org/drawingml/2006/main">
                <a:ext uri="{FF2B5EF4-FFF2-40B4-BE49-F238E27FC236}">
                  <a16:creationId xmlns:a16="http://schemas.microsoft.com/office/drawing/2014/main" id="{335E09AA-C234-4D3C-AD29-4A077746B4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00952815">
        <w:t>W analizowanych scenariuszach r</w:t>
      </w:r>
      <w:r w:rsidR="00FA794D">
        <w:t xml:space="preserve">ealizacja celu </w:t>
      </w:r>
      <w:r w:rsidR="001A567B">
        <w:t xml:space="preserve">OZE w transporcie </w:t>
      </w:r>
      <w:r w:rsidR="00FA794D">
        <w:t xml:space="preserve">określonego na poziomie 29% </w:t>
      </w:r>
      <w:r w:rsidR="00FA794D" w:rsidDel="002276D7">
        <w:t>w</w:t>
      </w:r>
      <w:r w:rsidR="00C03379" w:rsidDel="002276D7">
        <w:t> </w:t>
      </w:r>
      <w:r w:rsidR="00FA794D" w:rsidDel="002276D7">
        <w:t>2030</w:t>
      </w:r>
      <w:r w:rsidR="00C03379" w:rsidDel="002276D7">
        <w:t> </w:t>
      </w:r>
      <w:r w:rsidR="00FA794D" w:rsidDel="002276D7">
        <w:t xml:space="preserve">r. </w:t>
      </w:r>
      <w:r w:rsidR="00FA794D" w:rsidRPr="00E9067B">
        <w:rPr>
          <w:b/>
          <w:bCs/>
        </w:rPr>
        <w:t>oceniana jest jako niemożliwa do osiągnięcia</w:t>
      </w:r>
      <w:r w:rsidR="00FA794D">
        <w:t xml:space="preserve"> w Polsce</w:t>
      </w:r>
      <w:r w:rsidR="003D3560">
        <w:t>, a biorąc pod uwagę aktualne statystyki wydaje się to niezwykle trudne również w większości państw UE</w:t>
      </w:r>
      <w:r w:rsidR="003D3560">
        <w:rPr>
          <w:rStyle w:val="Odwoanieprzypisudolnego"/>
        </w:rPr>
        <w:footnoteReference w:id="37"/>
      </w:r>
      <w:r w:rsidR="00FA794D">
        <w:t xml:space="preserve">. Po ujawnieniu szarej strefy </w:t>
      </w:r>
      <w:r w:rsidR="00A92592">
        <w:t xml:space="preserve">i podjęciu działań zaradczych, </w:t>
      </w:r>
      <w:r w:rsidR="00FA794D">
        <w:t xml:space="preserve">w latach </w:t>
      </w:r>
      <w:r w:rsidR="00FA794D" w:rsidRPr="005B1854">
        <w:t>2018–2021 udział OZE w</w:t>
      </w:r>
      <w:r w:rsidR="000E03F4" w:rsidRPr="005B1854">
        <w:t> </w:t>
      </w:r>
      <w:r w:rsidR="00FA794D" w:rsidRPr="005B1854">
        <w:t xml:space="preserve">transporcie oscylował wokół 6%. Aktywność gospodarcza w </w:t>
      </w:r>
      <w:r w:rsidR="008E7844" w:rsidRPr="005B1854">
        <w:t>transp</w:t>
      </w:r>
      <w:r w:rsidR="003D3560" w:rsidRPr="005B1854">
        <w:t>orcie</w:t>
      </w:r>
      <w:r w:rsidR="00FA794D" w:rsidRPr="005B1854">
        <w:t xml:space="preserve"> stale wzrasta, </w:t>
      </w:r>
      <w:r w:rsidR="005251CA" w:rsidRPr="005B1854">
        <w:t xml:space="preserve">utrzymuje się wysoka i wciąż rosnąca krajowa konsumpcja paliw ciekłych, </w:t>
      </w:r>
      <w:r w:rsidR="00FA794D" w:rsidRPr="005B1854">
        <w:t>a</w:t>
      </w:r>
      <w:r w:rsidR="001A567B" w:rsidRPr="005B1854">
        <w:t> </w:t>
      </w:r>
      <w:r w:rsidR="00FA794D" w:rsidRPr="005B1854">
        <w:t>warunki</w:t>
      </w:r>
      <w:r w:rsidR="00FA794D">
        <w:t xml:space="preserve"> techniczne nie pozwalają na dostatecznie szybkie zwiększanie wykorzystania</w:t>
      </w:r>
      <w:r w:rsidR="00EF4A39">
        <w:t xml:space="preserve"> paliw alternatywnych</w:t>
      </w:r>
      <w:r w:rsidR="00466AC3">
        <w:t>.</w:t>
      </w:r>
      <w:r w:rsidR="00252781">
        <w:t xml:space="preserve"> </w:t>
      </w:r>
    </w:p>
    <w:p w14:paraId="64C7E318" w14:textId="559C9A2C" w:rsidR="00170229" w:rsidRPr="005B1854" w:rsidRDefault="00EC3AB2" w:rsidP="00CC6CC9">
      <w:pPr>
        <w:spacing w:before="120"/>
      </w:pPr>
      <w:r w:rsidRPr="005B1854">
        <w:t xml:space="preserve">Elektromobilność jest postrzegana w UE jako kluczowy instrument dekarbonizacji transportu, fundamentalny dla realizacji celów w zakresie redukcji emisji gazów cieplarnianych. </w:t>
      </w:r>
      <w:r w:rsidR="002A0740" w:rsidRPr="005B1854">
        <w:t xml:space="preserve">Popularyzacja elektromobilności </w:t>
      </w:r>
      <w:r w:rsidR="00C0074B" w:rsidRPr="005B1854">
        <w:t xml:space="preserve">jest </w:t>
      </w:r>
      <w:r w:rsidRPr="005B1854">
        <w:t xml:space="preserve">jednak </w:t>
      </w:r>
      <w:r w:rsidR="00C0074B" w:rsidRPr="005B1854">
        <w:t>nadal wyzwaniem</w:t>
      </w:r>
      <w:r w:rsidR="002A0740" w:rsidRPr="005B1854">
        <w:t xml:space="preserve"> ze względu na dostępność ekonomiczną</w:t>
      </w:r>
      <w:r w:rsidR="008F6446" w:rsidRPr="005B1854">
        <w:t xml:space="preserve"> tego typu pojazdów</w:t>
      </w:r>
      <w:r w:rsidR="008E5D18" w:rsidRPr="005B1854">
        <w:t xml:space="preserve"> dla polskiego społeczeństwa</w:t>
      </w:r>
      <w:r w:rsidR="002A0740" w:rsidRPr="005B1854">
        <w:t>, zapewnianie infrastruktury ładowania oraz dostęp do wykwalifikowanych zasobów kadrowych i odpowiednie dostosowanie sieci elektroenergetycznych</w:t>
      </w:r>
      <w:r w:rsidR="00BF4083" w:rsidRPr="005B1854">
        <w:t>.</w:t>
      </w:r>
      <w:r w:rsidR="00974007">
        <w:t xml:space="preserve">  </w:t>
      </w:r>
      <w:r w:rsidR="00B851C0" w:rsidRPr="005B1854">
        <w:t>Dotychczas udział pojazdów w pełni elektrycznych w liczbie ogólnej pojazdów, jest w Polsce jednym z</w:t>
      </w:r>
      <w:r w:rsidR="00122867">
        <w:t> </w:t>
      </w:r>
      <w:r w:rsidR="00B851C0" w:rsidRPr="005B1854">
        <w:t>najniższym w UE. Na koniec 202</w:t>
      </w:r>
      <w:r w:rsidR="004C464F" w:rsidRPr="005B1854">
        <w:t>4</w:t>
      </w:r>
      <w:r w:rsidR="00B851C0" w:rsidRPr="005B1854">
        <w:t xml:space="preserve"> r. liczba samochodów elektrycznych osobowych i dostawczych wyniosła </w:t>
      </w:r>
      <w:r w:rsidR="004C464F" w:rsidRPr="005B1854">
        <w:t xml:space="preserve">ponad </w:t>
      </w:r>
      <w:r w:rsidR="00826135" w:rsidRPr="005B1854">
        <w:t>72</w:t>
      </w:r>
      <w:r w:rsidR="000A5ED3" w:rsidRPr="005B1854">
        <w:t xml:space="preserve"> tys.</w:t>
      </w:r>
      <w:r w:rsidR="00B851C0" w:rsidRPr="005B1854">
        <w:t xml:space="preserve"> szt</w:t>
      </w:r>
      <w:r w:rsidR="00E300F1" w:rsidRPr="005B1854">
        <w:t>.</w:t>
      </w:r>
      <w:r w:rsidR="00B851C0" w:rsidRPr="005B1854">
        <w:t>, co stanowi</w:t>
      </w:r>
      <w:r w:rsidR="000E6185" w:rsidRPr="005B1854">
        <w:t>ło</w:t>
      </w:r>
      <w:r w:rsidR="00B851C0" w:rsidRPr="005B1854">
        <w:t xml:space="preserve"> 0,</w:t>
      </w:r>
      <w:r w:rsidR="00826135" w:rsidRPr="005B1854">
        <w:t>3</w:t>
      </w:r>
      <w:r w:rsidR="00B851C0" w:rsidRPr="005B1854">
        <w:t xml:space="preserve">6% </w:t>
      </w:r>
      <w:r w:rsidR="00022D5D" w:rsidRPr="005B1854">
        <w:t xml:space="preserve">w </w:t>
      </w:r>
      <w:r w:rsidR="0091121A" w:rsidRPr="005B1854">
        <w:t>parku pojazdów osobowych i dostawczych</w:t>
      </w:r>
      <w:r w:rsidR="00B851C0" w:rsidRPr="005B1854">
        <w:t xml:space="preserve"> w Polsce</w:t>
      </w:r>
      <w:r w:rsidR="000E6185" w:rsidRPr="005B1854">
        <w:t>.</w:t>
      </w:r>
      <w:bookmarkStart w:id="96" w:name="_Ref197429920"/>
      <w:r w:rsidR="00B851C0" w:rsidRPr="005B1854">
        <w:rPr>
          <w:rStyle w:val="Odwoanieprzypisudolnego"/>
        </w:rPr>
        <w:footnoteReference w:id="38"/>
      </w:r>
      <w:bookmarkEnd w:id="96"/>
      <w:r w:rsidR="00B851C0" w:rsidRPr="005B1854">
        <w:t xml:space="preserve"> </w:t>
      </w:r>
      <w:r w:rsidR="004B067A" w:rsidRPr="005B1854">
        <w:t xml:space="preserve">Udział samochodów całkowicie elektrycznych w rejestracji nowych pojazdów osobowych </w:t>
      </w:r>
      <w:r w:rsidR="00A50053" w:rsidRPr="005B1854">
        <w:t>wyniósł</w:t>
      </w:r>
      <w:r w:rsidR="004B067A" w:rsidRPr="005B1854">
        <w:t xml:space="preserve"> 3% w</w:t>
      </w:r>
      <w:r w:rsidR="00122867">
        <w:t> </w:t>
      </w:r>
      <w:r w:rsidR="004B067A" w:rsidRPr="005B1854">
        <w:t>202</w:t>
      </w:r>
      <w:r w:rsidR="00826135" w:rsidRPr="005B1854">
        <w:t>4</w:t>
      </w:r>
      <w:r w:rsidR="00B92AD2">
        <w:t> r.</w:t>
      </w:r>
      <w:r w:rsidR="003D777D">
        <w:t>,</w:t>
      </w:r>
      <w:r w:rsidR="004B067A" w:rsidRPr="005B1854">
        <w:t xml:space="preserve"> podczas gdy w EU </w:t>
      </w:r>
      <w:r w:rsidR="00A50053" w:rsidRPr="005B1854">
        <w:t xml:space="preserve">średnio było to </w:t>
      </w:r>
      <w:r w:rsidR="004F1C88" w:rsidRPr="005B1854">
        <w:t>ok.</w:t>
      </w:r>
      <w:r w:rsidR="00A50053" w:rsidRPr="005B1854">
        <w:t xml:space="preserve"> </w:t>
      </w:r>
      <w:r w:rsidR="004B067A" w:rsidRPr="005B1854">
        <w:t xml:space="preserve">15%. </w:t>
      </w:r>
      <w:r w:rsidR="00B851C0" w:rsidRPr="005B1854">
        <w:t xml:space="preserve">Należy zwrócić jednak uwagę na dynamiczny wzrost sprzedaży pojazdów elektrycznych na świecie – jest to globalny megatrend. </w:t>
      </w:r>
      <w:r w:rsidR="00170229" w:rsidRPr="005B1854">
        <w:t xml:space="preserve">Ceny samochodów elektrycznych i spalinowych będą wyrównywały </w:t>
      </w:r>
      <w:r w:rsidR="003303CB" w:rsidRPr="005B1854">
        <w:t>w coraz większym stopniu</w:t>
      </w:r>
      <w:r w:rsidR="007D78C0" w:rsidRPr="005B1854">
        <w:t>, podobnie jak ich TCO</w:t>
      </w:r>
      <w:r w:rsidR="006D61DB">
        <w:t xml:space="preserve"> (ang.</w:t>
      </w:r>
      <w:r w:rsidR="00085307">
        <w:t> </w:t>
      </w:r>
      <w:r w:rsidR="006D61DB" w:rsidRPr="006D61DB">
        <w:rPr>
          <w:i/>
          <w:iCs/>
        </w:rPr>
        <w:t>total cost of ownership</w:t>
      </w:r>
      <w:r w:rsidR="006D61DB">
        <w:t>)</w:t>
      </w:r>
      <w:r w:rsidR="002E6277" w:rsidRPr="005B1854">
        <w:t xml:space="preserve">, czyli </w:t>
      </w:r>
      <w:r w:rsidR="006933EA">
        <w:t>całkowity</w:t>
      </w:r>
      <w:r w:rsidR="00F13ED4">
        <w:t xml:space="preserve"> </w:t>
      </w:r>
      <w:r w:rsidR="00F13ED4" w:rsidRPr="005B1854">
        <w:t>koszt</w:t>
      </w:r>
      <w:r w:rsidR="002E6277" w:rsidRPr="005B1854">
        <w:t xml:space="preserve"> posiadania</w:t>
      </w:r>
      <w:r w:rsidR="001176B9">
        <w:t xml:space="preserve"> (</w:t>
      </w:r>
      <w:r w:rsidR="002E6277" w:rsidRPr="005B1854">
        <w:t>uwzględniający koszty eksploatacyjne</w:t>
      </w:r>
      <w:r w:rsidR="001176B9">
        <w:t>)</w:t>
      </w:r>
      <w:r w:rsidR="00021CF4">
        <w:t xml:space="preserve"> </w:t>
      </w:r>
      <w:r w:rsidR="007D78C0" w:rsidRPr="005B1854">
        <w:t xml:space="preserve">nawet bez uwzględnienia subsydiów ze środków publicznych. </w:t>
      </w:r>
      <w:r w:rsidR="002E6277" w:rsidRPr="005B1854">
        <w:t xml:space="preserve">Doprowadzi do tego przede wszystkim prognozowany spadek </w:t>
      </w:r>
      <w:r w:rsidR="003303CB" w:rsidRPr="005B1854">
        <w:t xml:space="preserve">cen </w:t>
      </w:r>
      <w:r w:rsidR="0052181B" w:rsidRPr="005B1854">
        <w:t xml:space="preserve">ogniw bateryjnych (nawet o 40%) </w:t>
      </w:r>
      <w:r w:rsidR="003303CB" w:rsidRPr="005B1854">
        <w:t xml:space="preserve">w najbliższych latach </w:t>
      </w:r>
      <w:r w:rsidR="0052181B" w:rsidRPr="005B1854">
        <w:t xml:space="preserve">oraz </w:t>
      </w:r>
      <w:r w:rsidR="00E6614A" w:rsidRPr="005B1854">
        <w:t>wzrost T</w:t>
      </w:r>
      <w:r w:rsidR="00A205A7">
        <w:t>C</w:t>
      </w:r>
      <w:r w:rsidR="00E6614A" w:rsidRPr="005B1854">
        <w:t>O pojazdów spalinowych, m.in. przez coraz bardziej restrykcyjne normy emisyjne</w:t>
      </w:r>
      <w:r w:rsidR="00C9139F">
        <w:t>.</w:t>
      </w:r>
      <w:r w:rsidR="00E6614A" w:rsidRPr="005B1854">
        <w:rPr>
          <w:vertAlign w:val="superscript"/>
        </w:rPr>
        <w:fldChar w:fldCharType="begin"/>
      </w:r>
      <w:r w:rsidR="00E6614A" w:rsidRPr="003303CB">
        <w:rPr>
          <w:highlight w:val="green"/>
          <w:vertAlign w:val="superscript"/>
        </w:rPr>
        <w:instrText xml:space="preserve"> NOTEREF _Ref197429920 \h </w:instrText>
      </w:r>
      <w:r w:rsidR="003303CB">
        <w:rPr>
          <w:highlight w:val="green"/>
          <w:vertAlign w:val="superscript"/>
        </w:rPr>
        <w:instrText xml:space="preserve"> \* MERGEFORMAT </w:instrText>
      </w:r>
      <w:r w:rsidR="00E6614A" w:rsidRPr="005B1854">
        <w:rPr>
          <w:vertAlign w:val="superscript"/>
        </w:rPr>
      </w:r>
      <w:r w:rsidR="00E6614A" w:rsidRPr="005B1854">
        <w:rPr>
          <w:vertAlign w:val="superscript"/>
        </w:rPr>
        <w:fldChar w:fldCharType="separate"/>
      </w:r>
      <w:r w:rsidR="00871DD5" w:rsidRPr="00871DD5">
        <w:rPr>
          <w:vertAlign w:val="superscript"/>
        </w:rPr>
        <w:t>37</w:t>
      </w:r>
      <w:r w:rsidR="00E6614A" w:rsidRPr="005B1854">
        <w:rPr>
          <w:vertAlign w:val="superscript"/>
        </w:rPr>
        <w:fldChar w:fldCharType="end"/>
      </w:r>
    </w:p>
    <w:p w14:paraId="12B62189" w14:textId="1FD273B5" w:rsidR="009F38D7" w:rsidRDefault="005405D4" w:rsidP="00CC6CC9">
      <w:pPr>
        <w:spacing w:before="120"/>
      </w:pPr>
      <w:r w:rsidRPr="00CB3C8E">
        <w:t>W</w:t>
      </w:r>
      <w:r w:rsidR="00FB13D0" w:rsidRPr="00CB3C8E">
        <w:t xml:space="preserve">odór jako paliwo dla transportu drogowego </w:t>
      </w:r>
      <w:r w:rsidR="00502A3B" w:rsidRPr="00CB3C8E">
        <w:t xml:space="preserve">w perspektywie </w:t>
      </w:r>
      <w:r w:rsidR="00E67E95" w:rsidRPr="00CB3C8E">
        <w:t xml:space="preserve">do 2030 r. </w:t>
      </w:r>
      <w:r w:rsidR="009F38D7" w:rsidRPr="00CB3C8E">
        <w:t xml:space="preserve">prawdopodobnie </w:t>
      </w:r>
      <w:r w:rsidR="00991427">
        <w:t xml:space="preserve">nie będzie </w:t>
      </w:r>
      <w:r w:rsidR="00502A3B" w:rsidRPr="00CB3C8E">
        <w:t>opcj</w:t>
      </w:r>
      <w:r w:rsidR="00D8722D" w:rsidRPr="00CB3C8E">
        <w:t>ą</w:t>
      </w:r>
      <w:r w:rsidR="002A087D" w:rsidRPr="00CB3C8E">
        <w:t xml:space="preserve"> atrakcyjną</w:t>
      </w:r>
      <w:r w:rsidR="00502A3B" w:rsidRPr="00CB3C8E">
        <w:t xml:space="preserve"> </w:t>
      </w:r>
      <w:r w:rsidR="00EC13FF" w:rsidRPr="00CB3C8E">
        <w:t xml:space="preserve">względem napędów </w:t>
      </w:r>
      <w:r w:rsidR="0039197A" w:rsidRPr="00CB3C8E">
        <w:t>bateryjnych</w:t>
      </w:r>
      <w:r w:rsidR="00502A3B" w:rsidRPr="00CB3C8E">
        <w:t xml:space="preserve">. </w:t>
      </w:r>
      <w:r w:rsidR="00DE0314" w:rsidRPr="00CB3C8E">
        <w:t>Może</w:t>
      </w:r>
      <w:r w:rsidRPr="00CB3C8E">
        <w:t xml:space="preserve"> jednak </w:t>
      </w:r>
      <w:r w:rsidR="00DE0314" w:rsidRPr="00CB3C8E">
        <w:t xml:space="preserve">być </w:t>
      </w:r>
      <w:r w:rsidRPr="00CB3C8E">
        <w:t xml:space="preserve">istotny w transporcie innym niż drogowy. </w:t>
      </w:r>
    </w:p>
    <w:p w14:paraId="1B1C27DC" w14:textId="3A039611" w:rsidR="00A24793" w:rsidRPr="00CB3C8E" w:rsidRDefault="003D3560" w:rsidP="00CC6CC9">
      <w:pPr>
        <w:spacing w:before="120"/>
      </w:pPr>
      <w:r w:rsidRPr="00CB3C8E">
        <w:rPr>
          <w:rFonts w:eastAsia="Lato" w:cs="Lato"/>
        </w:rPr>
        <w:t>W</w:t>
      </w:r>
      <w:r w:rsidR="002A0740" w:rsidRPr="00CB3C8E">
        <w:rPr>
          <w:rFonts w:eastAsia="Lato" w:cs="Lato"/>
        </w:rPr>
        <w:t xml:space="preserve"> </w:t>
      </w:r>
      <w:r w:rsidRPr="00CB3C8E">
        <w:rPr>
          <w:rFonts w:eastAsia="Lato" w:cs="Lato"/>
        </w:rPr>
        <w:t xml:space="preserve">procesie dekarbonizacji transportu </w:t>
      </w:r>
      <w:r w:rsidR="00A868D5" w:rsidRPr="00CB3C8E">
        <w:rPr>
          <w:rFonts w:eastAsia="Lato" w:cs="Lato"/>
        </w:rPr>
        <w:t>pewną</w:t>
      </w:r>
      <w:r w:rsidRPr="00CB3C8E">
        <w:rPr>
          <w:rFonts w:eastAsia="Lato" w:cs="Lato"/>
        </w:rPr>
        <w:t xml:space="preserve"> rol</w:t>
      </w:r>
      <w:r w:rsidR="00A868D5" w:rsidRPr="00CB3C8E">
        <w:rPr>
          <w:rFonts w:eastAsia="Lato" w:cs="Lato"/>
        </w:rPr>
        <w:t>ę</w:t>
      </w:r>
      <w:r w:rsidRPr="00CB3C8E">
        <w:rPr>
          <w:rFonts w:eastAsia="Lato" w:cs="Lato"/>
        </w:rPr>
        <w:t xml:space="preserve"> mogą odegrać także inne paliwa produkowane z</w:t>
      </w:r>
      <w:r w:rsidR="00122867">
        <w:rPr>
          <w:rFonts w:eastAsia="Lato" w:cs="Lato"/>
        </w:rPr>
        <w:t> </w:t>
      </w:r>
      <w:r w:rsidRPr="00CB3C8E">
        <w:rPr>
          <w:rFonts w:eastAsia="Lato" w:cs="Lato"/>
        </w:rPr>
        <w:t>wykorzystaniem energii ze źródeł odnawialn</w:t>
      </w:r>
      <w:r w:rsidR="006E709D" w:rsidRPr="00CB3C8E">
        <w:rPr>
          <w:rFonts w:eastAsia="Lato" w:cs="Lato"/>
        </w:rPr>
        <w:t>ych</w:t>
      </w:r>
      <w:r w:rsidR="00F328AC" w:rsidRPr="00CB3C8E">
        <w:rPr>
          <w:rFonts w:eastAsia="Lato" w:cs="Lato"/>
        </w:rPr>
        <w:t>,</w:t>
      </w:r>
      <w:r w:rsidRPr="00CB3C8E">
        <w:rPr>
          <w:rFonts w:eastAsia="Lato" w:cs="Lato"/>
        </w:rPr>
        <w:t xml:space="preserve"> takie jak zielony metanol i zielony amoniak (gł</w:t>
      </w:r>
      <w:r w:rsidR="006E709D" w:rsidRPr="00CB3C8E">
        <w:rPr>
          <w:rFonts w:eastAsia="Lato" w:cs="Lato"/>
        </w:rPr>
        <w:t>ó</w:t>
      </w:r>
      <w:r w:rsidRPr="00CB3C8E">
        <w:rPr>
          <w:rFonts w:eastAsia="Lato" w:cs="Lato"/>
        </w:rPr>
        <w:t>wnie spodziewane zastosowanie w</w:t>
      </w:r>
      <w:r w:rsidR="00587BEC" w:rsidRPr="00CB3C8E">
        <w:rPr>
          <w:rFonts w:eastAsia="Lato" w:cs="Lato"/>
        </w:rPr>
        <w:t> </w:t>
      </w:r>
      <w:r w:rsidRPr="00CB3C8E">
        <w:rPr>
          <w:rFonts w:eastAsia="Lato" w:cs="Lato"/>
        </w:rPr>
        <w:t>transporcie morskim i śródlądowym, oraz ciężkim lądowym) a</w:t>
      </w:r>
      <w:r w:rsidR="001A567B" w:rsidRPr="00CB3C8E">
        <w:rPr>
          <w:rFonts w:eastAsia="Lato" w:cs="Lato"/>
        </w:rPr>
        <w:t> </w:t>
      </w:r>
      <w:r w:rsidRPr="00CB3C8E">
        <w:rPr>
          <w:rFonts w:eastAsia="Lato" w:cs="Lato"/>
        </w:rPr>
        <w:t>także syntetyczny gaz</w:t>
      </w:r>
      <w:r w:rsidRPr="00CB3C8E" w:rsidDel="12A0E406">
        <w:rPr>
          <w:rFonts w:eastAsia="Lato" w:cs="Lato"/>
        </w:rPr>
        <w:t>,</w:t>
      </w:r>
      <w:r w:rsidRPr="00CB3C8E">
        <w:rPr>
          <w:rFonts w:eastAsia="Lato" w:cs="Lato"/>
        </w:rPr>
        <w:t xml:space="preserve"> czy inne paliwa syntetyczne.</w:t>
      </w:r>
      <w:r w:rsidR="00A24793" w:rsidRPr="00CB3C8E">
        <w:rPr>
          <w:rFonts w:eastAsia="Lato" w:cs="Lato"/>
        </w:rPr>
        <w:t xml:space="preserve"> </w:t>
      </w:r>
    </w:p>
    <w:p w14:paraId="058DEABD" w14:textId="35B39CF3" w:rsidR="00FA794D" w:rsidRDefault="00FA794D" w:rsidP="00CC6CC9">
      <w:pPr>
        <w:spacing w:before="120"/>
      </w:pPr>
      <w:bookmarkStart w:id="97" w:name="_Hlk159553635"/>
      <w:r w:rsidRPr="00CB3C8E">
        <w:lastRenderedPageBreak/>
        <w:t>Ponadto dyrektywa RED III wskazuje</w:t>
      </w:r>
      <w:r w:rsidR="00B841A4" w:rsidRPr="00CB3C8E">
        <w:t xml:space="preserve"> na dodatkowe wymagania</w:t>
      </w:r>
      <w:r w:rsidR="00DA6CEF" w:rsidRPr="00CB3C8E">
        <w:t xml:space="preserve"> (cele</w:t>
      </w:r>
      <w:r w:rsidR="00737DA5" w:rsidRPr="00CB3C8E">
        <w:t xml:space="preserve"> cząstkowe</w:t>
      </w:r>
      <w:r w:rsidR="00DA6CEF" w:rsidRPr="00CB3C8E">
        <w:t xml:space="preserve">) – </w:t>
      </w:r>
      <w:r w:rsidRPr="00CB3C8E">
        <w:t xml:space="preserve">łączny </w:t>
      </w:r>
      <w:r w:rsidRPr="00CB3C8E">
        <w:rPr>
          <w:b/>
          <w:bCs/>
        </w:rPr>
        <w:t>udział zaawansowanych biopaliw i biogazu</w:t>
      </w:r>
      <w:r w:rsidRPr="00CB3C8E">
        <w:rPr>
          <w:rStyle w:val="Odwoanieprzypisudolnego"/>
          <w:b/>
          <w:bCs/>
        </w:rPr>
        <w:footnoteReference w:id="39"/>
      </w:r>
      <w:r w:rsidRPr="00CB3C8E">
        <w:t xml:space="preserve"> </w:t>
      </w:r>
      <w:r w:rsidRPr="00CB3C8E">
        <w:rPr>
          <w:b/>
          <w:bCs/>
        </w:rPr>
        <w:t>oraz paliw odnawialnych pochodzenia niebiologicznego</w:t>
      </w:r>
      <w:r w:rsidRPr="00CB3C8E">
        <w:t xml:space="preserve"> </w:t>
      </w:r>
      <w:r w:rsidRPr="00CB3C8E">
        <w:softHyphen/>
        <w:t xml:space="preserve">– </w:t>
      </w:r>
      <w:r w:rsidRPr="00CB3C8E">
        <w:rPr>
          <w:b/>
          <w:bCs/>
        </w:rPr>
        <w:t>RFNBO</w:t>
      </w:r>
      <w:r w:rsidRPr="00CB3C8E">
        <w:t xml:space="preserve"> (ang. </w:t>
      </w:r>
      <w:r w:rsidRPr="00CB3C8E">
        <w:rPr>
          <w:i/>
          <w:iCs/>
        </w:rPr>
        <w:t>renewable fuels of non-biological origin</w:t>
      </w:r>
      <w:r w:rsidRPr="00CB3C8E">
        <w:t>) w energii dostarczonej do sektora</w:t>
      </w:r>
      <w:r w:rsidRPr="00582793">
        <w:t xml:space="preserve"> transportu </w:t>
      </w:r>
      <w:r>
        <w:t xml:space="preserve">powinien </w:t>
      </w:r>
      <w:r w:rsidRPr="00582793">
        <w:t>wyn</w:t>
      </w:r>
      <w:r>
        <w:t>ieść</w:t>
      </w:r>
      <w:r w:rsidRPr="00582793">
        <w:t xml:space="preserve"> co najmniej 1% w 2025 r. i 5,5% w 2030 r., w</w:t>
      </w:r>
      <w:r>
        <w:t> </w:t>
      </w:r>
      <w:r w:rsidRPr="00582793">
        <w:t xml:space="preserve">tym udział </w:t>
      </w:r>
      <w:r w:rsidR="00FB578A">
        <w:t>wodoru</w:t>
      </w:r>
      <w:r w:rsidR="001A567B">
        <w:t xml:space="preserve"> </w:t>
      </w:r>
      <w:r>
        <w:t>RFNBO</w:t>
      </w:r>
      <w:r w:rsidRPr="00582793">
        <w:t xml:space="preserve"> </w:t>
      </w:r>
      <w:r w:rsidR="001A567B">
        <w:t>powinien wynieść</w:t>
      </w:r>
      <w:r w:rsidRPr="00582793">
        <w:t xml:space="preserve"> co najmniej 1 </w:t>
      </w:r>
      <w:r>
        <w:t>pkt proc.</w:t>
      </w:r>
      <w:r w:rsidRPr="00582793">
        <w:t xml:space="preserve"> w 2030 r.</w:t>
      </w:r>
      <w:r>
        <w:t xml:space="preserve"> </w:t>
      </w:r>
      <w:bookmarkStart w:id="98" w:name="_Hlk159551798"/>
      <w:r w:rsidR="00C67C51">
        <w:t xml:space="preserve">Według szacunków Ministerstwa Klimatu i Środowiska </w:t>
      </w:r>
      <w:r w:rsidR="00FB578A">
        <w:t xml:space="preserve">na </w:t>
      </w:r>
      <w:r w:rsidR="00C80842">
        <w:t>osiągnięcie</w:t>
      </w:r>
      <w:r w:rsidR="00FB578A">
        <w:t xml:space="preserve"> 1% </w:t>
      </w:r>
      <w:r w:rsidR="00C67C51">
        <w:t xml:space="preserve">w 2030 r. Polska </w:t>
      </w:r>
      <w:r w:rsidR="00FB578A">
        <w:t xml:space="preserve">potrzebowałaby na cele transportowe około 91,7 tys. t wodoru RFNBO (rozumiane </w:t>
      </w:r>
      <w:r w:rsidR="00BA5452">
        <w:t xml:space="preserve">zarówno </w:t>
      </w:r>
      <w:r w:rsidR="00FB578A">
        <w:t xml:space="preserve">jako paliwo </w:t>
      </w:r>
      <w:r w:rsidR="003A3024">
        <w:t xml:space="preserve">jak i </w:t>
      </w:r>
      <w:r w:rsidR="00FB578A">
        <w:t>surowiec do produkcji paliw konwencjonalnych).</w:t>
      </w:r>
    </w:p>
    <w:p w14:paraId="3072F7BA" w14:textId="33DED814" w:rsidR="00FA794D" w:rsidRDefault="0045404B" w:rsidP="009B599C">
      <w:pPr>
        <w:pStyle w:val="Cele"/>
      </w:pPr>
      <w:bookmarkStart w:id="99" w:name="_Hlk159551835"/>
      <w:bookmarkEnd w:id="98"/>
      <w:r>
        <w:t>Prognozy wskazuj</w:t>
      </w:r>
      <w:r w:rsidR="00ED779D">
        <w:t>ą</w:t>
      </w:r>
      <w:r>
        <w:t>, że</w:t>
      </w:r>
      <w:r w:rsidR="00FA794D">
        <w:t xml:space="preserve"> </w:t>
      </w:r>
      <w:r w:rsidR="00FA794D" w:rsidRPr="009B599C">
        <w:rPr>
          <w:rStyle w:val="CeleZnak"/>
          <w:b/>
        </w:rPr>
        <w:t xml:space="preserve">Polska </w:t>
      </w:r>
      <w:r>
        <w:rPr>
          <w:rStyle w:val="CeleZnak"/>
          <w:b/>
        </w:rPr>
        <w:t>ma</w:t>
      </w:r>
      <w:r w:rsidRPr="009B599C">
        <w:rPr>
          <w:rStyle w:val="CeleZnak"/>
          <w:b/>
        </w:rPr>
        <w:t xml:space="preserve"> </w:t>
      </w:r>
      <w:r w:rsidR="00FA794D" w:rsidRPr="009B599C">
        <w:rPr>
          <w:rStyle w:val="CeleZnak"/>
          <w:b/>
        </w:rPr>
        <w:t xml:space="preserve">możliwość osiągnięcia </w:t>
      </w:r>
      <w:r w:rsidR="007F141C">
        <w:rPr>
          <w:rStyle w:val="CeleZnak"/>
          <w:b/>
        </w:rPr>
        <w:t>blisko</w:t>
      </w:r>
      <w:r w:rsidR="00FA794D" w:rsidRPr="009B599C">
        <w:rPr>
          <w:rStyle w:val="CeleZnak"/>
          <w:b/>
        </w:rPr>
        <w:t xml:space="preserve"> </w:t>
      </w:r>
      <w:r w:rsidR="00625C02" w:rsidRPr="009B599C">
        <w:rPr>
          <w:b/>
        </w:rPr>
        <w:t>1</w:t>
      </w:r>
      <w:r w:rsidR="00FA794D" w:rsidRPr="009B599C">
        <w:rPr>
          <w:b/>
        </w:rPr>
        <w:t>% udziału zaawansowanych biopaliw i biogazu oraz RFNBO</w:t>
      </w:r>
      <w:r w:rsidR="00FA794D" w:rsidRPr="00EE60D1">
        <w:t xml:space="preserve"> w</w:t>
      </w:r>
      <w:r w:rsidR="00F523F2">
        <w:t xml:space="preserve"> </w:t>
      </w:r>
      <w:r w:rsidR="00FA794D">
        <w:t xml:space="preserve">transporcie w 2025 r. </w:t>
      </w:r>
      <w:r w:rsidR="006D7CAC">
        <w:br/>
      </w:r>
      <w:r w:rsidR="00FA794D">
        <w:t xml:space="preserve">i </w:t>
      </w:r>
      <w:r w:rsidR="00625C02">
        <w:t>3</w:t>
      </w:r>
      <w:r w:rsidR="00FA794D">
        <w:t>% w</w:t>
      </w:r>
      <w:r w:rsidR="00F523F2">
        <w:t> </w:t>
      </w:r>
      <w:r w:rsidR="00FA794D">
        <w:t>2030</w:t>
      </w:r>
      <w:r w:rsidR="00F523F2">
        <w:t> </w:t>
      </w:r>
      <w:r w:rsidR="00FA794D">
        <w:t xml:space="preserve">r. </w:t>
      </w:r>
    </w:p>
    <w:bookmarkEnd w:id="97"/>
    <w:bookmarkEnd w:id="99"/>
    <w:p w14:paraId="459674B6" w14:textId="60CF5D51" w:rsidR="00FA794D" w:rsidRDefault="00FA794D" w:rsidP="00FA794D">
      <w:r>
        <w:t xml:space="preserve">Polska ocenia ten cel również jako bardzo trudny do realizacji ze względu na bariery technologiczne </w:t>
      </w:r>
      <w:r w:rsidR="00B7601A">
        <w:t>i</w:t>
      </w:r>
      <w:r w:rsidR="002A0740">
        <w:t> </w:t>
      </w:r>
      <w:r w:rsidR="00B7601A" w:rsidRPr="00CB3C8E">
        <w:t xml:space="preserve">finansowe oraz </w:t>
      </w:r>
      <w:r w:rsidR="00E92CF2" w:rsidRPr="00CB3C8E">
        <w:t xml:space="preserve">bardzo wczesny etap </w:t>
      </w:r>
      <w:r w:rsidRPr="00CB3C8E">
        <w:t>rozwoju</w:t>
      </w:r>
      <w:r>
        <w:t xml:space="preserve"> gospodarki wodorowej. Duże znaczenie mają także bardzo restrykcyjne regulacje określające możliwość zaliczenia danej produkcji wodoru do RFBNO.</w:t>
      </w:r>
    </w:p>
    <w:p w14:paraId="795CA41E" w14:textId="56387509" w:rsidR="007734CF" w:rsidRDefault="007734CF" w:rsidP="00FA794D">
      <w:r w:rsidRPr="00464D06">
        <w:rPr>
          <w:b/>
          <w:bCs/>
        </w:rPr>
        <w:t>P</w:t>
      </w:r>
      <w:r w:rsidR="00464D06" w:rsidRPr="001A567B">
        <w:rPr>
          <w:b/>
          <w:bCs/>
        </w:rPr>
        <w:t>o</w:t>
      </w:r>
      <w:r w:rsidRPr="001A567B">
        <w:rPr>
          <w:b/>
          <w:bCs/>
        </w:rPr>
        <w:t>pularyz</w:t>
      </w:r>
      <w:r w:rsidR="00464D06" w:rsidRPr="001A567B">
        <w:rPr>
          <w:b/>
          <w:bCs/>
        </w:rPr>
        <w:t>a</w:t>
      </w:r>
      <w:r w:rsidRPr="001A567B">
        <w:rPr>
          <w:b/>
          <w:bCs/>
        </w:rPr>
        <w:t>cja wyko</w:t>
      </w:r>
      <w:r w:rsidR="00464D06" w:rsidRPr="001A567B">
        <w:rPr>
          <w:b/>
          <w:bCs/>
        </w:rPr>
        <w:t>r</w:t>
      </w:r>
      <w:r w:rsidRPr="001A567B">
        <w:rPr>
          <w:b/>
          <w:bCs/>
        </w:rPr>
        <w:t xml:space="preserve">zystania paliw </w:t>
      </w:r>
      <w:r w:rsidR="00464D06" w:rsidRPr="001A567B">
        <w:rPr>
          <w:b/>
          <w:bCs/>
        </w:rPr>
        <w:t>alternatywnych</w:t>
      </w:r>
      <w:r w:rsidRPr="001A567B">
        <w:rPr>
          <w:b/>
          <w:bCs/>
        </w:rPr>
        <w:t xml:space="preserve"> wymaga </w:t>
      </w:r>
      <w:r w:rsidR="00464D06" w:rsidRPr="001A567B">
        <w:rPr>
          <w:b/>
          <w:bCs/>
        </w:rPr>
        <w:t>rozwoju infrastruktury</w:t>
      </w:r>
      <w:r w:rsidR="00464D06">
        <w:t xml:space="preserve">. Z tego względu na poziomie UE określone zostały jednolite zasady dla państw członkowskich w tym zakresie. </w:t>
      </w:r>
      <w:r w:rsidR="00464D06" w:rsidRPr="00464D06">
        <w:t xml:space="preserve">Rozporządzenie UE 2023/1804 w sprawie rozwoju infrastruktury paliw alternatywnych </w:t>
      </w:r>
      <w:r w:rsidR="00464D06">
        <w:t>– tzw.</w:t>
      </w:r>
      <w:r w:rsidR="00C243B3">
        <w:t> </w:t>
      </w:r>
      <w:r w:rsidR="00464D06">
        <w:t xml:space="preserve">rozporządzenie </w:t>
      </w:r>
      <w:r w:rsidR="00464D06" w:rsidRPr="00464D06">
        <w:t>AFIR</w:t>
      </w:r>
      <w:r w:rsidR="00464D06">
        <w:t xml:space="preserve"> –</w:t>
      </w:r>
      <w:r w:rsidR="00464D06" w:rsidRPr="00464D06">
        <w:t xml:space="preserve"> zakłada </w:t>
      </w:r>
      <w:r w:rsidR="00464D06" w:rsidRPr="00056AAE">
        <w:rPr>
          <w:b/>
          <w:bCs/>
        </w:rPr>
        <w:t>budowę ogólnodostępnych stref ładowania pojazdów elektrycznych wzdłuż głównych dróg i autostrad</w:t>
      </w:r>
      <w:r w:rsidR="00464D06" w:rsidRPr="00464D06">
        <w:t>. Na podstawie prognozowanej liczby pojazdów elektrycznych i</w:t>
      </w:r>
      <w:r w:rsidR="00122867">
        <w:t> </w:t>
      </w:r>
      <w:r w:rsidR="00464D06" w:rsidRPr="00464D06">
        <w:t xml:space="preserve">hybrydowych typu plug-in oraz wymogów rozporządzenia AFIR, </w:t>
      </w:r>
      <w:r w:rsidR="00464D06">
        <w:t>któr</w:t>
      </w:r>
      <w:r w:rsidR="28C2B40E">
        <w:t>e</w:t>
      </w:r>
      <w:r w:rsidR="00464D06" w:rsidRPr="00464D06">
        <w:t xml:space="preserve"> uzależnia konieczną zainstalowaną moc ładowania od liczby pojazdów wynika, że w Polsce do 2030 r. w ogólnodostępnej infrastrukturze ładowania dla lekkich pojazdów elektrycznych będzie zainstalowane ok. 1,5 GW</w:t>
      </w:r>
      <w:r w:rsidR="00464D06">
        <w:t>.</w:t>
      </w:r>
    </w:p>
    <w:p w14:paraId="2BC4DBB8" w14:textId="7CAF2D1C" w:rsidR="00340046" w:rsidRPr="00303046" w:rsidRDefault="00464D06" w:rsidP="008F1B41">
      <w:pPr>
        <w:pStyle w:val="Cele"/>
        <w:spacing w:before="240" w:after="0"/>
        <w:rPr>
          <w:sz w:val="23"/>
          <w:szCs w:val="23"/>
        </w:rPr>
      </w:pPr>
      <w:bookmarkStart w:id="100" w:name="_Hlk159552243"/>
      <w:r w:rsidRPr="00FF5DB1">
        <w:rPr>
          <w:b/>
          <w:bCs/>
        </w:rPr>
        <w:t xml:space="preserve">Prognozy wskazują, że w 2030 r. w Polsce może być zarejestrowanych </w:t>
      </w:r>
      <w:r w:rsidR="00D766A8">
        <w:rPr>
          <w:b/>
          <w:bCs/>
        </w:rPr>
        <w:t>blisko</w:t>
      </w:r>
      <w:r w:rsidRPr="00FF5DB1">
        <w:rPr>
          <w:b/>
          <w:bCs/>
        </w:rPr>
        <w:t xml:space="preserve"> </w:t>
      </w:r>
      <w:r w:rsidR="00D766A8">
        <w:rPr>
          <w:b/>
          <w:bCs/>
          <w:sz w:val="28"/>
          <w:szCs w:val="24"/>
        </w:rPr>
        <w:t>800</w:t>
      </w:r>
      <w:r w:rsidR="00F70C54">
        <w:rPr>
          <w:b/>
          <w:bCs/>
          <w:sz w:val="28"/>
          <w:szCs w:val="24"/>
        </w:rPr>
        <w:t> tys.</w:t>
      </w:r>
      <w:r w:rsidRPr="006D7CAC">
        <w:rPr>
          <w:b/>
          <w:bCs/>
          <w:sz w:val="28"/>
          <w:szCs w:val="24"/>
        </w:rPr>
        <w:t xml:space="preserve"> </w:t>
      </w:r>
      <w:r w:rsidRPr="00FF5DB1">
        <w:rPr>
          <w:b/>
          <w:bCs/>
        </w:rPr>
        <w:t>pojazdów elektrycznych i hybrydowych typu plug-in</w:t>
      </w:r>
      <w:r w:rsidR="008F1B41">
        <w:t xml:space="preserve"> </w:t>
      </w:r>
      <w:r w:rsidR="00B6327B">
        <w:br/>
      </w:r>
      <w:r w:rsidR="00340046" w:rsidRPr="00303046">
        <w:rPr>
          <w:sz w:val="23"/>
          <w:szCs w:val="23"/>
        </w:rPr>
        <w:t>(</w:t>
      </w:r>
      <w:r w:rsidR="008F1B41" w:rsidRPr="00303046">
        <w:rPr>
          <w:sz w:val="23"/>
          <w:szCs w:val="23"/>
        </w:rPr>
        <w:t xml:space="preserve">w tym </w:t>
      </w:r>
      <w:r w:rsidR="00340046" w:rsidRPr="00303046">
        <w:rPr>
          <w:sz w:val="23"/>
          <w:szCs w:val="23"/>
        </w:rPr>
        <w:t xml:space="preserve">pojazdy osobowe – ponad </w:t>
      </w:r>
      <w:r w:rsidR="00BD4BD8" w:rsidRPr="00303046">
        <w:rPr>
          <w:sz w:val="23"/>
          <w:szCs w:val="23"/>
        </w:rPr>
        <w:t>7</w:t>
      </w:r>
      <w:r w:rsidR="00340046" w:rsidRPr="00303046">
        <w:rPr>
          <w:sz w:val="23"/>
          <w:szCs w:val="23"/>
        </w:rPr>
        <w:t>20 tys. szt</w:t>
      </w:r>
      <w:r w:rsidR="00B6327B" w:rsidRPr="00303046">
        <w:rPr>
          <w:sz w:val="23"/>
          <w:szCs w:val="23"/>
        </w:rPr>
        <w:t>.</w:t>
      </w:r>
      <w:r w:rsidR="00340046" w:rsidRPr="00303046">
        <w:rPr>
          <w:sz w:val="23"/>
          <w:szCs w:val="23"/>
        </w:rPr>
        <w:t>, ciężarówki i auta dostawcze –</w:t>
      </w:r>
      <w:r w:rsidR="00916016" w:rsidRPr="00303046">
        <w:rPr>
          <w:sz w:val="23"/>
          <w:szCs w:val="23"/>
        </w:rPr>
        <w:t xml:space="preserve"> </w:t>
      </w:r>
      <w:r w:rsidR="00B6327B" w:rsidRPr="00303046">
        <w:rPr>
          <w:sz w:val="23"/>
          <w:szCs w:val="23"/>
        </w:rPr>
        <w:t>68</w:t>
      </w:r>
      <w:r w:rsidR="00340046" w:rsidRPr="00303046">
        <w:rPr>
          <w:sz w:val="23"/>
          <w:szCs w:val="23"/>
        </w:rPr>
        <w:t> tys. szt</w:t>
      </w:r>
      <w:r w:rsidR="00B6327B" w:rsidRPr="00303046">
        <w:rPr>
          <w:sz w:val="23"/>
          <w:szCs w:val="23"/>
        </w:rPr>
        <w:t>.</w:t>
      </w:r>
      <w:r w:rsidR="00ED779D" w:rsidRPr="00303046">
        <w:rPr>
          <w:sz w:val="23"/>
          <w:szCs w:val="23"/>
        </w:rPr>
        <w:t>)</w:t>
      </w:r>
    </w:p>
    <w:bookmarkEnd w:id="100"/>
    <w:p w14:paraId="0254B24A" w14:textId="6B103152" w:rsidR="00464D06" w:rsidRDefault="00464D06" w:rsidP="00056AAE">
      <w:pPr>
        <w:spacing w:after="0"/>
      </w:pPr>
    </w:p>
    <w:p w14:paraId="5AE60516" w14:textId="31FF8C6C" w:rsidR="00464D06" w:rsidRDefault="00464D06" w:rsidP="008F1B41">
      <w:pPr>
        <w:pStyle w:val="Cele"/>
        <w:spacing w:before="0" w:after="160"/>
      </w:pPr>
      <w:r w:rsidRPr="006D7CAC">
        <w:t xml:space="preserve">W przypadku pojazdów </w:t>
      </w:r>
      <w:r w:rsidRPr="00FF5DB1">
        <w:rPr>
          <w:b/>
          <w:bCs/>
        </w:rPr>
        <w:t>napędzanych wodorem prognozy wskazują, że w 2030 r. w</w:t>
      </w:r>
      <w:r w:rsidR="006D7CAC">
        <w:rPr>
          <w:b/>
          <w:bCs/>
        </w:rPr>
        <w:t> </w:t>
      </w:r>
      <w:r w:rsidRPr="00FF5DB1">
        <w:rPr>
          <w:b/>
          <w:bCs/>
        </w:rPr>
        <w:t xml:space="preserve">Polsce może być zarejestrowanych około </w:t>
      </w:r>
      <w:r w:rsidR="008F1B41">
        <w:rPr>
          <w:b/>
          <w:bCs/>
          <w:sz w:val="28"/>
          <w:szCs w:val="24"/>
        </w:rPr>
        <w:t>4,4</w:t>
      </w:r>
      <w:r w:rsidR="003F5B4C" w:rsidRPr="006D7CAC">
        <w:rPr>
          <w:b/>
          <w:bCs/>
          <w:sz w:val="28"/>
          <w:szCs w:val="24"/>
        </w:rPr>
        <w:t xml:space="preserve"> </w:t>
      </w:r>
      <w:r w:rsidRPr="006D7CAC">
        <w:rPr>
          <w:b/>
          <w:bCs/>
          <w:sz w:val="28"/>
          <w:szCs w:val="24"/>
        </w:rPr>
        <w:t>tys. pojazdów</w:t>
      </w:r>
      <w:r w:rsidRPr="00FF5DB1">
        <w:rPr>
          <w:b/>
          <w:bCs/>
        </w:rPr>
        <w:t xml:space="preserve"> </w:t>
      </w:r>
      <w:r w:rsidR="00B6327B">
        <w:rPr>
          <w:b/>
          <w:bCs/>
        </w:rPr>
        <w:br/>
      </w:r>
      <w:r w:rsidR="00340046" w:rsidRPr="00303046">
        <w:rPr>
          <w:sz w:val="23"/>
          <w:szCs w:val="23"/>
        </w:rPr>
        <w:t>(</w:t>
      </w:r>
      <w:r w:rsidR="008F1B41" w:rsidRPr="00303046">
        <w:rPr>
          <w:sz w:val="23"/>
          <w:szCs w:val="23"/>
        </w:rPr>
        <w:t>w tym</w:t>
      </w:r>
      <w:r w:rsidR="00340046" w:rsidRPr="00303046">
        <w:rPr>
          <w:sz w:val="23"/>
          <w:szCs w:val="23"/>
        </w:rPr>
        <w:t xml:space="preserve"> ciężarówki i</w:t>
      </w:r>
      <w:r w:rsidR="00B6327B" w:rsidRPr="00303046">
        <w:rPr>
          <w:sz w:val="23"/>
          <w:szCs w:val="23"/>
        </w:rPr>
        <w:t> </w:t>
      </w:r>
      <w:r w:rsidR="00340046" w:rsidRPr="00303046">
        <w:rPr>
          <w:sz w:val="23"/>
          <w:szCs w:val="23"/>
        </w:rPr>
        <w:t>auta dostawcze –3 tys.</w:t>
      </w:r>
      <w:r w:rsidR="00B6327B" w:rsidRPr="00303046">
        <w:rPr>
          <w:sz w:val="23"/>
          <w:szCs w:val="23"/>
        </w:rPr>
        <w:t xml:space="preserve"> szt.</w:t>
      </w:r>
      <w:r w:rsidR="00340046" w:rsidRPr="00303046">
        <w:rPr>
          <w:sz w:val="23"/>
          <w:szCs w:val="23"/>
        </w:rPr>
        <w:t>)</w:t>
      </w:r>
      <w:r w:rsidRPr="00303046">
        <w:rPr>
          <w:sz w:val="23"/>
          <w:szCs w:val="23"/>
        </w:rPr>
        <w:t>.</w:t>
      </w:r>
    </w:p>
    <w:p w14:paraId="2F411556" w14:textId="674CA5B6" w:rsidR="00AE71D0" w:rsidRDefault="004E433C" w:rsidP="004E433C">
      <w:r>
        <w:t xml:space="preserve">Na </w:t>
      </w:r>
      <w:r w:rsidR="0025150B">
        <w:t>rysunku</w:t>
      </w:r>
      <w:r>
        <w:t xml:space="preserve"> poniżej przedstawiono </w:t>
      </w:r>
      <w:r w:rsidR="0025150B">
        <w:t>z</w:t>
      </w:r>
      <w:r w:rsidR="0025150B" w:rsidRPr="0025150B">
        <w:t xml:space="preserve">użycie końcowe paliw i nośników energii w transporcie </w:t>
      </w:r>
      <w:r w:rsidR="0025150B">
        <w:t>w perspektywie 2040 r., natomiast kol</w:t>
      </w:r>
      <w:r w:rsidR="00160767">
        <w:t>e</w:t>
      </w:r>
      <w:r w:rsidR="0025150B">
        <w:t>jny rysun</w:t>
      </w:r>
      <w:r w:rsidR="00160767">
        <w:t>e</w:t>
      </w:r>
      <w:r w:rsidR="0025150B">
        <w:t xml:space="preserve">k prezentuje </w:t>
      </w:r>
      <w:r w:rsidR="00783CC9">
        <w:t>alternatywne</w:t>
      </w:r>
      <w:r w:rsidR="00160767">
        <w:t xml:space="preserve"> </w:t>
      </w:r>
      <w:r w:rsidR="0025150B">
        <w:t>paliwa i nośniki energii, które</w:t>
      </w:r>
      <w:r w:rsidR="00954473">
        <w:t> </w:t>
      </w:r>
      <w:r w:rsidR="00160767">
        <w:t xml:space="preserve">zaliczane są do realizacji celu OZE. </w:t>
      </w:r>
      <w:r w:rsidR="00037C6B">
        <w:t xml:space="preserve">Należy zwrócić uwagę na zastosowaną różną skalę. </w:t>
      </w:r>
      <w:r w:rsidR="005C7946">
        <w:t>Po to, aby</w:t>
      </w:r>
      <w:r w:rsidR="00954473">
        <w:t> </w:t>
      </w:r>
      <w:r w:rsidR="005C7946">
        <w:t>zaprezentować realne zużycie</w:t>
      </w:r>
      <w:r w:rsidR="00954473">
        <w:t>,</w:t>
      </w:r>
      <w:r w:rsidR="005C7946">
        <w:t xml:space="preserve"> </w:t>
      </w:r>
      <w:r w:rsidR="00160767">
        <w:t xml:space="preserve">wartości nie zawierają tzw. </w:t>
      </w:r>
      <w:r w:rsidR="00BD351C">
        <w:t>mnożników (</w:t>
      </w:r>
      <w:r w:rsidR="00160767">
        <w:t>multiplikatorów</w:t>
      </w:r>
      <w:r w:rsidR="00BD351C">
        <w:t>)</w:t>
      </w:r>
      <w:r w:rsidR="00160767">
        <w:t xml:space="preserve"> wykorzystywanych </w:t>
      </w:r>
      <w:r w:rsidR="009768C5">
        <w:t>do rozliczenia</w:t>
      </w:r>
      <w:r w:rsidR="00160767">
        <w:t xml:space="preserve"> celu </w:t>
      </w:r>
      <w:r w:rsidR="00D955DB">
        <w:t xml:space="preserve">OZE </w:t>
      </w:r>
      <w:r w:rsidR="00037C6B">
        <w:t xml:space="preserve">w </w:t>
      </w:r>
      <w:r w:rsidR="00160767">
        <w:t xml:space="preserve">transporcie, </w:t>
      </w:r>
      <w:r w:rsidR="00FA5416">
        <w:t>zgodnie z RED II</w:t>
      </w:r>
      <w:r w:rsidR="00037C6B">
        <w:t>.</w:t>
      </w:r>
      <w:r w:rsidR="00E87BBB">
        <w:t xml:space="preserve"> </w:t>
      </w:r>
    </w:p>
    <w:p w14:paraId="24DB7E2C" w14:textId="112CD9C9" w:rsidR="004E433C" w:rsidRDefault="00E87BBB" w:rsidP="00AE71D0">
      <w:pPr>
        <w:pStyle w:val="odesaniedoza"/>
        <w:spacing w:after="240"/>
      </w:pPr>
      <w:r>
        <w:t xml:space="preserve">Szczegółowe tabele odpowiadające </w:t>
      </w:r>
      <w:r w:rsidR="0038398A">
        <w:t xml:space="preserve">zużyciu OZE w </w:t>
      </w:r>
      <w:r w:rsidR="00451388">
        <w:t xml:space="preserve">finalnemu </w:t>
      </w:r>
      <w:r>
        <w:t xml:space="preserve">zużyciu </w:t>
      </w:r>
      <w:r w:rsidR="00451388">
        <w:t xml:space="preserve">energii </w:t>
      </w:r>
      <w:r w:rsidR="00D51493">
        <w:t>w</w:t>
      </w:r>
      <w:r w:rsidR="00A75359">
        <w:t> </w:t>
      </w:r>
      <w:r w:rsidR="0038398A">
        <w:t xml:space="preserve">transporcie </w:t>
      </w:r>
      <w:r>
        <w:t>znajdują się w</w:t>
      </w:r>
      <w:r w:rsidR="00981EFB">
        <w:t> </w:t>
      </w:r>
      <w:r>
        <w:t>załączniku 1 w</w:t>
      </w:r>
      <w:r w:rsidR="00AE71D0">
        <w:t> </w:t>
      </w:r>
      <w:r>
        <w:t xml:space="preserve">rozdziale </w:t>
      </w:r>
      <w:r w:rsidR="00D51493">
        <w:t>1.2.1.</w:t>
      </w:r>
    </w:p>
    <w:p w14:paraId="1D89D9BF" w14:textId="3FE8F9D1" w:rsidR="00604BCC" w:rsidRDefault="00141DEF" w:rsidP="00B67C4D">
      <w:r>
        <w:rPr>
          <w:noProof/>
        </w:rPr>
        <w:lastRenderedPageBreak/>
        <mc:AlternateContent>
          <mc:Choice Requires="wps">
            <w:drawing>
              <wp:anchor distT="0" distB="0" distL="114300" distR="114300" simplePos="0" relativeHeight="251730432" behindDoc="1" locked="0" layoutInCell="1" allowOverlap="1" wp14:anchorId="585D1182" wp14:editId="44E8B53E">
                <wp:simplePos x="0" y="0"/>
                <wp:positionH relativeFrom="margin">
                  <wp:align>right</wp:align>
                </wp:positionH>
                <wp:positionV relativeFrom="paragraph">
                  <wp:posOffset>4157922</wp:posOffset>
                </wp:positionV>
                <wp:extent cx="5718175" cy="635"/>
                <wp:effectExtent l="0" t="0" r="0" b="0"/>
                <wp:wrapTight wrapText="bothSides">
                  <wp:wrapPolygon edited="0">
                    <wp:start x="0" y="0"/>
                    <wp:lineTo x="0" y="20057"/>
                    <wp:lineTo x="21516" y="20057"/>
                    <wp:lineTo x="21516" y="0"/>
                    <wp:lineTo x="0" y="0"/>
                  </wp:wrapPolygon>
                </wp:wrapTight>
                <wp:docPr id="1059569711" name="Pole tekstowe 1"/>
                <wp:cNvGraphicFramePr/>
                <a:graphic xmlns:a="http://schemas.openxmlformats.org/drawingml/2006/main">
                  <a:graphicData uri="http://schemas.microsoft.com/office/word/2010/wordprocessingShape">
                    <wps:wsp>
                      <wps:cNvSpPr txBox="1"/>
                      <wps:spPr>
                        <a:xfrm>
                          <a:off x="0" y="0"/>
                          <a:ext cx="5718175" cy="635"/>
                        </a:xfrm>
                        <a:prstGeom prst="rect">
                          <a:avLst/>
                        </a:prstGeom>
                        <a:solidFill>
                          <a:prstClr val="white"/>
                        </a:solidFill>
                        <a:ln>
                          <a:noFill/>
                        </a:ln>
                      </wps:spPr>
                      <wps:txbx>
                        <w:txbxContent>
                          <w:p w14:paraId="66B02492" w14:textId="0183E51F" w:rsidR="00141DEF" w:rsidRPr="00EE5BA6" w:rsidRDefault="00141DEF" w:rsidP="00EE5BA6">
                            <w:pPr>
                              <w:pStyle w:val="Legenda"/>
                            </w:pPr>
                            <w:bookmarkStart w:id="101" w:name="_Toc205204446"/>
                            <w:r w:rsidRPr="00EE5BA6">
                              <w:t xml:space="preserve">Wykres </w:t>
                            </w:r>
                            <w:fldSimple w:instr=" SEQ Wykres \* ARABIC ">
                              <w:r w:rsidR="00871DD5">
                                <w:rPr>
                                  <w:noProof/>
                                </w:rPr>
                                <w:t>8</w:t>
                              </w:r>
                            </w:fldSimple>
                            <w:r w:rsidRPr="00EE5BA6">
                              <w:t xml:space="preserve">. </w:t>
                            </w:r>
                            <w:r w:rsidRPr="00D33BC0">
                              <w:rPr>
                                <w:szCs w:val="20"/>
                              </w:rPr>
                              <w:t>Finalne zużycie paliw i nośników energii w transporcie</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5D1182" id="_x0000_s1091" type="#_x0000_t202" style="position:absolute;left:0;text-align:left;margin-left:399.05pt;margin-top:327.4pt;width:450.25pt;height:.05pt;z-index:-2515860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" stroked="f">
                <v:textbox style="mso-fit-shape-to-text:t" inset="0,0,0,0">
                  <w:txbxContent>
                    <w:p w14:paraId="66B02492" w14:textId="0183E51F" w:rsidR="00141DEF" w:rsidRPr="00EE5BA6" w:rsidRDefault="00141DEF" w:rsidP="00EE5BA6">
                      <w:pPr>
                        <w:pStyle w:val="Legenda"/>
                      </w:pPr>
                      <w:bookmarkStart w:id="107" w:name="_Toc205204446"/>
                      <w:r w:rsidRPr="00EE5BA6">
                        <w:t xml:space="preserve">Wykres </w:t>
                      </w:r>
                      <w:r w:rsidR="000559D5">
                        <w:fldChar w:fldCharType="begin"/>
                      </w:r>
                      <w:r w:rsidR="000559D5">
                        <w:instrText xml:space="preserve"> SEQ Wykres \* ARABIC </w:instrText>
                      </w:r>
                      <w:r w:rsidR="000559D5">
                        <w:fldChar w:fldCharType="separate"/>
                      </w:r>
                      <w:r w:rsidR="00871DD5">
                        <w:rPr>
                          <w:noProof/>
                        </w:rPr>
                        <w:t>8</w:t>
                      </w:r>
                      <w:r w:rsidR="000559D5">
                        <w:rPr>
                          <w:noProof/>
                        </w:rPr>
                        <w:fldChar w:fldCharType="end"/>
                      </w:r>
                      <w:r w:rsidRPr="00EE5BA6">
                        <w:t xml:space="preserve">. </w:t>
                      </w:r>
                      <w:r w:rsidRPr="00D33BC0">
                        <w:rPr>
                          <w:szCs w:val="20"/>
                        </w:rPr>
                        <w:t>Finalne zużycie paliw i nośników energii w transporcie</w:t>
                      </w:r>
                      <w:bookmarkEnd w:id="107"/>
                    </w:p>
                  </w:txbxContent>
                </v:textbox>
                <w10:wrap type="tight" anchorx="margin"/>
              </v:shape>
            </w:pict>
          </mc:Fallback>
        </mc:AlternateContent>
      </w:r>
      <w:r w:rsidR="00AE71D0">
        <w:rPr>
          <w:noProof/>
          <w:lang w:eastAsia="pl-PL"/>
        </w:rPr>
        <w:drawing>
          <wp:anchor distT="0" distB="0" distL="114300" distR="114300" simplePos="0" relativeHeight="251842048" behindDoc="0" locked="0" layoutInCell="1" allowOverlap="1" wp14:anchorId="73CDF0DC" wp14:editId="29899E0F">
            <wp:simplePos x="0" y="0"/>
            <wp:positionH relativeFrom="margin">
              <wp:posOffset>57785</wp:posOffset>
            </wp:positionH>
            <wp:positionV relativeFrom="paragraph">
              <wp:posOffset>251641</wp:posOffset>
            </wp:positionV>
            <wp:extent cx="5718175" cy="3613785"/>
            <wp:effectExtent l="0" t="0" r="0" b="5715"/>
            <wp:wrapTight wrapText="bothSides">
              <wp:wrapPolygon edited="0">
                <wp:start x="0" y="0"/>
                <wp:lineTo x="0" y="21520"/>
                <wp:lineTo x="21516" y="21520"/>
                <wp:lineTo x="21516" y="0"/>
                <wp:lineTo x="0" y="0"/>
              </wp:wrapPolygon>
            </wp:wrapTight>
            <wp:docPr id="779697378" name="Wykres 1">
              <a:extLst xmlns:a="http://schemas.openxmlformats.org/drawingml/2006/main">
                <a:ext uri="{FF2B5EF4-FFF2-40B4-BE49-F238E27FC236}">
                  <a16:creationId xmlns:a16="http://schemas.microsoft.com/office/drawing/2014/main" id="{550FEBB1-B984-7253-FA0C-6526D2513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14:paraId="416EEB1D" w14:textId="77777777" w:rsidR="00604BCC" w:rsidRDefault="00604BCC" w:rsidP="004C0F40">
      <w:pPr>
        <w:pStyle w:val="tyturys"/>
      </w:pPr>
    </w:p>
    <w:p w14:paraId="5AD4605A" w14:textId="1D4CDCEA" w:rsidR="004C0F40" w:rsidRDefault="00AE5AFC" w:rsidP="004C0F40">
      <w:pPr>
        <w:pStyle w:val="tyturys"/>
      </w:pPr>
      <w:r>
        <w:rPr>
          <w:noProof/>
          <w:lang w:eastAsia="pl-PL"/>
        </w:rPr>
        <w:drawing>
          <wp:anchor distT="0" distB="0" distL="114300" distR="114300" simplePos="0" relativeHeight="251849216" behindDoc="0" locked="0" layoutInCell="1" allowOverlap="1" wp14:anchorId="087B9787" wp14:editId="1F817301">
            <wp:simplePos x="0" y="0"/>
            <wp:positionH relativeFrom="margin">
              <wp:posOffset>120346</wp:posOffset>
            </wp:positionH>
            <wp:positionV relativeFrom="paragraph">
              <wp:posOffset>433373</wp:posOffset>
            </wp:positionV>
            <wp:extent cx="5322570" cy="2612390"/>
            <wp:effectExtent l="0" t="0" r="0" b="0"/>
            <wp:wrapTight wrapText="bothSides">
              <wp:wrapPolygon edited="0">
                <wp:start x="0" y="0"/>
                <wp:lineTo x="0" y="21421"/>
                <wp:lineTo x="21492" y="21421"/>
                <wp:lineTo x="21492" y="0"/>
                <wp:lineTo x="0" y="0"/>
              </wp:wrapPolygon>
            </wp:wrapTight>
            <wp:docPr id="1493464018" name="Wykres 1">
              <a:extLst xmlns:a="http://schemas.openxmlformats.org/drawingml/2006/main">
                <a:ext uri="{FF2B5EF4-FFF2-40B4-BE49-F238E27FC236}">
                  <a16:creationId xmlns:a16="http://schemas.microsoft.com/office/drawing/2014/main" id="{D621EA66-0508-493F-B214-2E3BBEE04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62DD39BC" w14:textId="66BC10AC" w:rsidR="004C4101" w:rsidRDefault="004C4101" w:rsidP="00263643">
      <w:pPr>
        <w:pStyle w:val="PaMs"/>
      </w:pPr>
    </w:p>
    <w:p w14:paraId="5B321F15" w14:textId="16FAFD3E" w:rsidR="00F15557" w:rsidRPr="00F15557" w:rsidRDefault="00AE5AFC" w:rsidP="00AE5AFC">
      <w:pPr>
        <w:rPr>
          <w:rFonts w:ascii="Bahnschrift" w:hAnsi="Bahnschrift"/>
          <w:b/>
          <w:bCs/>
          <w:sz w:val="32"/>
          <w:szCs w:val="32"/>
        </w:rPr>
      </w:pPr>
      <w:r>
        <w:rPr>
          <w:noProof/>
        </w:rPr>
        <mc:AlternateContent>
          <mc:Choice Requires="wps">
            <w:drawing>
              <wp:anchor distT="0" distB="0" distL="114300" distR="114300" simplePos="0" relativeHeight="251664896" behindDoc="1" locked="0" layoutInCell="1" allowOverlap="1" wp14:anchorId="5C2FD088" wp14:editId="78737E94">
                <wp:simplePos x="0" y="0"/>
                <wp:positionH relativeFrom="column">
                  <wp:posOffset>152152</wp:posOffset>
                </wp:positionH>
                <wp:positionV relativeFrom="paragraph">
                  <wp:posOffset>1927611</wp:posOffset>
                </wp:positionV>
                <wp:extent cx="5322570" cy="635"/>
                <wp:effectExtent l="0" t="0" r="0" b="0"/>
                <wp:wrapTight wrapText="bothSides">
                  <wp:wrapPolygon edited="0">
                    <wp:start x="0" y="0"/>
                    <wp:lineTo x="0" y="21600"/>
                    <wp:lineTo x="21600" y="21600"/>
                    <wp:lineTo x="21600" y="0"/>
                  </wp:wrapPolygon>
                </wp:wrapTight>
                <wp:docPr id="10670603" name="Pole tekstowe 1"/>
                <wp:cNvGraphicFramePr/>
                <a:graphic xmlns:a="http://schemas.openxmlformats.org/drawingml/2006/main">
                  <a:graphicData uri="http://schemas.microsoft.com/office/word/2010/wordprocessingShape">
                    <wps:wsp>
                      <wps:cNvSpPr txBox="1"/>
                      <wps:spPr>
                        <a:xfrm>
                          <a:off x="0" y="0"/>
                          <a:ext cx="5322570" cy="635"/>
                        </a:xfrm>
                        <a:prstGeom prst="rect">
                          <a:avLst/>
                        </a:prstGeom>
                        <a:solidFill>
                          <a:prstClr val="white"/>
                        </a:solidFill>
                        <a:ln>
                          <a:noFill/>
                        </a:ln>
                      </wps:spPr>
                      <wps:txbx>
                        <w:txbxContent>
                          <w:p w14:paraId="1F3D1EE7" w14:textId="0DD72CC0" w:rsidR="00D33BC0" w:rsidRPr="00C44AD5" w:rsidRDefault="00D33BC0" w:rsidP="00D33BC0">
                            <w:pPr>
                              <w:pStyle w:val="Legenda"/>
                              <w:rPr>
                                <w:rFonts w:ascii="Bahnschrift" w:hAnsi="Bahnschrift"/>
                                <w:b/>
                                <w:sz w:val="36"/>
                                <w:szCs w:val="36"/>
                              </w:rPr>
                            </w:pPr>
                            <w:bookmarkStart w:id="102" w:name="_Ref203471562"/>
                            <w:bookmarkStart w:id="103" w:name="_Toc205204447"/>
                            <w:r w:rsidRPr="00C44AD5">
                              <w:rPr>
                                <w:szCs w:val="20"/>
                              </w:rPr>
                              <w:t xml:space="preserve">Wykres </w:t>
                            </w:r>
                            <w:r w:rsidRPr="00C44AD5">
                              <w:rPr>
                                <w:szCs w:val="20"/>
                              </w:rPr>
                              <w:fldChar w:fldCharType="begin"/>
                            </w:r>
                            <w:r w:rsidRPr="00C44AD5">
                              <w:rPr>
                                <w:szCs w:val="20"/>
                              </w:rPr>
                              <w:instrText xml:space="preserve"> SEQ Wykres \* ARABIC </w:instrText>
                            </w:r>
                            <w:r w:rsidRPr="00C44AD5">
                              <w:rPr>
                                <w:szCs w:val="20"/>
                              </w:rPr>
                              <w:fldChar w:fldCharType="separate"/>
                            </w:r>
                            <w:r w:rsidR="00871DD5">
                              <w:rPr>
                                <w:noProof/>
                                <w:szCs w:val="20"/>
                              </w:rPr>
                              <w:t>9</w:t>
                            </w:r>
                            <w:r w:rsidRPr="00C44AD5">
                              <w:rPr>
                                <w:szCs w:val="20"/>
                              </w:rPr>
                              <w:fldChar w:fldCharType="end"/>
                            </w:r>
                            <w:bookmarkEnd w:id="102"/>
                            <w:r w:rsidRPr="00C44AD5">
                              <w:rPr>
                                <w:szCs w:val="20"/>
                              </w:rPr>
                              <w:t xml:space="preserve">. </w:t>
                            </w:r>
                            <w:r w:rsidR="00C44AD5" w:rsidRPr="00C44AD5">
                              <w:rPr>
                                <w:szCs w:val="20"/>
                              </w:rPr>
                              <w:t>Finalne zużycie paliw i nośników energii zaliczanych do celu OZE</w:t>
                            </w:r>
                            <w:r w:rsidR="005771CC">
                              <w:rPr>
                                <w:szCs w:val="20"/>
                              </w:rPr>
                              <w:t>*</w:t>
                            </w:r>
                            <w:r w:rsidR="00C44AD5" w:rsidRPr="00C44AD5">
                              <w:rPr>
                                <w:szCs w:val="20"/>
                              </w:rPr>
                              <w:t xml:space="preserve"> w transporcie (wyszczególnienie z rysunku powyżej)</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2FD088" id="_x0000_s1092" type="#_x0000_t202" style="position:absolute;left:0;text-align:left;margin-left:12pt;margin-top:151.8pt;width:419.1pt;height:.0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" stroked="f">
                <v:textbox style="mso-fit-shape-to-text:t" inset="0,0,0,0">
                  <w:txbxContent>
                    <w:p w14:paraId="1F3D1EE7" w14:textId="0DD72CC0" w:rsidR="00D33BC0" w:rsidRPr="00C44AD5" w:rsidRDefault="00D33BC0" w:rsidP="00D33BC0">
                      <w:pPr>
                        <w:pStyle w:val="Legenda"/>
                        <w:rPr>
                          <w:rFonts w:ascii="Bahnschrift" w:hAnsi="Bahnschrift"/>
                          <w:b/>
                          <w:sz w:val="36"/>
                          <w:szCs w:val="36"/>
                        </w:rPr>
                      </w:pPr>
                      <w:bookmarkStart w:id="110" w:name="_Ref203471562"/>
                      <w:bookmarkStart w:id="111" w:name="_Toc205204447"/>
                      <w:r w:rsidRPr="00C44AD5">
                        <w:rPr>
                          <w:szCs w:val="20"/>
                        </w:rPr>
                        <w:t xml:space="preserve">Wykres </w:t>
                      </w:r>
                      <w:r w:rsidRPr="00C44AD5">
                        <w:rPr>
                          <w:szCs w:val="20"/>
                        </w:rPr>
                        <w:fldChar w:fldCharType="begin"/>
                      </w:r>
                      <w:r w:rsidRPr="00C44AD5">
                        <w:rPr>
                          <w:szCs w:val="20"/>
                        </w:rPr>
                        <w:instrText xml:space="preserve"> SEQ Wykres \* ARABIC </w:instrText>
                      </w:r>
                      <w:r w:rsidRPr="00C44AD5">
                        <w:rPr>
                          <w:szCs w:val="20"/>
                        </w:rPr>
                        <w:fldChar w:fldCharType="separate"/>
                      </w:r>
                      <w:r w:rsidR="00871DD5">
                        <w:rPr>
                          <w:noProof/>
                          <w:szCs w:val="20"/>
                        </w:rPr>
                        <w:t>9</w:t>
                      </w:r>
                      <w:r w:rsidRPr="00C44AD5">
                        <w:rPr>
                          <w:szCs w:val="20"/>
                        </w:rPr>
                        <w:fldChar w:fldCharType="end"/>
                      </w:r>
                      <w:bookmarkEnd w:id="110"/>
                      <w:r w:rsidRPr="00C44AD5">
                        <w:rPr>
                          <w:szCs w:val="20"/>
                        </w:rPr>
                        <w:t xml:space="preserve">. </w:t>
                      </w:r>
                      <w:r w:rsidR="00C44AD5" w:rsidRPr="00C44AD5">
                        <w:rPr>
                          <w:szCs w:val="20"/>
                        </w:rPr>
                        <w:t>Finalne zużycie paliw i nośników energii zaliczanych do celu OZE</w:t>
                      </w:r>
                      <w:r w:rsidR="005771CC">
                        <w:rPr>
                          <w:szCs w:val="20"/>
                        </w:rPr>
                        <w:t>*</w:t>
                      </w:r>
                      <w:r w:rsidR="00C44AD5" w:rsidRPr="00C44AD5">
                        <w:rPr>
                          <w:szCs w:val="20"/>
                        </w:rPr>
                        <w:t xml:space="preserve"> w transporcie (wyszczególnienie z rysunku powyżej)</w:t>
                      </w:r>
                      <w:bookmarkEnd w:id="111"/>
                    </w:p>
                  </w:txbxContent>
                </v:textbox>
                <w10:wrap type="tight"/>
              </v:shape>
            </w:pict>
          </mc:Fallback>
        </mc:AlternateContent>
      </w:r>
      <w:r>
        <w:rPr>
          <w:sz w:val="18"/>
          <w:szCs w:val="20"/>
        </w:rPr>
        <w:t xml:space="preserve"> </w:t>
      </w:r>
      <w:r w:rsidR="005771CC">
        <w:rPr>
          <w:sz w:val="18"/>
          <w:szCs w:val="20"/>
        </w:rPr>
        <w:fldChar w:fldCharType="begin"/>
      </w:r>
      <w:r w:rsidR="005771CC">
        <w:rPr>
          <w:sz w:val="18"/>
          <w:szCs w:val="20"/>
        </w:rPr>
        <w:instrText xml:space="preserve"> REF _Ref203471562 \h </w:instrText>
      </w:r>
      <w:r w:rsidR="005771CC">
        <w:rPr>
          <w:sz w:val="18"/>
          <w:szCs w:val="20"/>
        </w:rPr>
      </w:r>
      <w:r w:rsidR="005771CC">
        <w:rPr>
          <w:sz w:val="18"/>
          <w:szCs w:val="20"/>
        </w:rPr>
        <w:fldChar w:fldCharType="separate"/>
      </w:r>
      <w:r w:rsidR="00871DD5" w:rsidRPr="00C44AD5">
        <w:rPr>
          <w:szCs w:val="20"/>
        </w:rPr>
        <w:t xml:space="preserve">Wykres </w:t>
      </w:r>
      <w:r w:rsidR="00871DD5">
        <w:rPr>
          <w:noProof/>
          <w:szCs w:val="20"/>
        </w:rPr>
        <w:t>9</w:t>
      </w:r>
      <w:r w:rsidR="005771CC">
        <w:rPr>
          <w:sz w:val="18"/>
          <w:szCs w:val="20"/>
        </w:rPr>
        <w:fldChar w:fldCharType="end"/>
      </w:r>
      <w:r w:rsidR="00967140">
        <w:rPr>
          <w:sz w:val="18"/>
          <w:szCs w:val="20"/>
        </w:rPr>
        <w:t xml:space="preserve"> </w:t>
      </w:r>
      <w:r w:rsidRPr="00AE5AFC">
        <w:rPr>
          <w:sz w:val="18"/>
          <w:szCs w:val="20"/>
        </w:rPr>
        <w:t>prezentuj</w:t>
      </w:r>
      <w:r w:rsidR="00A31342">
        <w:rPr>
          <w:sz w:val="18"/>
          <w:szCs w:val="20"/>
        </w:rPr>
        <w:t>e</w:t>
      </w:r>
      <w:r w:rsidRPr="00AE5AFC">
        <w:rPr>
          <w:sz w:val="18"/>
          <w:szCs w:val="20"/>
        </w:rPr>
        <w:t xml:space="preserve"> realne zużycie energii w transporcie bez zastosowania mnożników, w tym zarówno biokomponenty I i II generacji oraz całkowite zużycie energii elektrycznej na cele transportowe (nie tylko z OZE).</w:t>
      </w:r>
    </w:p>
    <w:p w14:paraId="17D028F7" w14:textId="357B6DDA" w:rsidR="00080BA7" w:rsidRDefault="00080BA7" w:rsidP="00263643">
      <w:pPr>
        <w:pStyle w:val="PaMs"/>
      </w:pPr>
      <w:r w:rsidRPr="00C46DAA">
        <w:lastRenderedPageBreak/>
        <w:t>POLITYKA</w:t>
      </w:r>
    </w:p>
    <w:p w14:paraId="2DF148D1" w14:textId="5FF12843" w:rsidR="00774DDE" w:rsidRDefault="005D48E2" w:rsidP="005D48E2">
      <w:r>
        <w:t xml:space="preserve">W 2022 r. </w:t>
      </w:r>
      <w:r w:rsidR="006F7D41">
        <w:t xml:space="preserve">99% emisji gazów cieplarnianych </w:t>
      </w:r>
      <w:r w:rsidR="00014DF4">
        <w:t xml:space="preserve">w </w:t>
      </w:r>
      <w:r w:rsidR="00C32CC0">
        <w:t>sektorze</w:t>
      </w:r>
      <w:r w:rsidR="00014DF4">
        <w:t xml:space="preserve"> transportu pochodziło z </w:t>
      </w:r>
      <w:r w:rsidR="00D177F9">
        <w:t>sektora</w:t>
      </w:r>
      <w:r w:rsidR="00014DF4">
        <w:t xml:space="preserve"> transportu drogowego</w:t>
      </w:r>
      <w:r w:rsidR="00D177F9">
        <w:rPr>
          <w:rStyle w:val="Odwoanieprzypisudolnego"/>
        </w:rPr>
        <w:footnoteReference w:id="40"/>
      </w:r>
      <w:r w:rsidR="00014DF4">
        <w:t>.</w:t>
      </w:r>
      <w:r w:rsidR="00C32CC0">
        <w:t xml:space="preserve"> Z tego względu </w:t>
      </w:r>
      <w:r w:rsidR="00B04310">
        <w:t xml:space="preserve">to właśnie </w:t>
      </w:r>
      <w:r w:rsidR="000679F3">
        <w:t xml:space="preserve">transportowi drogowemu </w:t>
      </w:r>
      <w:r w:rsidR="008A5B8E">
        <w:t>poświecą</w:t>
      </w:r>
      <w:r w:rsidR="000679F3">
        <w:t xml:space="preserve"> się najwięcej uwagi</w:t>
      </w:r>
      <w:r w:rsidR="00F53EDE">
        <w:t xml:space="preserve">. </w:t>
      </w:r>
    </w:p>
    <w:p w14:paraId="49C43BDD" w14:textId="4EEECB7C" w:rsidR="00F545AD" w:rsidRDefault="0017750F" w:rsidP="007D7C94">
      <w:r>
        <w:t>R</w:t>
      </w:r>
      <w:r w:rsidR="00A868D5" w:rsidRPr="009D61DE">
        <w:t>edukcja emisji gazów cieplarnianych dokonuje się poprzez zmniejszenie ilości zużywanej energii pozyskiwanej z paliw transportowych</w:t>
      </w:r>
      <w:r w:rsidR="00716C98">
        <w:t>, zmniejszenie emisyjności pojazdów</w:t>
      </w:r>
      <w:r w:rsidR="00A868D5" w:rsidRPr="009D61DE">
        <w:t xml:space="preserve"> oraz </w:t>
      </w:r>
      <w:r w:rsidR="00BC71DB">
        <w:t xml:space="preserve">zastąpienie </w:t>
      </w:r>
      <w:r w:rsidR="00A868D5" w:rsidRPr="009D61DE">
        <w:t>paliw konwencjonalnych (paliw kopalnych wytworzonych z ropy naftowej i gazu ziemnego) paliwa</w:t>
      </w:r>
      <w:r w:rsidR="000239AD">
        <w:t>mi</w:t>
      </w:r>
      <w:r w:rsidR="00A868D5" w:rsidRPr="009D61DE">
        <w:t xml:space="preserve"> zeroemisyjn</w:t>
      </w:r>
      <w:r w:rsidR="000239AD">
        <w:t>ymi</w:t>
      </w:r>
      <w:r w:rsidR="00A868D5" w:rsidRPr="009D61DE">
        <w:t xml:space="preserve"> lub o niskiej zawartości węgla liczonej w całym cyklu życia (paliwa odnawialne). </w:t>
      </w:r>
      <w:r w:rsidR="0038116C">
        <w:t>W</w:t>
      </w:r>
      <w:r w:rsidR="009E26B2">
        <w:t> </w:t>
      </w:r>
      <w:r w:rsidR="00B332F1">
        <w:t>najbliższych latach</w:t>
      </w:r>
      <w:r w:rsidR="000F5391">
        <w:t xml:space="preserve"> </w:t>
      </w:r>
      <w:r w:rsidR="008E54F0">
        <w:t xml:space="preserve">za </w:t>
      </w:r>
      <w:r w:rsidR="00B70ABF">
        <w:t>dekarbonizacj</w:t>
      </w:r>
      <w:r w:rsidR="008E54F0">
        <w:t>ę</w:t>
      </w:r>
      <w:r w:rsidR="00B70ABF">
        <w:t xml:space="preserve"> transportu </w:t>
      </w:r>
      <w:r w:rsidR="008E54F0">
        <w:t xml:space="preserve">odpowiadać będą przede wszystkim </w:t>
      </w:r>
      <w:r w:rsidR="000F5391">
        <w:t>biopaliwa i</w:t>
      </w:r>
      <w:r w:rsidR="00BE58A3">
        <w:t> </w:t>
      </w:r>
      <w:r w:rsidR="000F5391">
        <w:t>biokomponenty</w:t>
      </w:r>
      <w:r w:rsidR="00CE22A2">
        <w:t xml:space="preserve">. </w:t>
      </w:r>
      <w:r w:rsidR="009E45B8">
        <w:t>Polska będzie wykorzystywać limit 6</w:t>
      </w:r>
      <w:r w:rsidR="00156F00">
        <w:t>,1</w:t>
      </w:r>
      <w:r w:rsidR="009E45B8">
        <w:t xml:space="preserve">% udziału </w:t>
      </w:r>
      <w:r w:rsidR="00727037">
        <w:t>biokomponentów</w:t>
      </w:r>
      <w:r w:rsidR="002A0D99">
        <w:t xml:space="preserve"> I generacji, ze względu na racjonalność kosztową, czas niezbędny </w:t>
      </w:r>
      <w:r w:rsidR="002A58FD">
        <w:t>na wdrożenie nowych norm i dostosowane rynku</w:t>
      </w:r>
      <w:r w:rsidR="002A0D99">
        <w:t xml:space="preserve">, ale </w:t>
      </w:r>
      <w:r w:rsidR="002A58FD">
        <w:t xml:space="preserve">przyrost powinien opierać się </w:t>
      </w:r>
      <w:r w:rsidR="5C1DE2EF">
        <w:t xml:space="preserve">na </w:t>
      </w:r>
      <w:r w:rsidR="008C2302">
        <w:t xml:space="preserve">biokomponentach </w:t>
      </w:r>
      <w:r w:rsidR="00127253">
        <w:t xml:space="preserve">II generacji. Z tych względów </w:t>
      </w:r>
      <w:r w:rsidR="00CE22A2">
        <w:t xml:space="preserve">utrzymany zostanie </w:t>
      </w:r>
      <w:r w:rsidR="00CE22A2" w:rsidRPr="006E0322">
        <w:rPr>
          <w:i/>
          <w:iCs/>
        </w:rPr>
        <w:t>Narodowy Cel Wskaźnikowy</w:t>
      </w:r>
      <w:r w:rsidR="006E0322">
        <w:t xml:space="preserve"> oraz</w:t>
      </w:r>
      <w:r w:rsidR="00202432">
        <w:t xml:space="preserve"> </w:t>
      </w:r>
      <w:r w:rsidR="006E0322" w:rsidRPr="006E0322">
        <w:rPr>
          <w:i/>
          <w:iCs/>
        </w:rPr>
        <w:t>opłata emisyjna</w:t>
      </w:r>
      <w:r w:rsidR="006E0322">
        <w:t xml:space="preserve">. </w:t>
      </w:r>
      <w:r w:rsidR="00F545AD">
        <w:t>Wzrastać będą także wymagania w zakresie emisyjności pojazdów.</w:t>
      </w:r>
    </w:p>
    <w:p w14:paraId="5844CEC3" w14:textId="3A013F7F" w:rsidR="00740679" w:rsidRDefault="006E0322" w:rsidP="007D7C94">
      <w:r>
        <w:t>W</w:t>
      </w:r>
      <w:r w:rsidR="00202432">
        <w:t xml:space="preserve"> </w:t>
      </w:r>
      <w:r w:rsidR="00B232E5">
        <w:t xml:space="preserve">perspektywie średnio i </w:t>
      </w:r>
      <w:r w:rsidR="00202432">
        <w:t>długookresow</w:t>
      </w:r>
      <w:r w:rsidR="00B232E5">
        <w:t>ej</w:t>
      </w:r>
      <w:r w:rsidR="00202432">
        <w:t xml:space="preserve"> </w:t>
      </w:r>
      <w:r w:rsidR="00B70ABF">
        <w:t xml:space="preserve">działania będę ukierunkowane na to, </w:t>
      </w:r>
      <w:r w:rsidR="00B70ABF" w:rsidRPr="00CE4EE4">
        <w:rPr>
          <w:b/>
          <w:bCs/>
        </w:rPr>
        <w:t xml:space="preserve">aby wiodącą rolę </w:t>
      </w:r>
      <w:r w:rsidR="00202432">
        <w:rPr>
          <w:b/>
          <w:bCs/>
        </w:rPr>
        <w:t>w</w:t>
      </w:r>
      <w:r w:rsidR="00BE58A3">
        <w:rPr>
          <w:b/>
          <w:bCs/>
        </w:rPr>
        <w:t> </w:t>
      </w:r>
      <w:r w:rsidR="00202432">
        <w:rPr>
          <w:b/>
          <w:bCs/>
        </w:rPr>
        <w:t xml:space="preserve">dekarbonizacji transportu </w:t>
      </w:r>
      <w:r w:rsidR="00CE4EE4" w:rsidRPr="00CE4EE4">
        <w:rPr>
          <w:b/>
          <w:bCs/>
        </w:rPr>
        <w:t>miała elektromobilność.</w:t>
      </w:r>
      <w:r w:rsidR="00DB5F07">
        <w:rPr>
          <w:b/>
          <w:bCs/>
        </w:rPr>
        <w:t xml:space="preserve"> </w:t>
      </w:r>
      <w:r w:rsidR="00DB5F07" w:rsidRPr="00DB5F07">
        <w:t xml:space="preserve">Obok </w:t>
      </w:r>
      <w:r w:rsidR="00FC0575">
        <w:t xml:space="preserve">wytworzenia niskoemisyjnych paliw i energii ważna jest także odpowiednio dostosowana i rozbudowana </w:t>
      </w:r>
      <w:r w:rsidR="00961047" w:rsidRPr="009D61DE">
        <w:t>sieć dystrybucyjn</w:t>
      </w:r>
      <w:r w:rsidR="00961047">
        <w:t>a</w:t>
      </w:r>
      <w:r w:rsidR="00961047" w:rsidRPr="009D61DE">
        <w:t xml:space="preserve"> (stacje paliw i ładowania elektrycznością</w:t>
      </w:r>
      <w:r w:rsidR="00AF658F">
        <w:t xml:space="preserve"> i</w:t>
      </w:r>
      <w:r w:rsidR="00716C98">
        <w:t> </w:t>
      </w:r>
      <w:r w:rsidR="00AF658F">
        <w:t>sieć trakcyjna</w:t>
      </w:r>
      <w:r w:rsidR="00961047" w:rsidRPr="009D61DE">
        <w:t>)</w:t>
      </w:r>
      <w:r w:rsidR="00AF658F">
        <w:t xml:space="preserve">, </w:t>
      </w:r>
      <w:r w:rsidR="00B4467D">
        <w:t xml:space="preserve">dlatego również w tym obszarze kreowane są </w:t>
      </w:r>
      <w:r w:rsidR="001E015C">
        <w:t>działania skutkujące dostosowaniem do potrzeb</w:t>
      </w:r>
      <w:r w:rsidR="00961047" w:rsidRPr="009D61DE">
        <w:t>.</w:t>
      </w:r>
    </w:p>
    <w:p w14:paraId="5493046B" w14:textId="1D24F23D" w:rsidR="00A868D5" w:rsidRDefault="00A868D5" w:rsidP="007D7C94">
      <w:r w:rsidRPr="009D61DE">
        <w:t>Ilość zużywanej energii zależna jest od wielkości potrzeb transportowych oraz efektywności przewozu ładunków lub pasażerów. Instrumentami redukcji w tym przypadku jest zarządzanie popytem (np. przez przestrzenne rozmieszczanie funkcji obszarów, optymalizujące popyt transportowy czy kształtowanie odpowiednich zachowań społeczeństwa i</w:t>
      </w:r>
      <w:r w:rsidR="007D7C94">
        <w:t> </w:t>
      </w:r>
      <w:r w:rsidRPr="009D61DE">
        <w:t>gospodarki) oraz realizowanie przewozów efektywniejszymi energetycznie rozwiązaniami transportowymi</w:t>
      </w:r>
      <w:r w:rsidR="00DC4038">
        <w:t xml:space="preserve">. Kluczowe </w:t>
      </w:r>
      <w:r w:rsidR="00A32B72">
        <w:t>znaczenie</w:t>
      </w:r>
      <w:r w:rsidR="00E559F9">
        <w:t xml:space="preserve"> </w:t>
      </w:r>
      <w:r w:rsidR="00A32B72">
        <w:t xml:space="preserve">mają </w:t>
      </w:r>
      <w:r w:rsidR="00DC4038" w:rsidRPr="00A32B72">
        <w:rPr>
          <w:b/>
          <w:bCs/>
        </w:rPr>
        <w:t>zbiorowe przewozy pasażerów oraz ładunków</w:t>
      </w:r>
      <w:r w:rsidR="00DC4038" w:rsidRPr="00DC4038">
        <w:t>,</w:t>
      </w:r>
      <w:r w:rsidRPr="009D61DE">
        <w:t xml:space="preserve"> w tym przy wykorzystaniu </w:t>
      </w:r>
      <w:r w:rsidR="002048DD" w:rsidRPr="00DC4038">
        <w:t xml:space="preserve">potencjału intermodalności </w:t>
      </w:r>
      <w:r w:rsidR="002048DD">
        <w:t xml:space="preserve">i </w:t>
      </w:r>
      <w:r w:rsidRPr="009D61DE">
        <w:t xml:space="preserve">narzędzi logistycznych. </w:t>
      </w:r>
    </w:p>
    <w:p w14:paraId="3C66693A" w14:textId="6DF366DF" w:rsidR="001E015C" w:rsidRDefault="001E015C" w:rsidP="00B57734">
      <w:pPr>
        <w:spacing w:after="80"/>
      </w:pPr>
      <w:r>
        <w:t>Poniżej opisano podejście do poszczególnych kategorii transportu</w:t>
      </w:r>
      <w:r w:rsidR="0055476D">
        <w:t>:</w:t>
      </w:r>
    </w:p>
    <w:p w14:paraId="47105FEF" w14:textId="62084158" w:rsidR="003A273D" w:rsidRDefault="003A273D" w:rsidP="000625AC">
      <w:pPr>
        <w:pStyle w:val="Akapitzlist"/>
        <w:numPr>
          <w:ilvl w:val="0"/>
          <w:numId w:val="53"/>
        </w:numPr>
      </w:pPr>
      <w:r>
        <w:t>transport miejski i publiczny – jako alternatywa dla indywidualnego transportu osób</w:t>
      </w:r>
      <w:r w:rsidR="003E2DE5">
        <w:t xml:space="preserve"> </w:t>
      </w:r>
    </w:p>
    <w:p w14:paraId="6DE2ADE0" w14:textId="77777777" w:rsidR="00DA5928" w:rsidRDefault="00DA5928" w:rsidP="000625AC">
      <w:pPr>
        <w:pStyle w:val="Akapitzlist"/>
        <w:numPr>
          <w:ilvl w:val="0"/>
          <w:numId w:val="53"/>
        </w:numPr>
      </w:pPr>
      <w:r>
        <w:t>transport drogowy (samochodowy)</w:t>
      </w:r>
    </w:p>
    <w:p w14:paraId="17886FA2" w14:textId="3D129904" w:rsidR="0055476D" w:rsidRDefault="003B1310" w:rsidP="000625AC">
      <w:pPr>
        <w:pStyle w:val="Akapitzlist"/>
        <w:numPr>
          <w:ilvl w:val="0"/>
          <w:numId w:val="53"/>
        </w:numPr>
      </w:pPr>
      <w:r w:rsidRPr="003B1310">
        <w:t>transport kolejow</w:t>
      </w:r>
      <w:r>
        <w:t>y</w:t>
      </w:r>
    </w:p>
    <w:p w14:paraId="428C5062" w14:textId="191944F3" w:rsidR="003B1310" w:rsidRDefault="003B1310" w:rsidP="000625AC">
      <w:pPr>
        <w:pStyle w:val="Akapitzlist"/>
        <w:numPr>
          <w:ilvl w:val="0"/>
          <w:numId w:val="53"/>
        </w:numPr>
      </w:pPr>
      <w:r>
        <w:t>żegluga śródlądowa</w:t>
      </w:r>
    </w:p>
    <w:p w14:paraId="35AE476D" w14:textId="477C44D1" w:rsidR="003B1310" w:rsidRDefault="003B1310" w:rsidP="000625AC">
      <w:pPr>
        <w:pStyle w:val="Akapitzlist"/>
        <w:numPr>
          <w:ilvl w:val="0"/>
          <w:numId w:val="53"/>
        </w:numPr>
      </w:pPr>
      <w:r>
        <w:t>transport morski</w:t>
      </w:r>
    </w:p>
    <w:p w14:paraId="69072C64" w14:textId="2DC4ADE9" w:rsidR="002A0740" w:rsidRPr="00776123" w:rsidRDefault="003B1310" w:rsidP="000625AC">
      <w:pPr>
        <w:pStyle w:val="Akapitzlist"/>
        <w:numPr>
          <w:ilvl w:val="0"/>
          <w:numId w:val="53"/>
        </w:numPr>
      </w:pPr>
      <w:r>
        <w:t>lotnictwo</w:t>
      </w:r>
    </w:p>
    <w:p w14:paraId="1C4065DF" w14:textId="2D6DC888" w:rsidR="00DA5928" w:rsidRDefault="00DA5928" w:rsidP="00DA5928">
      <w:pPr>
        <w:pStyle w:val="Nagwek5"/>
      </w:pPr>
      <w:r>
        <w:t>Popularyzacja i d</w:t>
      </w:r>
      <w:r w:rsidRPr="00A868D5">
        <w:t>ekarbonizacj</w:t>
      </w:r>
      <w:r>
        <w:t>a</w:t>
      </w:r>
      <w:r w:rsidRPr="00A868D5">
        <w:t xml:space="preserve"> transportu miejskiego</w:t>
      </w:r>
      <w:r>
        <w:t xml:space="preserve"> i publicznego</w:t>
      </w:r>
      <w:r w:rsidRPr="00A868D5">
        <w:t xml:space="preserve"> </w:t>
      </w:r>
    </w:p>
    <w:p w14:paraId="6D90ED9B" w14:textId="25A25F69" w:rsidR="00DA5928" w:rsidRPr="007D7C94" w:rsidRDefault="00DA5928" w:rsidP="00DA5928">
      <w:pPr>
        <w:rPr>
          <w:b/>
          <w:bCs/>
          <w:sz w:val="22"/>
        </w:rPr>
      </w:pPr>
      <w:r>
        <w:t xml:space="preserve">Niskoemisyjna transformacja transportu miejskiego jest jednym z priorytetów Polski, przy czym </w:t>
      </w:r>
      <w:r w:rsidRPr="009D61DE">
        <w:t>realizowane</w:t>
      </w:r>
      <w:r>
        <w:t xml:space="preserve"> </w:t>
      </w:r>
      <w:r w:rsidRPr="009D61DE">
        <w:t>będą działania na rzecz obniżenia transportochłonności gospodarki, czyli popytu na</w:t>
      </w:r>
      <w:r w:rsidR="00C243B3">
        <w:t> </w:t>
      </w:r>
      <w:r w:rsidRPr="009D61DE">
        <w:t>przewozy pasażerów i ładunków, jak i działania na rzecz lepszej organizacji usług przewozowych (np.</w:t>
      </w:r>
      <w:r w:rsidR="00C243B3">
        <w:t> </w:t>
      </w:r>
      <w:r w:rsidRPr="009D61DE">
        <w:t>stopnia wykorzystania logistyki i inteligentnych technologii, w tym szczególnie technologii zarządzania ruchem, intermodalności, przewozów zbiorowych, organizacji przewozów „ostatniej mili”).</w:t>
      </w:r>
      <w:r w:rsidRPr="00E82973">
        <w:t xml:space="preserve"> </w:t>
      </w:r>
    </w:p>
    <w:p w14:paraId="6BF84C17" w14:textId="613318AF" w:rsidR="00DA5928" w:rsidRPr="009D61DE" w:rsidRDefault="00DA5928" w:rsidP="00DA5928">
      <w:r w:rsidRPr="009D61DE">
        <w:t>Podstawowym celem polityki transportowej opracowywanej na poziomie miast powinno być dążenie do osiągnięcia zrównoważonej mobilności poprzez stworzenie warunków do sprawnego, efektywnego i</w:t>
      </w:r>
      <w:r>
        <w:t> </w:t>
      </w:r>
      <w:r w:rsidRPr="009D61DE">
        <w:t>bezpiecznego przemieszczania się osób i przewozu towarów, przy ograniczeniu szkodliwego wpływu na środowisko naturalne i warunki życia mieszkańców oraz do poprawy dostępności komunikacyjnej w</w:t>
      </w:r>
      <w:r>
        <w:t> </w:t>
      </w:r>
      <w:r w:rsidRPr="009D61DE">
        <w:t xml:space="preserve">obrębie miasta i obszaru funkcjonalnego. W miastach kluczowe znaczenie mają: </w:t>
      </w:r>
      <w:r w:rsidRPr="00422A96">
        <w:t>atrakcyjna oferta transportu publicznego</w:t>
      </w:r>
      <w:r>
        <w:t xml:space="preserve">, </w:t>
      </w:r>
      <w:r w:rsidRPr="009D61DE">
        <w:t>optymalizacja potoków ruchu, w tym ich prędkości, polityka parkingowa</w:t>
      </w:r>
      <w:r>
        <w:t xml:space="preserve">, </w:t>
      </w:r>
      <w:r w:rsidRPr="006F40F7">
        <w:t>rozwiązania na rzecz aktywnej mobilności, w szczególności ruchu rowerowego</w:t>
      </w:r>
      <w:r w:rsidR="00F545AD">
        <w:t xml:space="preserve"> i pieszego</w:t>
      </w:r>
      <w:r w:rsidRPr="009D61DE">
        <w:t xml:space="preserve"> czy wspieranie </w:t>
      </w:r>
      <w:r w:rsidRPr="009D61DE">
        <w:lastRenderedPageBreak/>
        <w:t xml:space="preserve">usług w zakresie logistyki miejskiej. </w:t>
      </w:r>
      <w:r w:rsidR="001B2FD8">
        <w:t xml:space="preserve">Zarówno zmiana istniejącej tkanki miejskiej, jak planowanie nowych obszarów zurbanizowanych powinno opierać się na paradygmacie uczynienia przestrzeni miejskiej dostępnej i przyjaznej </w:t>
      </w:r>
      <w:r w:rsidR="00F545AD">
        <w:t xml:space="preserve">pieszym i </w:t>
      </w:r>
      <w:r w:rsidR="001B2FD8">
        <w:t xml:space="preserve">rowerzystom, </w:t>
      </w:r>
      <w:r w:rsidR="00F545AD">
        <w:t xml:space="preserve">w ślad za ideą </w:t>
      </w:r>
      <w:r w:rsidR="00F545AD">
        <w:rPr>
          <w:i/>
          <w:iCs/>
        </w:rPr>
        <w:t xml:space="preserve">kopenhagizacji </w:t>
      </w:r>
      <w:r w:rsidR="00F545AD">
        <w:t>miast.</w:t>
      </w:r>
      <w:r w:rsidR="001B2FD8">
        <w:t xml:space="preserve"> </w:t>
      </w:r>
      <w:r w:rsidRPr="009D61DE">
        <w:t>Wdrażanie tych rozwiązań skutkuje zmniejszeniem zużycia energii i</w:t>
      </w:r>
      <w:r>
        <w:t> </w:t>
      </w:r>
      <w:r w:rsidRPr="009D61DE">
        <w:t xml:space="preserve">redukcją emisji spalin. </w:t>
      </w:r>
    </w:p>
    <w:p w14:paraId="2F8C0711" w14:textId="77777777" w:rsidR="00DA5928" w:rsidRPr="009D61DE" w:rsidRDefault="00DA5928" w:rsidP="00DA5928">
      <w:r w:rsidRPr="009D61DE">
        <w:t xml:space="preserve">Dodatkowym elementem wspierającym rozwój zeroemisyjnego transportu miejskiego będą działania przewidziane w </w:t>
      </w:r>
      <w:r w:rsidRPr="00610AA0">
        <w:rPr>
          <w:i/>
          <w:iCs/>
        </w:rPr>
        <w:t>Krajowym Planie Odbudowy i Zwiększenia Odporności</w:t>
      </w:r>
      <w:r w:rsidRPr="009D61DE">
        <w:t xml:space="preserve"> (KPO), które zmierzają do dalszej popularyzacji </w:t>
      </w:r>
      <w:r>
        <w:rPr>
          <w:b/>
          <w:bCs/>
        </w:rPr>
        <w:t>p</w:t>
      </w:r>
      <w:r w:rsidRPr="00B10E94">
        <w:rPr>
          <w:b/>
          <w:bCs/>
        </w:rPr>
        <w:t xml:space="preserve">lanów </w:t>
      </w:r>
      <w:r>
        <w:rPr>
          <w:b/>
          <w:bCs/>
        </w:rPr>
        <w:t>z</w:t>
      </w:r>
      <w:r w:rsidRPr="00B10E94">
        <w:rPr>
          <w:b/>
          <w:bCs/>
        </w:rPr>
        <w:t xml:space="preserve">równoważonej </w:t>
      </w:r>
      <w:r>
        <w:rPr>
          <w:b/>
          <w:bCs/>
        </w:rPr>
        <w:t>m</w:t>
      </w:r>
      <w:r w:rsidRPr="00B10E94">
        <w:rPr>
          <w:b/>
          <w:bCs/>
        </w:rPr>
        <w:t xml:space="preserve">obilności </w:t>
      </w:r>
      <w:r>
        <w:rPr>
          <w:b/>
          <w:bCs/>
        </w:rPr>
        <w:t>m</w:t>
      </w:r>
      <w:r w:rsidRPr="00B10E94">
        <w:rPr>
          <w:b/>
          <w:bCs/>
        </w:rPr>
        <w:t>iejskiej</w:t>
      </w:r>
      <w:r w:rsidRPr="009D61DE">
        <w:t xml:space="preserve"> (</w:t>
      </w:r>
      <w:r>
        <w:t xml:space="preserve">ang. </w:t>
      </w:r>
      <w:r w:rsidRPr="007D7C94">
        <w:rPr>
          <w:i/>
          <w:iCs/>
        </w:rPr>
        <w:t>Sustainable Urban Mobility Plan</w:t>
      </w:r>
      <w:r w:rsidRPr="009D61DE">
        <w:t xml:space="preserve"> </w:t>
      </w:r>
      <w:r>
        <w:t xml:space="preserve">– </w:t>
      </w:r>
      <w:r w:rsidRPr="009D61DE">
        <w:t>SUMP), jako jednego z narzędzi przyczyniających się do kompleksowego podejścia do planowania zrównoważonej mobilności w miastach i ich obszarach funkcjonalnych, czy też działania dot</w:t>
      </w:r>
      <w:r>
        <w:t>yczące</w:t>
      </w:r>
      <w:r w:rsidRPr="009D61DE">
        <w:t xml:space="preserve"> wsparcia transportu publicznego.</w:t>
      </w:r>
    </w:p>
    <w:p w14:paraId="29F7E2A1" w14:textId="77777777" w:rsidR="00DA5928" w:rsidRDefault="00DA5928" w:rsidP="00DA5928">
      <w:pPr>
        <w:rPr>
          <w:b/>
        </w:rPr>
      </w:pPr>
      <w:r>
        <w:t xml:space="preserve">Aby przyspieszyć proces wymian floty autobusów miejskich na pojazdy zeroemisyjne w miastach liczących powyżej 100 tys. mieszkańców, wprowadzony zostanie obowiązek nabywania jedynie autobusów zeroemisyjnych (elektrycznych i wodorowych). Ponadto, miasta będą zobowiązane też do zawierania umów przewozu tylko z podmiotami korzystającymi z takich autobusów. </w:t>
      </w:r>
    </w:p>
    <w:p w14:paraId="25BE10F5" w14:textId="77777777" w:rsidR="00DA5928" w:rsidRDefault="00DA5928" w:rsidP="00DA5928">
      <w:r>
        <w:t>Przewiduje</w:t>
      </w:r>
      <w:r w:rsidRPr="009D61DE">
        <w:t xml:space="preserve"> </w:t>
      </w:r>
      <w:r>
        <w:t xml:space="preserve">się wsparcie samorządów w </w:t>
      </w:r>
      <w:r w:rsidRPr="005A5181">
        <w:rPr>
          <w:b/>
          <w:bCs/>
        </w:rPr>
        <w:t>rozwoju zeroemisyjnego transportu publicznego w miastach</w:t>
      </w:r>
      <w:r w:rsidRPr="005A5181">
        <w:t xml:space="preserve"> </w:t>
      </w:r>
      <w:r>
        <w:t xml:space="preserve">dekarbonizacji transportu (m.in. ze środków </w:t>
      </w:r>
      <w:r w:rsidRPr="001959A7">
        <w:rPr>
          <w:bCs/>
        </w:rPr>
        <w:t>Krajowego Planu Odbudowy i Zwiększania Odporności (KPO)</w:t>
      </w:r>
      <w:r>
        <w:t>) w szczególności w zakresie</w:t>
      </w:r>
      <w:r w:rsidRPr="009D61DE">
        <w:t xml:space="preserve"> inwestycj</w:t>
      </w:r>
      <w:r>
        <w:t>i</w:t>
      </w:r>
      <w:r w:rsidRPr="009D61DE">
        <w:t xml:space="preserve"> związan</w:t>
      </w:r>
      <w:r>
        <w:t>ych</w:t>
      </w:r>
      <w:r w:rsidRPr="009D61DE">
        <w:t xml:space="preserve"> z</w:t>
      </w:r>
      <w:r>
        <w:t>:</w:t>
      </w:r>
    </w:p>
    <w:p w14:paraId="079D5203" w14:textId="77777777" w:rsidR="00DA5928" w:rsidRDefault="00DA5928" w:rsidP="003530A9">
      <w:pPr>
        <w:pStyle w:val="Akapitzlist"/>
        <w:numPr>
          <w:ilvl w:val="0"/>
          <w:numId w:val="25"/>
        </w:numPr>
        <w:ind w:left="426"/>
      </w:pPr>
      <w:r w:rsidRPr="009D61DE">
        <w:t>wymianą autobusów na zero- i niskoemisyjne na obszarach podmiejskich/wiejskich</w:t>
      </w:r>
      <w:r>
        <w:t>;</w:t>
      </w:r>
      <w:r w:rsidRPr="009D61DE">
        <w:t xml:space="preserve"> </w:t>
      </w:r>
    </w:p>
    <w:p w14:paraId="395FE9BF" w14:textId="77777777" w:rsidR="00DA5928" w:rsidRDefault="00DA5928" w:rsidP="003530A9">
      <w:pPr>
        <w:pStyle w:val="Akapitzlist"/>
        <w:numPr>
          <w:ilvl w:val="0"/>
          <w:numId w:val="25"/>
        </w:numPr>
        <w:ind w:left="426"/>
      </w:pPr>
      <w:r w:rsidRPr="009D61DE">
        <w:t>zakup</w:t>
      </w:r>
      <w:r>
        <w:t>em</w:t>
      </w:r>
      <w:r w:rsidRPr="009D61DE">
        <w:t xml:space="preserve"> autobusów zero- i niskoemisyjnych dla nowoutworzonych pozamiejskich linii autobusowych, a także wymiany taboru pozamiejskich linii autobusowych zagrożonych likwidacją</w:t>
      </w:r>
      <w:r>
        <w:t>;</w:t>
      </w:r>
    </w:p>
    <w:p w14:paraId="2F97281E" w14:textId="77777777" w:rsidR="00DA5928" w:rsidRPr="001B4D22" w:rsidRDefault="00DA5928" w:rsidP="003530A9">
      <w:pPr>
        <w:pStyle w:val="Akapitzlist"/>
        <w:numPr>
          <w:ilvl w:val="0"/>
          <w:numId w:val="25"/>
        </w:numPr>
        <w:ind w:left="426"/>
      </w:pPr>
      <w:r w:rsidRPr="00E155AA">
        <w:t>zakupem nowych zeroemisyjnych (elektrycznych) autobusów na potrzeby publicznego transportu miejskiego</w:t>
      </w:r>
      <w:r>
        <w:t>.</w:t>
      </w:r>
    </w:p>
    <w:p w14:paraId="54EAD7AC" w14:textId="77777777" w:rsidR="00DA5928" w:rsidRDefault="00DA5928" w:rsidP="00DA5928">
      <w:pPr>
        <w:spacing w:before="360"/>
      </w:pPr>
      <w:r>
        <w:t xml:space="preserve">Wprowadzony zostanie </w:t>
      </w:r>
      <w:r w:rsidRPr="00D44E0A">
        <w:rPr>
          <w:b/>
          <w:bCs/>
        </w:rPr>
        <w:t>obowiązek tworzenia stref czystego transportu w miastach</w:t>
      </w:r>
      <w:r>
        <w:rPr>
          <w:b/>
          <w:bCs/>
        </w:rPr>
        <w:t xml:space="preserve"> o liczbie mieszkańców powyżej 100 tys.</w:t>
      </w:r>
      <w:r>
        <w:t>, w których odnotowane zostanie przekroczenie dopuszczalnego poziomu stężenia średniorocznego poziomu zanieczyszczeń dwutlenkiem azotu. Rozwiązanie to przyczyni się do ograniczenia emisji pochodzących z transportu w miejscach, gdzie jest to szczególnie istotne.</w:t>
      </w:r>
    </w:p>
    <w:p w14:paraId="5060B3FB" w14:textId="77777777" w:rsidR="00DA5928" w:rsidRDefault="00DA5928" w:rsidP="00DA5928">
      <w:r w:rsidRPr="009D61DE">
        <w:t>Istotnym kierunkiem działań będzie także podnoszenie świadomości społeczeństwa i</w:t>
      </w:r>
      <w:r>
        <w:t> </w:t>
      </w:r>
      <w:r w:rsidRPr="009D61DE">
        <w:t>promowanie przyjaznych środowisku sposobów kształtowania i zaspokajania potrzeb transportowych, przede wszystkim</w:t>
      </w:r>
      <w:r w:rsidRPr="009D61DE">
        <w:rPr>
          <w:b/>
        </w:rPr>
        <w:t xml:space="preserve"> </w:t>
      </w:r>
      <w:r w:rsidRPr="009D61DE">
        <w:t>w oparciu o politykę i planowanie transportowe, które promują transport zbiorowy oraz nisko- i zeroemisyjny</w:t>
      </w:r>
      <w:r>
        <w:t>, ale także ruch pieszy i rowerowy</w:t>
      </w:r>
      <w:r w:rsidRPr="009D61DE">
        <w:t>.</w:t>
      </w:r>
      <w:r w:rsidRPr="00D44E0A">
        <w:t xml:space="preserve"> </w:t>
      </w:r>
    </w:p>
    <w:p w14:paraId="28E57D80" w14:textId="77777777" w:rsidR="00DA5928" w:rsidRDefault="00DA5928" w:rsidP="00DA5928">
      <w:pPr>
        <w:rPr>
          <w:lang w:eastAsia="pl-PL"/>
        </w:rPr>
      </w:pPr>
      <w:r w:rsidRPr="00845A87">
        <w:rPr>
          <w:lang w:eastAsia="pl-PL"/>
        </w:rPr>
        <w:t xml:space="preserve">Mając więc na uwadze dalszą dynamikę zmian dekarbonizacyjnych dotyczących transportu miejskiego należy przyjąć, że w długiej perspektywie innowacyjna mobilność powietrzna oparta o platformy bezzałogowe i statki elektryczne (eVTOL) oraz dostosowane do niej instalacje logistyki i systemy zarządzania ruchem zautomatyzowanym, staną się częścią przyszłej multimodalnej i inteligentnej mobilności w miastach, a infrastruktura naziemna i powietrzna umożliwiająca świadczenie usług transportowych zostanie powszechnie wdrożona i zintegrowana. </w:t>
      </w:r>
    </w:p>
    <w:p w14:paraId="070C5EC3" w14:textId="72418D26" w:rsidR="00DA5928" w:rsidRDefault="00DA5928" w:rsidP="00DA5928">
      <w:pPr>
        <w:spacing w:before="360"/>
      </w:pPr>
      <w:r>
        <w:t xml:space="preserve">W odniesieniu do szerszego pojęcia </w:t>
      </w:r>
      <w:r w:rsidRPr="00767A40">
        <w:rPr>
          <w:b/>
          <w:bCs/>
        </w:rPr>
        <w:t>transportu publicznego</w:t>
      </w:r>
      <w:r>
        <w:t xml:space="preserve"> (nie wewnątrz miast) ważną rolę powinien odgrywać transport kolejowy, dlatego w kolejnej części szczegółowo opisano politykę w zakresie kolei.</w:t>
      </w:r>
      <w:r w:rsidR="003E2DE5">
        <w:t xml:space="preserve"> </w:t>
      </w:r>
      <w:r>
        <w:t xml:space="preserve">Na przeciwnym biegunie jest transport lotniczy, który nie powinien służyć do przemieszczania na stosunkowo krótkich odcinkach. </w:t>
      </w:r>
    </w:p>
    <w:p w14:paraId="009C085B" w14:textId="77777777" w:rsidR="00DA5928" w:rsidRDefault="00DA5928" w:rsidP="00DA5928">
      <w:r>
        <w:t xml:space="preserve">Działania związanych z zapewnieniem </w:t>
      </w:r>
      <w:r w:rsidRPr="002F0EAF">
        <w:t>spójności i popraw</w:t>
      </w:r>
      <w:r>
        <w:t>ą</w:t>
      </w:r>
      <w:r w:rsidRPr="002F0EAF">
        <w:t xml:space="preserve"> standardu dróg krajowych</w:t>
      </w:r>
      <w:r>
        <w:t>, a także rozbudowa infrastruktury paliw alternatywnych przy sieci dróg TEN-T wpłynie na sprawność samochodowej zorganizowanej komunikacji zbiorowej. Jednocześnie ważne, aby nie powodować wykluczenia mniejszych miejscowości, przez które na skutek rozwoju sieci szybkiego ruchu straciły możliwość sprawnego przemieszczania. I</w:t>
      </w:r>
      <w:r w:rsidRPr="009D61DE">
        <w:t xml:space="preserve">stotnym wsparciem dla </w:t>
      </w:r>
      <w:r w:rsidRPr="00E82973">
        <w:t xml:space="preserve">autobusowego publicznego transportu zbiorowego </w:t>
      </w:r>
      <w:r w:rsidRPr="009D61DE">
        <w:t xml:space="preserve">jest funkcjonujący od </w:t>
      </w:r>
      <w:r>
        <w:t>połowy</w:t>
      </w:r>
      <w:r w:rsidRPr="009D61DE">
        <w:t xml:space="preserve"> 2019</w:t>
      </w:r>
      <w:r w:rsidRPr="00E82973">
        <w:t> </w:t>
      </w:r>
      <w:r w:rsidRPr="009D61DE">
        <w:t xml:space="preserve">r. </w:t>
      </w:r>
      <w:r w:rsidRPr="006E0322">
        <w:rPr>
          <w:b/>
        </w:rPr>
        <w:t xml:space="preserve">Fundusz rozwoju przewozów autobusowych o charakterze </w:t>
      </w:r>
      <w:r w:rsidRPr="006E0322">
        <w:rPr>
          <w:b/>
        </w:rPr>
        <w:lastRenderedPageBreak/>
        <w:t>użyteczności publicznej</w:t>
      </w:r>
      <w:r w:rsidRPr="009D61DE">
        <w:t xml:space="preserve">. Środki Funduszu przeznacza się na dofinasowanie realizacji zadań własnych </w:t>
      </w:r>
      <w:r w:rsidRPr="00E82973">
        <w:t>jednostek samorządu terytorialnego</w:t>
      </w:r>
      <w:r w:rsidRPr="009D61DE">
        <w:t xml:space="preserve"> w </w:t>
      </w:r>
      <w:r w:rsidRPr="00E82973">
        <w:t xml:space="preserve">zakresie </w:t>
      </w:r>
      <w:r w:rsidRPr="009D61DE">
        <w:t>przewozów autobusowych o charakterze użyteczności publicznej</w:t>
      </w:r>
      <w:r w:rsidRPr="00E82973">
        <w:t xml:space="preserve"> </w:t>
      </w:r>
      <w:r>
        <w:t>(</w:t>
      </w:r>
      <w:r w:rsidRPr="00E82973">
        <w:t>z</w:t>
      </w:r>
      <w:r>
        <w:t> </w:t>
      </w:r>
      <w:r w:rsidRPr="00E82973">
        <w:t>wyłączeniem komunikacji miejskiej</w:t>
      </w:r>
      <w:r>
        <w:t>)</w:t>
      </w:r>
      <w:r w:rsidRPr="00E82973">
        <w:t>. Środki Funduszu mogą przyczyniać się do</w:t>
      </w:r>
      <w:r w:rsidRPr="009D61DE">
        <w:t xml:space="preserve"> eliminowani</w:t>
      </w:r>
      <w:r w:rsidRPr="00E82973">
        <w:t>a</w:t>
      </w:r>
      <w:r w:rsidRPr="009D61DE">
        <w:t xml:space="preserve"> wykluczenia komunikacyjnego i</w:t>
      </w:r>
      <w:r>
        <w:t> </w:t>
      </w:r>
      <w:r w:rsidRPr="009D61DE">
        <w:t>zwiększania dostępu do komunikacji publicznej, przede wszystkim tam, gdzie komunikacja taka nie funkcjonowała lub funkcjonuje w wymiarze, który w pełni nie zaspokaja potrzeb mieszkańców obszaru.</w:t>
      </w:r>
      <w:r>
        <w:t xml:space="preserve"> </w:t>
      </w:r>
    </w:p>
    <w:p w14:paraId="2DC28F69" w14:textId="52AF0780" w:rsidR="00067979" w:rsidRDefault="00067979" w:rsidP="002E51CE">
      <w:pPr>
        <w:pStyle w:val="Nagwek5"/>
        <w:rPr>
          <w:szCs w:val="20"/>
        </w:rPr>
      </w:pPr>
      <w:r>
        <w:t>D</w:t>
      </w:r>
      <w:r w:rsidR="00A868D5" w:rsidRPr="007D7C94">
        <w:t>ekarbonizacj</w:t>
      </w:r>
      <w:r>
        <w:t>a</w:t>
      </w:r>
      <w:r w:rsidR="00A868D5" w:rsidRPr="007D7C94">
        <w:t xml:space="preserve"> transportu samochodowego</w:t>
      </w:r>
    </w:p>
    <w:p w14:paraId="0730631C" w14:textId="2D15C958" w:rsidR="00A868D5" w:rsidRPr="009D61DE" w:rsidRDefault="00067979" w:rsidP="005A5181">
      <w:pPr>
        <w:spacing w:line="257" w:lineRule="auto"/>
        <w:ind w:left="-20" w:right="-20"/>
        <w:rPr>
          <w:rFonts w:eastAsia="Calibri" w:cs="Calibri"/>
          <w:kern w:val="0"/>
          <w:szCs w:val="20"/>
          <w14:ligatures w14:val="none"/>
        </w:rPr>
      </w:pPr>
      <w:r>
        <w:rPr>
          <w:szCs w:val="20"/>
        </w:rPr>
        <w:t>D</w:t>
      </w:r>
      <w:r w:rsidR="007D7C94">
        <w:rPr>
          <w:szCs w:val="20"/>
        </w:rPr>
        <w:t xml:space="preserve">la </w:t>
      </w:r>
      <w:r w:rsidR="00A868D5" w:rsidRPr="009D61DE">
        <w:rPr>
          <w:rFonts w:eastAsia="Calibri" w:cs="Calibri"/>
          <w:kern w:val="0"/>
          <w:szCs w:val="20"/>
          <w14:ligatures w14:val="none"/>
        </w:rPr>
        <w:t>pobudzeni</w:t>
      </w:r>
      <w:r w:rsidR="007D7C94">
        <w:rPr>
          <w:rFonts w:eastAsia="Calibri" w:cs="Calibri"/>
          <w:kern w:val="0"/>
          <w:szCs w:val="20"/>
          <w14:ligatures w14:val="none"/>
        </w:rPr>
        <w:t>a</w:t>
      </w:r>
      <w:r w:rsidR="00A868D5" w:rsidRPr="009D61DE">
        <w:rPr>
          <w:rFonts w:eastAsia="Calibri" w:cs="Calibri"/>
          <w:kern w:val="0"/>
          <w:szCs w:val="20"/>
          <w14:ligatures w14:val="none"/>
        </w:rPr>
        <w:t xml:space="preserve"> popytu na pojazdy niskoemisyjne </w:t>
      </w:r>
      <w:r w:rsidR="008C5F06">
        <w:rPr>
          <w:rFonts w:eastAsia="Calibri" w:cs="Calibri"/>
          <w:kern w:val="0"/>
          <w:szCs w:val="20"/>
          <w14:ligatures w14:val="none"/>
        </w:rPr>
        <w:t>elementem napędzającym trend jest</w:t>
      </w:r>
      <w:r w:rsidR="00A868D5" w:rsidRPr="009D61DE">
        <w:rPr>
          <w:rFonts w:eastAsia="Calibri" w:cs="Calibri"/>
          <w:kern w:val="0"/>
          <w:szCs w:val="20"/>
          <w14:ligatures w14:val="none"/>
        </w:rPr>
        <w:t xml:space="preserve"> istnienie obowiązku dotrzymania przez </w:t>
      </w:r>
      <w:r w:rsidR="00E723B6">
        <w:rPr>
          <w:rFonts w:eastAsia="Calibri" w:cs="Calibri"/>
          <w:kern w:val="0"/>
          <w:szCs w:val="20"/>
          <w14:ligatures w14:val="none"/>
        </w:rPr>
        <w:t>z</w:t>
      </w:r>
      <w:r w:rsidR="00A868D5" w:rsidRPr="009D61DE">
        <w:rPr>
          <w:rFonts w:eastAsia="Calibri" w:cs="Calibri"/>
          <w:kern w:val="0"/>
          <w:szCs w:val="20"/>
          <w14:ligatures w14:val="none"/>
        </w:rPr>
        <w:t>amawiających</w:t>
      </w:r>
      <w:r w:rsidR="00A868D5" w:rsidRPr="009D61DE">
        <w:rPr>
          <w:rFonts w:eastAsia="Calibri" w:cs="Calibri"/>
          <w:b/>
          <w:kern w:val="0"/>
          <w:szCs w:val="20"/>
          <w14:ligatures w14:val="none"/>
        </w:rPr>
        <w:t xml:space="preserve"> minimalnych udziałów pojazdów czystych (nisko-</w:t>
      </w:r>
      <w:r w:rsidR="0053127A">
        <w:rPr>
          <w:rFonts w:eastAsia="Calibri" w:cs="Calibri"/>
          <w:b/>
          <w:kern w:val="0"/>
          <w:szCs w:val="20"/>
          <w14:ligatures w14:val="none"/>
        </w:rPr>
        <w:t> </w:t>
      </w:r>
      <w:r w:rsidR="00A868D5" w:rsidRPr="009D61DE">
        <w:rPr>
          <w:rFonts w:eastAsia="Calibri" w:cs="Calibri"/>
          <w:b/>
          <w:kern w:val="0"/>
          <w:szCs w:val="20"/>
          <w14:ligatures w14:val="none"/>
        </w:rPr>
        <w:t>i</w:t>
      </w:r>
      <w:r w:rsidR="00E723B6">
        <w:rPr>
          <w:rFonts w:eastAsia="Calibri" w:cs="Calibri"/>
          <w:b/>
          <w:kern w:val="0"/>
          <w:szCs w:val="20"/>
          <w14:ligatures w14:val="none"/>
        </w:rPr>
        <w:t> </w:t>
      </w:r>
      <w:r w:rsidR="00A868D5" w:rsidRPr="009D61DE">
        <w:rPr>
          <w:rFonts w:eastAsia="Calibri" w:cs="Calibri"/>
          <w:b/>
          <w:kern w:val="0"/>
          <w:szCs w:val="20"/>
          <w14:ligatures w14:val="none"/>
        </w:rPr>
        <w:t>zeroemisyjnych) w puli pojazdów drogowych objętych zamówieniami publicznymi</w:t>
      </w:r>
      <w:r w:rsidR="00AF4FD2">
        <w:rPr>
          <w:rFonts w:eastAsia="Calibri" w:cs="Calibri"/>
          <w:kern w:val="0"/>
          <w:szCs w:val="20"/>
          <w14:ligatures w14:val="none"/>
        </w:rPr>
        <w:t xml:space="preserve"> –</w:t>
      </w:r>
      <w:r w:rsidR="00A868D5" w:rsidRPr="009D61DE">
        <w:rPr>
          <w:rFonts w:eastAsia="Calibri" w:cs="Calibri"/>
          <w:kern w:val="0"/>
          <w:szCs w:val="20"/>
          <w14:ligatures w14:val="none"/>
        </w:rPr>
        <w:t xml:space="preserve"> wprowadzone poprzez </w:t>
      </w:r>
      <w:r w:rsidR="00A868D5" w:rsidRPr="009D61DE">
        <w:rPr>
          <w:rFonts w:eastAsia="Calibri" w:cs="Calibri"/>
          <w:i/>
          <w:iCs/>
          <w:kern w:val="0"/>
          <w:szCs w:val="20"/>
          <w14:ligatures w14:val="none"/>
        </w:rPr>
        <w:t>ustawę z dnia 2</w:t>
      </w:r>
      <w:r>
        <w:rPr>
          <w:rFonts w:eastAsia="Calibri" w:cs="Calibri"/>
          <w:i/>
          <w:iCs/>
          <w:kern w:val="0"/>
          <w:szCs w:val="20"/>
          <w14:ligatures w14:val="none"/>
        </w:rPr>
        <w:t> </w:t>
      </w:r>
      <w:r w:rsidR="00A868D5" w:rsidRPr="009D61DE">
        <w:rPr>
          <w:rFonts w:eastAsia="Calibri" w:cs="Calibri"/>
          <w:i/>
          <w:iCs/>
          <w:kern w:val="0"/>
          <w:szCs w:val="20"/>
          <w14:ligatures w14:val="none"/>
        </w:rPr>
        <w:t xml:space="preserve">grudnia 2021 r. o zmianie ustawy o elektromobilności i paliwach alternatywnych oraz niektórych innych ustaw, </w:t>
      </w:r>
      <w:r w:rsidR="00A868D5" w:rsidRPr="009D61DE">
        <w:rPr>
          <w:rFonts w:eastAsia="Calibri" w:cs="Calibri"/>
          <w:kern w:val="0"/>
          <w:szCs w:val="20"/>
          <w14:ligatures w14:val="none"/>
        </w:rPr>
        <w:t xml:space="preserve">wdrażając tym samym </w:t>
      </w:r>
      <w:r w:rsidR="00A868D5" w:rsidRPr="00E82973">
        <w:rPr>
          <w:rFonts w:eastAsia="Calibri" w:cs="Calibri"/>
          <w:kern w:val="0"/>
          <w:szCs w:val="20"/>
          <w14:ligatures w14:val="none"/>
        </w:rPr>
        <w:t>d</w:t>
      </w:r>
      <w:r w:rsidR="00A868D5" w:rsidRPr="009D61DE">
        <w:rPr>
          <w:rFonts w:eastAsia="Calibri" w:cs="Calibri"/>
          <w:kern w:val="0"/>
          <w:szCs w:val="20"/>
          <w14:ligatures w14:val="none"/>
        </w:rPr>
        <w:t>yrektywę</w:t>
      </w:r>
      <w:r w:rsidR="00A868D5" w:rsidRPr="00E82973">
        <w:rPr>
          <w:rFonts w:eastAsia="Calibri" w:cs="Calibri"/>
          <w:kern w:val="0"/>
          <w:szCs w:val="20"/>
          <w14:ligatures w14:val="none"/>
        </w:rPr>
        <w:t xml:space="preserve"> </w:t>
      </w:r>
      <w:r w:rsidR="007D7C94">
        <w:rPr>
          <w:rFonts w:eastAsia="Calibri" w:cs="Calibri"/>
          <w:kern w:val="0"/>
          <w:szCs w:val="20"/>
          <w14:ligatures w14:val="none"/>
        </w:rPr>
        <w:t xml:space="preserve">2019/1161 – </w:t>
      </w:r>
      <w:r w:rsidR="00A868D5" w:rsidRPr="00E82973">
        <w:rPr>
          <w:rFonts w:eastAsia="Calibri" w:cs="Calibri"/>
          <w:kern w:val="0"/>
          <w:szCs w:val="20"/>
          <w14:ligatures w14:val="none"/>
        </w:rPr>
        <w:t>CVD</w:t>
      </w:r>
      <w:r w:rsidR="00A868D5" w:rsidRPr="009D61DE">
        <w:rPr>
          <w:rFonts w:eastAsia="Calibri" w:cs="Calibri"/>
          <w:kern w:val="0"/>
          <w:szCs w:val="20"/>
          <w14:ligatures w14:val="none"/>
        </w:rPr>
        <w:t>. Obowiązek obejmuje zapewnienie przez zamawiających minimalnych poziomów docelowych udziału nisko- i zeroemisyjnych pojazdów drogowych do przewozu pasażerów i ładunków (kategorii M i N) w</w:t>
      </w:r>
      <w:r w:rsidR="00F80346">
        <w:rPr>
          <w:rFonts w:eastAsia="Calibri" w:cs="Calibri"/>
          <w:kern w:val="0"/>
          <w:szCs w:val="20"/>
          <w14:ligatures w14:val="none"/>
        </w:rPr>
        <w:t> </w:t>
      </w:r>
      <w:r w:rsidR="00A868D5" w:rsidRPr="009D61DE">
        <w:rPr>
          <w:rFonts w:eastAsia="Calibri" w:cs="Calibri"/>
          <w:kern w:val="0"/>
          <w:szCs w:val="20"/>
          <w14:ligatures w14:val="none"/>
        </w:rPr>
        <w:t>całkowitej liczbie pojazdów objętych udzielonymi zamówieniami publicznymi (o wartości równej lub przekraczającej progi unijne) na: dostawy pojazdów, wybrane usługi o charakterze transportowym oraz usługi drogowego publicznego transportu zbiorowego, w dwóch okresach: od 24 grudnia 2021 r. do 31</w:t>
      </w:r>
      <w:r w:rsidR="00F80346">
        <w:rPr>
          <w:rFonts w:eastAsia="Calibri" w:cs="Calibri"/>
          <w:kern w:val="0"/>
          <w:szCs w:val="20"/>
          <w14:ligatures w14:val="none"/>
        </w:rPr>
        <w:t> </w:t>
      </w:r>
      <w:r w:rsidR="00A868D5" w:rsidRPr="009D61DE">
        <w:rPr>
          <w:rFonts w:eastAsia="Calibri" w:cs="Calibri"/>
          <w:kern w:val="0"/>
          <w:szCs w:val="20"/>
          <w14:ligatures w14:val="none"/>
        </w:rPr>
        <w:t xml:space="preserve">grudnia 2025 r. oraz od 1 stycznia 2026 r. do 31 grudnia 2030 r. </w:t>
      </w:r>
      <w:r w:rsidR="001959A7">
        <w:rPr>
          <w:rFonts w:eastAsia="Calibri" w:cs="Calibri"/>
          <w:kern w:val="0"/>
          <w:szCs w:val="20"/>
          <w14:ligatures w14:val="none"/>
        </w:rPr>
        <w:t xml:space="preserve">Ponadto </w:t>
      </w:r>
      <w:r w:rsidR="001959A7" w:rsidRPr="009D61DE">
        <w:rPr>
          <w:rFonts w:eastAsia="Calibri" w:cs="Calibri"/>
          <w:i/>
          <w:iCs/>
          <w:kern w:val="0"/>
          <w:szCs w:val="20"/>
          <w14:ligatures w14:val="none"/>
        </w:rPr>
        <w:t>ustaw</w:t>
      </w:r>
      <w:r w:rsidR="001959A7">
        <w:rPr>
          <w:rFonts w:eastAsia="Calibri" w:cs="Calibri"/>
          <w:i/>
          <w:iCs/>
          <w:kern w:val="0"/>
          <w:szCs w:val="20"/>
          <w14:ligatures w14:val="none"/>
        </w:rPr>
        <w:t>a</w:t>
      </w:r>
      <w:r w:rsidR="001959A7" w:rsidRPr="009D61DE">
        <w:rPr>
          <w:rFonts w:eastAsia="Calibri" w:cs="Calibri"/>
          <w:i/>
          <w:iCs/>
          <w:kern w:val="0"/>
          <w:szCs w:val="20"/>
          <w14:ligatures w14:val="none"/>
        </w:rPr>
        <w:t xml:space="preserve"> o elektromobilności i</w:t>
      </w:r>
      <w:r w:rsidR="0053127A">
        <w:rPr>
          <w:rFonts w:eastAsia="Calibri" w:cs="Calibri"/>
          <w:i/>
          <w:iCs/>
          <w:kern w:val="0"/>
          <w:szCs w:val="20"/>
          <w14:ligatures w14:val="none"/>
        </w:rPr>
        <w:t> </w:t>
      </w:r>
      <w:r w:rsidR="001959A7" w:rsidRPr="009D61DE">
        <w:rPr>
          <w:rFonts w:eastAsia="Calibri" w:cs="Calibri"/>
          <w:i/>
          <w:iCs/>
          <w:kern w:val="0"/>
          <w:szCs w:val="20"/>
          <w14:ligatures w14:val="none"/>
        </w:rPr>
        <w:t>paliwach alternatywnych</w:t>
      </w:r>
      <w:r w:rsidR="001959A7">
        <w:rPr>
          <w:rFonts w:eastAsia="Calibri" w:cs="Calibri"/>
          <w:i/>
          <w:iCs/>
          <w:kern w:val="0"/>
          <w:szCs w:val="20"/>
          <w14:ligatures w14:val="none"/>
        </w:rPr>
        <w:t xml:space="preserve"> </w:t>
      </w:r>
      <w:r w:rsidR="001959A7">
        <w:rPr>
          <w:rFonts w:eastAsia="Calibri" w:cs="Calibri"/>
          <w:kern w:val="0"/>
          <w:szCs w:val="20"/>
          <w14:ligatures w14:val="none"/>
        </w:rPr>
        <w:t xml:space="preserve">zobowiązała </w:t>
      </w:r>
      <w:r w:rsidR="001959A7" w:rsidRPr="003F2DBF">
        <w:rPr>
          <w:rFonts w:eastAsia="Calibri" w:cs="Calibri"/>
          <w:kern w:val="0"/>
          <w:szCs w:val="20"/>
          <w14:ligatures w14:val="none"/>
        </w:rPr>
        <w:t>organ</w:t>
      </w:r>
      <w:r w:rsidR="001959A7">
        <w:rPr>
          <w:rFonts w:eastAsia="Calibri" w:cs="Calibri"/>
          <w:kern w:val="0"/>
          <w:szCs w:val="20"/>
          <w14:ligatures w14:val="none"/>
        </w:rPr>
        <w:t>y</w:t>
      </w:r>
      <w:r w:rsidR="001959A7" w:rsidRPr="003F2DBF">
        <w:rPr>
          <w:rFonts w:eastAsia="Calibri" w:cs="Calibri"/>
          <w:kern w:val="0"/>
          <w:szCs w:val="20"/>
          <w14:ligatures w14:val="none"/>
        </w:rPr>
        <w:t xml:space="preserve"> naczeln</w:t>
      </w:r>
      <w:r w:rsidR="001959A7">
        <w:rPr>
          <w:rFonts w:eastAsia="Calibri" w:cs="Calibri"/>
          <w:kern w:val="0"/>
          <w:szCs w:val="20"/>
          <w14:ligatures w14:val="none"/>
        </w:rPr>
        <w:t>e</w:t>
      </w:r>
      <w:r w:rsidR="001959A7" w:rsidRPr="003F2DBF">
        <w:rPr>
          <w:rFonts w:eastAsia="Calibri" w:cs="Calibri"/>
          <w:kern w:val="0"/>
          <w:szCs w:val="20"/>
          <w14:ligatures w14:val="none"/>
        </w:rPr>
        <w:t xml:space="preserve"> i</w:t>
      </w:r>
      <w:r w:rsidR="001959A7">
        <w:rPr>
          <w:rFonts w:eastAsia="Calibri" w:cs="Calibri"/>
          <w:kern w:val="0"/>
          <w:szCs w:val="20"/>
          <w14:ligatures w14:val="none"/>
        </w:rPr>
        <w:t> </w:t>
      </w:r>
      <w:r w:rsidR="001959A7" w:rsidRPr="003F2DBF">
        <w:rPr>
          <w:rFonts w:eastAsia="Calibri" w:cs="Calibri"/>
          <w:kern w:val="0"/>
          <w:szCs w:val="20"/>
          <w14:ligatures w14:val="none"/>
        </w:rPr>
        <w:t>centraln</w:t>
      </w:r>
      <w:r w:rsidR="001959A7">
        <w:rPr>
          <w:rFonts w:eastAsia="Calibri" w:cs="Calibri"/>
          <w:kern w:val="0"/>
          <w:szCs w:val="20"/>
          <w14:ligatures w14:val="none"/>
        </w:rPr>
        <w:t>e</w:t>
      </w:r>
      <w:r w:rsidR="001959A7" w:rsidRPr="003F2DBF">
        <w:rPr>
          <w:rFonts w:eastAsia="Calibri" w:cs="Calibri"/>
          <w:kern w:val="0"/>
          <w:szCs w:val="20"/>
          <w14:ligatures w14:val="none"/>
        </w:rPr>
        <w:t xml:space="preserve"> oraz </w:t>
      </w:r>
      <w:r w:rsidR="001959A7">
        <w:rPr>
          <w:rFonts w:eastAsia="Calibri" w:cs="Calibri"/>
          <w:kern w:val="0"/>
          <w:szCs w:val="20"/>
          <w14:ligatures w14:val="none"/>
        </w:rPr>
        <w:t>jednostki samorządu terytorialnego</w:t>
      </w:r>
      <w:r w:rsidR="001959A7" w:rsidRPr="003F2DBF">
        <w:rPr>
          <w:rFonts w:eastAsia="Calibri" w:cs="Calibri"/>
          <w:kern w:val="0"/>
          <w:szCs w:val="20"/>
          <w14:ligatures w14:val="none"/>
        </w:rPr>
        <w:t xml:space="preserve"> pow</w:t>
      </w:r>
      <w:r w:rsidR="001959A7">
        <w:rPr>
          <w:rFonts w:eastAsia="Calibri" w:cs="Calibri"/>
          <w:kern w:val="0"/>
          <w:szCs w:val="20"/>
          <w14:ligatures w14:val="none"/>
        </w:rPr>
        <w:t>yżej</w:t>
      </w:r>
      <w:r w:rsidR="001959A7" w:rsidRPr="003F2DBF">
        <w:rPr>
          <w:rFonts w:eastAsia="Calibri" w:cs="Calibri"/>
          <w:kern w:val="0"/>
          <w:szCs w:val="20"/>
          <w14:ligatures w14:val="none"/>
        </w:rPr>
        <w:t xml:space="preserve"> 50 tys. mieszkańców</w:t>
      </w:r>
      <w:r w:rsidR="001959A7">
        <w:rPr>
          <w:rFonts w:eastAsia="Calibri" w:cs="Calibri"/>
          <w:kern w:val="0"/>
          <w:szCs w:val="20"/>
          <w14:ligatures w14:val="none"/>
        </w:rPr>
        <w:t xml:space="preserve"> obowiązek wykorzystania we flocie </w:t>
      </w:r>
      <w:r w:rsidR="001959A7" w:rsidRPr="003F2DBF">
        <w:rPr>
          <w:rFonts w:eastAsia="Calibri" w:cs="Calibri"/>
          <w:kern w:val="0"/>
          <w:szCs w:val="20"/>
          <w14:ligatures w14:val="none"/>
        </w:rPr>
        <w:t xml:space="preserve">elektrycznych </w:t>
      </w:r>
      <w:r w:rsidR="001959A7">
        <w:rPr>
          <w:rFonts w:eastAsia="Calibri" w:cs="Calibri"/>
          <w:kern w:val="0"/>
          <w:szCs w:val="20"/>
          <w14:ligatures w14:val="none"/>
        </w:rPr>
        <w:t>pojazdów samochodowych. Udział tych pojazdów we flocie ma wynieść docelowo 30%.</w:t>
      </w:r>
      <w:r w:rsidR="005368A0">
        <w:rPr>
          <w:rFonts w:eastAsia="Calibri" w:cs="Calibri"/>
          <w:kern w:val="0"/>
          <w:szCs w:val="20"/>
          <w14:ligatures w14:val="none"/>
        </w:rPr>
        <w:t xml:space="preserve"> </w:t>
      </w:r>
    </w:p>
    <w:p w14:paraId="10788A6E" w14:textId="115A338F" w:rsidR="007F7CCE" w:rsidRPr="005A5181" w:rsidRDefault="001C0F0D" w:rsidP="005A5181">
      <w:pPr>
        <w:spacing w:before="360" w:line="257" w:lineRule="auto"/>
        <w:ind w:left="-20" w:right="-20"/>
        <w:rPr>
          <w:rFonts w:eastAsia="Calibri" w:cs="Calibri"/>
          <w:kern w:val="0"/>
          <w:szCs w:val="20"/>
          <w14:ligatures w14:val="none"/>
        </w:rPr>
      </w:pPr>
      <w:r>
        <w:rPr>
          <w:rFonts w:eastAsia="Lato" w:cs="Lato"/>
          <w:szCs w:val="20"/>
        </w:rPr>
        <w:t>R</w:t>
      </w:r>
      <w:r w:rsidR="007F7CCE">
        <w:rPr>
          <w:rFonts w:eastAsia="Lato" w:cs="Lato"/>
          <w:szCs w:val="20"/>
        </w:rPr>
        <w:t xml:space="preserve">ealizację celów w zakresie dekarbonizacji transportu drogowego wspierają także </w:t>
      </w:r>
      <w:r w:rsidR="007F7CCE" w:rsidRPr="00FC74BC">
        <w:rPr>
          <w:rFonts w:eastAsia="Lato" w:cs="Lato"/>
          <w:b/>
          <w:bCs/>
          <w:szCs w:val="20"/>
        </w:rPr>
        <w:t>instrumenty fiskalne</w:t>
      </w:r>
      <w:r w:rsidR="007F7CCE">
        <w:rPr>
          <w:rFonts w:eastAsia="Lato" w:cs="Lato"/>
          <w:szCs w:val="20"/>
        </w:rPr>
        <w:t xml:space="preserve"> wprowadzone do polskiego systemu prawnego</w:t>
      </w:r>
      <w:r w:rsidR="00A45F9A">
        <w:rPr>
          <w:rFonts w:eastAsia="Lato" w:cs="Lato"/>
          <w:szCs w:val="20"/>
        </w:rPr>
        <w:t xml:space="preserve"> w odniesieniu do sektora prywatnego</w:t>
      </w:r>
      <w:r w:rsidR="007F7CCE">
        <w:rPr>
          <w:rFonts w:eastAsia="Lato" w:cs="Lato"/>
          <w:szCs w:val="20"/>
        </w:rPr>
        <w:t xml:space="preserve">. Mają one na celu obniżenie początkowo wyższych kosztów nabycia pojazdów zasilanych paliwami alternatywnymi (zwolnienia podatkowe) oraz późniejsze ich użytkowanie (koszty amortyzacji). </w:t>
      </w:r>
      <w:r w:rsidR="00434655">
        <w:rPr>
          <w:rFonts w:eastAsia="Lato" w:cs="Lato"/>
          <w:szCs w:val="20"/>
        </w:rPr>
        <w:t xml:space="preserve">Osiągnięcie efektu skali </w:t>
      </w:r>
      <w:r w:rsidR="00E82FE5">
        <w:rPr>
          <w:rFonts w:eastAsia="Lato" w:cs="Lato"/>
          <w:szCs w:val="20"/>
        </w:rPr>
        <w:t xml:space="preserve">może wymagać wsparcia </w:t>
      </w:r>
      <w:r w:rsidR="00434655" w:rsidRPr="00AA757C">
        <w:rPr>
          <w:szCs w:val="20"/>
        </w:rPr>
        <w:t xml:space="preserve">dla firmowych flot samochodowych np. </w:t>
      </w:r>
      <w:r w:rsidR="00E82FE5">
        <w:rPr>
          <w:szCs w:val="20"/>
        </w:rPr>
        <w:t xml:space="preserve">poprzez </w:t>
      </w:r>
      <w:r w:rsidR="00434655" w:rsidRPr="00AA757C">
        <w:rPr>
          <w:szCs w:val="20"/>
        </w:rPr>
        <w:t>gwarancje bankowe na zakup</w:t>
      </w:r>
      <w:r w:rsidR="00E82FE5">
        <w:rPr>
          <w:szCs w:val="20"/>
        </w:rPr>
        <w:t xml:space="preserve">, </w:t>
      </w:r>
      <w:r w:rsidR="00434655" w:rsidRPr="00AA757C">
        <w:rPr>
          <w:szCs w:val="20"/>
        </w:rPr>
        <w:t>leasing</w:t>
      </w:r>
      <w:r w:rsidR="00E82FE5">
        <w:rPr>
          <w:szCs w:val="20"/>
        </w:rPr>
        <w:t xml:space="preserve">, czy </w:t>
      </w:r>
      <w:r w:rsidR="00434655" w:rsidRPr="00AA757C">
        <w:rPr>
          <w:szCs w:val="20"/>
        </w:rPr>
        <w:t>długoterminowy najem.</w:t>
      </w:r>
      <w:r w:rsidR="003F55BC">
        <w:rPr>
          <w:szCs w:val="20"/>
        </w:rPr>
        <w:t xml:space="preserve"> Unijna taksonomia, promująca inwestycje dekarbonizacyjne,</w:t>
      </w:r>
      <w:r w:rsidR="00434655">
        <w:rPr>
          <w:szCs w:val="20"/>
        </w:rPr>
        <w:t xml:space="preserve"> </w:t>
      </w:r>
      <w:r w:rsidR="003F55BC">
        <w:rPr>
          <w:szCs w:val="20"/>
        </w:rPr>
        <w:t>może wpłynąć także na</w:t>
      </w:r>
      <w:r w:rsidR="00757170">
        <w:rPr>
          <w:szCs w:val="20"/>
        </w:rPr>
        <w:t xml:space="preserve"> strategie banków, które będą zapewniać produkty</w:t>
      </w:r>
      <w:r w:rsidR="00041612">
        <w:rPr>
          <w:szCs w:val="20"/>
        </w:rPr>
        <w:t xml:space="preserve"> preferencyjne dla rozwiązań nisko- i zeroemisyjnych.</w:t>
      </w:r>
    </w:p>
    <w:p w14:paraId="7B63673D" w14:textId="42489A6F" w:rsidR="007F7CCE" w:rsidRDefault="007F7CCE" w:rsidP="005A5181">
      <w:pPr>
        <w:spacing w:before="360"/>
        <w:rPr>
          <w:color w:val="70AD47" w:themeColor="accent6"/>
        </w:rPr>
      </w:pPr>
      <w:r>
        <w:t>Dla rozwoju elektromobilności k</w:t>
      </w:r>
      <w:r w:rsidRPr="009D61DE">
        <w:t>luczowe będzie także utworzenie</w:t>
      </w:r>
      <w:r>
        <w:t xml:space="preserve"> gęstej sieci</w:t>
      </w:r>
      <w:r w:rsidRPr="009D61DE">
        <w:t xml:space="preserve"> </w:t>
      </w:r>
      <w:r w:rsidRPr="009D61DE">
        <w:rPr>
          <w:b/>
        </w:rPr>
        <w:t>ogólnodostępnej infrastruktury ładowania</w:t>
      </w:r>
      <w:r w:rsidRPr="009D61DE">
        <w:t xml:space="preserve"> elektrycznych pojazdów drogowych, zgodnie z rozporządzeniem </w:t>
      </w:r>
      <w:r>
        <w:t xml:space="preserve">AFIR, </w:t>
      </w:r>
      <w:r>
        <w:rPr>
          <w:rFonts w:eastAsia="Times New Roman" w:cs="Times New Roman"/>
          <w:color w:val="000000" w:themeColor="text1"/>
          <w:kern w:val="0"/>
          <w:lang w:eastAsia="it-IT"/>
          <w14:ligatures w14:val="none"/>
        </w:rPr>
        <w:t xml:space="preserve">które </w:t>
      </w:r>
      <w:r w:rsidRPr="00841C0D">
        <w:rPr>
          <w:rFonts w:eastAsia="Times New Roman" w:cs="Times New Roman"/>
          <w:color w:val="000000" w:themeColor="text1"/>
          <w:kern w:val="0"/>
          <w:lang w:eastAsia="it-IT"/>
          <w14:ligatures w14:val="none"/>
        </w:rPr>
        <w:t>nakłada na każde państwo członkowskie cele wiążące w zakresie infrastruktury paliw alternatywnych</w:t>
      </w:r>
      <w:r w:rsidRPr="009D61DE">
        <w:t xml:space="preserve">. </w:t>
      </w:r>
    </w:p>
    <w:p w14:paraId="20AB668E" w14:textId="3B589BB9" w:rsidR="00F545AD" w:rsidRDefault="007F7CCE" w:rsidP="00F545AD">
      <w:r w:rsidRPr="00A430D4">
        <w:t xml:space="preserve">Mając na uwadze konieczne tempo dekarbonizacji transportu oraz sytuację ekonomiczną w kraju, na początkowym etapie rozwoju elektromobilności znaczącą rolę odgrywają </w:t>
      </w:r>
      <w:r w:rsidRPr="009E13DA">
        <w:rPr>
          <w:b/>
          <w:bCs/>
        </w:rPr>
        <w:t>instrumenty wsparcia finansowego</w:t>
      </w:r>
      <w:r w:rsidRPr="00A430D4">
        <w:t>. Od 2021 r. w Polsce funkcjonują programy wspierające nabycie zeroemisyjnych pojazdów, w tym autobusów, co przyczynia się do wzrostu popytu na te pojazdy. Ponadto, wspierana jest budowa i</w:t>
      </w:r>
      <w:r w:rsidR="00C002F5">
        <w:t> </w:t>
      </w:r>
      <w:r w:rsidRPr="00A430D4">
        <w:t>rozbudowa infrastruktury ładowania wraz z niezbędną infrastrukturą przyłączeniową. Inicjatywy te obejmują pełen katalog niezbędnych inwestycji.</w:t>
      </w:r>
      <w:r w:rsidR="00F545AD">
        <w:t xml:space="preserve"> Prowadzone będą także działania w zakresie rozwój ewidencji infrastruktury paliw alternatywnych.</w:t>
      </w:r>
    </w:p>
    <w:p w14:paraId="56898C11" w14:textId="37DA01D9" w:rsidR="007F7CCE" w:rsidRPr="00A430D4" w:rsidRDefault="007F7CCE" w:rsidP="007F7CCE">
      <w:r w:rsidRPr="00A430D4">
        <w:rPr>
          <w:lang w:eastAsia="it-IT"/>
        </w:rPr>
        <w:t xml:space="preserve">Dodatkowo, w związku z koniecznością dekarbonizacji transportu ciężkiego, </w:t>
      </w:r>
      <w:r w:rsidR="0055384A">
        <w:rPr>
          <w:lang w:eastAsia="it-IT"/>
        </w:rPr>
        <w:t xml:space="preserve">uruchomiono nowe programy </w:t>
      </w:r>
      <w:r w:rsidR="00F077ED">
        <w:rPr>
          <w:lang w:eastAsia="it-IT"/>
        </w:rPr>
        <w:t xml:space="preserve">mające </w:t>
      </w:r>
      <w:r w:rsidRPr="00A430D4">
        <w:rPr>
          <w:lang w:eastAsia="it-IT"/>
        </w:rPr>
        <w:t xml:space="preserve">na celu wsparcie rynku zeroemisyjnych pojazdów ciężkich kategorii N2 i N3 oraz wsparcie rozwoju infrastruktury ładowania dedykowanej transportowi ciężkiemu. </w:t>
      </w:r>
      <w:r w:rsidRPr="00A430D4">
        <w:t>Wskazać należy, że</w:t>
      </w:r>
      <w:r w:rsidR="00582E75">
        <w:t> </w:t>
      </w:r>
      <w:r w:rsidRPr="00A430D4">
        <w:t>rozszerzenie programów wsparcia na sektor transportu ciężkiego pozwoli na znaczne zwiększenie wykorzystania energii elektrycznej, a tym samym przełoży się na istotny wzrost udziału OZE w</w:t>
      </w:r>
      <w:r w:rsidR="00C002F5">
        <w:t> </w:t>
      </w:r>
      <w:r w:rsidRPr="00A430D4">
        <w:t>transporcie.</w:t>
      </w:r>
      <w:r w:rsidR="00F077ED">
        <w:t xml:space="preserve"> Jednocześnie dążyć się będzie do zapewnienia </w:t>
      </w:r>
      <w:r w:rsidR="00AA50A6">
        <w:t xml:space="preserve">mechanizmu </w:t>
      </w:r>
      <w:r w:rsidR="00BD39BF">
        <w:t xml:space="preserve">wsparcia </w:t>
      </w:r>
      <w:r w:rsidR="00AA50A6">
        <w:t>unijnego</w:t>
      </w:r>
      <w:r w:rsidR="00BD39BF">
        <w:t xml:space="preserve"> dla transportu ciężkiego, tak </w:t>
      </w:r>
      <w:r w:rsidR="00884952">
        <w:t xml:space="preserve">aby ograniczyć ryzyko spadku </w:t>
      </w:r>
      <w:r w:rsidR="00884952" w:rsidRPr="00884952">
        <w:t>konkurencyjnoś</w:t>
      </w:r>
      <w:r w:rsidR="00884952">
        <w:t>ci</w:t>
      </w:r>
      <w:r w:rsidR="00884952" w:rsidRPr="00884952">
        <w:t xml:space="preserve"> polskich przedsiębiorców realizujących międzynarodowe przewozy drogowe towarów</w:t>
      </w:r>
      <w:r w:rsidR="00884952">
        <w:t>.</w:t>
      </w:r>
    </w:p>
    <w:p w14:paraId="2F491568" w14:textId="0AEA416D" w:rsidR="007F7CCE" w:rsidRPr="007F7CCE" w:rsidRDefault="007F7CCE" w:rsidP="007F7CCE">
      <w:r w:rsidRPr="00A430D4">
        <w:lastRenderedPageBreak/>
        <w:t xml:space="preserve">Oprócz tego planowane są inicjatywy wspierające </w:t>
      </w:r>
      <w:r w:rsidRPr="00FC0431">
        <w:rPr>
          <w:b/>
          <w:bCs/>
        </w:rPr>
        <w:t>rozwój niepublicznej infrastruktury ładowania pojazdów</w:t>
      </w:r>
      <w:r w:rsidRPr="00A430D4">
        <w:t xml:space="preserve"> drogowych, co umożliwi dalsze zwiększenie dostępności pojazdów zeroemisyjnych w sektorze transportu. W ramach środków z KPO realizowane </w:t>
      </w:r>
      <w:r w:rsidR="0015217F">
        <w:t>są</w:t>
      </w:r>
      <w:r w:rsidRPr="00A430D4">
        <w:t xml:space="preserve"> także inwestycje związane z zakupem elektrycznych osobowych pojazdów samochodowych, przez dofinansowanie do zakupu tych pojazdów dla osób fizycznych i osób prowadzących jednoosobową działalność gospodarczą.</w:t>
      </w:r>
      <w:r>
        <w:t xml:space="preserve"> </w:t>
      </w:r>
    </w:p>
    <w:p w14:paraId="7DB2AA4B" w14:textId="357D0700" w:rsidR="00A868D5" w:rsidRDefault="005A5181" w:rsidP="005A5181">
      <w:pPr>
        <w:spacing w:before="360"/>
      </w:pPr>
      <w:r>
        <w:t>Obok</w:t>
      </w:r>
      <w:r w:rsidR="001C0F0D">
        <w:t xml:space="preserve"> rozwoju zeroemisyjnej mobilności,</w:t>
      </w:r>
      <w:r w:rsidR="001C0F0D" w:rsidRPr="00E82973">
        <w:t xml:space="preserve"> </w:t>
      </w:r>
      <w:r w:rsidR="001C0F0D">
        <w:t>z</w:t>
      </w:r>
      <w:r w:rsidR="00A868D5" w:rsidRPr="00E82973">
        <w:t xml:space="preserve">asadniczym priorytetem jest </w:t>
      </w:r>
      <w:r w:rsidR="00A868D5" w:rsidRPr="009D61DE">
        <w:rPr>
          <w:b/>
        </w:rPr>
        <w:t>poprawa spójności sieci drogowej</w:t>
      </w:r>
      <w:r w:rsidR="00A868D5" w:rsidRPr="00E82973">
        <w:t xml:space="preserve"> i bezpieczeństwa ruchu drogowego, co</w:t>
      </w:r>
      <w:r w:rsidR="00C10860">
        <w:t> </w:t>
      </w:r>
      <w:r w:rsidR="00A868D5" w:rsidRPr="00E82973">
        <w:t>odbywa się głównie dzięki budowie autostrad, dróg ekspresowych oraz obwodnic miast na sieci TEN-T</w:t>
      </w:r>
      <w:r w:rsidR="00CC4D97">
        <w:t xml:space="preserve"> </w:t>
      </w:r>
      <w:r w:rsidR="00CC4D97">
        <w:rPr>
          <w:rFonts w:eastAsia="Lato" w:cs="Lato"/>
        </w:rPr>
        <w:t xml:space="preserve">(drogi </w:t>
      </w:r>
      <w:r w:rsidR="00CC4D97" w:rsidRPr="596A49A6">
        <w:rPr>
          <w:rFonts w:eastAsia="Lato" w:cs="Lato"/>
        </w:rPr>
        <w:t>szczególnie ważne dla transportu na obszarze Unii Europejskiej</w:t>
      </w:r>
      <w:r w:rsidR="00CC4D97">
        <w:rPr>
          <w:rFonts w:eastAsia="Lato" w:cs="Lato"/>
        </w:rPr>
        <w:t>)</w:t>
      </w:r>
      <w:r w:rsidR="00CC4D97" w:rsidRPr="596A49A6">
        <w:rPr>
          <w:rFonts w:eastAsia="Lato" w:cs="Lato"/>
        </w:rPr>
        <w:t>.</w:t>
      </w:r>
      <w:r w:rsidR="003E2DE5">
        <w:t xml:space="preserve"> </w:t>
      </w:r>
      <w:r w:rsidR="00A868D5" w:rsidRPr="00E82973">
        <w:t>N</w:t>
      </w:r>
      <w:r w:rsidR="00A868D5" w:rsidRPr="009D61DE">
        <w:t>owe inwestycje w tej dziedzinie</w:t>
      </w:r>
      <w:r w:rsidR="00A868D5" w:rsidRPr="00E82973">
        <w:rPr>
          <w:b/>
        </w:rPr>
        <w:t xml:space="preserve"> </w:t>
      </w:r>
      <w:r w:rsidR="00A868D5" w:rsidRPr="00E82973">
        <w:t>realizowane będą</w:t>
      </w:r>
      <w:r w:rsidR="00A868D5" w:rsidRPr="009D61DE">
        <w:t xml:space="preserve"> zgodnie z </w:t>
      </w:r>
      <w:r w:rsidR="00A868D5" w:rsidRPr="00CC4D97">
        <w:rPr>
          <w:b/>
          <w:bCs/>
          <w:i/>
          <w:iCs/>
        </w:rPr>
        <w:t>Rządowym Programem Budowy Dróg Krajowych do 2030 r. (z perspektywą do 2033 r.)</w:t>
      </w:r>
      <w:r w:rsidR="00A868D5" w:rsidRPr="00E82973">
        <w:t xml:space="preserve"> dzięki czemu możliwe będzie umieszczenie na sieci TEN</w:t>
      </w:r>
      <w:r w:rsidR="00610AA0">
        <w:noBreakHyphen/>
      </w:r>
      <w:r w:rsidR="00A868D5" w:rsidRPr="00E82973">
        <w:t xml:space="preserve">T stacji paliw alternatywnych dla ciężkich pojazdów samochodowych. </w:t>
      </w:r>
      <w:r w:rsidR="00CC4D97">
        <w:t>D</w:t>
      </w:r>
      <w:r w:rsidR="00CC4D97" w:rsidRPr="596A49A6">
        <w:rPr>
          <w:rFonts w:eastAsia="Lato" w:cs="Lato"/>
        </w:rPr>
        <w:t xml:space="preserve">użą rolę odgrywają </w:t>
      </w:r>
      <w:r w:rsidR="00CC4D97">
        <w:rPr>
          <w:rFonts w:eastAsia="Lato" w:cs="Lato"/>
        </w:rPr>
        <w:t>ś</w:t>
      </w:r>
      <w:r w:rsidR="00CC4D97" w:rsidRPr="596A49A6">
        <w:rPr>
          <w:rFonts w:eastAsia="Lato" w:cs="Lato"/>
        </w:rPr>
        <w:t>rodki w ramach instrumentu „Łącząc Europę” (</w:t>
      </w:r>
      <w:r w:rsidR="00CC4D97">
        <w:rPr>
          <w:rFonts w:eastAsia="Lato" w:cs="Lato"/>
        </w:rPr>
        <w:t xml:space="preserve">ang. </w:t>
      </w:r>
      <w:r w:rsidR="00CC4D97" w:rsidRPr="00087588">
        <w:rPr>
          <w:rFonts w:eastAsia="Lato" w:cs="Lato"/>
          <w:i/>
          <w:iCs/>
        </w:rPr>
        <w:t>Connecting Europe Facility</w:t>
      </w:r>
      <w:r w:rsidR="00CC4D97">
        <w:rPr>
          <w:rFonts w:eastAsia="Lato" w:cs="Lato"/>
        </w:rPr>
        <w:t>,</w:t>
      </w:r>
      <w:r w:rsidR="00CC4D97" w:rsidRPr="596A49A6">
        <w:rPr>
          <w:rFonts w:eastAsia="Lato" w:cs="Lato"/>
        </w:rPr>
        <w:t xml:space="preserve"> CEF</w:t>
      </w:r>
      <w:r w:rsidR="00CC4D97">
        <w:rPr>
          <w:rFonts w:eastAsia="Lato" w:cs="Lato"/>
        </w:rPr>
        <w:t xml:space="preserve">), który </w:t>
      </w:r>
      <w:r w:rsidR="00CC4D97" w:rsidRPr="596A49A6">
        <w:rPr>
          <w:rFonts w:eastAsia="Lato" w:cs="Lato"/>
        </w:rPr>
        <w:t xml:space="preserve">ma na celu wspieranie modernizacji i budowy infrastruktury położonej na transeuropejskiej sieci </w:t>
      </w:r>
      <w:r w:rsidR="00E9477A" w:rsidRPr="596A49A6">
        <w:rPr>
          <w:rFonts w:eastAsia="Lato" w:cs="Lato"/>
        </w:rPr>
        <w:t xml:space="preserve">transportowej </w:t>
      </w:r>
      <w:r w:rsidR="00E9477A">
        <w:rPr>
          <w:rFonts w:eastAsia="Lato" w:cs="Lato"/>
        </w:rPr>
        <w:br/>
      </w:r>
      <w:r w:rsidR="00E9477A" w:rsidRPr="596A49A6">
        <w:rPr>
          <w:rFonts w:eastAsia="Lato" w:cs="Lato"/>
        </w:rPr>
        <w:t>TEN</w:t>
      </w:r>
      <w:r w:rsidR="002F7FE7">
        <w:rPr>
          <w:rFonts w:eastAsia="Lato" w:cs="Lato"/>
        </w:rPr>
        <w:t>-</w:t>
      </w:r>
      <w:r w:rsidR="00CC4D97" w:rsidRPr="596A49A6">
        <w:rPr>
          <w:rFonts w:eastAsia="Lato" w:cs="Lato"/>
        </w:rPr>
        <w:t>T</w:t>
      </w:r>
      <w:r w:rsidR="00CC4D97">
        <w:rPr>
          <w:rFonts w:eastAsia="Lato" w:cs="Lato"/>
        </w:rPr>
        <w:t>.</w:t>
      </w:r>
      <w:r w:rsidR="00CC4D97" w:rsidRPr="596A49A6">
        <w:rPr>
          <w:rFonts w:eastAsia="Lato" w:cs="Lato"/>
        </w:rPr>
        <w:t xml:space="preserve"> </w:t>
      </w:r>
      <w:r w:rsidR="00A868D5" w:rsidRPr="009D61DE">
        <w:t xml:space="preserve">Równolegle do nowych inwestycji, prowadzone będą działania inwestycyjne na istniejącej sieci dróg krajowych. Obejmują one kompleksowe przebudowy/rozbudowy odcinków dróg krajowych, punktowe zadania ukierunkowane na poprawę bezpieczeństwa oraz inne zadania mające na celu zapewnienie prawidłowego funkcjonowania sieci drogowej. </w:t>
      </w:r>
      <w:r w:rsidR="00A868D5" w:rsidRPr="00E82973">
        <w:t xml:space="preserve">Realizacja tych inwestycji </w:t>
      </w:r>
      <w:r w:rsidR="00A868D5" w:rsidRPr="009D61DE">
        <w:t>zapewni płynność ruchu na długich dystansach, a tym samym wpłynie na ograniczenie zużycia paliwa przez pojazdy.</w:t>
      </w:r>
      <w:r w:rsidR="00A868D5" w:rsidRPr="00E82973">
        <w:t xml:space="preserve"> Działania te będą realizowane w </w:t>
      </w:r>
      <w:r w:rsidR="00A868D5" w:rsidRPr="009D61DE">
        <w:t xml:space="preserve">ramach </w:t>
      </w:r>
      <w:r w:rsidR="00A868D5" w:rsidRPr="00610AA0">
        <w:rPr>
          <w:b/>
          <w:bCs/>
          <w:i/>
          <w:iCs/>
        </w:rPr>
        <w:t>Programu Bezpiecznej Infrastruktury Drogowej na lata 2021-2024</w:t>
      </w:r>
      <w:r w:rsidR="00A868D5" w:rsidRPr="009D61DE">
        <w:t xml:space="preserve"> </w:t>
      </w:r>
      <w:r w:rsidR="00610AA0">
        <w:t>(</w:t>
      </w:r>
      <w:hyperlink r:id="rId60" w:history="1">
        <w:r w:rsidR="00610AA0" w:rsidRPr="00610AA0">
          <w:rPr>
            <w:rStyle w:val="Hipercze"/>
          </w:rPr>
          <w:t>link</w:t>
        </w:r>
      </w:hyperlink>
      <w:r w:rsidR="00610AA0">
        <w:t xml:space="preserve">) </w:t>
      </w:r>
      <w:r w:rsidR="00A868D5" w:rsidRPr="00E82973">
        <w:t xml:space="preserve">oraz </w:t>
      </w:r>
      <w:r w:rsidR="00A868D5" w:rsidRPr="009D61DE">
        <w:t>program</w:t>
      </w:r>
      <w:r w:rsidR="00A868D5" w:rsidRPr="00E82973">
        <w:t>u</w:t>
      </w:r>
      <w:r w:rsidR="00A868D5" w:rsidRPr="009D61DE">
        <w:t xml:space="preserve"> wieloletni</w:t>
      </w:r>
      <w:r w:rsidR="00A868D5" w:rsidRPr="00E82973">
        <w:t>ego</w:t>
      </w:r>
      <w:r w:rsidR="00A868D5" w:rsidRPr="009D61DE">
        <w:t xml:space="preserve"> pn. </w:t>
      </w:r>
      <w:r w:rsidR="00A868D5" w:rsidRPr="00610AA0">
        <w:rPr>
          <w:b/>
          <w:bCs/>
          <w:i/>
          <w:iCs/>
        </w:rPr>
        <w:t xml:space="preserve">Program Wzmocnienia Krajowej Sieci Drogowej do 2030 r. </w:t>
      </w:r>
      <w:r w:rsidR="00A868D5" w:rsidRPr="009D61DE">
        <w:t>(</w:t>
      </w:r>
      <w:hyperlink r:id="rId61" w:history="1">
        <w:r w:rsidR="00610AA0" w:rsidRPr="00610AA0">
          <w:rPr>
            <w:rStyle w:val="Hipercze"/>
          </w:rPr>
          <w:t>link</w:t>
        </w:r>
      </w:hyperlink>
      <w:r w:rsidR="00A868D5" w:rsidRPr="009D61DE">
        <w:t xml:space="preserve">). </w:t>
      </w:r>
      <w:r w:rsidR="00610AA0">
        <w:t>Program</w:t>
      </w:r>
      <w:r w:rsidR="00A868D5" w:rsidRPr="009D61DE">
        <w:t xml:space="preserve"> służy w szczególności utrzymaniu wymaganego stanu technicznego istniejącej infrastruktury, zwiększeniu spójności sieci dróg krajowych dostosowanych do ruchu pojazdów o nacisku pojedynczej osi do 11,5 t oraz intensyfikacji działań zmniejszających negatywny wpływ infrastruktury drogowej na środowisko. </w:t>
      </w:r>
    </w:p>
    <w:p w14:paraId="1095716C" w14:textId="3E3333A6" w:rsidR="00411148" w:rsidRPr="001A3FC2" w:rsidRDefault="001C0F0D" w:rsidP="009700AF">
      <w:pPr>
        <w:spacing w:line="257" w:lineRule="auto"/>
        <w:rPr>
          <w:rFonts w:eastAsiaTheme="minorEastAsia" w:cstheme="minorHAnsi"/>
          <w:kern w:val="0"/>
          <w:szCs w:val="20"/>
          <w14:ligatures w14:val="none"/>
        </w:rPr>
      </w:pPr>
      <w:r w:rsidRPr="009D61DE">
        <w:t xml:space="preserve">Wspierany będzie rozwój i </w:t>
      </w:r>
      <w:r w:rsidRPr="009D61DE">
        <w:rPr>
          <w:b/>
        </w:rPr>
        <w:t>wdrażanie Inteligentnych Systemów Transportowych (ITS</w:t>
      </w:r>
      <w:r w:rsidRPr="009D61DE">
        <w:t>), w tym Krajowy System Zarządzania Ruchem Drogowym (KSZR), jako narzędzia do realizacji celów polityki zrównoważonej mobilności. KSZR umożliwi dynamiczne zarządzanie ruchem w sieci dróg krajowych, usprawnienie procesów utrzymania infrastruktury drogowej oraz integrację z systemami ITS wdrażanymi przez innych zarządców dróg, w tym na obszarach miejskich.</w:t>
      </w:r>
    </w:p>
    <w:p w14:paraId="07E2E85C" w14:textId="00FBB9AE" w:rsidR="00DC7166" w:rsidRDefault="00186C63" w:rsidP="002E51CE">
      <w:pPr>
        <w:pStyle w:val="Nagwek5"/>
      </w:pPr>
      <w:r>
        <w:t>Popularyzacja i d</w:t>
      </w:r>
      <w:r w:rsidR="00A868D5" w:rsidRPr="00610AA0">
        <w:t>ekarbonizacj</w:t>
      </w:r>
      <w:r w:rsidR="00DC7166">
        <w:t>a</w:t>
      </w:r>
      <w:r w:rsidR="00A868D5" w:rsidRPr="00610AA0">
        <w:t xml:space="preserve"> transportu kolejowego </w:t>
      </w:r>
    </w:p>
    <w:p w14:paraId="7B6261B5" w14:textId="77777777" w:rsidR="00EB5BD3" w:rsidRDefault="007C611C" w:rsidP="00DC7166">
      <w:pPr>
        <w:spacing w:after="120" w:line="264" w:lineRule="auto"/>
      </w:pPr>
      <w:r w:rsidRPr="007C611C">
        <w:t>Realizowane będą zadania mające na celu</w:t>
      </w:r>
      <w:r w:rsidR="00862BE2">
        <w:t xml:space="preserve"> </w:t>
      </w:r>
      <w:r w:rsidRPr="007C611C">
        <w:t>poprawę dostępności, bezpieczeństwa i konkurencyjności czasowej transportu kolejowego</w:t>
      </w:r>
      <w:r w:rsidR="0027406A">
        <w:t xml:space="preserve"> i przewoźników krajowych</w:t>
      </w:r>
      <w:r w:rsidR="00980E39">
        <w:t xml:space="preserve">. Działania polegać będą w szczególności </w:t>
      </w:r>
      <w:r w:rsidRPr="007C611C">
        <w:t>na</w:t>
      </w:r>
      <w:r w:rsidR="00EB5BD3">
        <w:t>:</w:t>
      </w:r>
    </w:p>
    <w:p w14:paraId="1F97B9FA" w14:textId="646B5ACD" w:rsidR="00610D0B" w:rsidRPr="00610D0B" w:rsidRDefault="006B7940" w:rsidP="000625AC">
      <w:pPr>
        <w:pStyle w:val="Akapitzlist"/>
        <w:numPr>
          <w:ilvl w:val="0"/>
          <w:numId w:val="60"/>
        </w:numPr>
        <w:spacing w:after="120" w:line="264" w:lineRule="auto"/>
        <w:rPr>
          <w:rFonts w:cs="Calibri"/>
          <w:kern w:val="0"/>
          <w:szCs w:val="20"/>
          <w14:ligatures w14:val="none"/>
        </w:rPr>
      </w:pPr>
      <w:r>
        <w:t>dalszej elektryfikacji (wybranych</w:t>
      </w:r>
      <w:r w:rsidR="00591EB7">
        <w:t>)</w:t>
      </w:r>
      <w:r>
        <w:t xml:space="preserve"> linii kolejowych</w:t>
      </w:r>
      <w:r w:rsidR="0027406A">
        <w:t>,</w:t>
      </w:r>
      <w:r w:rsidRPr="007C611C">
        <w:t xml:space="preserve"> </w:t>
      </w:r>
    </w:p>
    <w:p w14:paraId="724753D4" w14:textId="77777777" w:rsidR="00610D0B" w:rsidRPr="00610D0B" w:rsidRDefault="007C611C" w:rsidP="000625AC">
      <w:pPr>
        <w:pStyle w:val="Akapitzlist"/>
        <w:numPr>
          <w:ilvl w:val="0"/>
          <w:numId w:val="60"/>
        </w:numPr>
        <w:spacing w:after="120" w:line="264" w:lineRule="auto"/>
        <w:rPr>
          <w:rFonts w:cs="Calibri"/>
          <w:kern w:val="0"/>
          <w:szCs w:val="20"/>
          <w14:ligatures w14:val="none"/>
        </w:rPr>
      </w:pPr>
      <w:r w:rsidRPr="007C611C">
        <w:t xml:space="preserve">modernizacji linii kolejowych, </w:t>
      </w:r>
    </w:p>
    <w:p w14:paraId="531B1463" w14:textId="77777777" w:rsidR="00610D0B" w:rsidRPr="00610D0B" w:rsidRDefault="007C611C" w:rsidP="000625AC">
      <w:pPr>
        <w:pStyle w:val="Akapitzlist"/>
        <w:numPr>
          <w:ilvl w:val="0"/>
          <w:numId w:val="60"/>
        </w:numPr>
        <w:spacing w:after="120" w:line="264" w:lineRule="auto"/>
        <w:rPr>
          <w:rFonts w:cs="Calibri"/>
          <w:kern w:val="0"/>
          <w:szCs w:val="20"/>
          <w14:ligatures w14:val="none"/>
        </w:rPr>
      </w:pPr>
      <w:r w:rsidRPr="007C611C">
        <w:t xml:space="preserve">budowie bezkolizyjnych skrzyżowań, </w:t>
      </w:r>
    </w:p>
    <w:p w14:paraId="4BB67C41" w14:textId="77777777" w:rsidR="00610D0B" w:rsidRPr="00610D0B" w:rsidRDefault="007C611C" w:rsidP="000625AC">
      <w:pPr>
        <w:pStyle w:val="Akapitzlist"/>
        <w:numPr>
          <w:ilvl w:val="0"/>
          <w:numId w:val="60"/>
        </w:numPr>
        <w:spacing w:after="120" w:line="264" w:lineRule="auto"/>
        <w:rPr>
          <w:rFonts w:cs="Calibri"/>
          <w:kern w:val="0"/>
          <w:szCs w:val="20"/>
          <w14:ligatures w14:val="none"/>
        </w:rPr>
      </w:pPr>
      <w:r w:rsidRPr="007C611C">
        <w:t xml:space="preserve">wdrażaniu nowoczesnych systemów zapewniających interoperacyjność, </w:t>
      </w:r>
    </w:p>
    <w:p w14:paraId="4676D4D4" w14:textId="7AA55FCB" w:rsidR="00610D0B" w:rsidRPr="00610D0B" w:rsidRDefault="007C611C" w:rsidP="000625AC">
      <w:pPr>
        <w:pStyle w:val="Akapitzlist"/>
        <w:numPr>
          <w:ilvl w:val="0"/>
          <w:numId w:val="60"/>
        </w:numPr>
        <w:spacing w:after="120" w:line="264" w:lineRule="auto"/>
        <w:rPr>
          <w:rFonts w:cs="Calibri"/>
          <w:kern w:val="0"/>
          <w:szCs w:val="20"/>
          <w14:ligatures w14:val="none"/>
        </w:rPr>
      </w:pPr>
      <w:r w:rsidRPr="007C611C">
        <w:t>zwiększeniu liczby i standardu technicznego taboru</w:t>
      </w:r>
      <w:r w:rsidR="00980E39">
        <w:t>.</w:t>
      </w:r>
      <w:r w:rsidR="00BD5E17">
        <w:t xml:space="preserve"> </w:t>
      </w:r>
    </w:p>
    <w:p w14:paraId="2FEFCEB3" w14:textId="5A94BE1C" w:rsidR="00F2228C" w:rsidRPr="00AA12F6" w:rsidRDefault="00216775" w:rsidP="00F2228C">
      <w:pPr>
        <w:spacing w:after="120" w:line="264" w:lineRule="auto"/>
      </w:pPr>
      <w:r>
        <w:t xml:space="preserve">Wszystko to ma się </w:t>
      </w:r>
      <w:r w:rsidRPr="009D61DE">
        <w:t>sukcesywnie przyczyni</w:t>
      </w:r>
      <w:r>
        <w:t>ać</w:t>
      </w:r>
      <w:r w:rsidR="00A868D5" w:rsidRPr="009D61DE">
        <w:t xml:space="preserve"> do podniesienia atrakcyjności transportu kolejowego względem innych środków transportu i</w:t>
      </w:r>
      <w:r>
        <w:t> </w:t>
      </w:r>
      <w:r w:rsidR="00A868D5" w:rsidRPr="009D61DE">
        <w:t xml:space="preserve">w konsekwencji do przeniesienia części pasażerów i ładunków na ten </w:t>
      </w:r>
      <w:r w:rsidR="00A868D5" w:rsidRPr="00AA12F6">
        <w:t>bardziej przyjazny środowisku rodzaj transportu. Inwestycje realizowane będą w ramach programów wieloletnich związanych z</w:t>
      </w:r>
      <w:r w:rsidRPr="00AA12F6">
        <w:t> </w:t>
      </w:r>
      <w:r w:rsidR="00A868D5" w:rsidRPr="00AA12F6">
        <w:t xml:space="preserve">rozwojem transportu kolejowego. </w:t>
      </w:r>
      <w:r w:rsidR="00CE385B" w:rsidRPr="00AA12F6">
        <w:rPr>
          <w:rFonts w:cs="Calibri"/>
          <w:kern w:val="0"/>
          <w14:ligatures w14:val="none"/>
        </w:rPr>
        <w:t>Działania te sukcesywnie będą przyczyniały się do podniesienia atrakcyjności transportu kolejowego względem innych środków transportu i</w:t>
      </w:r>
      <w:r w:rsidR="00393875">
        <w:rPr>
          <w:rFonts w:cs="Calibri"/>
          <w:kern w:val="0"/>
          <w14:ligatures w14:val="none"/>
        </w:rPr>
        <w:t> </w:t>
      </w:r>
      <w:r w:rsidR="00CE385B" w:rsidRPr="00AA12F6">
        <w:rPr>
          <w:rFonts w:cs="Calibri"/>
          <w:kern w:val="0"/>
          <w14:ligatures w14:val="none"/>
        </w:rPr>
        <w:t>w</w:t>
      </w:r>
      <w:r w:rsidR="00A37AA0">
        <w:rPr>
          <w:rFonts w:cs="Calibri"/>
          <w:kern w:val="0"/>
          <w14:ligatures w14:val="none"/>
        </w:rPr>
        <w:t> </w:t>
      </w:r>
      <w:r w:rsidR="00CE385B" w:rsidRPr="00AA12F6">
        <w:rPr>
          <w:rFonts w:cs="Calibri"/>
          <w:kern w:val="0"/>
          <w14:ligatures w14:val="none"/>
        </w:rPr>
        <w:t xml:space="preserve">konsekwencji do przeniesienia </w:t>
      </w:r>
      <w:r w:rsidR="00CE385B" w:rsidRPr="00AA12F6">
        <w:rPr>
          <w:rFonts w:cs="Calibri"/>
          <w:b/>
          <w:bCs/>
          <w:kern w:val="0"/>
          <w14:ligatures w14:val="none"/>
        </w:rPr>
        <w:t>części pasażerów i ładunków</w:t>
      </w:r>
      <w:r w:rsidR="00CE385B" w:rsidRPr="00AA12F6">
        <w:rPr>
          <w:rFonts w:cs="Calibri"/>
          <w:kern w:val="0"/>
          <w14:ligatures w14:val="none"/>
        </w:rPr>
        <w:t xml:space="preserve"> na ten bardziej przyjazny środowisku rodzaj transportu.</w:t>
      </w:r>
    </w:p>
    <w:p w14:paraId="3AF54CEC" w14:textId="482E591D" w:rsidR="00D902E1" w:rsidRPr="00AA12F6" w:rsidRDefault="00A868D5" w:rsidP="00C04086">
      <w:pPr>
        <w:spacing w:before="360" w:after="120" w:line="264" w:lineRule="auto"/>
      </w:pPr>
      <w:r w:rsidRPr="00AA12F6">
        <w:rPr>
          <w:rFonts w:cs="Calibri"/>
          <w:kern w:val="0"/>
          <w:szCs w:val="20"/>
          <w14:ligatures w14:val="none"/>
        </w:rPr>
        <w:t>Rozwinięta infrastruktura kolejowa</w:t>
      </w:r>
      <w:r w:rsidR="0042735D" w:rsidRPr="00AA12F6">
        <w:rPr>
          <w:rFonts w:cs="Calibri"/>
          <w:kern w:val="0"/>
          <w:szCs w:val="20"/>
          <w14:ligatures w14:val="none"/>
        </w:rPr>
        <w:t xml:space="preserve">, </w:t>
      </w:r>
      <w:r w:rsidR="00CC2979" w:rsidRPr="00AA12F6">
        <w:rPr>
          <w:rFonts w:cs="Calibri"/>
          <w:kern w:val="0"/>
          <w:szCs w:val="20"/>
          <w14:ligatures w14:val="none"/>
        </w:rPr>
        <w:t>atrakcyjny tabor i dogodna siatka połączeń wraz z przyjaznym pasażerowi systemem informacji oraz zakupem zintegrowanych biletów</w:t>
      </w:r>
      <w:r w:rsidRPr="00AA12F6">
        <w:rPr>
          <w:rFonts w:cs="Calibri"/>
          <w:kern w:val="0"/>
          <w:szCs w:val="20"/>
          <w14:ligatures w14:val="none"/>
        </w:rPr>
        <w:t xml:space="preserve"> przyczyni się do wyboru przez </w:t>
      </w:r>
      <w:r w:rsidRPr="00AA12F6">
        <w:rPr>
          <w:rFonts w:cs="Calibri"/>
          <w:kern w:val="0"/>
          <w:szCs w:val="20"/>
          <w14:ligatures w14:val="none"/>
        </w:rPr>
        <w:lastRenderedPageBreak/>
        <w:t>społeczeństwo kolei jako optymalnego środka transportu, co przełoży się na redukcję emisji zanieczyszczeń do powietrza pochodzących z innych środków transportu, zwłaszcza transportu drogowego.</w:t>
      </w:r>
      <w:r w:rsidR="00946218" w:rsidRPr="00AA12F6">
        <w:t xml:space="preserve"> Odbędzie się to poprzez</w:t>
      </w:r>
      <w:r w:rsidRPr="00AA12F6">
        <w:t>:</w:t>
      </w:r>
    </w:p>
    <w:p w14:paraId="07A5992B" w14:textId="282FD91C" w:rsidR="00D902E1" w:rsidRPr="00AA12F6" w:rsidRDefault="0091004E" w:rsidP="003530A9">
      <w:pPr>
        <w:pStyle w:val="Akapitzlist"/>
        <w:numPr>
          <w:ilvl w:val="0"/>
          <w:numId w:val="17"/>
        </w:numPr>
        <w:ind w:left="567"/>
      </w:pPr>
      <w:r w:rsidRPr="00AA12F6">
        <w:rPr>
          <w:rFonts w:cs="Calibri"/>
          <w:kern w:val="0"/>
          <w14:ligatures w14:val="none"/>
        </w:rPr>
        <w:t xml:space="preserve">realizację </w:t>
      </w:r>
      <w:r w:rsidR="001D6DBA">
        <w:rPr>
          <w:rFonts w:cs="Calibri"/>
          <w:b/>
          <w:bCs/>
          <w:i/>
          <w:iCs/>
          <w:kern w:val="0"/>
          <w14:ligatures w14:val="none"/>
        </w:rPr>
        <w:t>Krajowego</w:t>
      </w:r>
      <w:r w:rsidR="001D6DBA" w:rsidRPr="00AA12F6">
        <w:rPr>
          <w:rFonts w:cs="Calibri"/>
          <w:b/>
          <w:bCs/>
          <w:i/>
          <w:iCs/>
          <w:kern w:val="0"/>
          <w14:ligatures w14:val="none"/>
        </w:rPr>
        <w:t xml:space="preserve"> </w:t>
      </w:r>
      <w:r w:rsidRPr="00AA12F6">
        <w:rPr>
          <w:rFonts w:cs="Calibri"/>
          <w:b/>
          <w:bCs/>
          <w:i/>
          <w:iCs/>
          <w:kern w:val="0"/>
          <w14:ligatures w14:val="none"/>
        </w:rPr>
        <w:t>Programu Kolejowego.</w:t>
      </w:r>
      <w:r w:rsidRPr="00AA12F6">
        <w:t xml:space="preserve"> KPK ma zapewnić</w:t>
      </w:r>
      <w:r w:rsidRPr="00AA12F6">
        <w:rPr>
          <w:rFonts w:cs="Calibri"/>
          <w:kern w:val="0"/>
          <w14:ligatures w14:val="none"/>
        </w:rPr>
        <w:t xml:space="preserve"> </w:t>
      </w:r>
      <w:r w:rsidR="004418C5" w:rsidRPr="00AA12F6">
        <w:rPr>
          <w:rFonts w:cs="Calibri"/>
          <w:kern w:val="0"/>
          <w14:ligatures w14:val="none"/>
        </w:rPr>
        <w:t xml:space="preserve">dokończenie prac na głównych ciągach, tworzących sieć bazową i kompleksową TEN-T, jak również stanowiących kolejowe korytarze transportowe oraz usunięcie występujących wąskich gardeł </w:t>
      </w:r>
      <w:r w:rsidRPr="00AA12F6">
        <w:rPr>
          <w:rFonts w:cs="Calibri"/>
          <w:kern w:val="0"/>
          <w14:ligatures w14:val="none"/>
        </w:rPr>
        <w:t>i połączenie infrastrukturalne najważniejszych ośrodków wzrostu z obszarami o niższej dynamice rozwoju i</w:t>
      </w:r>
      <w:r w:rsidR="00393875">
        <w:rPr>
          <w:rFonts w:cs="Calibri"/>
          <w:kern w:val="0"/>
          <w14:ligatures w14:val="none"/>
        </w:rPr>
        <w:t> </w:t>
      </w:r>
      <w:r w:rsidRPr="00AA12F6">
        <w:rPr>
          <w:rFonts w:cs="Calibri"/>
          <w:kern w:val="0"/>
          <w14:ligatures w14:val="none"/>
        </w:rPr>
        <w:t>włączenie ich w sieć transportu europejskiego</w:t>
      </w:r>
      <w:r w:rsidR="007872D6" w:rsidRPr="00AA12F6">
        <w:rPr>
          <w:rFonts w:cs="Calibri"/>
          <w:kern w:val="0"/>
          <w14:ligatures w14:val="none"/>
        </w:rPr>
        <w:t xml:space="preserve">. Program </w:t>
      </w:r>
      <w:r w:rsidR="00F97D6B" w:rsidRPr="00AA12F6">
        <w:rPr>
          <w:rFonts w:cs="Calibri"/>
          <w:kern w:val="0"/>
          <w14:ligatures w14:val="none"/>
        </w:rPr>
        <w:t>stanowi kontynuację i aktualizację poprzedniego programu na lata 2015–2023</w:t>
      </w:r>
      <w:r w:rsidR="007342E1">
        <w:rPr>
          <w:rFonts w:cs="Calibri"/>
          <w:kern w:val="0"/>
          <w14:ligatures w14:val="none"/>
        </w:rPr>
        <w:t>;</w:t>
      </w:r>
      <w:r w:rsidR="00F97D6B" w:rsidRPr="00AA12F6">
        <w:rPr>
          <w:rFonts w:cs="Calibri"/>
          <w:kern w:val="0"/>
          <w14:ligatures w14:val="none"/>
        </w:rPr>
        <w:t xml:space="preserve"> </w:t>
      </w:r>
    </w:p>
    <w:p w14:paraId="1B12263C" w14:textId="3D65DD70" w:rsidR="00A868D5" w:rsidRPr="009D61DE" w:rsidRDefault="00A868D5" w:rsidP="003530A9">
      <w:pPr>
        <w:pStyle w:val="Akapitzlist"/>
        <w:numPr>
          <w:ilvl w:val="0"/>
          <w:numId w:val="17"/>
        </w:numPr>
        <w:ind w:left="567"/>
      </w:pPr>
      <w:r w:rsidRPr="009D61DE">
        <w:t xml:space="preserve">budowę i modernizację kolejowych przystanków osobowych w ramach </w:t>
      </w:r>
      <w:r w:rsidRPr="00C04086">
        <w:rPr>
          <w:b/>
          <w:bCs/>
          <w:i/>
          <w:iCs/>
        </w:rPr>
        <w:t>Rządowego programu budowy lub modernizacji przystanków kolejowych na lata 2021–2025</w:t>
      </w:r>
      <w:r w:rsidRPr="009D61DE">
        <w:t>. Budowa przystanków w</w:t>
      </w:r>
      <w:r w:rsidR="00393875">
        <w:t> </w:t>
      </w:r>
      <w:r w:rsidRPr="009D61DE">
        <w:t xml:space="preserve">nowych dogodniejszych dla podróżnych lokalizacjach, o parametrach technicznych pozwalających na </w:t>
      </w:r>
      <w:r w:rsidRPr="00610AA0">
        <w:t>zatrzymywanie</w:t>
      </w:r>
      <w:r w:rsidRPr="009D61DE">
        <w:t xml:space="preserve"> się pociągów dalekobieżnych (międzywojewódzkich)</w:t>
      </w:r>
      <w:r w:rsidRPr="00E82973">
        <w:t>,</w:t>
      </w:r>
      <w:r w:rsidRPr="009D61DE">
        <w:t xml:space="preserve"> co</w:t>
      </w:r>
      <w:r w:rsidR="00393875">
        <w:t> </w:t>
      </w:r>
      <w:r w:rsidRPr="009D61DE">
        <w:t>powstrzyma odchodzenie do innych wysokoemisyjnych środków transportu. Ponadto w ramach programu realizowane jest zadanie polegające na poprawie dostępności miejsc parkingowych dla podróżnych</w:t>
      </w:r>
      <w:r w:rsidR="004418C5">
        <w:t>;</w:t>
      </w:r>
    </w:p>
    <w:p w14:paraId="22519049" w14:textId="07ECEAA2" w:rsidR="00A868D5" w:rsidRPr="009D61DE" w:rsidRDefault="00A868D5" w:rsidP="003530A9">
      <w:pPr>
        <w:pStyle w:val="Akapitzlist"/>
        <w:numPr>
          <w:ilvl w:val="0"/>
          <w:numId w:val="17"/>
        </w:numPr>
        <w:ind w:left="567"/>
      </w:pPr>
      <w:r w:rsidRPr="009D61DE">
        <w:t>realizację projektów mających na celu likwidację luk w połączeniach towarowych i pasażerskich, w</w:t>
      </w:r>
      <w:r w:rsidR="00A37AA0">
        <w:t> </w:t>
      </w:r>
      <w:r w:rsidRPr="009D61DE">
        <w:t xml:space="preserve">ramach </w:t>
      </w:r>
      <w:r w:rsidRPr="006011A6">
        <w:rPr>
          <w:b/>
          <w:bCs/>
          <w:i/>
          <w:iCs/>
        </w:rPr>
        <w:t>Programu Uzupełniania Lokalnej i Regionalnej Infrastruktury Kolejowej</w:t>
      </w:r>
      <w:r w:rsidRPr="006011A6">
        <w:rPr>
          <w:b/>
          <w:bCs/>
        </w:rPr>
        <w:t xml:space="preserve"> </w:t>
      </w:r>
      <w:r w:rsidRPr="006011A6">
        <w:rPr>
          <w:b/>
          <w:bCs/>
          <w:i/>
          <w:iCs/>
        </w:rPr>
        <w:t>– Kolej +</w:t>
      </w:r>
      <w:r w:rsidRPr="009D61DE">
        <w:t xml:space="preserve"> do 202</w:t>
      </w:r>
      <w:r w:rsidRPr="00E82973">
        <w:t>9</w:t>
      </w:r>
      <w:r w:rsidR="00946218">
        <w:t> </w:t>
      </w:r>
      <w:r w:rsidRPr="009D61DE">
        <w:t>r</w:t>
      </w:r>
      <w:r w:rsidR="00610AA0">
        <w:t>.</w:t>
      </w:r>
      <w:r w:rsidRPr="009D61DE">
        <w:t xml:space="preserve">, zgodnie z którym planuje się uzupełnienie sieci kolejowej o połączenia kolejowe (w tym przygotowanie niezbędnej dokumentacji przedprojektowej i projektowej) miejscowości o populacji powyżej 10 tys. osób, </w:t>
      </w:r>
      <w:r w:rsidRPr="00610AA0">
        <w:t>które</w:t>
      </w:r>
      <w:r w:rsidRPr="009D61DE">
        <w:t xml:space="preserve"> nie posiadają dostępu do kolei pasażerskiej lub towarowej z miastami wojewódzkimi oraz poprawa wewnętrznej spójności komunikacyjnej i społeczno-gospodarczej tych regionów Polski</w:t>
      </w:r>
      <w:r w:rsidR="00946218">
        <w:t>.</w:t>
      </w:r>
    </w:p>
    <w:p w14:paraId="2E18F4BF" w14:textId="26F1ED45" w:rsidR="00A868D5" w:rsidRPr="005658C6" w:rsidRDefault="00A868D5" w:rsidP="00A868D5">
      <w:pPr>
        <w:spacing w:after="120" w:line="264" w:lineRule="auto"/>
        <w:rPr>
          <w:szCs w:val="20"/>
        </w:rPr>
      </w:pPr>
      <w:r w:rsidRPr="005658C6">
        <w:rPr>
          <w:rFonts w:cstheme="minorHAnsi"/>
          <w:bCs/>
          <w:szCs w:val="20"/>
        </w:rPr>
        <w:t xml:space="preserve">Dalsze działania ukierunkowane na kolej i promujące transport publiczny oznaczają kontynuację realizacji projektu </w:t>
      </w:r>
      <w:r w:rsidRPr="006C7FAB">
        <w:rPr>
          <w:rFonts w:cstheme="minorHAnsi"/>
          <w:b/>
          <w:szCs w:val="20"/>
        </w:rPr>
        <w:t>Wspólny Bilet</w:t>
      </w:r>
      <w:r w:rsidRPr="005658C6">
        <w:rPr>
          <w:rFonts w:cstheme="minorHAnsi"/>
          <w:bCs/>
          <w:szCs w:val="20"/>
        </w:rPr>
        <w:t xml:space="preserve">. Zapewnia on pasażerowi zakup jednego biletu na cały przejazd koleją, niezależnie od kanału sprzedaży i przewoźnika. Cena takiego biletu jest wyliczana w oparciu o jedną, całkowicie nową taryfę. </w:t>
      </w:r>
      <w:r w:rsidRPr="005658C6">
        <w:rPr>
          <w:szCs w:val="20"/>
        </w:rPr>
        <w:t>W ramach Wspólnego Biletu można zakupić bilety w okienku kasowym oraz systemie Bilkom na</w:t>
      </w:r>
      <w:r w:rsidR="00067AA5">
        <w:rPr>
          <w:szCs w:val="20"/>
        </w:rPr>
        <w:t> </w:t>
      </w:r>
      <w:r w:rsidRPr="005658C6">
        <w:rPr>
          <w:szCs w:val="20"/>
        </w:rPr>
        <w:t xml:space="preserve">połączenia obsługiwane przez 10 przewoźników. </w:t>
      </w:r>
    </w:p>
    <w:p w14:paraId="36BB2FE1" w14:textId="23ADECE3" w:rsidR="00B3486D" w:rsidRDefault="00A868D5" w:rsidP="00946218">
      <w:pPr>
        <w:rPr>
          <w:bCs/>
        </w:rPr>
      </w:pPr>
      <w:r w:rsidRPr="00946218">
        <w:t>Kluczowym elementem wpływającym na satysfakcję podróżujących koleją jest czas jazdy. Dlatego też prowadzone będą intensywne działania mające na celu poprawę rozkładu jazdy i dalekobieżnej oferty przewozowej</w:t>
      </w:r>
      <w:r w:rsidRPr="00946218">
        <w:rPr>
          <w:bCs/>
        </w:rPr>
        <w:t>,</w:t>
      </w:r>
      <w:r w:rsidRPr="00946218">
        <w:rPr>
          <w:bCs/>
          <w:i/>
        </w:rPr>
        <w:t xml:space="preserve"> </w:t>
      </w:r>
      <w:r w:rsidRPr="005658C6">
        <w:rPr>
          <w:bCs/>
        </w:rPr>
        <w:t xml:space="preserve">uzyskując krótsze czasy jazdy. </w:t>
      </w:r>
      <w:r w:rsidRPr="005658C6">
        <w:t>Ponadto w Ministerstwie Infrastruktury trwają prace</w:t>
      </w:r>
      <w:r w:rsidRPr="005658C6">
        <w:rPr>
          <w:bCs/>
        </w:rPr>
        <w:t xml:space="preserve"> nad kolejowym rozkładem jazdy </w:t>
      </w:r>
      <w:r w:rsidR="00946218">
        <w:rPr>
          <w:bCs/>
        </w:rPr>
        <w:t xml:space="preserve">– </w:t>
      </w:r>
      <w:r w:rsidRPr="005658C6">
        <w:rPr>
          <w:bCs/>
        </w:rPr>
        <w:t xml:space="preserve">tzw. </w:t>
      </w:r>
      <w:r w:rsidRPr="00CF05BD">
        <w:rPr>
          <w:b/>
        </w:rPr>
        <w:t>Horyzontalny Rozkład Jazdy</w:t>
      </w:r>
      <w:r w:rsidRPr="005658C6">
        <w:rPr>
          <w:bCs/>
        </w:rPr>
        <w:t>, który wprowadzi stałą siatkę połączeń na lata 2030/31-2039/40 (z perspektywą 2049/50) oraz będzie uwzględniać efekty modernizacji i</w:t>
      </w:r>
      <w:r w:rsidR="00C04086">
        <w:rPr>
          <w:bCs/>
        </w:rPr>
        <w:t> </w:t>
      </w:r>
      <w:r w:rsidRPr="005658C6">
        <w:rPr>
          <w:bCs/>
        </w:rPr>
        <w:t>budowy linii kolejowych przez spółkę C</w:t>
      </w:r>
      <w:r w:rsidR="00946218">
        <w:rPr>
          <w:bCs/>
        </w:rPr>
        <w:t xml:space="preserve">entralny </w:t>
      </w:r>
      <w:r w:rsidRPr="005658C6">
        <w:rPr>
          <w:bCs/>
        </w:rPr>
        <w:t>P</w:t>
      </w:r>
      <w:r w:rsidR="00946218">
        <w:rPr>
          <w:bCs/>
        </w:rPr>
        <w:t xml:space="preserve">ort </w:t>
      </w:r>
      <w:r w:rsidRPr="005658C6">
        <w:rPr>
          <w:bCs/>
        </w:rPr>
        <w:t>K</w:t>
      </w:r>
      <w:r w:rsidR="00946218">
        <w:rPr>
          <w:bCs/>
        </w:rPr>
        <w:t>omunikacyjny</w:t>
      </w:r>
      <w:r w:rsidRPr="005658C6">
        <w:rPr>
          <w:bCs/>
        </w:rPr>
        <w:t xml:space="preserve">. </w:t>
      </w:r>
    </w:p>
    <w:p w14:paraId="259F5D35" w14:textId="62808ACD" w:rsidR="0092259D" w:rsidRPr="0092259D" w:rsidRDefault="00A868D5" w:rsidP="0092259D">
      <w:pPr>
        <w:rPr>
          <w:rFonts w:cs="Calibri"/>
          <w:kern w:val="0"/>
          <w14:ligatures w14:val="none"/>
        </w:rPr>
      </w:pPr>
      <w:r w:rsidRPr="009D61DE">
        <w:rPr>
          <w:rFonts w:cs="Calibri"/>
          <w:kern w:val="0"/>
          <w14:ligatures w14:val="none"/>
        </w:rPr>
        <w:t>Przenoszeni</w:t>
      </w:r>
      <w:r w:rsidR="00B3486D">
        <w:rPr>
          <w:rFonts w:cs="Calibri"/>
          <w:kern w:val="0"/>
          <w14:ligatures w14:val="none"/>
        </w:rPr>
        <w:t>e</w:t>
      </w:r>
      <w:r w:rsidRPr="009D61DE">
        <w:rPr>
          <w:rFonts w:cs="Calibri"/>
          <w:kern w:val="0"/>
          <w14:ligatures w14:val="none"/>
        </w:rPr>
        <w:t xml:space="preserve"> przewozów z mniej przyjaznych środowisku środków na kolej realizowane będzie poprzez rozwój transportu intermodalnego, zgodnie z </w:t>
      </w:r>
      <w:r w:rsidRPr="00B3486D">
        <w:rPr>
          <w:rFonts w:cs="Calibri"/>
          <w:b/>
          <w:bCs/>
          <w:i/>
          <w:iCs/>
          <w:kern w:val="0"/>
          <w14:ligatures w14:val="none"/>
        </w:rPr>
        <w:t>Kierunkami Rozwoju Transportu Intermodalnego do 2030 r. z</w:t>
      </w:r>
      <w:r w:rsidR="00C04086">
        <w:rPr>
          <w:rFonts w:cs="Calibri"/>
          <w:b/>
          <w:bCs/>
          <w:i/>
          <w:iCs/>
          <w:kern w:val="0"/>
          <w14:ligatures w14:val="none"/>
        </w:rPr>
        <w:t> </w:t>
      </w:r>
      <w:r w:rsidRPr="00B3486D">
        <w:rPr>
          <w:rFonts w:cs="Calibri"/>
          <w:b/>
          <w:bCs/>
          <w:i/>
          <w:iCs/>
          <w:kern w:val="0"/>
          <w14:ligatures w14:val="none"/>
        </w:rPr>
        <w:t>perspektywą do 2040 r.</w:t>
      </w:r>
      <w:r w:rsidR="00946218">
        <w:rPr>
          <w:rFonts w:cs="Calibri"/>
          <w:i/>
          <w:iCs/>
          <w:kern w:val="0"/>
          <w14:ligatures w14:val="none"/>
        </w:rPr>
        <w:t xml:space="preserve"> </w:t>
      </w:r>
      <w:r w:rsidRPr="005658C6">
        <w:rPr>
          <w:rFonts w:cstheme="minorHAnsi"/>
          <w:bCs/>
          <w:szCs w:val="20"/>
        </w:rPr>
        <w:t xml:space="preserve">Priorytetem będzie </w:t>
      </w:r>
      <w:r w:rsidRPr="005658C6">
        <w:rPr>
          <w:szCs w:val="20"/>
        </w:rPr>
        <w:t xml:space="preserve">sprawność ruchu pociągów oraz wzrost prędkości handlowych, zwłaszcza dla pociągów towarowych. </w:t>
      </w:r>
      <w:r w:rsidR="00F21125">
        <w:rPr>
          <w:szCs w:val="20"/>
        </w:rPr>
        <w:t>Ważne jest</w:t>
      </w:r>
      <w:r w:rsidR="003005D2">
        <w:rPr>
          <w:szCs w:val="20"/>
        </w:rPr>
        <w:t xml:space="preserve"> </w:t>
      </w:r>
      <w:r w:rsidR="006152B8" w:rsidRPr="006152B8">
        <w:rPr>
          <w:szCs w:val="20"/>
        </w:rPr>
        <w:t>opracowanie rozwiązań technicznych i</w:t>
      </w:r>
      <w:r w:rsidR="00A37AA0">
        <w:rPr>
          <w:szCs w:val="20"/>
        </w:rPr>
        <w:t> </w:t>
      </w:r>
      <w:r w:rsidR="006152B8" w:rsidRPr="006152B8">
        <w:rPr>
          <w:szCs w:val="20"/>
        </w:rPr>
        <w:t>budow</w:t>
      </w:r>
      <w:r w:rsidR="003005D2">
        <w:rPr>
          <w:szCs w:val="20"/>
        </w:rPr>
        <w:t>a</w:t>
      </w:r>
      <w:r w:rsidR="006152B8" w:rsidRPr="006152B8">
        <w:rPr>
          <w:szCs w:val="20"/>
        </w:rPr>
        <w:t xml:space="preserve"> terminali załadunku i rozładunku naczep, przyczep samochodowych, kontenerów </w:t>
      </w:r>
      <w:r w:rsidR="005B0588">
        <w:rPr>
          <w:szCs w:val="20"/>
        </w:rPr>
        <w:t>– pozwoli to</w:t>
      </w:r>
      <w:r w:rsidR="00067AA5">
        <w:rPr>
          <w:szCs w:val="20"/>
        </w:rPr>
        <w:t> </w:t>
      </w:r>
      <w:r w:rsidR="005B0588">
        <w:rPr>
          <w:szCs w:val="20"/>
        </w:rPr>
        <w:t xml:space="preserve">na </w:t>
      </w:r>
      <w:r w:rsidR="005F0CE9">
        <w:rPr>
          <w:szCs w:val="20"/>
        </w:rPr>
        <w:t>powi</w:t>
      </w:r>
      <w:r w:rsidR="00354D8B">
        <w:rPr>
          <w:szCs w:val="20"/>
        </w:rPr>
        <w:t>ą</w:t>
      </w:r>
      <w:r w:rsidR="005F0CE9">
        <w:rPr>
          <w:szCs w:val="20"/>
        </w:rPr>
        <w:t>zanie</w:t>
      </w:r>
      <w:r w:rsidR="006152B8" w:rsidRPr="006152B8">
        <w:rPr>
          <w:szCs w:val="20"/>
        </w:rPr>
        <w:t xml:space="preserve"> transportu samochodowego </w:t>
      </w:r>
      <w:r w:rsidR="00354D8B">
        <w:rPr>
          <w:szCs w:val="20"/>
        </w:rPr>
        <w:t>z</w:t>
      </w:r>
      <w:r w:rsidR="006152B8" w:rsidRPr="006152B8">
        <w:rPr>
          <w:szCs w:val="20"/>
        </w:rPr>
        <w:t xml:space="preserve"> transport</w:t>
      </w:r>
      <w:r w:rsidR="00972A0B">
        <w:rPr>
          <w:szCs w:val="20"/>
        </w:rPr>
        <w:t>em</w:t>
      </w:r>
      <w:r w:rsidR="006152B8" w:rsidRPr="006152B8">
        <w:rPr>
          <w:szCs w:val="20"/>
        </w:rPr>
        <w:t xml:space="preserve"> kolejowy</w:t>
      </w:r>
      <w:r w:rsidR="00972A0B">
        <w:rPr>
          <w:szCs w:val="20"/>
        </w:rPr>
        <w:t>m</w:t>
      </w:r>
      <w:r w:rsidR="00354D8B" w:rsidRPr="00354D8B">
        <w:rPr>
          <w:szCs w:val="20"/>
        </w:rPr>
        <w:t xml:space="preserve"> </w:t>
      </w:r>
      <w:r w:rsidR="00354D8B">
        <w:rPr>
          <w:szCs w:val="20"/>
        </w:rPr>
        <w:t>(„tiry na tory”)</w:t>
      </w:r>
      <w:r w:rsidR="00972A0B">
        <w:rPr>
          <w:szCs w:val="20"/>
        </w:rPr>
        <w:t xml:space="preserve"> lub </w:t>
      </w:r>
      <w:r w:rsidR="008A0F74">
        <w:rPr>
          <w:szCs w:val="20"/>
        </w:rPr>
        <w:t>przenoszenie co najmniej częściowo</w:t>
      </w:r>
      <w:r w:rsidR="000F1168">
        <w:rPr>
          <w:szCs w:val="20"/>
        </w:rPr>
        <w:t xml:space="preserve"> </w:t>
      </w:r>
      <w:r w:rsidR="005B0588">
        <w:rPr>
          <w:szCs w:val="20"/>
        </w:rPr>
        <w:t>„ciężkiego” transportu towarowego</w:t>
      </w:r>
      <w:r w:rsidR="00106C71">
        <w:rPr>
          <w:szCs w:val="20"/>
        </w:rPr>
        <w:t xml:space="preserve"> na kolej</w:t>
      </w:r>
      <w:r w:rsidR="006152B8" w:rsidRPr="006152B8">
        <w:rPr>
          <w:szCs w:val="20"/>
        </w:rPr>
        <w:t>.</w:t>
      </w:r>
      <w:r w:rsidR="003E2DE5">
        <w:rPr>
          <w:szCs w:val="20"/>
        </w:rPr>
        <w:t xml:space="preserve"> </w:t>
      </w:r>
    </w:p>
    <w:p w14:paraId="1DC9BA30" w14:textId="0FE90FFD" w:rsidR="00DC3CF4" w:rsidRDefault="00DC3CF4" w:rsidP="00186C63">
      <w:pPr>
        <w:pStyle w:val="Nagwek5"/>
        <w:rPr>
          <w:szCs w:val="20"/>
        </w:rPr>
      </w:pPr>
      <w:r>
        <w:t>D</w:t>
      </w:r>
      <w:r w:rsidRPr="00946218">
        <w:t>ekarbonizacj</w:t>
      </w:r>
      <w:r>
        <w:t>a</w:t>
      </w:r>
      <w:r w:rsidRPr="00946218">
        <w:t xml:space="preserve"> transportu morskiego</w:t>
      </w:r>
    </w:p>
    <w:p w14:paraId="737824F3" w14:textId="40E7F658" w:rsidR="00A868D5" w:rsidRPr="009D61DE" w:rsidRDefault="00DC3CF4" w:rsidP="00DC3CF4">
      <w:pPr>
        <w:spacing w:after="120" w:line="264" w:lineRule="auto"/>
        <w:rPr>
          <w:rFonts w:eastAsia="Times New Roman" w:cs="Calibri"/>
          <w:color w:val="000000" w:themeColor="text1"/>
          <w:kern w:val="0"/>
          <w:szCs w:val="20"/>
          <w:lang w:eastAsia="pl-PL"/>
          <w14:ligatures w14:val="none"/>
        </w:rPr>
      </w:pPr>
      <w:r>
        <w:rPr>
          <w:bCs/>
          <w:szCs w:val="20"/>
        </w:rPr>
        <w:t xml:space="preserve">W </w:t>
      </w:r>
      <w:r w:rsidR="00E77005">
        <w:rPr>
          <w:bCs/>
          <w:szCs w:val="20"/>
        </w:rPr>
        <w:t xml:space="preserve">obszarze transportu morskiego </w:t>
      </w:r>
      <w:r w:rsidR="00946218">
        <w:rPr>
          <w:bCs/>
          <w:szCs w:val="20"/>
        </w:rPr>
        <w:t>szczególne znaczenie mają regulacje wskazujące</w:t>
      </w:r>
      <w:r w:rsidR="00A868D5" w:rsidRPr="009D61DE">
        <w:rPr>
          <w:rFonts w:eastAsia="Times New Roman" w:cs="Calibri"/>
          <w:color w:val="000000" w:themeColor="text1"/>
          <w:kern w:val="0"/>
          <w:szCs w:val="20"/>
          <w:lang w:eastAsia="pl-PL"/>
          <w14:ligatures w14:val="none"/>
        </w:rPr>
        <w:t>,</w:t>
      </w:r>
      <w:r w:rsidR="00946218">
        <w:rPr>
          <w:rFonts w:eastAsia="Times New Roman" w:cs="Calibri"/>
          <w:color w:val="000000" w:themeColor="text1"/>
          <w:kern w:val="0"/>
          <w:szCs w:val="20"/>
          <w:lang w:eastAsia="pl-PL"/>
          <w14:ligatures w14:val="none"/>
        </w:rPr>
        <w:t xml:space="preserve"> że</w:t>
      </w:r>
      <w:r w:rsidR="00A868D5" w:rsidRPr="009D61DE">
        <w:rPr>
          <w:rFonts w:eastAsia="Times New Roman" w:cs="Calibri"/>
          <w:color w:val="000000" w:themeColor="text1"/>
          <w:kern w:val="0"/>
          <w:szCs w:val="20"/>
          <w:lang w:eastAsia="pl-PL"/>
          <w14:ligatures w14:val="none"/>
        </w:rPr>
        <w:t xml:space="preserve"> właściwe jednostki w ramach swoich kompetencji będą </w:t>
      </w:r>
      <w:r w:rsidR="00A868D5" w:rsidRPr="00E82973">
        <w:rPr>
          <w:rFonts w:eastAsia="Times New Roman" w:cs="Calibri"/>
          <w:color w:val="000000" w:themeColor="text1"/>
          <w:kern w:val="0"/>
          <w:szCs w:val="20"/>
          <w:lang w:eastAsia="pl-PL"/>
          <w14:ligatures w14:val="none"/>
        </w:rPr>
        <w:t xml:space="preserve">prowadzić </w:t>
      </w:r>
      <w:r w:rsidR="00A868D5" w:rsidRPr="009D61DE">
        <w:rPr>
          <w:rFonts w:eastAsia="Times New Roman" w:cs="Calibri"/>
          <w:color w:val="000000" w:themeColor="text1"/>
          <w:kern w:val="0"/>
          <w:szCs w:val="20"/>
          <w:lang w:eastAsia="pl-PL"/>
          <w14:ligatures w14:val="none"/>
        </w:rPr>
        <w:t xml:space="preserve">działania w zakresie: </w:t>
      </w:r>
    </w:p>
    <w:p w14:paraId="632E7017" w14:textId="761A47BF" w:rsidR="00A868D5" w:rsidRPr="009D61DE" w:rsidRDefault="00A868D5" w:rsidP="003530A9">
      <w:pPr>
        <w:pStyle w:val="Akapitzlist"/>
        <w:numPr>
          <w:ilvl w:val="0"/>
          <w:numId w:val="18"/>
        </w:numPr>
        <w:rPr>
          <w:lang w:eastAsia="pl-PL"/>
        </w:rPr>
      </w:pPr>
      <w:r w:rsidRPr="009D61DE">
        <w:rPr>
          <w:lang w:eastAsia="pl-PL"/>
        </w:rPr>
        <w:t>przeprowadzania kontroli obowiązku przestrzegania przepisów ustawy z dnia 15 maja 2015 r. o</w:t>
      </w:r>
      <w:r w:rsidR="00946218">
        <w:rPr>
          <w:lang w:eastAsia="pl-PL"/>
        </w:rPr>
        <w:t> </w:t>
      </w:r>
      <w:r w:rsidRPr="009D61DE">
        <w:rPr>
          <w:lang w:eastAsia="pl-PL"/>
        </w:rPr>
        <w:t>substancjach zubażających warstwę ozonową oraz niektórych fluorowanych gazach cieplarnianych w</w:t>
      </w:r>
      <w:r w:rsidR="00946218">
        <w:rPr>
          <w:lang w:eastAsia="pl-PL"/>
        </w:rPr>
        <w:t> </w:t>
      </w:r>
      <w:r w:rsidRPr="009D61DE">
        <w:rPr>
          <w:lang w:eastAsia="pl-PL"/>
        </w:rPr>
        <w:t xml:space="preserve">zakresie eksploatacji na statkach urządzeń chłodniczych, klimatyzacyjnych, rozdzielnic </w:t>
      </w:r>
      <w:r w:rsidRPr="009D61DE">
        <w:rPr>
          <w:lang w:eastAsia="pl-PL"/>
        </w:rPr>
        <w:lastRenderedPageBreak/>
        <w:t xml:space="preserve">elektrycznych oraz systemów ochrony przeciwpożarowej i gaśnic zawierających substancje kontrolowane czy też fluorowane gazy cieplarniane; </w:t>
      </w:r>
    </w:p>
    <w:p w14:paraId="2A505D8B" w14:textId="77777777" w:rsidR="000A6EB6" w:rsidRDefault="00A868D5" w:rsidP="003530A9">
      <w:pPr>
        <w:pStyle w:val="Akapitzlist"/>
        <w:numPr>
          <w:ilvl w:val="0"/>
          <w:numId w:val="18"/>
        </w:numPr>
        <w:rPr>
          <w:lang w:eastAsia="pl-PL"/>
        </w:rPr>
      </w:pPr>
      <w:r w:rsidRPr="009D61DE">
        <w:rPr>
          <w:lang w:eastAsia="pl-PL"/>
        </w:rPr>
        <w:t xml:space="preserve">przeprowadzania kontroli dotyczących wymogów ograniczenia emisji tlenku azotu ze statków wynikających z Międzynarodowej konwencji o zapobieganiu zanieczyszczaniu morza przez statki (Konwencja MARPOL): Załącznik VI – Przepisy o zapobieganiu zanieczyszczenia powietrza przez statki wraz z Kodeksem technicznym kontroli emisji tlenków azotu z okrętowych silników wysokoprężnych (Kodeks NOX); </w:t>
      </w:r>
    </w:p>
    <w:p w14:paraId="26B0A321" w14:textId="6C82F855" w:rsidR="000A6EB6" w:rsidRPr="000A6EB6" w:rsidRDefault="00A868D5" w:rsidP="003530A9">
      <w:pPr>
        <w:pStyle w:val="Akapitzlist"/>
        <w:numPr>
          <w:ilvl w:val="0"/>
          <w:numId w:val="18"/>
        </w:numPr>
        <w:rPr>
          <w:lang w:eastAsia="pl-PL"/>
        </w:rPr>
      </w:pPr>
      <w:r w:rsidRPr="009D61DE">
        <w:rPr>
          <w:lang w:eastAsia="pl-PL"/>
        </w:rPr>
        <w:t xml:space="preserve">realizacji przepisów </w:t>
      </w:r>
      <w:r w:rsidR="00946218">
        <w:rPr>
          <w:lang w:eastAsia="pl-PL"/>
        </w:rPr>
        <w:t>ro</w:t>
      </w:r>
      <w:r w:rsidRPr="009D61DE">
        <w:rPr>
          <w:lang w:eastAsia="pl-PL"/>
        </w:rPr>
        <w:t xml:space="preserve">zporządzenia </w:t>
      </w:r>
      <w:r w:rsidR="00946218">
        <w:rPr>
          <w:lang w:eastAsia="pl-PL"/>
        </w:rPr>
        <w:t>UE</w:t>
      </w:r>
      <w:r w:rsidRPr="009D61DE">
        <w:rPr>
          <w:lang w:eastAsia="pl-PL"/>
        </w:rPr>
        <w:t xml:space="preserve"> 2015/757 w sprawie monitorowania, raportowania i</w:t>
      </w:r>
      <w:r w:rsidR="000A6EB6">
        <w:rPr>
          <w:lang w:eastAsia="pl-PL"/>
        </w:rPr>
        <w:t> </w:t>
      </w:r>
      <w:r w:rsidRPr="009D61DE">
        <w:rPr>
          <w:lang w:eastAsia="pl-PL"/>
        </w:rPr>
        <w:t>weryfikacji emisji dwutlenku węgla z transportu morskiego</w:t>
      </w:r>
      <w:r w:rsidR="00946218">
        <w:rPr>
          <w:lang w:eastAsia="pl-PL"/>
        </w:rPr>
        <w:t>,</w:t>
      </w:r>
      <w:r w:rsidRPr="009D61DE">
        <w:rPr>
          <w:lang w:eastAsia="pl-PL"/>
        </w:rPr>
        <w:t xml:space="preserve"> </w:t>
      </w:r>
      <w:r w:rsidRPr="00E82973">
        <w:rPr>
          <w:lang w:eastAsia="pl-PL"/>
        </w:rPr>
        <w:t xml:space="preserve">zmienionego </w:t>
      </w:r>
      <w:r w:rsidRPr="000A6EB6">
        <w:rPr>
          <w:bCs/>
          <w:lang w:eastAsia="pl-PL"/>
        </w:rPr>
        <w:t xml:space="preserve">rozporządzeniem </w:t>
      </w:r>
      <w:r w:rsidR="00946218" w:rsidRPr="000A6EB6">
        <w:rPr>
          <w:bCs/>
          <w:lang w:eastAsia="pl-PL"/>
        </w:rPr>
        <w:t xml:space="preserve">UE </w:t>
      </w:r>
      <w:r w:rsidRPr="000A6EB6">
        <w:rPr>
          <w:bCs/>
          <w:lang w:eastAsia="pl-PL"/>
        </w:rPr>
        <w:t xml:space="preserve">2023/957 w celu włączenia transportu morskiego do unijnego systemu handlu uprawnieniami do emisji oraz monitorowania, raportowania i weryfikacji emisji dodatkowych </w:t>
      </w:r>
      <w:r w:rsidR="00AD0FB0">
        <w:rPr>
          <w:bCs/>
          <w:lang w:eastAsia="pl-PL"/>
        </w:rPr>
        <w:t>GHG</w:t>
      </w:r>
      <w:r w:rsidRPr="000A6EB6">
        <w:rPr>
          <w:bCs/>
          <w:lang w:eastAsia="pl-PL"/>
        </w:rPr>
        <w:t xml:space="preserve"> i emisji z dodatkowych typów statków;</w:t>
      </w:r>
    </w:p>
    <w:p w14:paraId="11510EF7" w14:textId="19FB03F6" w:rsidR="00A868D5" w:rsidRPr="000A6EB6" w:rsidRDefault="00A868D5" w:rsidP="003530A9">
      <w:pPr>
        <w:pStyle w:val="Akapitzlist"/>
        <w:numPr>
          <w:ilvl w:val="0"/>
          <w:numId w:val="18"/>
        </w:numPr>
        <w:rPr>
          <w:lang w:eastAsia="pl-PL"/>
        </w:rPr>
      </w:pPr>
      <w:r w:rsidRPr="00E82973">
        <w:rPr>
          <w:lang w:eastAsia="pl-PL"/>
        </w:rPr>
        <w:t xml:space="preserve">realizacji przepisów </w:t>
      </w:r>
      <w:r w:rsidR="000A6EB6">
        <w:rPr>
          <w:lang w:eastAsia="pl-PL"/>
        </w:rPr>
        <w:t>r</w:t>
      </w:r>
      <w:r w:rsidRPr="00E82973">
        <w:rPr>
          <w:lang w:eastAsia="pl-PL"/>
        </w:rPr>
        <w:t>ozporządzenia UE 2023/1805 w sprawie stosowania paliw odnawialnych i</w:t>
      </w:r>
      <w:r w:rsidR="00682C83">
        <w:rPr>
          <w:lang w:eastAsia="pl-PL"/>
        </w:rPr>
        <w:t> </w:t>
      </w:r>
      <w:r w:rsidRPr="00E82973">
        <w:rPr>
          <w:lang w:eastAsia="pl-PL"/>
        </w:rPr>
        <w:t>niskoemisyjnych w transporcie morskim.</w:t>
      </w:r>
    </w:p>
    <w:p w14:paraId="6DB7D778" w14:textId="7859D07B" w:rsidR="00A868D5" w:rsidRPr="009D61DE" w:rsidRDefault="00A868D5" w:rsidP="00A868D5">
      <w:pPr>
        <w:spacing w:after="120" w:line="264" w:lineRule="auto"/>
        <w:rPr>
          <w:rFonts w:cs="Calibri"/>
          <w:color w:val="000000" w:themeColor="text1"/>
          <w:kern w:val="0"/>
          <w:szCs w:val="20"/>
          <w14:ligatures w14:val="none"/>
        </w:rPr>
      </w:pPr>
      <w:r w:rsidRPr="009D61DE">
        <w:rPr>
          <w:rFonts w:cs="Calibri"/>
          <w:color w:val="000000" w:themeColor="text1"/>
          <w:kern w:val="0"/>
          <w:szCs w:val="20"/>
          <w14:ligatures w14:val="none"/>
        </w:rPr>
        <w:t>Włączenie transportu morskiego do systemu EU ETS przyczyni się do zmniejszenia emisyjności gazów cieplarnianych z tego sektora. Przedsiębiorstwa żeglugowe i armatorzy będą musieli zastosować bezemisyjne technologie i paliwa</w:t>
      </w:r>
      <w:r w:rsidRPr="00E82973">
        <w:rPr>
          <w:rFonts w:cs="Calibri"/>
          <w:color w:val="000000" w:themeColor="text1"/>
          <w:kern w:val="0"/>
          <w:szCs w:val="20"/>
          <w14:ligatures w14:val="none"/>
        </w:rPr>
        <w:t>,</w:t>
      </w:r>
      <w:r w:rsidRPr="009D61DE">
        <w:rPr>
          <w:rFonts w:cs="Calibri"/>
          <w:color w:val="000000" w:themeColor="text1"/>
          <w:kern w:val="0"/>
          <w:szCs w:val="20"/>
          <w14:ligatures w14:val="none"/>
        </w:rPr>
        <w:t xml:space="preserve"> jeśli będą chcieli uniknąć ponoszenia kosztów zakupu uprawnień do</w:t>
      </w:r>
      <w:r w:rsidR="00E10E5B">
        <w:rPr>
          <w:rFonts w:cs="Calibri"/>
          <w:color w:val="000000" w:themeColor="text1"/>
          <w:kern w:val="0"/>
          <w:szCs w:val="20"/>
          <w14:ligatures w14:val="none"/>
        </w:rPr>
        <w:t> </w:t>
      </w:r>
      <w:r w:rsidRPr="009D61DE">
        <w:rPr>
          <w:rFonts w:cs="Calibri"/>
          <w:color w:val="000000" w:themeColor="text1"/>
          <w:kern w:val="0"/>
          <w:szCs w:val="20"/>
          <w14:ligatures w14:val="none"/>
        </w:rPr>
        <w:t>emisji gazów cieplarnianych.</w:t>
      </w:r>
    </w:p>
    <w:p w14:paraId="5009BF29" w14:textId="549AB3A2" w:rsidR="009227A3" w:rsidRDefault="009227A3" w:rsidP="00186C63">
      <w:pPr>
        <w:pStyle w:val="Nagwek5"/>
        <w:rPr>
          <w:szCs w:val="20"/>
        </w:rPr>
      </w:pPr>
      <w:r>
        <w:t>D</w:t>
      </w:r>
      <w:r w:rsidR="00A868D5" w:rsidRPr="000A6EB6">
        <w:t>ekarbonizacj</w:t>
      </w:r>
      <w:r>
        <w:t>a</w:t>
      </w:r>
      <w:r w:rsidR="00A868D5" w:rsidRPr="000A6EB6">
        <w:t xml:space="preserve"> lotnictwa</w:t>
      </w:r>
      <w:r w:rsidR="00A868D5" w:rsidRPr="005658C6">
        <w:rPr>
          <w:szCs w:val="20"/>
        </w:rPr>
        <w:t xml:space="preserve"> </w:t>
      </w:r>
    </w:p>
    <w:p w14:paraId="40D20A35" w14:textId="43E5DA89" w:rsidR="00A868D5" w:rsidRPr="009D61DE" w:rsidRDefault="00154639" w:rsidP="00B12A2B">
      <w:pPr>
        <w:rPr>
          <w:rFonts w:cs="Calibri"/>
          <w:kern w:val="0"/>
          <w14:ligatures w14:val="none"/>
        </w:rPr>
      </w:pPr>
      <w:r>
        <w:t xml:space="preserve">Rozwój lotnictwa w Polsce powinien przebiegać zgodnie z </w:t>
      </w:r>
      <w:r w:rsidRPr="009D61DE">
        <w:rPr>
          <w:rFonts w:cs="Calibri"/>
          <w:b/>
          <w:kern w:val="0"/>
          <w14:ligatures w14:val="none"/>
        </w:rPr>
        <w:t>Polity</w:t>
      </w:r>
      <w:r>
        <w:rPr>
          <w:rFonts w:cs="Calibri"/>
          <w:b/>
          <w:kern w:val="0"/>
          <w14:ligatures w14:val="none"/>
        </w:rPr>
        <w:t>ką</w:t>
      </w:r>
      <w:r w:rsidRPr="009D61DE">
        <w:rPr>
          <w:rFonts w:cs="Calibri"/>
          <w:b/>
          <w:kern w:val="0"/>
          <w14:ligatures w14:val="none"/>
        </w:rPr>
        <w:t xml:space="preserve"> </w:t>
      </w:r>
      <w:r w:rsidR="00A868D5" w:rsidRPr="009D61DE">
        <w:rPr>
          <w:rFonts w:cs="Calibri"/>
          <w:b/>
          <w:kern w:val="0"/>
          <w14:ligatures w14:val="none"/>
        </w:rPr>
        <w:t>rozwoju lotnictwa cywilnego w</w:t>
      </w:r>
      <w:r w:rsidR="00A37AA0">
        <w:rPr>
          <w:rFonts w:cs="Calibri"/>
          <w:b/>
          <w:kern w:val="0"/>
          <w14:ligatures w14:val="none"/>
        </w:rPr>
        <w:t> </w:t>
      </w:r>
      <w:r w:rsidR="00A868D5" w:rsidRPr="009D61DE">
        <w:rPr>
          <w:rFonts w:cs="Calibri"/>
          <w:b/>
          <w:kern w:val="0"/>
          <w14:ligatures w14:val="none"/>
        </w:rPr>
        <w:t>Polsce do 2030 r. (z perspektywą do 2040 r.)</w:t>
      </w:r>
      <w:r w:rsidR="000A6EB6">
        <w:rPr>
          <w:rFonts w:cs="Calibri"/>
          <w:b/>
          <w:kern w:val="0"/>
          <w14:ligatures w14:val="none"/>
        </w:rPr>
        <w:t xml:space="preserve"> </w:t>
      </w:r>
      <w:r w:rsidR="000A6EB6" w:rsidRPr="000A6EB6">
        <w:rPr>
          <w:rFonts w:cs="Calibri"/>
          <w:bCs/>
          <w:kern w:val="0"/>
          <w14:ligatures w14:val="none"/>
        </w:rPr>
        <w:t>(</w:t>
      </w:r>
      <w:hyperlink r:id="rId62" w:history="1">
        <w:r w:rsidR="000A6EB6" w:rsidRPr="000A6EB6">
          <w:rPr>
            <w:rStyle w:val="Hipercze"/>
            <w:rFonts w:cs="Calibri"/>
            <w:bCs/>
            <w:kern w:val="0"/>
            <w:szCs w:val="20"/>
            <w14:ligatures w14:val="none"/>
          </w:rPr>
          <w:t>link</w:t>
        </w:r>
      </w:hyperlink>
      <w:r w:rsidR="000A6EB6" w:rsidRPr="000A6EB6">
        <w:rPr>
          <w:rFonts w:cs="Calibri"/>
          <w:bCs/>
          <w:kern w:val="0"/>
          <w14:ligatures w14:val="none"/>
        </w:rPr>
        <w:t>)</w:t>
      </w:r>
      <w:r>
        <w:rPr>
          <w:rFonts w:cs="Calibri"/>
          <w:bCs/>
          <w:kern w:val="0"/>
          <w14:ligatures w14:val="none"/>
        </w:rPr>
        <w:t>.</w:t>
      </w:r>
      <w:r w:rsidRPr="00E82973">
        <w:rPr>
          <w:rFonts w:cs="Calibri"/>
          <w:kern w:val="0"/>
          <w14:ligatures w14:val="none"/>
        </w:rPr>
        <w:t xml:space="preserve"> </w:t>
      </w:r>
      <w:r>
        <w:rPr>
          <w:rFonts w:cs="Calibri"/>
          <w:kern w:val="0"/>
          <w14:ligatures w14:val="none"/>
        </w:rPr>
        <w:t>K</w:t>
      </w:r>
      <w:r w:rsidRPr="009C2D26">
        <w:rPr>
          <w:rFonts w:cs="Calibri"/>
          <w:kern w:val="0"/>
          <w14:ligatures w14:val="none"/>
        </w:rPr>
        <w:t>ierunki interwencji dotyczą m.in. rozwoju sieci lotnisk, inwestycji w porty lotnicze, funkcjonowania przestrzeni powietrznej, wsparcia badań, edukacji i</w:t>
      </w:r>
      <w:r w:rsidR="00A37AA0">
        <w:rPr>
          <w:rFonts w:cs="Calibri"/>
          <w:kern w:val="0"/>
          <w14:ligatures w14:val="none"/>
        </w:rPr>
        <w:t> </w:t>
      </w:r>
      <w:r w:rsidRPr="009C2D26">
        <w:rPr>
          <w:rFonts w:cs="Calibri"/>
          <w:kern w:val="0"/>
          <w14:ligatures w14:val="none"/>
        </w:rPr>
        <w:t>rozwoju w obszarze lotnictwa cywilnego</w:t>
      </w:r>
      <w:r>
        <w:rPr>
          <w:rFonts w:cs="Calibri"/>
          <w:kern w:val="0"/>
          <w14:ligatures w14:val="none"/>
        </w:rPr>
        <w:t xml:space="preserve"> oraz bezpieczeństwa, ale także </w:t>
      </w:r>
      <w:r>
        <w:rPr>
          <w:rFonts w:cs="Calibri"/>
          <w:b/>
          <w:bCs/>
          <w:kern w:val="0"/>
          <w14:ligatures w14:val="none"/>
        </w:rPr>
        <w:t>ochrony środowiska w</w:t>
      </w:r>
      <w:r w:rsidR="00A37AA0">
        <w:rPr>
          <w:rFonts w:cs="Calibri"/>
          <w:b/>
          <w:bCs/>
          <w:kern w:val="0"/>
          <w14:ligatures w14:val="none"/>
        </w:rPr>
        <w:t> </w:t>
      </w:r>
      <w:r>
        <w:rPr>
          <w:rFonts w:cs="Calibri"/>
          <w:b/>
          <w:bCs/>
          <w:kern w:val="0"/>
          <w14:ligatures w14:val="none"/>
        </w:rPr>
        <w:t xml:space="preserve">transporcie lotniczym </w:t>
      </w:r>
      <w:r>
        <w:rPr>
          <w:rFonts w:cs="Calibri"/>
          <w:kern w:val="0"/>
          <w14:ligatures w14:val="none"/>
        </w:rPr>
        <w:t>(kierunek interwencji VII).</w:t>
      </w:r>
      <w:r w:rsidR="009C2D26">
        <w:rPr>
          <w:rFonts w:cs="Calibri"/>
          <w:kern w:val="0"/>
          <w14:ligatures w14:val="none"/>
        </w:rPr>
        <w:t xml:space="preserve"> </w:t>
      </w:r>
    </w:p>
    <w:p w14:paraId="6385BFDF" w14:textId="63FD885E" w:rsidR="0020108B" w:rsidRDefault="00154639" w:rsidP="000C0DDC">
      <w:pPr>
        <w:spacing w:after="80"/>
      </w:pPr>
      <w:r>
        <w:t>Polityka w obszarze lotniczym uwzględnia, że od ok</w:t>
      </w:r>
      <w:r w:rsidRPr="00C16B70">
        <w:t>. 2035 r. powinny być dostępne seryjnie produkowane statki powietrzne zeroemisyjne</w:t>
      </w:r>
      <w:r>
        <w:t xml:space="preserve">, lecz do tego czasu </w:t>
      </w:r>
      <w:r w:rsidRPr="001E711C">
        <w:t xml:space="preserve">największe znaczenie </w:t>
      </w:r>
      <w:r w:rsidRPr="00D44FA9">
        <w:t xml:space="preserve">będą miały zrównoważone paliwa lotnicze (ang. </w:t>
      </w:r>
      <w:r w:rsidRPr="00D44FA9">
        <w:rPr>
          <w:i/>
          <w:iCs/>
        </w:rPr>
        <w:t>sustainable aviation fuels</w:t>
      </w:r>
      <w:r w:rsidRPr="00D44FA9">
        <w:t>, SAF)</w:t>
      </w:r>
      <w:r>
        <w:t>, które nie wymagają modyfikacji floty</w:t>
      </w:r>
      <w:r w:rsidRPr="00D44FA9">
        <w:t>.</w:t>
      </w:r>
      <w:r>
        <w:t xml:space="preserve"> Dążyć się</w:t>
      </w:r>
      <w:r w:rsidR="00E10E5B">
        <w:t> </w:t>
      </w:r>
      <w:r>
        <w:t xml:space="preserve">będzie do pokrycia wymagań </w:t>
      </w:r>
      <w:r w:rsidRPr="009D61DE">
        <w:rPr>
          <w:rFonts w:cs="Calibri"/>
          <w:kern w:val="0"/>
          <w:szCs w:val="20"/>
          <w14:ligatures w14:val="none"/>
        </w:rPr>
        <w:t xml:space="preserve">rozporządzenia </w:t>
      </w:r>
      <w:r>
        <w:rPr>
          <w:rFonts w:cs="Calibri"/>
          <w:kern w:val="0"/>
          <w:szCs w:val="20"/>
          <w14:ligatures w14:val="none"/>
        </w:rPr>
        <w:t>UE</w:t>
      </w:r>
      <w:r w:rsidRPr="009D61DE">
        <w:rPr>
          <w:rFonts w:cs="Calibri"/>
          <w:kern w:val="0"/>
          <w:szCs w:val="20"/>
          <w14:ligatures w14:val="none"/>
        </w:rPr>
        <w:t xml:space="preserve"> 2023/2405 w sprawie zapewnienia równych warunków działania dla zrównoważonego</w:t>
      </w:r>
      <w:r>
        <w:rPr>
          <w:rFonts w:cs="Calibri"/>
          <w:kern w:val="0"/>
          <w:szCs w:val="20"/>
          <w14:ligatures w14:val="none"/>
        </w:rPr>
        <w:t xml:space="preserve"> </w:t>
      </w:r>
      <w:r w:rsidRPr="009D61DE">
        <w:rPr>
          <w:rFonts w:cs="Calibri"/>
          <w:kern w:val="0"/>
          <w:szCs w:val="20"/>
          <w14:ligatures w14:val="none"/>
        </w:rPr>
        <w:t xml:space="preserve">transportu lotniczego </w:t>
      </w:r>
      <w:r>
        <w:rPr>
          <w:rFonts w:cs="Calibri"/>
          <w:kern w:val="0"/>
          <w:szCs w:val="20"/>
          <w14:ligatures w14:val="none"/>
        </w:rPr>
        <w:t xml:space="preserve">– </w:t>
      </w:r>
      <w:r w:rsidRPr="00E76004">
        <w:rPr>
          <w:rFonts w:cs="Calibri"/>
          <w:i/>
          <w:iCs/>
          <w:kern w:val="0"/>
          <w:szCs w:val="20"/>
          <w14:ligatures w14:val="none"/>
        </w:rPr>
        <w:t>ReFuelEU Aviation</w:t>
      </w:r>
      <w:r>
        <w:rPr>
          <w:rFonts w:cs="Calibri"/>
          <w:kern w:val="0"/>
          <w:szCs w:val="20"/>
          <w14:ligatures w14:val="none"/>
        </w:rPr>
        <w:t xml:space="preserve">, które m.in. </w:t>
      </w:r>
      <w:r>
        <w:t xml:space="preserve">zobowiązuje </w:t>
      </w:r>
      <w:r w:rsidRPr="008609A7">
        <w:t xml:space="preserve">do dostarczania oraz </w:t>
      </w:r>
      <w:r w:rsidRPr="00D44FA9">
        <w:rPr>
          <w:b/>
          <w:bCs/>
        </w:rPr>
        <w:t>wykorzystania SAF</w:t>
      </w:r>
      <w:r w:rsidRPr="008609A7">
        <w:t>, a także wspiera</w:t>
      </w:r>
      <w:r>
        <w:t xml:space="preserve">ne będą </w:t>
      </w:r>
      <w:r w:rsidRPr="008609A7">
        <w:t>badania naukowe, rozwój i</w:t>
      </w:r>
      <w:r>
        <w:t> </w:t>
      </w:r>
      <w:r w:rsidRPr="008609A7">
        <w:t>innowacje zakresie</w:t>
      </w:r>
      <w:r>
        <w:t xml:space="preserve"> SAF </w:t>
      </w:r>
      <w:r w:rsidRPr="008609A7">
        <w:t xml:space="preserve">. </w:t>
      </w:r>
      <w:r>
        <w:t>Z</w:t>
      </w:r>
      <w:r w:rsidRPr="008609A7">
        <w:t>godnie z załącznikiem I do rozporządzenia</w:t>
      </w:r>
      <w:r>
        <w:t xml:space="preserve"> </w:t>
      </w:r>
      <w:r w:rsidRPr="008609A7">
        <w:t>minimalny udział w paliwie lotniczym udostępnianym operatorom statków powietrznych będzie wynosił</w:t>
      </w:r>
      <w:r w:rsidR="0020108B">
        <w:t>:</w:t>
      </w:r>
    </w:p>
    <w:p w14:paraId="5A9AA90C" w14:textId="77777777" w:rsidR="0066393B" w:rsidRDefault="0066393B" w:rsidP="00F83CC6">
      <w:pPr>
        <w:spacing w:after="60" w:line="264" w:lineRule="auto"/>
        <w:sectPr w:rsidR="0066393B" w:rsidSect="00F54BC3">
          <w:type w:val="continuous"/>
          <w:pgSz w:w="11906" w:h="16838"/>
          <w:pgMar w:top="1417" w:right="1417" w:bottom="1417" w:left="1417" w:header="708" w:footer="708" w:gutter="0"/>
          <w:cols w:space="708"/>
          <w:docGrid w:linePitch="360"/>
        </w:sectPr>
      </w:pPr>
    </w:p>
    <w:p w14:paraId="32C3406A" w14:textId="350A5018" w:rsidR="00C43C1A" w:rsidRDefault="0066393B" w:rsidP="00F83CC6">
      <w:pPr>
        <w:spacing w:after="60" w:line="264" w:lineRule="auto"/>
        <w:ind w:left="284"/>
      </w:pPr>
      <w:r>
        <w:t>udział</w:t>
      </w:r>
      <w:r w:rsidR="00C43C1A">
        <w:t xml:space="preserve"> SAF</w:t>
      </w:r>
      <w:r w:rsidR="00AA798C">
        <w:t xml:space="preserve"> (cel)</w:t>
      </w:r>
      <w:r w:rsidR="00C43C1A">
        <w:t>:</w:t>
      </w:r>
    </w:p>
    <w:p w14:paraId="6DA5E917" w14:textId="7C38777D" w:rsidR="00C43C1A" w:rsidRPr="00C43C1A" w:rsidRDefault="008609A7" w:rsidP="000625AC">
      <w:pPr>
        <w:pStyle w:val="Akapitzlist"/>
        <w:numPr>
          <w:ilvl w:val="0"/>
          <w:numId w:val="50"/>
        </w:numPr>
        <w:spacing w:after="60" w:line="264" w:lineRule="auto"/>
        <w:rPr>
          <w:rFonts w:cs="Calibri"/>
          <w:kern w:val="0"/>
          <w:szCs w:val="20"/>
          <w14:ligatures w14:val="none"/>
        </w:rPr>
      </w:pPr>
      <w:r w:rsidRPr="008609A7">
        <w:t>2% od 2025 r</w:t>
      </w:r>
      <w:r w:rsidR="0066393B">
        <w:t>.</w:t>
      </w:r>
    </w:p>
    <w:p w14:paraId="2587AF4E" w14:textId="71875729" w:rsidR="00464F14" w:rsidRPr="00464F14" w:rsidRDefault="008609A7" w:rsidP="000625AC">
      <w:pPr>
        <w:pStyle w:val="Akapitzlist"/>
        <w:numPr>
          <w:ilvl w:val="0"/>
          <w:numId w:val="50"/>
        </w:numPr>
        <w:spacing w:line="264" w:lineRule="auto"/>
        <w:rPr>
          <w:rFonts w:cs="Calibri"/>
          <w:kern w:val="0"/>
          <w:szCs w:val="20"/>
          <w14:ligatures w14:val="none"/>
        </w:rPr>
      </w:pPr>
      <w:r w:rsidRPr="008609A7">
        <w:t xml:space="preserve">70% </w:t>
      </w:r>
      <w:r w:rsidR="0066393B">
        <w:t>od</w:t>
      </w:r>
      <w:r w:rsidRPr="008609A7">
        <w:t xml:space="preserve"> 2050 r. </w:t>
      </w:r>
    </w:p>
    <w:p w14:paraId="08C1A52D" w14:textId="43D66479" w:rsidR="0066393B" w:rsidRPr="0066393B" w:rsidRDefault="008608A8" w:rsidP="00F83CC6">
      <w:pPr>
        <w:spacing w:after="60" w:line="264" w:lineRule="auto"/>
        <w:rPr>
          <w:rFonts w:cs="Calibri"/>
          <w:kern w:val="0"/>
          <w:szCs w:val="20"/>
          <w14:ligatures w14:val="none"/>
        </w:rPr>
      </w:pPr>
      <w:r>
        <w:t xml:space="preserve">w tym </w:t>
      </w:r>
      <w:r w:rsidR="0066393B">
        <w:t>udział p</w:t>
      </w:r>
      <w:r w:rsidR="00464F14">
        <w:t>aliw syntetyczn</w:t>
      </w:r>
      <w:r w:rsidR="0066393B">
        <w:t>ych</w:t>
      </w:r>
      <w:r w:rsidR="00543C2A">
        <w:t>:</w:t>
      </w:r>
    </w:p>
    <w:p w14:paraId="66012813" w14:textId="624F5F05" w:rsidR="0066393B" w:rsidRPr="0066393B" w:rsidRDefault="0066393B" w:rsidP="000625AC">
      <w:pPr>
        <w:pStyle w:val="Akapitzlist"/>
        <w:numPr>
          <w:ilvl w:val="0"/>
          <w:numId w:val="50"/>
        </w:numPr>
        <w:spacing w:after="120" w:line="264" w:lineRule="auto"/>
        <w:rPr>
          <w:rFonts w:cs="Calibri"/>
          <w:kern w:val="0"/>
          <w:szCs w:val="20"/>
          <w14:ligatures w14:val="none"/>
        </w:rPr>
      </w:pPr>
      <w:r>
        <w:t>0,7% o</w:t>
      </w:r>
      <w:r w:rsidR="008609A7" w:rsidRPr="008609A7">
        <w:t>d 2030 r</w:t>
      </w:r>
      <w:r>
        <w:t>.</w:t>
      </w:r>
    </w:p>
    <w:p w14:paraId="54DE7795" w14:textId="5B286348" w:rsidR="00A868D5" w:rsidRPr="00464F14" w:rsidRDefault="0066393B" w:rsidP="000625AC">
      <w:pPr>
        <w:pStyle w:val="Akapitzlist"/>
        <w:numPr>
          <w:ilvl w:val="0"/>
          <w:numId w:val="50"/>
        </w:numPr>
        <w:spacing w:after="120" w:line="264" w:lineRule="auto"/>
        <w:rPr>
          <w:rFonts w:cs="Calibri"/>
          <w:kern w:val="0"/>
          <w:szCs w:val="20"/>
          <w14:ligatures w14:val="none"/>
        </w:rPr>
      </w:pPr>
      <w:r>
        <w:t xml:space="preserve">35% od 2050 r. </w:t>
      </w:r>
    </w:p>
    <w:p w14:paraId="7A54189B" w14:textId="77777777" w:rsidR="0066393B" w:rsidRDefault="0066393B" w:rsidP="00A868D5">
      <w:pPr>
        <w:spacing w:after="120" w:line="264" w:lineRule="auto"/>
        <w:rPr>
          <w:rFonts w:cs="Calibri"/>
          <w:kern w:val="0"/>
          <w:szCs w:val="20"/>
          <w14:ligatures w14:val="none"/>
        </w:rPr>
        <w:sectPr w:rsidR="0066393B" w:rsidSect="00F83CC6">
          <w:type w:val="continuous"/>
          <w:pgSz w:w="11906" w:h="16838"/>
          <w:pgMar w:top="1417" w:right="1417" w:bottom="1417" w:left="1417" w:header="708" w:footer="708" w:gutter="0"/>
          <w:cols w:num="2" w:space="2"/>
          <w:docGrid w:linePitch="360"/>
        </w:sectPr>
      </w:pPr>
    </w:p>
    <w:p w14:paraId="28B49CFD" w14:textId="6A0E7ED5" w:rsidR="00CF66AC" w:rsidRDefault="0050229C" w:rsidP="00B12A2B">
      <w:r>
        <w:rPr>
          <w:rFonts w:cs="Calibri"/>
          <w:kern w:val="0"/>
          <w:szCs w:val="20"/>
          <w14:ligatures w14:val="none"/>
        </w:rPr>
        <w:t>Ważnym elementem</w:t>
      </w:r>
      <w:r w:rsidR="00E712B8">
        <w:rPr>
          <w:rFonts w:cs="Calibri"/>
          <w:kern w:val="0"/>
          <w:szCs w:val="20"/>
          <w14:ligatures w14:val="none"/>
        </w:rPr>
        <w:t xml:space="preserve"> </w:t>
      </w:r>
      <w:r w:rsidR="0019182B">
        <w:rPr>
          <w:rFonts w:cs="Calibri"/>
          <w:kern w:val="0"/>
          <w:szCs w:val="20"/>
          <w14:ligatures w14:val="none"/>
        </w:rPr>
        <w:t>motywującym</w:t>
      </w:r>
      <w:r>
        <w:rPr>
          <w:rFonts w:cs="Calibri"/>
          <w:kern w:val="0"/>
          <w:szCs w:val="20"/>
          <w14:ligatures w14:val="none"/>
        </w:rPr>
        <w:t xml:space="preserve"> </w:t>
      </w:r>
      <w:r w:rsidRPr="009D61DE">
        <w:rPr>
          <w:rFonts w:cs="Calibri"/>
          <w:kern w:val="0"/>
          <w:szCs w:val="20"/>
          <w14:ligatures w14:val="none"/>
        </w:rPr>
        <w:t>ogranicz</w:t>
      </w:r>
      <w:r>
        <w:rPr>
          <w:rFonts w:cs="Calibri"/>
          <w:kern w:val="0"/>
          <w:szCs w:val="20"/>
          <w14:ligatures w14:val="none"/>
        </w:rPr>
        <w:t>a</w:t>
      </w:r>
      <w:r w:rsidRPr="009D61DE">
        <w:rPr>
          <w:rFonts w:cs="Calibri"/>
          <w:kern w:val="0"/>
          <w:szCs w:val="20"/>
          <w14:ligatures w14:val="none"/>
        </w:rPr>
        <w:t>nie emisji zanieczyszczeń z transportu lotniczego</w:t>
      </w:r>
      <w:r w:rsidR="0019182B">
        <w:rPr>
          <w:rFonts w:cs="Calibri"/>
          <w:kern w:val="0"/>
          <w:szCs w:val="20"/>
          <w14:ligatures w14:val="none"/>
        </w:rPr>
        <w:t xml:space="preserve"> jest</w:t>
      </w:r>
      <w:r w:rsidRPr="009D61DE">
        <w:rPr>
          <w:rFonts w:cs="Calibri"/>
          <w:kern w:val="0"/>
          <w:szCs w:val="20"/>
          <w14:ligatures w14:val="none"/>
        </w:rPr>
        <w:t xml:space="preserve"> uczestnictwo polskich operatorów lotniczych w </w:t>
      </w:r>
      <w:r>
        <w:rPr>
          <w:rFonts w:cs="Calibri"/>
          <w:kern w:val="0"/>
          <w:szCs w:val="20"/>
          <w14:ligatures w14:val="none"/>
        </w:rPr>
        <w:t xml:space="preserve">EU </w:t>
      </w:r>
      <w:r w:rsidRPr="009D61DE">
        <w:rPr>
          <w:rFonts w:cs="Calibri"/>
          <w:kern w:val="0"/>
          <w:szCs w:val="20"/>
          <w14:ligatures w14:val="none"/>
        </w:rPr>
        <w:t>ETS</w:t>
      </w:r>
      <w:r w:rsidR="0054213F">
        <w:rPr>
          <w:rFonts w:cs="Calibri"/>
          <w:kern w:val="0"/>
          <w:szCs w:val="20"/>
          <w14:ligatures w14:val="none"/>
        </w:rPr>
        <w:t xml:space="preserve"> – </w:t>
      </w:r>
      <w:r w:rsidR="00654FDC">
        <w:rPr>
          <w:rFonts w:cs="Calibri"/>
          <w:kern w:val="0"/>
          <w:szCs w:val="20"/>
          <w14:ligatures w14:val="none"/>
        </w:rPr>
        <w:t>system dotyczy</w:t>
      </w:r>
      <w:r w:rsidR="0054213F">
        <w:rPr>
          <w:rFonts w:cs="Calibri"/>
          <w:kern w:val="0"/>
          <w:szCs w:val="20"/>
          <w14:ligatures w14:val="none"/>
        </w:rPr>
        <w:t xml:space="preserve"> </w:t>
      </w:r>
      <w:r w:rsidR="00D7303F">
        <w:rPr>
          <w:rFonts w:cs="Calibri"/>
          <w:kern w:val="0"/>
          <w:szCs w:val="20"/>
          <w14:ligatures w14:val="none"/>
        </w:rPr>
        <w:t>lotów wewnątrz UE i do Europejskiego Obszaru Gospodarczego</w:t>
      </w:r>
      <w:r w:rsidR="0019182B">
        <w:rPr>
          <w:rFonts w:cs="Calibri"/>
          <w:kern w:val="0"/>
          <w:szCs w:val="20"/>
          <w14:ligatures w14:val="none"/>
        </w:rPr>
        <w:t>.</w:t>
      </w:r>
      <w:r w:rsidR="00D7303F">
        <w:rPr>
          <w:rFonts w:cs="Calibri"/>
          <w:kern w:val="0"/>
          <w:szCs w:val="20"/>
          <w14:ligatures w14:val="none"/>
        </w:rPr>
        <w:t xml:space="preserve"> </w:t>
      </w:r>
      <w:r w:rsidR="003D63B7">
        <w:rPr>
          <w:rFonts w:cs="Calibri"/>
          <w:kern w:val="0"/>
          <w:szCs w:val="20"/>
          <w14:ligatures w14:val="none"/>
        </w:rPr>
        <w:t>D</w:t>
      </w:r>
      <w:r w:rsidR="0076021C">
        <w:rPr>
          <w:rFonts w:cs="Calibri"/>
          <w:kern w:val="0"/>
          <w:szCs w:val="20"/>
          <w14:ligatures w14:val="none"/>
        </w:rPr>
        <w:t xml:space="preserve">o odchodzenia od paliw kopalnych </w:t>
      </w:r>
      <w:r w:rsidR="003D63B7">
        <w:rPr>
          <w:rFonts w:cs="Calibri"/>
          <w:kern w:val="0"/>
          <w:szCs w:val="20"/>
          <w14:ligatures w14:val="none"/>
        </w:rPr>
        <w:t>mobilizować mają c</w:t>
      </w:r>
      <w:r w:rsidR="001C2816">
        <w:rPr>
          <w:rFonts w:cs="Calibri"/>
          <w:kern w:val="0"/>
          <w:szCs w:val="20"/>
          <w14:ligatures w14:val="none"/>
        </w:rPr>
        <w:t>zęściowo pozostawione b</w:t>
      </w:r>
      <w:r w:rsidR="009664A8">
        <w:rPr>
          <w:rFonts w:cs="Calibri"/>
          <w:kern w:val="0"/>
          <w:szCs w:val="20"/>
          <w14:ligatures w14:val="none"/>
        </w:rPr>
        <w:t xml:space="preserve">ezpłatne uprawnienia </w:t>
      </w:r>
      <w:r w:rsidR="001C2816">
        <w:rPr>
          <w:rFonts w:cs="Calibri"/>
          <w:kern w:val="0"/>
          <w:szCs w:val="20"/>
          <w14:ligatures w14:val="none"/>
        </w:rPr>
        <w:t>w okresie 2024–2030</w:t>
      </w:r>
      <w:r w:rsidR="00A12DD2">
        <w:rPr>
          <w:rFonts w:cs="Calibri"/>
          <w:kern w:val="0"/>
          <w:szCs w:val="20"/>
          <w14:ligatures w14:val="none"/>
        </w:rPr>
        <w:t>,</w:t>
      </w:r>
      <w:r w:rsidR="003D63B7">
        <w:rPr>
          <w:rFonts w:cs="Calibri"/>
          <w:kern w:val="0"/>
          <w:szCs w:val="20"/>
          <w14:ligatures w14:val="none"/>
        </w:rPr>
        <w:t xml:space="preserve"> przy czym </w:t>
      </w:r>
      <w:r w:rsidR="00A12DD2">
        <w:rPr>
          <w:rFonts w:cs="Calibri"/>
          <w:kern w:val="0"/>
          <w:szCs w:val="20"/>
          <w14:ligatures w14:val="none"/>
        </w:rPr>
        <w:t xml:space="preserve">od 2026 r. </w:t>
      </w:r>
      <w:r w:rsidR="00D41746">
        <w:rPr>
          <w:rFonts w:cs="Calibri"/>
          <w:kern w:val="0"/>
          <w:szCs w:val="20"/>
          <w14:ligatures w14:val="none"/>
        </w:rPr>
        <w:t>wprowadzona</w:t>
      </w:r>
      <w:r w:rsidR="006D6796">
        <w:rPr>
          <w:rFonts w:cs="Calibri"/>
          <w:kern w:val="0"/>
          <w:szCs w:val="20"/>
          <w14:ligatures w14:val="none"/>
        </w:rPr>
        <w:t xml:space="preserve"> zostanie pełna sprzedaż aukcyjna.</w:t>
      </w:r>
      <w:r w:rsidRPr="009D61DE">
        <w:rPr>
          <w:rFonts w:cs="Calibri"/>
          <w:kern w:val="0"/>
          <w:szCs w:val="20"/>
          <w14:ligatures w14:val="none"/>
        </w:rPr>
        <w:t xml:space="preserve"> </w:t>
      </w:r>
      <w:r w:rsidR="00D41746">
        <w:rPr>
          <w:rFonts w:cs="Calibri"/>
          <w:kern w:val="0"/>
          <w:szCs w:val="20"/>
          <w14:ligatures w14:val="none"/>
        </w:rPr>
        <w:t>Ś</w:t>
      </w:r>
      <w:r w:rsidR="00D41746" w:rsidRPr="00E82973">
        <w:t>rodki pochodzące z opłat operatorów statków powietrznych za umarzanie uprawnień do emisji w ramach EU</w:t>
      </w:r>
      <w:r w:rsidR="00D41746">
        <w:t xml:space="preserve"> </w:t>
      </w:r>
      <w:r w:rsidR="00D41746" w:rsidRPr="00E82973">
        <w:t>ETS</w:t>
      </w:r>
      <w:r w:rsidR="00D41746">
        <w:t xml:space="preserve"> powinny być źródłem finansowania działań </w:t>
      </w:r>
      <w:r w:rsidR="00744E4A">
        <w:t>dekarbonizacyjnych</w:t>
      </w:r>
      <w:r w:rsidR="00D41746" w:rsidRPr="00E82973">
        <w:t>.</w:t>
      </w:r>
      <w:r w:rsidR="00D41746">
        <w:t xml:space="preserve"> </w:t>
      </w:r>
    </w:p>
    <w:p w14:paraId="759E7148" w14:textId="54E0633D" w:rsidR="00A868D5" w:rsidRPr="00E82973" w:rsidRDefault="00744E4A" w:rsidP="00B12A2B">
      <w:r>
        <w:rPr>
          <w:rFonts w:cs="Calibri"/>
          <w:kern w:val="0"/>
          <w:szCs w:val="20"/>
          <w14:ligatures w14:val="none"/>
        </w:rPr>
        <w:t>K</w:t>
      </w:r>
      <w:r w:rsidRPr="009D61DE">
        <w:rPr>
          <w:rFonts w:cs="Calibri"/>
          <w:kern w:val="0"/>
          <w:szCs w:val="20"/>
          <w14:ligatures w14:val="none"/>
        </w:rPr>
        <w:t>omplementarn</w:t>
      </w:r>
      <w:r>
        <w:rPr>
          <w:rFonts w:cs="Calibri"/>
          <w:kern w:val="0"/>
          <w:szCs w:val="20"/>
          <w14:ligatures w14:val="none"/>
        </w:rPr>
        <w:t xml:space="preserve">ym do EU ETS jest </w:t>
      </w:r>
      <w:r w:rsidRPr="009D61DE">
        <w:rPr>
          <w:rFonts w:cs="Calibri"/>
          <w:kern w:val="0"/>
          <w:szCs w:val="20"/>
          <w14:ligatures w14:val="none"/>
        </w:rPr>
        <w:t xml:space="preserve">udział Polski </w:t>
      </w:r>
      <w:r w:rsidRPr="00A42F81">
        <w:rPr>
          <w:rFonts w:cs="Calibri"/>
          <w:b/>
          <w:bCs/>
          <w:kern w:val="0"/>
          <w:szCs w:val="20"/>
          <w14:ligatures w14:val="none"/>
        </w:rPr>
        <w:t>w mechanizmie kompensacji i</w:t>
      </w:r>
      <w:r>
        <w:rPr>
          <w:rFonts w:cs="Calibri"/>
          <w:b/>
          <w:bCs/>
          <w:kern w:val="0"/>
          <w:szCs w:val="20"/>
          <w14:ligatures w14:val="none"/>
        </w:rPr>
        <w:t> </w:t>
      </w:r>
      <w:r w:rsidRPr="00A42F81">
        <w:rPr>
          <w:rFonts w:cs="Calibri"/>
          <w:b/>
          <w:bCs/>
          <w:kern w:val="0"/>
          <w:szCs w:val="20"/>
          <w14:ligatures w14:val="none"/>
        </w:rPr>
        <w:t>redukcji CO</w:t>
      </w:r>
      <w:r w:rsidRPr="00A42F81">
        <w:rPr>
          <w:rFonts w:cs="Calibri"/>
          <w:b/>
          <w:bCs/>
          <w:kern w:val="0"/>
          <w:szCs w:val="20"/>
          <w:vertAlign w:val="subscript"/>
          <w14:ligatures w14:val="none"/>
        </w:rPr>
        <w:t>2</w:t>
      </w:r>
      <w:r w:rsidRPr="00A42F81">
        <w:rPr>
          <w:rFonts w:cs="Calibri"/>
          <w:b/>
          <w:bCs/>
          <w:kern w:val="0"/>
          <w:szCs w:val="20"/>
          <w14:ligatures w14:val="none"/>
        </w:rPr>
        <w:t xml:space="preserve"> dla lotnictwa międzynarodowego </w:t>
      </w:r>
      <w:r w:rsidR="00F32516">
        <w:rPr>
          <w:rFonts w:cs="Calibri"/>
          <w:kern w:val="0"/>
          <w:szCs w:val="20"/>
          <w14:ligatures w14:val="none"/>
        </w:rPr>
        <w:t xml:space="preserve">– </w:t>
      </w:r>
      <w:r w:rsidRPr="00A42F81">
        <w:rPr>
          <w:rFonts w:cs="Calibri"/>
          <w:b/>
          <w:bCs/>
          <w:kern w:val="0"/>
          <w:szCs w:val="20"/>
          <w14:ligatures w14:val="none"/>
        </w:rPr>
        <w:t>CORSIA</w:t>
      </w:r>
      <w:r w:rsidRPr="00F32516">
        <w:rPr>
          <w:rFonts w:cs="Calibri"/>
          <w:kern w:val="0"/>
          <w:szCs w:val="20"/>
          <w14:ligatures w14:val="none"/>
        </w:rPr>
        <w:t xml:space="preserve"> </w:t>
      </w:r>
      <w:r w:rsidR="00F32516">
        <w:rPr>
          <w:rFonts w:cs="Calibri"/>
          <w:kern w:val="0"/>
          <w:szCs w:val="20"/>
          <w14:ligatures w14:val="none"/>
        </w:rPr>
        <w:t>(</w:t>
      </w:r>
      <w:r w:rsidRPr="00F32516">
        <w:rPr>
          <w:rFonts w:cs="Calibri"/>
          <w:kern w:val="0"/>
          <w:szCs w:val="20"/>
          <w14:ligatures w14:val="none"/>
        </w:rPr>
        <w:t xml:space="preserve">ang. </w:t>
      </w:r>
      <w:r w:rsidRPr="00F32516">
        <w:rPr>
          <w:rFonts w:cs="Calibri"/>
          <w:i/>
          <w:iCs/>
          <w:kern w:val="0"/>
          <w:szCs w:val="20"/>
          <w14:ligatures w14:val="none"/>
        </w:rPr>
        <w:t>Carbon Offsetting and Reduction Scheme for International Aviation</w:t>
      </w:r>
      <w:r w:rsidRPr="009D61DE">
        <w:rPr>
          <w:rFonts w:cs="Calibri"/>
          <w:kern w:val="0"/>
          <w:szCs w:val="20"/>
          <w14:ligatures w14:val="none"/>
        </w:rPr>
        <w:t>)</w:t>
      </w:r>
      <w:r w:rsidR="00B51D94">
        <w:rPr>
          <w:rStyle w:val="Odwoanieprzypisudolnego"/>
          <w:rFonts w:cs="Calibri"/>
          <w:kern w:val="0"/>
          <w:szCs w:val="20"/>
          <w14:ligatures w14:val="none"/>
        </w:rPr>
        <w:footnoteReference w:id="41"/>
      </w:r>
      <w:r>
        <w:rPr>
          <w:rFonts w:cs="Calibri"/>
          <w:kern w:val="0"/>
          <w:szCs w:val="20"/>
          <w14:ligatures w14:val="none"/>
        </w:rPr>
        <w:t>. To</w:t>
      </w:r>
      <w:r w:rsidR="009D0119" w:rsidRPr="009D0119">
        <w:rPr>
          <w:rFonts w:cs="Calibri"/>
          <w:kern w:val="0"/>
          <w:szCs w:val="20"/>
          <w14:ligatures w14:val="none"/>
        </w:rPr>
        <w:t xml:space="preserve"> system offsetu emisji z lotnictwa międzynarodowego</w:t>
      </w:r>
      <w:r w:rsidR="00831567">
        <w:rPr>
          <w:rFonts w:cs="Calibri"/>
          <w:kern w:val="0"/>
          <w:szCs w:val="20"/>
          <w14:ligatures w14:val="none"/>
        </w:rPr>
        <w:t xml:space="preserve">, w którym </w:t>
      </w:r>
      <w:r w:rsidR="00C82A12" w:rsidRPr="00C82A12">
        <w:rPr>
          <w:rFonts w:cs="Calibri"/>
          <w:kern w:val="0"/>
          <w:szCs w:val="20"/>
          <w14:ligatures w14:val="none"/>
        </w:rPr>
        <w:t xml:space="preserve">linie lotnicze </w:t>
      </w:r>
      <w:r w:rsidR="00831567">
        <w:rPr>
          <w:rFonts w:cs="Calibri"/>
          <w:kern w:val="0"/>
          <w:szCs w:val="20"/>
          <w14:ligatures w14:val="none"/>
        </w:rPr>
        <w:t xml:space="preserve">mogą </w:t>
      </w:r>
      <w:r w:rsidR="00C82A12" w:rsidRPr="00C82A12">
        <w:rPr>
          <w:rFonts w:cs="Calibri"/>
          <w:kern w:val="0"/>
          <w:szCs w:val="20"/>
          <w14:ligatures w14:val="none"/>
        </w:rPr>
        <w:t>kompensowa</w:t>
      </w:r>
      <w:r w:rsidR="00831567">
        <w:rPr>
          <w:rFonts w:cs="Calibri"/>
          <w:kern w:val="0"/>
          <w:szCs w:val="20"/>
          <w14:ligatures w14:val="none"/>
        </w:rPr>
        <w:t>ć</w:t>
      </w:r>
      <w:r w:rsidR="00C82A12" w:rsidRPr="00C82A12">
        <w:rPr>
          <w:rFonts w:cs="Calibri"/>
          <w:kern w:val="0"/>
          <w:szCs w:val="20"/>
          <w14:ligatures w14:val="none"/>
        </w:rPr>
        <w:t xml:space="preserve"> emisj</w:t>
      </w:r>
      <w:r w:rsidR="00831567">
        <w:rPr>
          <w:rFonts w:cs="Calibri"/>
          <w:kern w:val="0"/>
          <w:szCs w:val="20"/>
          <w14:ligatures w14:val="none"/>
        </w:rPr>
        <w:t>e CO</w:t>
      </w:r>
      <w:r w:rsidR="00831567" w:rsidRPr="00831567">
        <w:rPr>
          <w:rFonts w:cs="Calibri"/>
          <w:kern w:val="0"/>
          <w:szCs w:val="20"/>
          <w:vertAlign w:val="subscript"/>
          <w14:ligatures w14:val="none"/>
        </w:rPr>
        <w:t>2</w:t>
      </w:r>
      <w:r w:rsidR="00831567">
        <w:rPr>
          <w:rFonts w:cs="Calibri"/>
          <w:kern w:val="0"/>
          <w:szCs w:val="20"/>
          <w14:ligatures w14:val="none"/>
        </w:rPr>
        <w:t xml:space="preserve"> </w:t>
      </w:r>
      <w:r w:rsidR="00C82A12" w:rsidRPr="00C82A12">
        <w:rPr>
          <w:rFonts w:cs="Calibri"/>
          <w:kern w:val="0"/>
          <w:szCs w:val="20"/>
          <w14:ligatures w14:val="none"/>
        </w:rPr>
        <w:t xml:space="preserve">z lotów międzynarodowych poprzez zakup kredytów węglowych </w:t>
      </w:r>
      <w:r w:rsidR="00E14ABE">
        <w:rPr>
          <w:rFonts w:cs="Calibri"/>
          <w:kern w:val="0"/>
          <w:szCs w:val="20"/>
          <w14:ligatures w14:val="none"/>
        </w:rPr>
        <w:t>(</w:t>
      </w:r>
      <w:r w:rsidR="00E14ABE" w:rsidRPr="00B925ED">
        <w:rPr>
          <w:rFonts w:cs="Calibri"/>
          <w:kern w:val="0"/>
          <w:szCs w:val="20"/>
          <w14:ligatures w14:val="none"/>
        </w:rPr>
        <w:t xml:space="preserve">projektów </w:t>
      </w:r>
      <w:r w:rsidR="00E14ABE" w:rsidRPr="00B925ED">
        <w:rPr>
          <w:rFonts w:cs="Calibri"/>
          <w:kern w:val="0"/>
          <w:szCs w:val="20"/>
          <w14:ligatures w14:val="none"/>
        </w:rPr>
        <w:lastRenderedPageBreak/>
        <w:t>ochrony klimatu lub stosowani</w:t>
      </w:r>
      <w:r w:rsidR="00E14ABE">
        <w:rPr>
          <w:rFonts w:cs="Calibri"/>
          <w:kern w:val="0"/>
          <w:szCs w:val="20"/>
          <w14:ligatures w14:val="none"/>
        </w:rPr>
        <w:t>a</w:t>
      </w:r>
      <w:r w:rsidR="00E14ABE" w:rsidRPr="00B925ED">
        <w:rPr>
          <w:rFonts w:cs="Calibri"/>
          <w:kern w:val="0"/>
          <w:szCs w:val="20"/>
          <w14:ligatures w14:val="none"/>
        </w:rPr>
        <w:t xml:space="preserve"> bardziej przyjaznych dla klimatu paliw</w:t>
      </w:r>
      <w:r w:rsidR="00E14ABE">
        <w:rPr>
          <w:rFonts w:cs="Calibri"/>
          <w:kern w:val="0"/>
          <w:szCs w:val="20"/>
          <w14:ligatures w14:val="none"/>
        </w:rPr>
        <w:t xml:space="preserve">) </w:t>
      </w:r>
      <w:r w:rsidR="00C82A12" w:rsidRPr="00C82A12">
        <w:rPr>
          <w:rFonts w:cs="Calibri"/>
          <w:kern w:val="0"/>
          <w:szCs w:val="20"/>
          <w14:ligatures w14:val="none"/>
        </w:rPr>
        <w:t>odpowiadających ich emisjom</w:t>
      </w:r>
      <w:r w:rsidR="00831567">
        <w:rPr>
          <w:rFonts w:cs="Calibri"/>
          <w:kern w:val="0"/>
          <w:szCs w:val="20"/>
          <w14:ligatures w14:val="none"/>
        </w:rPr>
        <w:t xml:space="preserve"> przewyższających </w:t>
      </w:r>
      <w:r w:rsidR="00E14ABE">
        <w:rPr>
          <w:rFonts w:cs="Calibri"/>
          <w:kern w:val="0"/>
          <w:szCs w:val="20"/>
          <w14:ligatures w14:val="none"/>
        </w:rPr>
        <w:t>historyczny poziom. Od 2027 r. system będzie obowiązkowy</w:t>
      </w:r>
      <w:r w:rsidR="00F32516">
        <w:rPr>
          <w:rFonts w:cs="Calibri"/>
          <w:kern w:val="0"/>
          <w:szCs w:val="20"/>
          <w14:ligatures w14:val="none"/>
        </w:rPr>
        <w:t>, dlatego do tego okresu branża musi się przygotować do uczestnictwa w nim</w:t>
      </w:r>
      <w:r w:rsidR="00085388">
        <w:rPr>
          <w:rFonts w:cs="Calibri"/>
          <w:kern w:val="0"/>
          <w:szCs w:val="20"/>
          <w14:ligatures w14:val="none"/>
        </w:rPr>
        <w:t>.</w:t>
      </w:r>
    </w:p>
    <w:p w14:paraId="5A6CD569" w14:textId="10656CBF" w:rsidR="00A868D5" w:rsidRDefault="00A868D5" w:rsidP="00F32516">
      <w:pPr>
        <w:spacing w:before="360"/>
      </w:pPr>
      <w:r w:rsidRPr="00F32516">
        <w:rPr>
          <w:b/>
          <w:bCs/>
        </w:rPr>
        <w:t>W portach lotniczych</w:t>
      </w:r>
      <w:r w:rsidRPr="00E82973">
        <w:t xml:space="preserve"> realizowane będą inwestycje wynikające z wymogów art. 12 rozporządzenia </w:t>
      </w:r>
      <w:r w:rsidR="000A6EB6">
        <w:t>AFIR</w:t>
      </w:r>
      <w:r w:rsidRPr="00E82973">
        <w:t>, dotycząc</w:t>
      </w:r>
      <w:r w:rsidR="00681A24">
        <w:t>e</w:t>
      </w:r>
      <w:r w:rsidRPr="00E82973">
        <w:t xml:space="preserve"> zapewnienia energii </w:t>
      </w:r>
      <w:r w:rsidR="00681A24">
        <w:t xml:space="preserve">ze źródeł </w:t>
      </w:r>
      <w:r w:rsidR="004315D3">
        <w:t>odnawialnych</w:t>
      </w:r>
      <w:r w:rsidR="00681A24">
        <w:t xml:space="preserve"> </w:t>
      </w:r>
      <w:r w:rsidRPr="00E82973">
        <w:t>statkom powietrznym podczas postoju.</w:t>
      </w:r>
      <w:r w:rsidR="004315D3">
        <w:t xml:space="preserve"> </w:t>
      </w:r>
      <w:r w:rsidR="002235A2" w:rsidRPr="002235A2">
        <w:t xml:space="preserve">Zarządzający portami lotniczymi </w:t>
      </w:r>
      <w:r w:rsidR="002235A2" w:rsidRPr="00AA2E86">
        <w:rPr>
          <w:b/>
          <w:bCs/>
        </w:rPr>
        <w:t>powinni dążyć do pozyskiwania energii elektrycznej ze źródeł odnawialnych</w:t>
      </w:r>
      <w:r w:rsidR="002235A2" w:rsidRPr="002235A2">
        <w:t xml:space="preserve">, </w:t>
      </w:r>
      <w:r w:rsidR="00085388">
        <w:t xml:space="preserve">kierunkując </w:t>
      </w:r>
      <w:r w:rsidR="00EE4F8D">
        <w:t>się</w:t>
      </w:r>
      <w:r w:rsidR="002235A2" w:rsidRPr="002235A2">
        <w:t xml:space="preserve"> w ten sposób </w:t>
      </w:r>
      <w:r w:rsidR="00EE4F8D">
        <w:t>na</w:t>
      </w:r>
      <w:r w:rsidR="002235A2" w:rsidRPr="002235A2">
        <w:t xml:space="preserve"> osiągnięci</w:t>
      </w:r>
      <w:r w:rsidR="00EE4F8D">
        <w:t>e</w:t>
      </w:r>
      <w:r w:rsidR="002235A2" w:rsidRPr="002235A2">
        <w:t xml:space="preserve"> zeroemisyjności tych obiektów</w:t>
      </w:r>
      <w:r w:rsidR="0016520B">
        <w:t>. Ze względów bezpieczeństwa k</w:t>
      </w:r>
      <w:r w:rsidR="0016520B" w:rsidRPr="0016520B">
        <w:t>ażdy port lotniczy powinien posiadać dwa niezależne źródła</w:t>
      </w:r>
      <w:r w:rsidR="00C17C04">
        <w:t xml:space="preserve"> </w:t>
      </w:r>
      <w:r w:rsidR="00C17C04" w:rsidRPr="00C17C04">
        <w:t>energii elektrycznej</w:t>
      </w:r>
      <w:r w:rsidR="00F67155">
        <w:t>, co</w:t>
      </w:r>
      <w:r w:rsidR="009E6D76">
        <w:t> </w:t>
      </w:r>
      <w:r w:rsidR="00D23FEB">
        <w:t>w</w:t>
      </w:r>
      <w:r w:rsidR="00D23FEB" w:rsidRPr="00D23FEB">
        <w:t>ymaga podłączenia do zewnętrznych</w:t>
      </w:r>
      <w:r w:rsidR="00D23FEB">
        <w:t xml:space="preserve"> </w:t>
      </w:r>
      <w:r w:rsidR="005517AF">
        <w:t>sieci elektroenergetycznych</w:t>
      </w:r>
      <w:r w:rsidR="00E01A5A">
        <w:t xml:space="preserve">. </w:t>
      </w:r>
    </w:p>
    <w:p w14:paraId="05A8C413" w14:textId="622807C9" w:rsidR="00EE4F8D" w:rsidRPr="00E82973" w:rsidRDefault="00EE4F8D" w:rsidP="00B12A2B">
      <w:r>
        <w:t xml:space="preserve">Obok poprawy </w:t>
      </w:r>
      <w:r w:rsidR="00C105D0">
        <w:t>infrastruktury</w:t>
      </w:r>
      <w:r>
        <w:t xml:space="preserve"> </w:t>
      </w:r>
      <w:r w:rsidR="00C105D0">
        <w:t>p</w:t>
      </w:r>
      <w:r>
        <w:t xml:space="preserve">orty lotnicze </w:t>
      </w:r>
      <w:r w:rsidR="00C105D0">
        <w:t xml:space="preserve">powinny także </w:t>
      </w:r>
      <w:r w:rsidR="00B21A4B">
        <w:t>dążyć do p</w:t>
      </w:r>
      <w:r w:rsidR="00B21A4B" w:rsidRPr="00F12C9E">
        <w:t>oprawa efektywności operacyjnej transportu lotniczego</w:t>
      </w:r>
      <w:r w:rsidR="00B21A4B">
        <w:t xml:space="preserve"> oraz </w:t>
      </w:r>
      <w:r w:rsidR="00C105D0">
        <w:t>w</w:t>
      </w:r>
      <w:r w:rsidR="00C105D0" w:rsidRPr="00C105D0">
        <w:t>dr</w:t>
      </w:r>
      <w:r w:rsidR="00C105D0">
        <w:t>a</w:t>
      </w:r>
      <w:r w:rsidR="00C105D0" w:rsidRPr="00C105D0">
        <w:t>ż</w:t>
      </w:r>
      <w:r w:rsidR="00C105D0">
        <w:t>ać</w:t>
      </w:r>
      <w:r w:rsidR="00C105D0" w:rsidRPr="00C105D0">
        <w:t xml:space="preserve"> innowacyjn</w:t>
      </w:r>
      <w:r w:rsidR="00C105D0">
        <w:t>e</w:t>
      </w:r>
      <w:r w:rsidR="00C105D0" w:rsidRPr="00C105D0">
        <w:t xml:space="preserve"> rozwiąza</w:t>
      </w:r>
      <w:r w:rsidR="00C105D0">
        <w:t>nia</w:t>
      </w:r>
      <w:r w:rsidR="00C105D0" w:rsidRPr="00C105D0">
        <w:t xml:space="preserve"> w ruchu lotniczym</w:t>
      </w:r>
      <w:r w:rsidR="00B21A4B">
        <w:t>.</w:t>
      </w:r>
    </w:p>
    <w:p w14:paraId="165C9406" w14:textId="4BD8A905" w:rsidR="00522889" w:rsidRDefault="00080BA7" w:rsidP="00307E70">
      <w:pPr>
        <w:pStyle w:val="PaMs"/>
      </w:pPr>
      <w:r w:rsidRPr="00C46DAA">
        <w:t>DZIAŁANIA</w:t>
      </w:r>
    </w:p>
    <w:p w14:paraId="7F0F9451" w14:textId="77777777" w:rsidR="00F32516" w:rsidRPr="000639DA" w:rsidRDefault="00F32516" w:rsidP="00F32516">
      <w:pPr>
        <w:keepNext/>
        <w:spacing w:before="360" w:after="120"/>
        <w:rPr>
          <w:b/>
          <w:bCs/>
        </w:rPr>
      </w:pPr>
      <w:r w:rsidRPr="0092187F">
        <w:rPr>
          <w:b/>
          <w:bCs/>
        </w:rPr>
        <w:t>W zakresie dekarbonizacji transportu miejskiego</w:t>
      </w:r>
      <w:r>
        <w:rPr>
          <w:b/>
          <w:bCs/>
        </w:rPr>
        <w:t xml:space="preserve"> i publicznego</w:t>
      </w:r>
      <w:r w:rsidRPr="0092187F">
        <w:rPr>
          <w:b/>
          <w:bCs/>
        </w:rPr>
        <w:t>:</w:t>
      </w:r>
    </w:p>
    <w:p w14:paraId="4260602C" w14:textId="28FDA7FF" w:rsidR="00522889" w:rsidRDefault="00522889" w:rsidP="003530A9">
      <w:pPr>
        <w:pStyle w:val="Akapitzlist"/>
        <w:numPr>
          <w:ilvl w:val="0"/>
          <w:numId w:val="3"/>
        </w:numPr>
        <w:rPr>
          <w:szCs w:val="20"/>
        </w:rPr>
      </w:pPr>
      <w:r>
        <w:rPr>
          <w:szCs w:val="20"/>
        </w:rPr>
        <w:fldChar w:fldCharType="begin"/>
      </w:r>
      <w:r>
        <w:rPr>
          <w:szCs w:val="20"/>
        </w:rPr>
        <w:instrText xml:space="preserve"> REF _Ref195880270 \h </w:instrText>
      </w:r>
      <w:r>
        <w:rPr>
          <w:szCs w:val="20"/>
        </w:rPr>
      </w:r>
      <w:r>
        <w:rPr>
          <w:szCs w:val="20"/>
        </w:rPr>
        <w:fldChar w:fldCharType="separate"/>
      </w:r>
      <w:r w:rsidR="00871DD5">
        <w:t xml:space="preserve">Działanie </w:t>
      </w:r>
      <w:r w:rsidR="00871DD5">
        <w:rPr>
          <w:noProof/>
        </w:rPr>
        <w:t>33</w:t>
      </w:r>
      <w:r w:rsidR="00871DD5">
        <w:t xml:space="preserve">. </w:t>
      </w:r>
      <w:r w:rsidR="00871DD5" w:rsidRPr="00AF4C89">
        <w:t>Instrument finansowy – Fundusz rozwoju przewozów autobusowych o</w:t>
      </w:r>
      <w:r w:rsidR="00871DD5" w:rsidRPr="00AF4C89">
        <w:rPr>
          <w:rFonts w:ascii="Arial" w:hAnsi="Arial" w:cs="Arial"/>
        </w:rPr>
        <w:t> </w:t>
      </w:r>
      <w:r w:rsidR="00871DD5" w:rsidRPr="00AF4C89">
        <w:t>charakterze u</w:t>
      </w:r>
      <w:r w:rsidR="00871DD5" w:rsidRPr="00AF4C89">
        <w:rPr>
          <w:rFonts w:cs="Lato"/>
        </w:rPr>
        <w:t>ż</w:t>
      </w:r>
      <w:r w:rsidR="00871DD5" w:rsidRPr="00AF4C89">
        <w:t>yteczno</w:t>
      </w:r>
      <w:r w:rsidR="00871DD5" w:rsidRPr="00AF4C89">
        <w:rPr>
          <w:rFonts w:cs="Lato"/>
        </w:rPr>
        <w:t>ś</w:t>
      </w:r>
      <w:r w:rsidR="00871DD5" w:rsidRPr="00AF4C89">
        <w:t>ci publicznej</w:t>
      </w:r>
      <w:r>
        <w:rPr>
          <w:szCs w:val="20"/>
        </w:rPr>
        <w:fldChar w:fldCharType="end"/>
      </w:r>
    </w:p>
    <w:p w14:paraId="0EF06F72" w14:textId="7DCB61CA" w:rsidR="00522889" w:rsidRDefault="00BB09A8" w:rsidP="003530A9">
      <w:pPr>
        <w:pStyle w:val="Akapitzlist"/>
        <w:numPr>
          <w:ilvl w:val="0"/>
          <w:numId w:val="3"/>
        </w:numPr>
        <w:rPr>
          <w:szCs w:val="20"/>
        </w:rPr>
      </w:pPr>
      <w:r>
        <w:rPr>
          <w:szCs w:val="20"/>
        </w:rPr>
        <w:fldChar w:fldCharType="begin"/>
      </w:r>
      <w:r>
        <w:rPr>
          <w:szCs w:val="20"/>
        </w:rPr>
        <w:instrText xml:space="preserve"> REF _Ref195880309 \h </w:instrText>
      </w:r>
      <w:r>
        <w:rPr>
          <w:szCs w:val="20"/>
        </w:rPr>
      </w:r>
      <w:r>
        <w:rPr>
          <w:szCs w:val="20"/>
        </w:rPr>
        <w:fldChar w:fldCharType="separate"/>
      </w:r>
      <w:r w:rsidR="00871DD5">
        <w:rPr>
          <w:rFonts w:eastAsia="Times New Roman" w:cs="Times New Roman"/>
          <w:lang w:eastAsia="pl-PL"/>
        </w:rPr>
        <w:t>Działa</w:t>
      </w:r>
      <w:r w:rsidR="00871DD5">
        <w:t xml:space="preserve">nie </w:t>
      </w:r>
      <w:r w:rsidR="00871DD5">
        <w:rPr>
          <w:noProof/>
        </w:rPr>
        <w:t>34</w:t>
      </w:r>
      <w:r w:rsidR="00871DD5">
        <w:t xml:space="preserve">. </w:t>
      </w:r>
      <w:r w:rsidR="00871DD5" w:rsidRPr="00137D92">
        <w:t>Rozwój miejskich sieci transportowych</w:t>
      </w:r>
      <w:r>
        <w:rPr>
          <w:szCs w:val="20"/>
        </w:rPr>
        <w:fldChar w:fldCharType="end"/>
      </w:r>
    </w:p>
    <w:p w14:paraId="50580AAE" w14:textId="6908635A" w:rsidR="00BB09A8" w:rsidRDefault="00BB09A8" w:rsidP="003530A9">
      <w:pPr>
        <w:pStyle w:val="Akapitzlist"/>
        <w:numPr>
          <w:ilvl w:val="0"/>
          <w:numId w:val="3"/>
        </w:numPr>
        <w:rPr>
          <w:szCs w:val="20"/>
        </w:rPr>
      </w:pPr>
      <w:r>
        <w:rPr>
          <w:szCs w:val="20"/>
        </w:rPr>
        <w:fldChar w:fldCharType="begin"/>
      </w:r>
      <w:r>
        <w:rPr>
          <w:szCs w:val="20"/>
        </w:rPr>
        <w:instrText xml:space="preserve"> REF _Ref195880347 \h </w:instrText>
      </w:r>
      <w:r>
        <w:rPr>
          <w:szCs w:val="20"/>
        </w:rPr>
      </w:r>
      <w:r>
        <w:rPr>
          <w:szCs w:val="20"/>
        </w:rPr>
        <w:fldChar w:fldCharType="separate"/>
      </w:r>
      <w:r w:rsidR="00871DD5">
        <w:t xml:space="preserve">Działanie </w:t>
      </w:r>
      <w:r w:rsidR="00871DD5">
        <w:rPr>
          <w:noProof/>
        </w:rPr>
        <w:t>35</w:t>
      </w:r>
      <w:r w:rsidR="00871DD5">
        <w:t xml:space="preserve">. </w:t>
      </w:r>
      <w:r w:rsidR="00871DD5" w:rsidRPr="00A546CC">
        <w:t>Rozwój zeroemisyjnego transportu publicznego w miastach</w:t>
      </w:r>
      <w:r>
        <w:rPr>
          <w:szCs w:val="20"/>
        </w:rPr>
        <w:fldChar w:fldCharType="end"/>
      </w:r>
    </w:p>
    <w:p w14:paraId="34E46CB3" w14:textId="166120EE" w:rsidR="00BB09A8" w:rsidRDefault="00BB09A8" w:rsidP="003530A9">
      <w:pPr>
        <w:pStyle w:val="Akapitzlist"/>
        <w:numPr>
          <w:ilvl w:val="0"/>
          <w:numId w:val="3"/>
        </w:numPr>
        <w:rPr>
          <w:szCs w:val="20"/>
        </w:rPr>
      </w:pPr>
      <w:r>
        <w:rPr>
          <w:szCs w:val="20"/>
        </w:rPr>
        <w:fldChar w:fldCharType="begin"/>
      </w:r>
      <w:r>
        <w:rPr>
          <w:szCs w:val="20"/>
        </w:rPr>
        <w:instrText xml:space="preserve"> REF _Ref195880374 \h </w:instrText>
      </w:r>
      <w:r>
        <w:rPr>
          <w:szCs w:val="20"/>
        </w:rPr>
      </w:r>
      <w:r>
        <w:rPr>
          <w:szCs w:val="20"/>
        </w:rPr>
        <w:fldChar w:fldCharType="separate"/>
      </w:r>
      <w:r w:rsidR="00871DD5">
        <w:t xml:space="preserve">Działanie </w:t>
      </w:r>
      <w:r w:rsidR="00871DD5">
        <w:rPr>
          <w:noProof/>
        </w:rPr>
        <w:t>36</w:t>
      </w:r>
      <w:r w:rsidR="00871DD5">
        <w:t xml:space="preserve">. </w:t>
      </w:r>
      <w:r w:rsidR="00871DD5" w:rsidRPr="00685E5C">
        <w:t>Utworzenie stref czystego transport</w:t>
      </w:r>
      <w:r w:rsidR="00871DD5">
        <w:t>u</w:t>
      </w:r>
      <w:r>
        <w:rPr>
          <w:szCs w:val="20"/>
        </w:rPr>
        <w:fldChar w:fldCharType="end"/>
      </w:r>
    </w:p>
    <w:p w14:paraId="5EEEDAAA" w14:textId="54266B59" w:rsidR="00F11D46" w:rsidRPr="00615C71" w:rsidRDefault="00F11D46" w:rsidP="003530A9">
      <w:pPr>
        <w:pStyle w:val="Akapitzlist"/>
        <w:numPr>
          <w:ilvl w:val="0"/>
          <w:numId w:val="3"/>
        </w:numPr>
      </w:pPr>
      <w:r w:rsidRPr="00615C71">
        <w:fldChar w:fldCharType="begin"/>
      </w:r>
      <w:r w:rsidRPr="00615C71">
        <w:instrText xml:space="preserve"> REF _Ref195891046 \h </w:instrText>
      </w:r>
      <w:r w:rsidR="00615C71">
        <w:instrText xml:space="preserve"> \* MERGEFORMAT </w:instrText>
      </w:r>
      <w:r w:rsidRPr="00615C71">
        <w:fldChar w:fldCharType="separate"/>
      </w:r>
      <w:r w:rsidR="00871DD5" w:rsidRPr="00871DD5">
        <w:rPr>
          <w:bCs/>
        </w:rPr>
        <w:t xml:space="preserve">Działanie </w:t>
      </w:r>
      <w:r w:rsidR="00871DD5" w:rsidRPr="00871DD5">
        <w:t xml:space="preserve">149. </w:t>
      </w:r>
      <w:r w:rsidR="00871DD5" w:rsidRPr="004D6F82">
        <w:t>Działania na rzecz</w:t>
      </w:r>
      <w:r w:rsidR="00871DD5" w:rsidRPr="004D6F82">
        <w:rPr>
          <w:lang w:eastAsia="pl-PL"/>
        </w:rPr>
        <w:t xml:space="preserve"> walki z ubóstwem transportowym</w:t>
      </w:r>
      <w:r w:rsidRPr="00615C71">
        <w:fldChar w:fldCharType="end"/>
      </w:r>
    </w:p>
    <w:p w14:paraId="35AA4139" w14:textId="5CA9E698" w:rsidR="003C445B" w:rsidRPr="0092187F" w:rsidRDefault="003C445B" w:rsidP="0092187F">
      <w:pPr>
        <w:keepNext/>
        <w:spacing w:before="360" w:after="120"/>
        <w:rPr>
          <w:b/>
          <w:bCs/>
        </w:rPr>
      </w:pPr>
      <w:r w:rsidRPr="0092187F">
        <w:rPr>
          <w:b/>
          <w:bCs/>
        </w:rPr>
        <w:t>W zakresie dekarbonizacji transportu samochodowego</w:t>
      </w:r>
      <w:r w:rsidR="00BA4318" w:rsidRPr="0092187F">
        <w:rPr>
          <w:b/>
          <w:bCs/>
        </w:rPr>
        <w:t>:</w:t>
      </w:r>
    </w:p>
    <w:p w14:paraId="6592E693" w14:textId="78612ED7" w:rsidR="00522889" w:rsidRDefault="00522889" w:rsidP="003530A9">
      <w:pPr>
        <w:pStyle w:val="Akapitzlist"/>
        <w:numPr>
          <w:ilvl w:val="0"/>
          <w:numId w:val="3"/>
        </w:numPr>
        <w:rPr>
          <w:szCs w:val="20"/>
        </w:rPr>
      </w:pPr>
      <w:r>
        <w:rPr>
          <w:szCs w:val="20"/>
        </w:rPr>
        <w:fldChar w:fldCharType="begin"/>
      </w:r>
      <w:r>
        <w:rPr>
          <w:szCs w:val="20"/>
        </w:rPr>
        <w:instrText xml:space="preserve"> REF _Ref195880237 \h </w:instrText>
      </w:r>
      <w:r>
        <w:rPr>
          <w:szCs w:val="20"/>
        </w:rPr>
      </w:r>
      <w:r>
        <w:rPr>
          <w:szCs w:val="20"/>
        </w:rPr>
        <w:fldChar w:fldCharType="separate"/>
      </w:r>
      <w:r w:rsidR="00871DD5">
        <w:rPr>
          <w:rFonts w:eastAsia="Times New Roman" w:cs="Times New Roman"/>
          <w:bCs/>
          <w:color w:val="000000"/>
          <w:lang w:eastAsia="pl-PL"/>
        </w:rPr>
        <w:t>Działa</w:t>
      </w:r>
      <w:r w:rsidR="00871DD5">
        <w:t xml:space="preserve">nie </w:t>
      </w:r>
      <w:r w:rsidR="00871DD5">
        <w:rPr>
          <w:noProof/>
        </w:rPr>
        <w:t>31</w:t>
      </w:r>
      <w:r w:rsidR="00871DD5">
        <w:t xml:space="preserve">. </w:t>
      </w:r>
      <w:r w:rsidR="00871DD5" w:rsidRPr="006D482B">
        <w:t>Inteligentne Systemy Transportowe (ITS)</w:t>
      </w:r>
      <w:r>
        <w:rPr>
          <w:szCs w:val="20"/>
        </w:rPr>
        <w:fldChar w:fldCharType="end"/>
      </w:r>
    </w:p>
    <w:p w14:paraId="752F89D4" w14:textId="6314757C" w:rsidR="00522889" w:rsidRDefault="00522889" w:rsidP="003530A9">
      <w:pPr>
        <w:pStyle w:val="Akapitzlist"/>
        <w:numPr>
          <w:ilvl w:val="0"/>
          <w:numId w:val="3"/>
        </w:numPr>
        <w:rPr>
          <w:szCs w:val="20"/>
        </w:rPr>
      </w:pPr>
      <w:r>
        <w:rPr>
          <w:szCs w:val="20"/>
        </w:rPr>
        <w:fldChar w:fldCharType="begin"/>
      </w:r>
      <w:r>
        <w:rPr>
          <w:szCs w:val="20"/>
        </w:rPr>
        <w:instrText xml:space="preserve"> REF _Ref195880257 \h </w:instrText>
      </w:r>
      <w:r>
        <w:rPr>
          <w:szCs w:val="20"/>
        </w:rPr>
      </w:r>
      <w:r>
        <w:rPr>
          <w:szCs w:val="20"/>
        </w:rPr>
        <w:fldChar w:fldCharType="separate"/>
      </w:r>
      <w:r w:rsidR="00871DD5">
        <w:t xml:space="preserve">Działanie </w:t>
      </w:r>
      <w:r w:rsidR="00871DD5">
        <w:rPr>
          <w:noProof/>
        </w:rPr>
        <w:t>32</w:t>
      </w:r>
      <w:r w:rsidR="00871DD5">
        <w:t xml:space="preserve">. </w:t>
      </w:r>
      <w:r w:rsidR="00871DD5" w:rsidRPr="007D0B6A">
        <w:t>Zwiększenie spójności i poprawa standardu dróg krajowych</w:t>
      </w:r>
      <w:r>
        <w:rPr>
          <w:szCs w:val="20"/>
        </w:rPr>
        <w:fldChar w:fldCharType="end"/>
      </w:r>
    </w:p>
    <w:p w14:paraId="58D6F4EF" w14:textId="1C248ED9" w:rsidR="0022791E" w:rsidRDefault="0022791E" w:rsidP="003530A9">
      <w:pPr>
        <w:pStyle w:val="Akapitzlist"/>
        <w:numPr>
          <w:ilvl w:val="0"/>
          <w:numId w:val="3"/>
        </w:numPr>
        <w:rPr>
          <w:szCs w:val="20"/>
        </w:rPr>
      </w:pPr>
      <w:r>
        <w:rPr>
          <w:szCs w:val="20"/>
        </w:rPr>
        <w:fldChar w:fldCharType="begin"/>
      </w:r>
      <w:r>
        <w:rPr>
          <w:szCs w:val="20"/>
        </w:rPr>
        <w:instrText xml:space="preserve"> REF _Ref195880442 \h </w:instrText>
      </w:r>
      <w:r>
        <w:rPr>
          <w:szCs w:val="20"/>
        </w:rPr>
      </w:r>
      <w:r>
        <w:rPr>
          <w:szCs w:val="20"/>
        </w:rPr>
        <w:fldChar w:fldCharType="separate"/>
      </w:r>
      <w:r w:rsidR="00871DD5">
        <w:rPr>
          <w:rFonts w:eastAsia="Times New Roman" w:cs="Times New Roman"/>
          <w:lang w:eastAsia="pl-PL"/>
        </w:rPr>
        <w:t>Działa</w:t>
      </w:r>
      <w:r w:rsidR="00871DD5">
        <w:t xml:space="preserve">nie </w:t>
      </w:r>
      <w:r w:rsidR="00871DD5">
        <w:rPr>
          <w:noProof/>
        </w:rPr>
        <w:t>37</w:t>
      </w:r>
      <w:r w:rsidR="00871DD5">
        <w:t xml:space="preserve">. </w:t>
      </w:r>
      <w:r w:rsidR="00871DD5" w:rsidRPr="00C65E73">
        <w:t>Instrumenty finansowego wsparcia elektromobilności</w:t>
      </w:r>
      <w:r>
        <w:rPr>
          <w:szCs w:val="20"/>
        </w:rPr>
        <w:fldChar w:fldCharType="end"/>
      </w:r>
    </w:p>
    <w:p w14:paraId="10306C3E" w14:textId="62029EC7" w:rsidR="0022791E" w:rsidRDefault="0022791E" w:rsidP="003530A9">
      <w:pPr>
        <w:pStyle w:val="Akapitzlist"/>
        <w:numPr>
          <w:ilvl w:val="0"/>
          <w:numId w:val="3"/>
        </w:numPr>
        <w:rPr>
          <w:szCs w:val="20"/>
        </w:rPr>
      </w:pPr>
      <w:r>
        <w:rPr>
          <w:szCs w:val="20"/>
        </w:rPr>
        <w:fldChar w:fldCharType="begin"/>
      </w:r>
      <w:r>
        <w:rPr>
          <w:szCs w:val="20"/>
        </w:rPr>
        <w:instrText xml:space="preserve"> REF _Ref195880453 \h </w:instrText>
      </w:r>
      <w:r>
        <w:rPr>
          <w:szCs w:val="20"/>
        </w:rPr>
      </w:r>
      <w:r>
        <w:rPr>
          <w:szCs w:val="20"/>
        </w:rPr>
        <w:fldChar w:fldCharType="separate"/>
      </w:r>
      <w:r w:rsidR="00871DD5">
        <w:t xml:space="preserve">Działanie </w:t>
      </w:r>
      <w:r w:rsidR="00871DD5">
        <w:rPr>
          <w:noProof/>
        </w:rPr>
        <w:t>38</w:t>
      </w:r>
      <w:r w:rsidR="00871DD5">
        <w:t xml:space="preserve">. </w:t>
      </w:r>
      <w:r w:rsidR="00871DD5" w:rsidRPr="00F03C30">
        <w:t>Instrumenty pozafinansowego wsparcia elektromobilności</w:t>
      </w:r>
      <w:r>
        <w:rPr>
          <w:szCs w:val="20"/>
        </w:rPr>
        <w:fldChar w:fldCharType="end"/>
      </w:r>
    </w:p>
    <w:p w14:paraId="2618CBCF" w14:textId="175DF4FB" w:rsidR="006A3B10" w:rsidRDefault="000746A0" w:rsidP="003530A9">
      <w:pPr>
        <w:pStyle w:val="Akapitzlist"/>
        <w:numPr>
          <w:ilvl w:val="0"/>
          <w:numId w:val="3"/>
        </w:numPr>
        <w:rPr>
          <w:szCs w:val="20"/>
        </w:rPr>
      </w:pPr>
      <w:r>
        <w:rPr>
          <w:szCs w:val="20"/>
        </w:rPr>
        <w:fldChar w:fldCharType="begin"/>
      </w:r>
      <w:r>
        <w:rPr>
          <w:szCs w:val="20"/>
        </w:rPr>
        <w:instrText xml:space="preserve"> REF _Ref195883080 \h </w:instrText>
      </w:r>
      <w:r>
        <w:rPr>
          <w:szCs w:val="20"/>
        </w:rPr>
      </w:r>
      <w:r>
        <w:rPr>
          <w:szCs w:val="20"/>
        </w:rPr>
        <w:fldChar w:fldCharType="separate"/>
      </w:r>
      <w:r w:rsidR="00871DD5">
        <w:t xml:space="preserve">Działanie </w:t>
      </w:r>
      <w:r w:rsidR="00871DD5">
        <w:rPr>
          <w:noProof/>
        </w:rPr>
        <w:t>40</w:t>
      </w:r>
      <w:r w:rsidR="00871DD5">
        <w:t xml:space="preserve">. </w:t>
      </w:r>
      <w:r w:rsidR="00871DD5" w:rsidRPr="007B2901">
        <w:t>Rozwój transportu intermodalnego</w:t>
      </w:r>
      <w:r>
        <w:rPr>
          <w:szCs w:val="20"/>
        </w:rPr>
        <w:fldChar w:fldCharType="end"/>
      </w:r>
    </w:p>
    <w:p w14:paraId="0BECA03E" w14:textId="4A5B1A45" w:rsidR="00040D0F" w:rsidRDefault="00040D0F" w:rsidP="003530A9">
      <w:pPr>
        <w:pStyle w:val="Akapitzlist"/>
        <w:numPr>
          <w:ilvl w:val="0"/>
          <w:numId w:val="3"/>
        </w:numPr>
        <w:rPr>
          <w:szCs w:val="20"/>
        </w:rPr>
      </w:pPr>
      <w:r>
        <w:rPr>
          <w:szCs w:val="20"/>
        </w:rPr>
        <w:fldChar w:fldCharType="begin"/>
      </w:r>
      <w:r>
        <w:rPr>
          <w:szCs w:val="20"/>
        </w:rPr>
        <w:instrText xml:space="preserve"> REF _Ref195883937 \h </w:instrText>
      </w:r>
      <w:r>
        <w:rPr>
          <w:szCs w:val="20"/>
        </w:rPr>
      </w:r>
      <w:r>
        <w:rPr>
          <w:szCs w:val="20"/>
        </w:rPr>
        <w:fldChar w:fldCharType="separate"/>
      </w:r>
      <w:r w:rsidR="00871DD5">
        <w:t xml:space="preserve">Działanie </w:t>
      </w:r>
      <w:r w:rsidR="00871DD5">
        <w:rPr>
          <w:noProof/>
        </w:rPr>
        <w:t>41</w:t>
      </w:r>
      <w:r w:rsidR="00871DD5">
        <w:t xml:space="preserve">. </w:t>
      </w:r>
      <w:r w:rsidR="00871DD5" w:rsidRPr="00803571">
        <w:t>Rozwój elektryfikacji drogowych przewozów towarowych (branża TSL)</w:t>
      </w:r>
      <w:r>
        <w:rPr>
          <w:szCs w:val="20"/>
        </w:rPr>
        <w:fldChar w:fldCharType="end"/>
      </w:r>
    </w:p>
    <w:p w14:paraId="52EBDFA9" w14:textId="073927B7" w:rsidR="00DD4C19" w:rsidRDefault="00DD4C19" w:rsidP="003530A9">
      <w:pPr>
        <w:pStyle w:val="Akapitzlist"/>
        <w:numPr>
          <w:ilvl w:val="0"/>
          <w:numId w:val="3"/>
        </w:numPr>
        <w:rPr>
          <w:szCs w:val="20"/>
        </w:rPr>
      </w:pPr>
      <w:r>
        <w:rPr>
          <w:szCs w:val="20"/>
        </w:rPr>
        <w:fldChar w:fldCharType="begin"/>
      </w:r>
      <w:r>
        <w:rPr>
          <w:szCs w:val="20"/>
        </w:rPr>
        <w:instrText xml:space="preserve"> REF _Ref195884065 \h </w:instrText>
      </w:r>
      <w:r>
        <w:rPr>
          <w:szCs w:val="20"/>
        </w:rPr>
      </w:r>
      <w:r>
        <w:rPr>
          <w:szCs w:val="20"/>
        </w:rPr>
        <w:fldChar w:fldCharType="separate"/>
      </w:r>
      <w:r w:rsidR="00871DD5">
        <w:t xml:space="preserve">Działanie </w:t>
      </w:r>
      <w:r w:rsidR="00871DD5">
        <w:rPr>
          <w:noProof/>
        </w:rPr>
        <w:t>49</w:t>
      </w:r>
      <w:r w:rsidR="00871DD5">
        <w:t xml:space="preserve">. </w:t>
      </w:r>
      <w:r w:rsidR="00871DD5" w:rsidRPr="00BA6B20">
        <w:t>Zwiększanie wymagań w zakresie emisyjności pojazdów</w:t>
      </w:r>
      <w:r>
        <w:rPr>
          <w:szCs w:val="20"/>
        </w:rPr>
        <w:fldChar w:fldCharType="end"/>
      </w:r>
    </w:p>
    <w:p w14:paraId="35868160" w14:textId="2FBC9357" w:rsidR="0090253A" w:rsidRDefault="0090253A" w:rsidP="003530A9">
      <w:pPr>
        <w:pStyle w:val="Akapitzlist"/>
        <w:numPr>
          <w:ilvl w:val="0"/>
          <w:numId w:val="3"/>
        </w:numPr>
        <w:rPr>
          <w:szCs w:val="20"/>
        </w:rPr>
      </w:pPr>
      <w:r>
        <w:rPr>
          <w:szCs w:val="20"/>
        </w:rPr>
        <w:fldChar w:fldCharType="begin"/>
      </w:r>
      <w:r>
        <w:rPr>
          <w:szCs w:val="20"/>
        </w:rPr>
        <w:instrText xml:space="preserve"> REF _Ref195884072 \h </w:instrText>
      </w:r>
      <w:r>
        <w:rPr>
          <w:szCs w:val="20"/>
        </w:rPr>
      </w:r>
      <w:r>
        <w:rPr>
          <w:szCs w:val="20"/>
        </w:rPr>
        <w:fldChar w:fldCharType="separate"/>
      </w:r>
      <w:r w:rsidR="00871DD5">
        <w:t xml:space="preserve">Działanie </w:t>
      </w:r>
      <w:r w:rsidR="00871DD5">
        <w:rPr>
          <w:noProof/>
        </w:rPr>
        <w:t>50</w:t>
      </w:r>
      <w:r w:rsidR="00871DD5">
        <w:t xml:space="preserve">. </w:t>
      </w:r>
      <w:r w:rsidR="00871DD5" w:rsidRPr="00A40AD9">
        <w:t>Opłata emisyjna</w:t>
      </w:r>
      <w:r>
        <w:rPr>
          <w:szCs w:val="20"/>
        </w:rPr>
        <w:fldChar w:fldCharType="end"/>
      </w:r>
    </w:p>
    <w:p w14:paraId="3CA6FE8C" w14:textId="1AD53F35" w:rsidR="0090253A" w:rsidRDefault="0090253A" w:rsidP="003530A9">
      <w:pPr>
        <w:pStyle w:val="Akapitzlist"/>
        <w:numPr>
          <w:ilvl w:val="0"/>
          <w:numId w:val="3"/>
        </w:numPr>
        <w:rPr>
          <w:szCs w:val="20"/>
        </w:rPr>
      </w:pPr>
      <w:r>
        <w:rPr>
          <w:szCs w:val="20"/>
        </w:rPr>
        <w:fldChar w:fldCharType="begin"/>
      </w:r>
      <w:r>
        <w:rPr>
          <w:szCs w:val="20"/>
        </w:rPr>
        <w:instrText xml:space="preserve"> REF _Ref195884091 \h </w:instrText>
      </w:r>
      <w:r>
        <w:rPr>
          <w:szCs w:val="20"/>
        </w:rPr>
      </w:r>
      <w:r>
        <w:rPr>
          <w:szCs w:val="20"/>
        </w:rPr>
        <w:fldChar w:fldCharType="separate"/>
      </w:r>
      <w:r w:rsidR="00871DD5">
        <w:t xml:space="preserve">Działanie </w:t>
      </w:r>
      <w:r w:rsidR="00871DD5">
        <w:rPr>
          <w:noProof/>
        </w:rPr>
        <w:t>51</w:t>
      </w:r>
      <w:r w:rsidR="00871DD5">
        <w:t xml:space="preserve">. </w:t>
      </w:r>
      <w:r w:rsidR="00871DD5" w:rsidRPr="00123801">
        <w:t>Rozwój ewidencji infrastruktury paliw alternatywnych</w:t>
      </w:r>
      <w:r>
        <w:rPr>
          <w:szCs w:val="20"/>
        </w:rPr>
        <w:fldChar w:fldCharType="end"/>
      </w:r>
    </w:p>
    <w:p w14:paraId="5F94F063" w14:textId="51D8F0A5" w:rsidR="003C445B" w:rsidRPr="0092187F" w:rsidRDefault="003C445B" w:rsidP="0092187F">
      <w:pPr>
        <w:keepNext/>
        <w:spacing w:before="360" w:after="120"/>
        <w:rPr>
          <w:b/>
          <w:bCs/>
        </w:rPr>
      </w:pPr>
      <w:r w:rsidRPr="0092187F">
        <w:rPr>
          <w:b/>
          <w:bCs/>
        </w:rPr>
        <w:t>W zakresie dekarbonizacji transportu kolejowego</w:t>
      </w:r>
      <w:r w:rsidR="00BA4318" w:rsidRPr="0092187F">
        <w:rPr>
          <w:b/>
          <w:bCs/>
        </w:rPr>
        <w:t>:</w:t>
      </w:r>
    </w:p>
    <w:p w14:paraId="2EFD245E" w14:textId="3FA444A9" w:rsidR="00522889" w:rsidRDefault="006A3B10" w:rsidP="003530A9">
      <w:pPr>
        <w:pStyle w:val="Akapitzlist"/>
        <w:numPr>
          <w:ilvl w:val="0"/>
          <w:numId w:val="3"/>
        </w:numPr>
        <w:rPr>
          <w:szCs w:val="20"/>
        </w:rPr>
      </w:pPr>
      <w:r>
        <w:rPr>
          <w:szCs w:val="20"/>
        </w:rPr>
        <w:fldChar w:fldCharType="begin"/>
      </w:r>
      <w:r>
        <w:rPr>
          <w:szCs w:val="20"/>
        </w:rPr>
        <w:instrText xml:space="preserve"> REF _Ref195882715 \h </w:instrText>
      </w:r>
      <w:r>
        <w:rPr>
          <w:szCs w:val="20"/>
        </w:rPr>
      </w:r>
      <w:r>
        <w:rPr>
          <w:szCs w:val="20"/>
        </w:rPr>
        <w:fldChar w:fldCharType="separate"/>
      </w:r>
      <w:r w:rsidR="00871DD5">
        <w:t xml:space="preserve">Działanie </w:t>
      </w:r>
      <w:r w:rsidR="00871DD5">
        <w:rPr>
          <w:noProof/>
        </w:rPr>
        <w:t>39</w:t>
      </w:r>
      <w:r w:rsidR="00871DD5">
        <w:t xml:space="preserve">. </w:t>
      </w:r>
      <w:r w:rsidR="00871DD5" w:rsidRPr="00BC1D13">
        <w:t>Modernizacja taboru i infrastruktury kolejowej oraz rozbudowa lokalnej i</w:t>
      </w:r>
      <w:r w:rsidR="00871DD5">
        <w:t> </w:t>
      </w:r>
      <w:r w:rsidR="00871DD5" w:rsidRPr="00BC1D13">
        <w:t>regionalnej infrastruktury kolejowej</w:t>
      </w:r>
      <w:r>
        <w:rPr>
          <w:szCs w:val="20"/>
        </w:rPr>
        <w:fldChar w:fldCharType="end"/>
      </w:r>
    </w:p>
    <w:p w14:paraId="6545F4CD" w14:textId="29837A9D" w:rsidR="006A3B10" w:rsidRDefault="000746A0" w:rsidP="003530A9">
      <w:pPr>
        <w:pStyle w:val="Akapitzlist"/>
        <w:numPr>
          <w:ilvl w:val="0"/>
          <w:numId w:val="3"/>
        </w:numPr>
        <w:rPr>
          <w:szCs w:val="20"/>
        </w:rPr>
      </w:pPr>
      <w:r>
        <w:rPr>
          <w:szCs w:val="20"/>
        </w:rPr>
        <w:fldChar w:fldCharType="begin"/>
      </w:r>
      <w:r>
        <w:rPr>
          <w:szCs w:val="20"/>
        </w:rPr>
        <w:instrText xml:space="preserve"> REF _Ref195883071 \h </w:instrText>
      </w:r>
      <w:r>
        <w:rPr>
          <w:szCs w:val="20"/>
        </w:rPr>
      </w:r>
      <w:r>
        <w:rPr>
          <w:szCs w:val="20"/>
        </w:rPr>
        <w:fldChar w:fldCharType="separate"/>
      </w:r>
      <w:r w:rsidR="00871DD5">
        <w:t xml:space="preserve">Działanie </w:t>
      </w:r>
      <w:r w:rsidR="00871DD5">
        <w:rPr>
          <w:noProof/>
        </w:rPr>
        <w:t>40</w:t>
      </w:r>
      <w:r w:rsidR="00871DD5">
        <w:t xml:space="preserve">. </w:t>
      </w:r>
      <w:r w:rsidR="00871DD5" w:rsidRPr="007B2901">
        <w:t>Rozwój transportu intermodalnego</w:t>
      </w:r>
      <w:r>
        <w:rPr>
          <w:szCs w:val="20"/>
        </w:rPr>
        <w:fldChar w:fldCharType="end"/>
      </w:r>
    </w:p>
    <w:p w14:paraId="167CE862" w14:textId="59BEA94B" w:rsidR="00F11D46" w:rsidRPr="00615C71" w:rsidRDefault="00F11D46" w:rsidP="003530A9">
      <w:pPr>
        <w:pStyle w:val="Akapitzlist"/>
        <w:numPr>
          <w:ilvl w:val="0"/>
          <w:numId w:val="3"/>
        </w:numPr>
      </w:pPr>
      <w:r w:rsidRPr="00615C71">
        <w:fldChar w:fldCharType="begin"/>
      </w:r>
      <w:r w:rsidRPr="00615C71">
        <w:instrText xml:space="preserve"> REF _Ref195891022 \h </w:instrText>
      </w:r>
      <w:r w:rsidR="00615C71" w:rsidRPr="00615C71">
        <w:instrText xml:space="preserve"> \* MERGEFORMAT </w:instrText>
      </w:r>
      <w:r w:rsidRPr="00615C71">
        <w:fldChar w:fldCharType="separate"/>
      </w:r>
      <w:r w:rsidR="00871DD5" w:rsidRPr="00871DD5">
        <w:t xml:space="preserve">Działanie 149. </w:t>
      </w:r>
      <w:r w:rsidR="00871DD5" w:rsidRPr="004D6F82">
        <w:t>Działania na rzecz</w:t>
      </w:r>
      <w:r w:rsidR="00871DD5" w:rsidRPr="004D6F82">
        <w:rPr>
          <w:lang w:eastAsia="pl-PL"/>
        </w:rPr>
        <w:t xml:space="preserve"> walki z ubóstwem transportowym</w:t>
      </w:r>
      <w:r w:rsidRPr="00615C71">
        <w:fldChar w:fldCharType="end"/>
      </w:r>
    </w:p>
    <w:p w14:paraId="6D32E66F" w14:textId="3358C6CB" w:rsidR="00520D25" w:rsidRPr="0092187F" w:rsidRDefault="00520D25" w:rsidP="0092187F">
      <w:pPr>
        <w:keepNext/>
        <w:spacing w:before="360" w:after="120"/>
        <w:rPr>
          <w:b/>
          <w:bCs/>
        </w:rPr>
      </w:pPr>
      <w:r w:rsidRPr="0092187F">
        <w:rPr>
          <w:b/>
          <w:bCs/>
        </w:rPr>
        <w:t>W zakresie dekarbonizacji żeglugi morskiej</w:t>
      </w:r>
      <w:r w:rsidR="00BA4318" w:rsidRPr="0092187F">
        <w:rPr>
          <w:b/>
          <w:bCs/>
        </w:rPr>
        <w:t>:</w:t>
      </w:r>
    </w:p>
    <w:p w14:paraId="2F30AD39" w14:textId="492800F1" w:rsidR="00522889" w:rsidRDefault="00040D0F" w:rsidP="003530A9">
      <w:pPr>
        <w:pStyle w:val="Akapitzlist"/>
        <w:numPr>
          <w:ilvl w:val="0"/>
          <w:numId w:val="3"/>
        </w:numPr>
        <w:rPr>
          <w:szCs w:val="20"/>
        </w:rPr>
      </w:pPr>
      <w:r>
        <w:rPr>
          <w:szCs w:val="20"/>
        </w:rPr>
        <w:fldChar w:fldCharType="begin"/>
      </w:r>
      <w:r>
        <w:rPr>
          <w:szCs w:val="20"/>
        </w:rPr>
        <w:instrText xml:space="preserve"> REF _Ref195883954 \h </w:instrText>
      </w:r>
      <w:r>
        <w:rPr>
          <w:szCs w:val="20"/>
        </w:rPr>
      </w:r>
      <w:r>
        <w:rPr>
          <w:szCs w:val="20"/>
        </w:rPr>
        <w:fldChar w:fldCharType="separate"/>
      </w:r>
      <w:r w:rsidR="00871DD5">
        <w:t xml:space="preserve">Działanie </w:t>
      </w:r>
      <w:r w:rsidR="00871DD5">
        <w:rPr>
          <w:noProof/>
        </w:rPr>
        <w:t>42</w:t>
      </w:r>
      <w:r w:rsidR="00871DD5">
        <w:t xml:space="preserve">. </w:t>
      </w:r>
      <w:r w:rsidR="00871DD5" w:rsidRPr="006E4939">
        <w:t>Zapewnienie dostępności paliw alternatywnych w portach morskich</w:t>
      </w:r>
      <w:r>
        <w:rPr>
          <w:szCs w:val="20"/>
        </w:rPr>
        <w:fldChar w:fldCharType="end"/>
      </w:r>
    </w:p>
    <w:p w14:paraId="4D4D434F" w14:textId="22228F71" w:rsidR="00040D0F" w:rsidRDefault="00040D0F" w:rsidP="003530A9">
      <w:pPr>
        <w:pStyle w:val="Akapitzlist"/>
        <w:numPr>
          <w:ilvl w:val="0"/>
          <w:numId w:val="3"/>
        </w:numPr>
        <w:rPr>
          <w:szCs w:val="20"/>
        </w:rPr>
      </w:pPr>
      <w:r>
        <w:rPr>
          <w:szCs w:val="20"/>
        </w:rPr>
        <w:fldChar w:fldCharType="begin"/>
      </w:r>
      <w:r>
        <w:rPr>
          <w:szCs w:val="20"/>
        </w:rPr>
        <w:instrText xml:space="preserve"> REF _Ref195883965 \h </w:instrText>
      </w:r>
      <w:r>
        <w:rPr>
          <w:szCs w:val="20"/>
        </w:rPr>
      </w:r>
      <w:r>
        <w:rPr>
          <w:szCs w:val="20"/>
        </w:rPr>
        <w:fldChar w:fldCharType="separate"/>
      </w:r>
      <w:r w:rsidR="00871DD5">
        <w:t xml:space="preserve">Działanie </w:t>
      </w:r>
      <w:r w:rsidR="00871DD5">
        <w:rPr>
          <w:noProof/>
        </w:rPr>
        <w:t>43</w:t>
      </w:r>
      <w:r w:rsidR="00871DD5">
        <w:t xml:space="preserve">. </w:t>
      </w:r>
      <w:r w:rsidR="00871DD5" w:rsidRPr="00BB6ECD">
        <w:t>Wdrażanie innowacyjnych technologii w zarządzaniu ruchem statków morskich</w:t>
      </w:r>
      <w:r>
        <w:rPr>
          <w:szCs w:val="20"/>
        </w:rPr>
        <w:fldChar w:fldCharType="end"/>
      </w:r>
    </w:p>
    <w:p w14:paraId="3E404755" w14:textId="02417849" w:rsidR="005B1369" w:rsidRDefault="005B1369" w:rsidP="003530A9">
      <w:pPr>
        <w:pStyle w:val="Akapitzlist"/>
        <w:numPr>
          <w:ilvl w:val="0"/>
          <w:numId w:val="3"/>
        </w:numPr>
        <w:rPr>
          <w:szCs w:val="20"/>
        </w:rPr>
      </w:pPr>
      <w:r>
        <w:rPr>
          <w:szCs w:val="20"/>
        </w:rPr>
        <w:fldChar w:fldCharType="begin"/>
      </w:r>
      <w:r>
        <w:rPr>
          <w:szCs w:val="20"/>
        </w:rPr>
        <w:instrText xml:space="preserve"> REF _Ref195883979 \h </w:instrText>
      </w:r>
      <w:r>
        <w:rPr>
          <w:szCs w:val="20"/>
        </w:rPr>
      </w:r>
      <w:r>
        <w:rPr>
          <w:szCs w:val="20"/>
        </w:rPr>
        <w:fldChar w:fldCharType="separate"/>
      </w:r>
      <w:r w:rsidR="00871DD5">
        <w:t xml:space="preserve">Działanie </w:t>
      </w:r>
      <w:r w:rsidR="00871DD5">
        <w:rPr>
          <w:noProof/>
        </w:rPr>
        <w:t>44</w:t>
      </w:r>
      <w:r w:rsidR="00871DD5">
        <w:t xml:space="preserve">. </w:t>
      </w:r>
      <w:r w:rsidR="00871DD5" w:rsidRPr="007F4BC9">
        <w:t>Wdrażanie napędu elektrycznego w żegludze przybrzeżnej</w:t>
      </w:r>
      <w:r>
        <w:rPr>
          <w:szCs w:val="20"/>
        </w:rPr>
        <w:fldChar w:fldCharType="end"/>
      </w:r>
    </w:p>
    <w:p w14:paraId="3F727663" w14:textId="129B65B3" w:rsidR="00D50EB3" w:rsidRDefault="00D50EB3" w:rsidP="003530A9">
      <w:pPr>
        <w:pStyle w:val="Akapitzlist"/>
        <w:numPr>
          <w:ilvl w:val="0"/>
          <w:numId w:val="3"/>
        </w:numPr>
        <w:rPr>
          <w:szCs w:val="20"/>
        </w:rPr>
      </w:pPr>
      <w:r>
        <w:rPr>
          <w:szCs w:val="20"/>
        </w:rPr>
        <w:fldChar w:fldCharType="begin"/>
      </w:r>
      <w:r>
        <w:rPr>
          <w:szCs w:val="20"/>
        </w:rPr>
        <w:instrText xml:space="preserve"> REF _Ref195884273 \h </w:instrText>
      </w:r>
      <w:r>
        <w:rPr>
          <w:szCs w:val="20"/>
        </w:rPr>
      </w:r>
      <w:r>
        <w:rPr>
          <w:szCs w:val="20"/>
        </w:rPr>
        <w:fldChar w:fldCharType="separate"/>
      </w:r>
      <w:r w:rsidR="00871DD5">
        <w:t xml:space="preserve">Działanie </w:t>
      </w:r>
      <w:r w:rsidR="00871DD5">
        <w:rPr>
          <w:noProof/>
        </w:rPr>
        <w:t>48</w:t>
      </w:r>
      <w:r w:rsidR="00871DD5">
        <w:t xml:space="preserve">. </w:t>
      </w:r>
      <w:r w:rsidR="00871DD5" w:rsidRPr="00C73AB4">
        <w:t>Wsparcie budowy innowacyjnych jednostek transportowych napędzanych wodorem i pochodnymi</w:t>
      </w:r>
      <w:r>
        <w:rPr>
          <w:szCs w:val="20"/>
        </w:rPr>
        <w:fldChar w:fldCharType="end"/>
      </w:r>
    </w:p>
    <w:p w14:paraId="1D350F12" w14:textId="150D4827" w:rsidR="003C445B" w:rsidRPr="0092187F" w:rsidRDefault="003C445B" w:rsidP="00845A87">
      <w:pPr>
        <w:keepNext/>
        <w:spacing w:before="480" w:after="120"/>
        <w:rPr>
          <w:b/>
          <w:bCs/>
        </w:rPr>
      </w:pPr>
      <w:r w:rsidRPr="0092187F">
        <w:rPr>
          <w:b/>
          <w:bCs/>
        </w:rPr>
        <w:lastRenderedPageBreak/>
        <w:t>W zakresie dekarbonizacji lotnictwa</w:t>
      </w:r>
      <w:r w:rsidR="00BA4318" w:rsidRPr="0092187F">
        <w:rPr>
          <w:b/>
          <w:bCs/>
        </w:rPr>
        <w:t>:</w:t>
      </w:r>
    </w:p>
    <w:p w14:paraId="6E68C201" w14:textId="345A5A53" w:rsidR="00522889" w:rsidRDefault="005B1369" w:rsidP="003530A9">
      <w:pPr>
        <w:pStyle w:val="Akapitzlist"/>
        <w:numPr>
          <w:ilvl w:val="0"/>
          <w:numId w:val="3"/>
        </w:numPr>
        <w:rPr>
          <w:szCs w:val="20"/>
        </w:rPr>
      </w:pPr>
      <w:r>
        <w:rPr>
          <w:szCs w:val="20"/>
        </w:rPr>
        <w:fldChar w:fldCharType="begin"/>
      </w:r>
      <w:r>
        <w:rPr>
          <w:szCs w:val="20"/>
        </w:rPr>
        <w:instrText xml:space="preserve"> REF _Ref195883998 \h </w:instrText>
      </w:r>
      <w:r>
        <w:rPr>
          <w:szCs w:val="20"/>
        </w:rPr>
      </w:r>
      <w:r>
        <w:rPr>
          <w:szCs w:val="20"/>
        </w:rPr>
        <w:fldChar w:fldCharType="separate"/>
      </w:r>
      <w:r w:rsidR="00871DD5">
        <w:t xml:space="preserve">Działanie </w:t>
      </w:r>
      <w:r w:rsidR="00871DD5">
        <w:rPr>
          <w:noProof/>
        </w:rPr>
        <w:t>45</w:t>
      </w:r>
      <w:r w:rsidR="00871DD5">
        <w:t xml:space="preserve">. </w:t>
      </w:r>
      <w:r w:rsidR="00871DD5" w:rsidRPr="00690D82">
        <w:t>Poprawa infrastruktury portów lotniczych oraz efektywności operacyjnej transportu lotniczego</w:t>
      </w:r>
      <w:r>
        <w:rPr>
          <w:szCs w:val="20"/>
        </w:rPr>
        <w:fldChar w:fldCharType="end"/>
      </w:r>
    </w:p>
    <w:p w14:paraId="6C9BE8BB" w14:textId="3CBF0BFF" w:rsidR="005B1369" w:rsidRDefault="005B1369" w:rsidP="003530A9">
      <w:pPr>
        <w:pStyle w:val="Akapitzlist"/>
        <w:numPr>
          <w:ilvl w:val="0"/>
          <w:numId w:val="3"/>
        </w:numPr>
        <w:rPr>
          <w:szCs w:val="20"/>
        </w:rPr>
      </w:pPr>
      <w:r>
        <w:rPr>
          <w:szCs w:val="20"/>
        </w:rPr>
        <w:fldChar w:fldCharType="begin"/>
      </w:r>
      <w:r>
        <w:rPr>
          <w:szCs w:val="20"/>
        </w:rPr>
        <w:instrText xml:space="preserve"> REF _Ref195884005 \h </w:instrText>
      </w:r>
      <w:r>
        <w:rPr>
          <w:szCs w:val="20"/>
        </w:rPr>
      </w:r>
      <w:r>
        <w:rPr>
          <w:szCs w:val="20"/>
        </w:rPr>
        <w:fldChar w:fldCharType="separate"/>
      </w:r>
      <w:r w:rsidR="00871DD5">
        <w:t xml:space="preserve">Działanie </w:t>
      </w:r>
      <w:r w:rsidR="00871DD5">
        <w:rPr>
          <w:noProof/>
        </w:rPr>
        <w:t>46</w:t>
      </w:r>
      <w:r w:rsidR="00871DD5">
        <w:t xml:space="preserve">. </w:t>
      </w:r>
      <w:r w:rsidR="00871DD5" w:rsidRPr="00451DD7">
        <w:t>Wdrożenie innowacyjnych rozwiązań w ruchu lotniczym</w:t>
      </w:r>
      <w:r>
        <w:rPr>
          <w:szCs w:val="20"/>
        </w:rPr>
        <w:fldChar w:fldCharType="end"/>
      </w:r>
    </w:p>
    <w:p w14:paraId="025BA89D" w14:textId="083C8D0B" w:rsidR="005B1369" w:rsidRDefault="005B1369" w:rsidP="003530A9">
      <w:pPr>
        <w:pStyle w:val="Akapitzlist"/>
        <w:numPr>
          <w:ilvl w:val="0"/>
          <w:numId w:val="3"/>
        </w:numPr>
        <w:rPr>
          <w:szCs w:val="20"/>
        </w:rPr>
      </w:pPr>
      <w:r>
        <w:rPr>
          <w:szCs w:val="20"/>
        </w:rPr>
        <w:fldChar w:fldCharType="begin"/>
      </w:r>
      <w:r>
        <w:rPr>
          <w:szCs w:val="20"/>
        </w:rPr>
        <w:instrText xml:space="preserve"> REF _Ref195884010 \h </w:instrText>
      </w:r>
      <w:r>
        <w:rPr>
          <w:szCs w:val="20"/>
        </w:rPr>
      </w:r>
      <w:r>
        <w:rPr>
          <w:szCs w:val="20"/>
        </w:rPr>
        <w:fldChar w:fldCharType="separate"/>
      </w:r>
      <w:r w:rsidR="00871DD5">
        <w:t xml:space="preserve">Działanie </w:t>
      </w:r>
      <w:r w:rsidR="00871DD5">
        <w:rPr>
          <w:noProof/>
        </w:rPr>
        <w:t>47</w:t>
      </w:r>
      <w:r w:rsidR="00871DD5">
        <w:t xml:space="preserve">. </w:t>
      </w:r>
      <w:r w:rsidR="00871DD5" w:rsidRPr="005D0783">
        <w:t>Dekarbonizacja lotnictwa w zgodzie z priorytetami UE</w:t>
      </w:r>
      <w:r>
        <w:rPr>
          <w:szCs w:val="20"/>
        </w:rPr>
        <w:fldChar w:fldCharType="end"/>
      </w:r>
    </w:p>
    <w:p w14:paraId="71EF3D12" w14:textId="536CCE85" w:rsidR="00D50EB3" w:rsidRDefault="00D50EB3" w:rsidP="003530A9">
      <w:pPr>
        <w:pStyle w:val="Akapitzlist"/>
        <w:numPr>
          <w:ilvl w:val="0"/>
          <w:numId w:val="3"/>
        </w:numPr>
        <w:rPr>
          <w:szCs w:val="20"/>
        </w:rPr>
      </w:pPr>
      <w:r>
        <w:rPr>
          <w:szCs w:val="20"/>
        </w:rPr>
        <w:fldChar w:fldCharType="begin"/>
      </w:r>
      <w:r>
        <w:rPr>
          <w:szCs w:val="20"/>
        </w:rPr>
        <w:instrText xml:space="preserve"> REF _Ref195884288 \h </w:instrText>
      </w:r>
      <w:r>
        <w:rPr>
          <w:szCs w:val="20"/>
        </w:rPr>
      </w:r>
      <w:r>
        <w:rPr>
          <w:szCs w:val="20"/>
        </w:rPr>
        <w:fldChar w:fldCharType="separate"/>
      </w:r>
      <w:r w:rsidR="00871DD5">
        <w:t xml:space="preserve">Działanie </w:t>
      </w:r>
      <w:r w:rsidR="00871DD5">
        <w:rPr>
          <w:noProof/>
        </w:rPr>
        <w:t>48</w:t>
      </w:r>
      <w:r w:rsidR="00871DD5">
        <w:t xml:space="preserve">. </w:t>
      </w:r>
      <w:r w:rsidR="00871DD5" w:rsidRPr="00C73AB4">
        <w:t>Wsparcie budowy innowacyjnych jednostek transportowych napędzanych wodorem i pochodnymi</w:t>
      </w:r>
      <w:r>
        <w:rPr>
          <w:szCs w:val="20"/>
        </w:rPr>
        <w:fldChar w:fldCharType="end"/>
      </w:r>
    </w:p>
    <w:p w14:paraId="70BD16B8" w14:textId="2FC94ACC" w:rsidR="004E000C" w:rsidRPr="00C06AA6" w:rsidRDefault="001039C9" w:rsidP="00C06AA6">
      <w:pPr>
        <w:pStyle w:val="Nagwek4"/>
        <w:rPr>
          <w:color w:val="70AD47" w:themeColor="accent6"/>
        </w:rPr>
      </w:pPr>
      <w:bookmarkStart w:id="104" w:name="_Toc175494519"/>
      <w:bookmarkStart w:id="105" w:name="_Toc175518126"/>
      <w:bookmarkStart w:id="106" w:name="_Ref159313182"/>
      <w:bookmarkStart w:id="107" w:name="_Toc159598292"/>
      <w:bookmarkStart w:id="108" w:name="_Toc195897196"/>
      <w:bookmarkStart w:id="109" w:name="_Toc205203164"/>
      <w:bookmarkStart w:id="110" w:name="_Hlk173431820"/>
      <w:bookmarkEnd w:id="104"/>
      <w:bookmarkEnd w:id="105"/>
      <w:r>
        <w:rPr>
          <w:color w:val="70AD47" w:themeColor="accent6"/>
        </w:rPr>
        <w:t>R</w:t>
      </w:r>
      <w:r w:rsidR="00270892">
        <w:rPr>
          <w:color w:val="70AD47" w:themeColor="accent6"/>
        </w:rPr>
        <w:t>edukcj</w:t>
      </w:r>
      <w:r>
        <w:rPr>
          <w:color w:val="70AD47" w:themeColor="accent6"/>
        </w:rPr>
        <w:t>a</w:t>
      </w:r>
      <w:r w:rsidR="00270892">
        <w:rPr>
          <w:color w:val="70AD47" w:themeColor="accent6"/>
        </w:rPr>
        <w:t xml:space="preserve"> emisji </w:t>
      </w:r>
      <w:r w:rsidR="00AD0FB0">
        <w:rPr>
          <w:color w:val="70AD47" w:themeColor="accent6"/>
        </w:rPr>
        <w:t>GHG</w:t>
      </w:r>
      <w:r w:rsidR="00270892">
        <w:rPr>
          <w:color w:val="70AD47" w:themeColor="accent6"/>
        </w:rPr>
        <w:t xml:space="preserve"> w </w:t>
      </w:r>
      <w:r w:rsidR="004E000C" w:rsidRPr="00C06AA6">
        <w:rPr>
          <w:color w:val="70AD47" w:themeColor="accent6"/>
        </w:rPr>
        <w:t>przemy</w:t>
      </w:r>
      <w:r>
        <w:rPr>
          <w:color w:val="70AD47" w:themeColor="accent6"/>
        </w:rPr>
        <w:t>śle</w:t>
      </w:r>
      <w:bookmarkEnd w:id="106"/>
      <w:bookmarkEnd w:id="107"/>
      <w:bookmarkEnd w:id="108"/>
      <w:bookmarkEnd w:id="109"/>
    </w:p>
    <w:p w14:paraId="79290A8F" w14:textId="5E05C4AB" w:rsidR="00780CE3" w:rsidRDefault="00093D74" w:rsidP="00093D74">
      <w:r w:rsidRPr="00B35066">
        <w:t>Przemysł odpowiada za</w:t>
      </w:r>
      <w:r w:rsidR="00780CE3">
        <w:t xml:space="preserve"> ok.</w:t>
      </w:r>
      <w:r w:rsidRPr="00B35066">
        <w:t xml:space="preserve"> </w:t>
      </w:r>
      <w:r>
        <w:t xml:space="preserve">¼ </w:t>
      </w:r>
      <w:r w:rsidRPr="00B35066">
        <w:t xml:space="preserve">zużycia energii </w:t>
      </w:r>
      <w:r w:rsidR="001451E9">
        <w:t xml:space="preserve">w </w:t>
      </w:r>
      <w:r w:rsidRPr="00B35066">
        <w:t>U</w:t>
      </w:r>
      <w:r>
        <w:t>E, dlatego obok budynków został objęty szczególną uwagą w</w:t>
      </w:r>
      <w:r w:rsidR="00C10860">
        <w:t> </w:t>
      </w:r>
      <w:r>
        <w:t xml:space="preserve">zakresie redukcji wpływu na środowisko. </w:t>
      </w:r>
      <w:r w:rsidR="0066590E">
        <w:t>Energochłonność procesów i koszty zużywanej energii wpływają w dużej mierze na konkurencyjność naszego kraju, dlatego zapewnienie odpowiedniej wydajności prowadzonej działalności ma ważne znaczenie gospodarcze. Coraz większe znaczenie zarówno dla krajowych, jak i zagranicznych inwestorów mają także aspekty środowiskowe</w:t>
      </w:r>
      <w:r w:rsidR="00476C70">
        <w:t>, co stanowi dodatkowy impuls do działań</w:t>
      </w:r>
      <w:r w:rsidR="0066590E">
        <w:t>.</w:t>
      </w:r>
      <w:r w:rsidR="00923D47">
        <w:t xml:space="preserve"> </w:t>
      </w:r>
    </w:p>
    <w:p w14:paraId="461ED743" w14:textId="1E0992C3" w:rsidR="00ED12EE" w:rsidRDefault="00952815" w:rsidP="00093D74">
      <w:r w:rsidRPr="06ADA0EB">
        <w:rPr>
          <w:i/>
          <w:iCs/>
        </w:rPr>
        <w:t>P</w:t>
      </w:r>
      <w:r w:rsidR="00ED12EE" w:rsidRPr="06ADA0EB">
        <w:rPr>
          <w:i/>
          <w:iCs/>
        </w:rPr>
        <w:t>rzemysł</w:t>
      </w:r>
      <w:r w:rsidR="00ED12EE">
        <w:t xml:space="preserve"> </w:t>
      </w:r>
      <w:r>
        <w:t xml:space="preserve">obejmuje </w:t>
      </w:r>
      <w:r w:rsidR="00ED12EE">
        <w:t xml:space="preserve">różne podsektory, dlatego </w:t>
      </w:r>
      <w:r w:rsidR="00780CE3">
        <w:t>działania dekarbonizacyjn</w:t>
      </w:r>
      <w:r w:rsidR="009900B2">
        <w:t>e muszą być adekwatne do typów działalności</w:t>
      </w:r>
      <w:r w:rsidR="00ED12EE">
        <w:t xml:space="preserve">. </w:t>
      </w:r>
      <w:r w:rsidR="0066590E">
        <w:t xml:space="preserve">W </w:t>
      </w:r>
      <w:r w:rsidR="0099413F">
        <w:t>wi</w:t>
      </w:r>
      <w:r w:rsidR="00FE0033">
        <w:t>ększości</w:t>
      </w:r>
      <w:r w:rsidR="0099413F">
        <w:t xml:space="preserve"> przemysł</w:t>
      </w:r>
      <w:r w:rsidR="00FE0033">
        <w:t>ów</w:t>
      </w:r>
      <w:r w:rsidR="0099413F">
        <w:t xml:space="preserve"> ciężkich (</w:t>
      </w:r>
      <w:r w:rsidR="009900B2">
        <w:t>np</w:t>
      </w:r>
      <w:r w:rsidR="0099413F">
        <w:t xml:space="preserve">. cementowym, </w:t>
      </w:r>
      <w:r w:rsidR="525B1628">
        <w:t>hutniczym,</w:t>
      </w:r>
      <w:r w:rsidR="009900B2">
        <w:t xml:space="preserve"> </w:t>
      </w:r>
      <w:r w:rsidR="00070D86">
        <w:t xml:space="preserve">chemicznym, </w:t>
      </w:r>
      <w:r w:rsidR="0099413F">
        <w:t>petrochemicznym</w:t>
      </w:r>
      <w:r w:rsidR="007068FA">
        <w:t xml:space="preserve">, </w:t>
      </w:r>
      <w:r w:rsidR="00070D86">
        <w:t>nawozowym</w:t>
      </w:r>
      <w:r w:rsidR="0099413F">
        <w:t>) występują także</w:t>
      </w:r>
      <w:r w:rsidR="0000074A">
        <w:t xml:space="preserve"> znaczące</w:t>
      </w:r>
      <w:r w:rsidR="0099413F">
        <w:t xml:space="preserve"> </w:t>
      </w:r>
      <w:r w:rsidR="0099413F" w:rsidRPr="0000074A">
        <w:rPr>
          <w:b/>
          <w:bCs/>
        </w:rPr>
        <w:t>emisje procesowe</w:t>
      </w:r>
      <w:r w:rsidR="007068FA">
        <w:rPr>
          <w:b/>
          <w:bCs/>
        </w:rPr>
        <w:t xml:space="preserve"> </w:t>
      </w:r>
      <w:r w:rsidR="007068FA" w:rsidRPr="007068FA">
        <w:t xml:space="preserve">(emisje z </w:t>
      </w:r>
      <w:r w:rsidR="00E60002">
        <w:t xml:space="preserve">przetwarzanych </w:t>
      </w:r>
      <w:r w:rsidR="007068FA" w:rsidRPr="007068FA">
        <w:t>surowców)</w:t>
      </w:r>
      <w:r w:rsidR="0099413F">
        <w:t xml:space="preserve">, których uniknięcie jest znacznie </w:t>
      </w:r>
      <w:r w:rsidR="00FE0033">
        <w:t xml:space="preserve">trudniejsze niż </w:t>
      </w:r>
      <w:r w:rsidR="00E60002">
        <w:t xml:space="preserve">ograniczenie emisji </w:t>
      </w:r>
      <w:r w:rsidR="00FE0033">
        <w:t>pochodzących z produkcji energii na potrzeby procesów</w:t>
      </w:r>
      <w:r w:rsidR="009900B2">
        <w:rPr>
          <w:rStyle w:val="Odwoanieprzypisudolnego"/>
        </w:rPr>
        <w:footnoteReference w:id="42"/>
      </w:r>
      <w:r w:rsidR="00FE0033">
        <w:t>.</w:t>
      </w:r>
    </w:p>
    <w:p w14:paraId="40D0844F" w14:textId="42FDE3D7" w:rsidR="003E2139" w:rsidRDefault="003E2139" w:rsidP="003E2139">
      <w:r>
        <w:t>Przemysł energochłonny objęty jest system</w:t>
      </w:r>
      <w:r w:rsidR="00F523F2">
        <w:t>em</w:t>
      </w:r>
      <w:r>
        <w:t xml:space="preserve"> EU ETS</w:t>
      </w:r>
      <w:r w:rsidR="00E93EC7">
        <w:t>, przy</w:t>
      </w:r>
      <w:r w:rsidR="00520463">
        <w:t xml:space="preserve"> tymczasowym i ograniczonym</w:t>
      </w:r>
      <w:r w:rsidR="00DE6C6E">
        <w:t xml:space="preserve"> ilościowo</w:t>
      </w:r>
      <w:r w:rsidR="0023388E">
        <w:t xml:space="preserve"> p</w:t>
      </w:r>
      <w:r w:rsidR="00EE7CCE">
        <w:t>rzydziale</w:t>
      </w:r>
      <w:r w:rsidR="00DE6C6E">
        <w:t xml:space="preserve"> bezpłatnych </w:t>
      </w:r>
      <w:r w:rsidR="00E15994">
        <w:t xml:space="preserve">uprawnień </w:t>
      </w:r>
      <w:r w:rsidR="00E311A2">
        <w:t>emisji gazów cieplarnianych</w:t>
      </w:r>
      <w:r w:rsidR="00B263BC">
        <w:t xml:space="preserve">. Dodatkowo niektóre gałęzie przemysłu mogą skorzystać z systemu rekompensat dla sektorów i podsektorów energochłonnych. </w:t>
      </w:r>
      <w:r w:rsidR="00657325">
        <w:t>W</w:t>
      </w:r>
      <w:r w:rsidR="00B263BC">
        <w:t xml:space="preserve"> sektorach objęt</w:t>
      </w:r>
      <w:r w:rsidR="00B11946">
        <w:t>ych</w:t>
      </w:r>
      <w:r w:rsidR="00B263BC">
        <w:t xml:space="preserve"> podatkiem granicznym (CBAM</w:t>
      </w:r>
      <w:r w:rsidR="00B263BC">
        <w:rPr>
          <w:rStyle w:val="Odwoanieprzypisudolnego"/>
        </w:rPr>
        <w:footnoteReference w:id="43"/>
      </w:r>
      <w:r w:rsidR="00B263BC">
        <w:t>)</w:t>
      </w:r>
      <w:r w:rsidR="000C0215">
        <w:t xml:space="preserve"> </w:t>
      </w:r>
      <w:r w:rsidR="000C0215" w:rsidRPr="00F022DF">
        <w:rPr>
          <w:b/>
          <w:bCs/>
        </w:rPr>
        <w:t>po 2030 r. nastąpi istotny spadek dostępnej liczby bezpłatnych uprawnień</w:t>
      </w:r>
      <w:r w:rsidR="000C0215">
        <w:t>, a pełne wycofanie przewidziano do 2034 r.</w:t>
      </w:r>
      <w:r w:rsidR="000C0215">
        <w:rPr>
          <w:rStyle w:val="Odwoanieprzypisudolnego"/>
        </w:rPr>
        <w:footnoteReference w:id="44"/>
      </w:r>
      <w:r w:rsidR="003E2DE5">
        <w:rPr>
          <w:rStyle w:val="Odwoaniedokomentarza"/>
        </w:rPr>
        <w:t xml:space="preserve"> </w:t>
      </w:r>
      <w:r w:rsidR="002A3058">
        <w:t>Z</w:t>
      </w:r>
      <w:r w:rsidR="00A779C2">
        <w:t>astosowani</w:t>
      </w:r>
      <w:r w:rsidR="002A3058">
        <w:t>e</w:t>
      </w:r>
      <w:r w:rsidR="000D29AD">
        <w:t xml:space="preserve"> </w:t>
      </w:r>
      <w:r w:rsidR="002A3058">
        <w:t>zeroemisyjnych</w:t>
      </w:r>
      <w:r w:rsidR="00D111F0">
        <w:t>,</w:t>
      </w:r>
      <w:r w:rsidR="00FC7CCC">
        <w:t xml:space="preserve"> wysokoefektywnych</w:t>
      </w:r>
      <w:r w:rsidR="003A2FAC">
        <w:t>, nowoczesnych</w:t>
      </w:r>
      <w:r w:rsidR="00FC7CCC">
        <w:t xml:space="preserve"> technolog</w:t>
      </w:r>
      <w:r w:rsidR="003A2FAC">
        <w:t>ii i rozwiązań</w:t>
      </w:r>
      <w:r w:rsidR="00BE32B5">
        <w:t xml:space="preserve"> </w:t>
      </w:r>
      <w:r w:rsidR="00580F51">
        <w:t xml:space="preserve">pozwoli na </w:t>
      </w:r>
      <w:r w:rsidR="002A0A90">
        <w:t xml:space="preserve">skuteczne </w:t>
      </w:r>
      <w:r w:rsidR="00580F51">
        <w:t>przeprowadzenie procesów transformacyjnych w sektor</w:t>
      </w:r>
      <w:r w:rsidR="00691D99">
        <w:t xml:space="preserve">ach dotychczas objętych </w:t>
      </w:r>
      <w:r w:rsidR="00CF62CE">
        <w:t xml:space="preserve">systemem </w:t>
      </w:r>
      <w:r w:rsidR="00691D99">
        <w:t>EU ETS</w:t>
      </w:r>
      <w:r w:rsidR="00580F51">
        <w:t xml:space="preserve">. </w:t>
      </w:r>
    </w:p>
    <w:p w14:paraId="3C2AC5DA" w14:textId="59ACADEB" w:rsidR="00FA697F" w:rsidRDefault="003E2139" w:rsidP="00093D74">
      <w:r>
        <w:t xml:space="preserve">Pozostała część działalności przemysłowej przyczynia się do realizacji wspólnego celu redukcyjnego (sektor non-ETS). </w:t>
      </w:r>
      <w:r w:rsidR="00093D74">
        <w:t xml:space="preserve">Istotna część energii cieplnej wykorzystywanej w </w:t>
      </w:r>
      <w:r w:rsidR="00780CE3">
        <w:t xml:space="preserve">tych podsektorach przemysłu </w:t>
      </w:r>
      <w:r w:rsidR="00093D74">
        <w:t>nie wymaga wysokich temperatur, co zwiększa wachlarz wykorzystania tańszych odnawialnych źródeł energii</w:t>
      </w:r>
      <w:r w:rsidR="00E86742">
        <w:t xml:space="preserve">. Pewną </w:t>
      </w:r>
      <w:r w:rsidR="00093D74">
        <w:t xml:space="preserve">rolę w dekarbonizacji tego sektora </w:t>
      </w:r>
      <w:r w:rsidR="00093D74" w:rsidRPr="00FA697F">
        <w:t xml:space="preserve">ma </w:t>
      </w:r>
      <w:r w:rsidR="00093D74" w:rsidRPr="00923D47">
        <w:rPr>
          <w:b/>
          <w:bCs/>
        </w:rPr>
        <w:t>poprawa efektywności energetycznej realizowanych procesów</w:t>
      </w:r>
      <w:r w:rsidR="00923D47">
        <w:rPr>
          <w:b/>
          <w:bCs/>
        </w:rPr>
        <w:t xml:space="preserve"> i optymalizacja procesów</w:t>
      </w:r>
      <w:r w:rsidR="00093D74">
        <w:t>, w</w:t>
      </w:r>
      <w:r w:rsidR="00AA0D6B">
        <w:t> </w:t>
      </w:r>
      <w:r w:rsidR="00093D74">
        <w:t>szczególności ze względu na potencjał spadku energochłonności i redukcji kosztów działalności.</w:t>
      </w:r>
      <w:r w:rsidR="008E420F">
        <w:t xml:space="preserve"> </w:t>
      </w:r>
    </w:p>
    <w:p w14:paraId="196C3B9E" w14:textId="77153989" w:rsidR="00BB2C1E" w:rsidRPr="00076810" w:rsidRDefault="0015217F" w:rsidP="00093D74">
      <w:r>
        <w:rPr>
          <w:noProof/>
        </w:rPr>
        <w:lastRenderedPageBreak/>
        <mc:AlternateContent>
          <mc:Choice Requires="wps">
            <w:drawing>
              <wp:anchor distT="0" distB="0" distL="114300" distR="114300" simplePos="0" relativeHeight="251676160" behindDoc="1" locked="0" layoutInCell="1" allowOverlap="1" wp14:anchorId="044D28BF" wp14:editId="30346F8F">
                <wp:simplePos x="0" y="0"/>
                <wp:positionH relativeFrom="column">
                  <wp:posOffset>2807970</wp:posOffset>
                </wp:positionH>
                <wp:positionV relativeFrom="paragraph">
                  <wp:posOffset>2051685</wp:posOffset>
                </wp:positionV>
                <wp:extent cx="2941320" cy="635"/>
                <wp:effectExtent l="0" t="0" r="0" b="0"/>
                <wp:wrapTight wrapText="bothSides">
                  <wp:wrapPolygon edited="0">
                    <wp:start x="0" y="0"/>
                    <wp:lineTo x="0" y="21600"/>
                    <wp:lineTo x="21600" y="21600"/>
                    <wp:lineTo x="21600" y="0"/>
                  </wp:wrapPolygon>
                </wp:wrapTight>
                <wp:docPr id="1488934593" name="Pole tekstowe 1"/>
                <wp:cNvGraphicFramePr/>
                <a:graphic xmlns:a="http://schemas.openxmlformats.org/drawingml/2006/main">
                  <a:graphicData uri="http://schemas.microsoft.com/office/word/2010/wordprocessingShape">
                    <wps:wsp>
                      <wps:cNvSpPr txBox="1"/>
                      <wps:spPr>
                        <a:xfrm>
                          <a:off x="0" y="0"/>
                          <a:ext cx="2941320" cy="635"/>
                        </a:xfrm>
                        <a:prstGeom prst="rect">
                          <a:avLst/>
                        </a:prstGeom>
                        <a:solidFill>
                          <a:prstClr val="white"/>
                        </a:solidFill>
                        <a:ln>
                          <a:noFill/>
                        </a:ln>
                      </wps:spPr>
                      <wps:txbx>
                        <w:txbxContent>
                          <w:p w14:paraId="1149C83D" w14:textId="2D1C8C05" w:rsidR="0015217F" w:rsidRPr="0015217F" w:rsidRDefault="0015217F" w:rsidP="0015217F">
                            <w:pPr>
                              <w:pStyle w:val="Legenda"/>
                              <w:rPr>
                                <w:noProof/>
                                <w:sz w:val="22"/>
                                <w:szCs w:val="24"/>
                              </w:rPr>
                            </w:pPr>
                            <w:bookmarkStart w:id="111" w:name="_Toc205204448"/>
                            <w:r w:rsidRPr="0015217F">
                              <w:rPr>
                                <w:szCs w:val="20"/>
                              </w:rPr>
                              <w:t xml:space="preserve">Wykres </w:t>
                            </w:r>
                            <w:r w:rsidRPr="0015217F">
                              <w:rPr>
                                <w:szCs w:val="20"/>
                              </w:rPr>
                              <w:fldChar w:fldCharType="begin"/>
                            </w:r>
                            <w:r w:rsidRPr="0015217F">
                              <w:rPr>
                                <w:szCs w:val="20"/>
                              </w:rPr>
                              <w:instrText xml:space="preserve"> SEQ Wykres \* ARABIC </w:instrText>
                            </w:r>
                            <w:r w:rsidRPr="0015217F">
                              <w:rPr>
                                <w:szCs w:val="20"/>
                              </w:rPr>
                              <w:fldChar w:fldCharType="separate"/>
                            </w:r>
                            <w:r w:rsidR="00871DD5">
                              <w:rPr>
                                <w:noProof/>
                                <w:szCs w:val="20"/>
                              </w:rPr>
                              <w:t>10</w:t>
                            </w:r>
                            <w:r w:rsidRPr="0015217F">
                              <w:rPr>
                                <w:szCs w:val="20"/>
                              </w:rPr>
                              <w:fldChar w:fldCharType="end"/>
                            </w:r>
                            <w:r w:rsidRPr="0015217F">
                              <w:rPr>
                                <w:szCs w:val="20"/>
                              </w:rPr>
                              <w:t>. Emisje GHG z procesów przemysłowych.</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4D28BF" id="_x0000_s1093" type="#_x0000_t202" style="position:absolute;left:0;text-align:left;margin-left:221.1pt;margin-top:161.55pt;width:231.6pt;height:.0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" stroked="f">
                <v:textbox style="mso-fit-shape-to-text:t" inset="0,0,0,0">
                  <w:txbxContent>
                    <w:p w14:paraId="1149C83D" w14:textId="2D1C8C05" w:rsidR="0015217F" w:rsidRPr="0015217F" w:rsidRDefault="0015217F" w:rsidP="0015217F">
                      <w:pPr>
                        <w:pStyle w:val="Legenda"/>
                        <w:rPr>
                          <w:noProof/>
                          <w:sz w:val="22"/>
                          <w:szCs w:val="24"/>
                        </w:rPr>
                      </w:pPr>
                      <w:bookmarkStart w:id="120" w:name="_Toc205204448"/>
                      <w:r w:rsidRPr="0015217F">
                        <w:rPr>
                          <w:szCs w:val="20"/>
                        </w:rPr>
                        <w:t xml:space="preserve">Wykres </w:t>
                      </w:r>
                      <w:r w:rsidRPr="0015217F">
                        <w:rPr>
                          <w:szCs w:val="20"/>
                        </w:rPr>
                        <w:fldChar w:fldCharType="begin"/>
                      </w:r>
                      <w:r w:rsidRPr="0015217F">
                        <w:rPr>
                          <w:szCs w:val="20"/>
                        </w:rPr>
                        <w:instrText xml:space="preserve"> SEQ Wykres \* ARABIC </w:instrText>
                      </w:r>
                      <w:r w:rsidRPr="0015217F">
                        <w:rPr>
                          <w:szCs w:val="20"/>
                        </w:rPr>
                        <w:fldChar w:fldCharType="separate"/>
                      </w:r>
                      <w:r w:rsidR="00871DD5">
                        <w:rPr>
                          <w:noProof/>
                          <w:szCs w:val="20"/>
                        </w:rPr>
                        <w:t>10</w:t>
                      </w:r>
                      <w:r w:rsidRPr="0015217F">
                        <w:rPr>
                          <w:szCs w:val="20"/>
                        </w:rPr>
                        <w:fldChar w:fldCharType="end"/>
                      </w:r>
                      <w:r w:rsidRPr="0015217F">
                        <w:rPr>
                          <w:szCs w:val="20"/>
                        </w:rPr>
                        <w:t>. Emisje GHG z procesów przemysłowych.</w:t>
                      </w:r>
                      <w:bookmarkEnd w:id="120"/>
                    </w:p>
                  </w:txbxContent>
                </v:textbox>
                <w10:wrap type="tight"/>
              </v:shape>
            </w:pict>
          </mc:Fallback>
        </mc:AlternateContent>
      </w:r>
      <w:r w:rsidR="000330C9">
        <w:rPr>
          <w:noProof/>
          <w:lang w:eastAsia="pl-PL"/>
        </w:rPr>
        <w:drawing>
          <wp:anchor distT="0" distB="0" distL="114300" distR="114300" simplePos="0" relativeHeight="251855360" behindDoc="0" locked="0" layoutInCell="1" allowOverlap="1" wp14:anchorId="4798C1E1" wp14:editId="4425A0C4">
            <wp:simplePos x="0" y="0"/>
            <wp:positionH relativeFrom="margin">
              <wp:align>right</wp:align>
            </wp:positionH>
            <wp:positionV relativeFrom="paragraph">
              <wp:posOffset>43815</wp:posOffset>
            </wp:positionV>
            <wp:extent cx="2941320" cy="1950720"/>
            <wp:effectExtent l="0" t="0" r="11430" b="11430"/>
            <wp:wrapTight wrapText="bothSides">
              <wp:wrapPolygon edited="0">
                <wp:start x="0" y="0"/>
                <wp:lineTo x="0" y="21516"/>
                <wp:lineTo x="21544" y="21516"/>
                <wp:lineTo x="21544" y="0"/>
                <wp:lineTo x="0" y="0"/>
              </wp:wrapPolygon>
            </wp:wrapTight>
            <wp:docPr id="1692562317" name="Wykres 1">
              <a:extLst xmlns:a="http://schemas.openxmlformats.org/drawingml/2006/main">
                <a:ext uri="{FF2B5EF4-FFF2-40B4-BE49-F238E27FC236}">
                  <a16:creationId xmlns:a16="http://schemas.microsoft.com/office/drawing/2014/main" id="{8840B034-4001-2387-155B-F55BD424A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E650DE">
        <w:t xml:space="preserve">Trzeba również zauważyć, że </w:t>
      </w:r>
      <w:r w:rsidR="00076810">
        <w:t xml:space="preserve">rosnący sektor technologii informacyjno-komunikacyjnych (ICT, ang. </w:t>
      </w:r>
      <w:r w:rsidR="00076810" w:rsidRPr="00076810">
        <w:rPr>
          <w:i/>
          <w:iCs/>
        </w:rPr>
        <w:t>information and communication technologies</w:t>
      </w:r>
      <w:r w:rsidR="00076810">
        <w:t xml:space="preserve">) staje się nową gałęzią gospodarki o charakterze </w:t>
      </w:r>
      <w:r w:rsidR="00DD00E1">
        <w:t>przemysłu energochłonnego. Stanowi to dodatkowe obciążenie dla systemu elektroenergetycznego, ale cechuje się również wysokim poziomem innowacyjności, co może oddziaływać na</w:t>
      </w:r>
      <w:r w:rsidR="00B910BB">
        <w:t xml:space="preserve"> kreowanie nowych rozwiązań w obszarze produkcji i optymalizacji zużycia energii, wartych </w:t>
      </w:r>
      <w:r w:rsidR="00A8039D">
        <w:t>powielenia</w:t>
      </w:r>
      <w:r w:rsidR="00B910BB">
        <w:t xml:space="preserve"> w innych częściach gospodarki.</w:t>
      </w:r>
      <w:r w:rsidR="00BB2C1E">
        <w:t xml:space="preserve"> Szacuje się, że w 2020 r. sektor ICT </w:t>
      </w:r>
      <w:r w:rsidR="00BA55EF">
        <w:t>odpowiadał</w:t>
      </w:r>
      <w:r w:rsidR="00BB2C1E">
        <w:t xml:space="preserve"> za zużycie ok. 3,6 TWh, prognoza wskazuje, że w 2030 r. </w:t>
      </w:r>
      <w:r w:rsidR="00BA55EF">
        <w:t>przekroczy ono</w:t>
      </w:r>
      <w:r w:rsidR="00BB2C1E">
        <w:t xml:space="preserve"> 6 TWh.</w:t>
      </w:r>
    </w:p>
    <w:p w14:paraId="160BC78A" w14:textId="47FF63B5" w:rsidR="00A8039D" w:rsidRDefault="00093D74" w:rsidP="0031259F">
      <w:pPr>
        <w:pStyle w:val="Cele"/>
        <w:rPr>
          <w:b/>
          <w:bCs/>
        </w:rPr>
      </w:pPr>
      <w:r w:rsidRPr="00A03664">
        <w:rPr>
          <w:b/>
          <w:bCs/>
        </w:rPr>
        <w:t xml:space="preserve">Prognozy wskazują, że </w:t>
      </w:r>
      <w:r w:rsidR="00F52AFC">
        <w:rPr>
          <w:b/>
          <w:bCs/>
        </w:rPr>
        <w:t>emisje procesowe w </w:t>
      </w:r>
      <w:r w:rsidR="00F32DA5">
        <w:rPr>
          <w:b/>
          <w:bCs/>
        </w:rPr>
        <w:t>sektor</w:t>
      </w:r>
      <w:r w:rsidR="00F52AFC">
        <w:rPr>
          <w:b/>
          <w:bCs/>
        </w:rPr>
        <w:t>ze</w:t>
      </w:r>
      <w:r w:rsidR="00F32DA5">
        <w:rPr>
          <w:b/>
          <w:bCs/>
        </w:rPr>
        <w:t xml:space="preserve"> przemysłu</w:t>
      </w:r>
      <w:r w:rsidR="002D26C3">
        <w:rPr>
          <w:rStyle w:val="Odwoanieprzypisudolnego"/>
          <w:b/>
          <w:bCs/>
        </w:rPr>
        <w:footnoteReference w:id="45"/>
      </w:r>
      <w:r w:rsidR="00F32DA5">
        <w:rPr>
          <w:b/>
          <w:bCs/>
        </w:rPr>
        <w:t xml:space="preserve"> w</w:t>
      </w:r>
      <w:r w:rsidR="008D41B7">
        <w:rPr>
          <w:b/>
          <w:bCs/>
        </w:rPr>
        <w:t> </w:t>
      </w:r>
      <w:r w:rsidR="00F32DA5">
        <w:rPr>
          <w:b/>
          <w:bCs/>
        </w:rPr>
        <w:t>Polsce mo</w:t>
      </w:r>
      <w:r w:rsidR="159AF71B">
        <w:rPr>
          <w:b/>
          <w:bCs/>
        </w:rPr>
        <w:t>gą</w:t>
      </w:r>
      <w:r w:rsidR="00F32DA5">
        <w:rPr>
          <w:b/>
          <w:bCs/>
        </w:rPr>
        <w:t xml:space="preserve"> </w:t>
      </w:r>
      <w:r w:rsidR="00A8039D">
        <w:rPr>
          <w:b/>
          <w:bCs/>
        </w:rPr>
        <w:t xml:space="preserve">generować </w:t>
      </w:r>
      <w:r w:rsidR="00F32DA5">
        <w:rPr>
          <w:b/>
          <w:bCs/>
        </w:rPr>
        <w:t>ok.</w:t>
      </w:r>
      <w:r w:rsidR="006E709D">
        <w:rPr>
          <w:b/>
          <w:bCs/>
        </w:rPr>
        <w:t> </w:t>
      </w:r>
      <w:r w:rsidR="000A436E">
        <w:rPr>
          <w:b/>
          <w:bCs/>
        </w:rPr>
        <w:t>17,3</w:t>
      </w:r>
      <w:r w:rsidR="006E709D">
        <w:rPr>
          <w:b/>
          <w:bCs/>
        </w:rPr>
        <w:t> </w:t>
      </w:r>
      <w:r w:rsidR="00162C82">
        <w:rPr>
          <w:b/>
          <w:bCs/>
        </w:rPr>
        <w:t>mln</w:t>
      </w:r>
      <w:r w:rsidR="006E709D">
        <w:rPr>
          <w:b/>
          <w:bCs/>
        </w:rPr>
        <w:t> </w:t>
      </w:r>
      <w:r w:rsidR="00162C82">
        <w:rPr>
          <w:b/>
          <w:bCs/>
        </w:rPr>
        <w:t>t</w:t>
      </w:r>
      <w:r w:rsidR="006E709D">
        <w:rPr>
          <w:b/>
          <w:bCs/>
        </w:rPr>
        <w:t> </w:t>
      </w:r>
      <w:r w:rsidR="00F32DA5">
        <w:rPr>
          <w:b/>
          <w:bCs/>
        </w:rPr>
        <w:t>ekw.</w:t>
      </w:r>
      <w:r w:rsidR="006E709D">
        <w:rPr>
          <w:b/>
          <w:bCs/>
        </w:rPr>
        <w:t> </w:t>
      </w:r>
      <w:r w:rsidR="00F32DA5">
        <w:rPr>
          <w:b/>
          <w:bCs/>
        </w:rPr>
        <w:t>CO</w:t>
      </w:r>
      <w:r w:rsidR="00F32DA5" w:rsidRPr="00F32DA5">
        <w:rPr>
          <w:b/>
          <w:bCs/>
          <w:vertAlign w:val="subscript"/>
        </w:rPr>
        <w:t>2</w:t>
      </w:r>
      <w:r w:rsidR="00F32DA5">
        <w:rPr>
          <w:b/>
          <w:bCs/>
        </w:rPr>
        <w:t xml:space="preserve"> w 2030 r.</w:t>
      </w:r>
      <w:r w:rsidR="00162C82">
        <w:rPr>
          <w:b/>
          <w:bCs/>
        </w:rPr>
        <w:t xml:space="preserve"> </w:t>
      </w:r>
      <w:r w:rsidR="006E709D">
        <w:t>i</w:t>
      </w:r>
      <w:r w:rsidR="008D41B7">
        <w:t> </w:t>
      </w:r>
      <w:r w:rsidR="006E709D">
        <w:t>ok.</w:t>
      </w:r>
      <w:r w:rsidR="008D41B7">
        <w:t> </w:t>
      </w:r>
      <w:r w:rsidR="000A436E">
        <w:t>11,3</w:t>
      </w:r>
      <w:r w:rsidR="008D41B7">
        <w:t> </w:t>
      </w:r>
      <w:r w:rsidR="006E709D">
        <w:t>mln t ekw. CO</w:t>
      </w:r>
      <w:r w:rsidR="006E709D" w:rsidRPr="006E709D">
        <w:rPr>
          <w:vertAlign w:val="subscript"/>
        </w:rPr>
        <w:t>2</w:t>
      </w:r>
      <w:r w:rsidR="006E709D">
        <w:t xml:space="preserve"> w 2040 r. </w:t>
      </w:r>
      <w:r w:rsidR="0031259F">
        <w:br/>
      </w:r>
      <w:r w:rsidR="00A8039D" w:rsidRPr="21422D9F">
        <w:rPr>
          <w:i/>
          <w:iCs/>
        </w:rPr>
        <w:t>[szacunki nie mają charakteru celu]</w:t>
      </w:r>
    </w:p>
    <w:p w14:paraId="550F1732" w14:textId="211A8FD7" w:rsidR="00AC4C6D" w:rsidRDefault="00F32DA5" w:rsidP="000330C9">
      <w:r>
        <w:t xml:space="preserve">Dążeniu do </w:t>
      </w:r>
      <w:r w:rsidR="00476C70">
        <w:t>redukcji</w:t>
      </w:r>
      <w:r w:rsidR="00AC4C6D">
        <w:t xml:space="preserve"> w zakresie e</w:t>
      </w:r>
      <w:r>
        <w:t>misyjności</w:t>
      </w:r>
      <w:r w:rsidR="00AC4C6D">
        <w:t xml:space="preserve"> gazów cieplarnianych w sektorze przemysłu sprzyjać powinny dodatkowe cele dotyczące:</w:t>
      </w:r>
    </w:p>
    <w:p w14:paraId="6A86E4DA" w14:textId="71571024" w:rsidR="00AC4C6D" w:rsidRDefault="00AC4C6D" w:rsidP="000625AC">
      <w:pPr>
        <w:pStyle w:val="Akapitzlist"/>
        <w:numPr>
          <w:ilvl w:val="0"/>
          <w:numId w:val="27"/>
        </w:numPr>
      </w:pPr>
      <w:r>
        <w:t xml:space="preserve">przyrostu </w:t>
      </w:r>
      <w:r w:rsidRPr="00563B07">
        <w:rPr>
          <w:b/>
          <w:bCs/>
        </w:rPr>
        <w:t xml:space="preserve">wykorzystania OZE </w:t>
      </w:r>
      <w:r w:rsidRPr="00563B07">
        <w:t>w przemyśle</w:t>
      </w:r>
      <w:r w:rsidR="00F523F2">
        <w:t>,</w:t>
      </w:r>
    </w:p>
    <w:p w14:paraId="3006B145" w14:textId="488E727F" w:rsidR="00883055" w:rsidRDefault="00AC4C6D" w:rsidP="000625AC">
      <w:pPr>
        <w:pStyle w:val="Akapitzlist"/>
        <w:numPr>
          <w:ilvl w:val="0"/>
          <w:numId w:val="27"/>
        </w:numPr>
      </w:pPr>
      <w:r>
        <w:t>wykorzystania</w:t>
      </w:r>
      <w:r w:rsidR="00974007">
        <w:t xml:space="preserve"> </w:t>
      </w:r>
      <w:r w:rsidR="00974007" w:rsidRPr="00CD4286">
        <w:t xml:space="preserve"> </w:t>
      </w:r>
      <w:r w:rsidRPr="4C380D97">
        <w:rPr>
          <w:b/>
          <w:bCs/>
        </w:rPr>
        <w:t>wodoru</w:t>
      </w:r>
      <w:r w:rsidR="62FF02F9" w:rsidRPr="4C380D97">
        <w:rPr>
          <w:b/>
          <w:bCs/>
        </w:rPr>
        <w:t xml:space="preserve"> </w:t>
      </w:r>
      <w:r w:rsidR="4D9455D7" w:rsidRPr="4C380D97">
        <w:rPr>
          <w:b/>
          <w:bCs/>
        </w:rPr>
        <w:t xml:space="preserve">odnawialnego </w:t>
      </w:r>
      <w:r w:rsidR="62FF02F9" w:rsidRPr="4C380D97">
        <w:rPr>
          <w:b/>
          <w:bCs/>
        </w:rPr>
        <w:t>pochodzenia niebiologicznego</w:t>
      </w:r>
      <w:r w:rsidR="3A5F9E7D">
        <w:t xml:space="preserve"> </w:t>
      </w:r>
      <w:r>
        <w:t>w przemyśle</w:t>
      </w:r>
      <w:r w:rsidR="00883055">
        <w:t>,</w:t>
      </w:r>
    </w:p>
    <w:p w14:paraId="31E2B806" w14:textId="11F49674" w:rsidR="00AC4C6D" w:rsidRPr="00AA7191" w:rsidRDefault="00563B07" w:rsidP="000625AC">
      <w:pPr>
        <w:pStyle w:val="Akapitzlist"/>
        <w:numPr>
          <w:ilvl w:val="0"/>
          <w:numId w:val="27"/>
        </w:numPr>
      </w:pPr>
      <w:r>
        <w:t xml:space="preserve">zapewniania warunków rozwoju technologii </w:t>
      </w:r>
      <w:r w:rsidRPr="00E05AA0">
        <w:rPr>
          <w:b/>
          <w:bCs/>
          <w:szCs w:val="20"/>
        </w:rPr>
        <w:t>wychwytu</w:t>
      </w:r>
      <w:r w:rsidR="00F52AFC">
        <w:rPr>
          <w:b/>
          <w:bCs/>
          <w:szCs w:val="20"/>
        </w:rPr>
        <w:t xml:space="preserve"> i</w:t>
      </w:r>
      <w:r w:rsidR="00F52AFC" w:rsidRPr="00E05AA0">
        <w:rPr>
          <w:b/>
          <w:bCs/>
          <w:szCs w:val="20"/>
        </w:rPr>
        <w:t xml:space="preserve"> składowania CO</w:t>
      </w:r>
      <w:r w:rsidR="00F52AFC" w:rsidRPr="00E05AA0">
        <w:rPr>
          <w:b/>
          <w:bCs/>
          <w:szCs w:val="20"/>
          <w:vertAlign w:val="subscript"/>
        </w:rPr>
        <w:t>2</w:t>
      </w:r>
      <w:r w:rsidR="00F52AFC">
        <w:rPr>
          <w:szCs w:val="20"/>
        </w:rPr>
        <w:t xml:space="preserve"> (ang. </w:t>
      </w:r>
      <w:r w:rsidR="00F52AFC">
        <w:rPr>
          <w:i/>
          <w:iCs/>
          <w:szCs w:val="20"/>
        </w:rPr>
        <w:t>c</w:t>
      </w:r>
      <w:r w:rsidR="00F52AFC" w:rsidRPr="005457D4">
        <w:rPr>
          <w:i/>
          <w:iCs/>
          <w:szCs w:val="20"/>
        </w:rPr>
        <w:t xml:space="preserve">arbon </w:t>
      </w:r>
      <w:r w:rsidR="00F52AFC">
        <w:rPr>
          <w:i/>
          <w:iCs/>
          <w:szCs w:val="20"/>
        </w:rPr>
        <w:t>c</w:t>
      </w:r>
      <w:r w:rsidR="00F52AFC" w:rsidRPr="005457D4">
        <w:rPr>
          <w:i/>
          <w:iCs/>
          <w:szCs w:val="20"/>
        </w:rPr>
        <w:t>apture</w:t>
      </w:r>
      <w:r w:rsidR="00F52AFC">
        <w:rPr>
          <w:i/>
          <w:iCs/>
          <w:szCs w:val="20"/>
        </w:rPr>
        <w:t xml:space="preserve"> </w:t>
      </w:r>
      <w:r w:rsidR="00F52AFC" w:rsidRPr="005457D4">
        <w:rPr>
          <w:i/>
          <w:iCs/>
          <w:szCs w:val="20"/>
        </w:rPr>
        <w:t xml:space="preserve">and </w:t>
      </w:r>
      <w:r w:rsidR="00F52AFC">
        <w:rPr>
          <w:i/>
          <w:iCs/>
          <w:szCs w:val="20"/>
        </w:rPr>
        <w:t>s</w:t>
      </w:r>
      <w:r w:rsidR="00F52AFC" w:rsidRPr="005457D4">
        <w:rPr>
          <w:i/>
          <w:iCs/>
          <w:szCs w:val="20"/>
        </w:rPr>
        <w:t>torage</w:t>
      </w:r>
      <w:r w:rsidR="00F52AFC">
        <w:rPr>
          <w:szCs w:val="20"/>
        </w:rPr>
        <w:t xml:space="preserve">, CCS) oraz </w:t>
      </w:r>
      <w:r w:rsidR="00F52AFC" w:rsidRPr="00FE7B64">
        <w:rPr>
          <w:b/>
          <w:bCs/>
          <w:szCs w:val="20"/>
        </w:rPr>
        <w:t>wychwytu i wykorzystania CO</w:t>
      </w:r>
      <w:r w:rsidR="00F52AFC" w:rsidRPr="00FE7B64">
        <w:rPr>
          <w:b/>
          <w:bCs/>
          <w:szCs w:val="20"/>
          <w:vertAlign w:val="subscript"/>
        </w:rPr>
        <w:t>2</w:t>
      </w:r>
      <w:r w:rsidR="00F52AFC">
        <w:rPr>
          <w:szCs w:val="20"/>
        </w:rPr>
        <w:t xml:space="preserve"> (ang. </w:t>
      </w:r>
      <w:r w:rsidR="00F52AFC">
        <w:rPr>
          <w:i/>
          <w:iCs/>
          <w:szCs w:val="20"/>
        </w:rPr>
        <w:t>c</w:t>
      </w:r>
      <w:r w:rsidR="00F52AFC" w:rsidRPr="005457D4">
        <w:rPr>
          <w:i/>
          <w:iCs/>
          <w:szCs w:val="20"/>
        </w:rPr>
        <w:t xml:space="preserve">arbon </w:t>
      </w:r>
      <w:r w:rsidR="00F52AFC">
        <w:rPr>
          <w:i/>
          <w:iCs/>
          <w:szCs w:val="20"/>
        </w:rPr>
        <w:t>c</w:t>
      </w:r>
      <w:r w:rsidR="00F52AFC" w:rsidRPr="005457D4">
        <w:rPr>
          <w:i/>
          <w:iCs/>
          <w:szCs w:val="20"/>
        </w:rPr>
        <w:t>apture</w:t>
      </w:r>
      <w:r w:rsidR="00F52AFC">
        <w:rPr>
          <w:i/>
          <w:iCs/>
          <w:szCs w:val="20"/>
        </w:rPr>
        <w:t xml:space="preserve"> </w:t>
      </w:r>
      <w:r w:rsidR="00F52AFC" w:rsidRPr="005457D4">
        <w:rPr>
          <w:i/>
          <w:iCs/>
          <w:szCs w:val="20"/>
        </w:rPr>
        <w:t xml:space="preserve">and </w:t>
      </w:r>
      <w:r w:rsidR="00F52AFC">
        <w:rPr>
          <w:i/>
          <w:iCs/>
          <w:szCs w:val="20"/>
        </w:rPr>
        <w:t>utilisation</w:t>
      </w:r>
      <w:r w:rsidR="00F52AFC">
        <w:rPr>
          <w:szCs w:val="20"/>
        </w:rPr>
        <w:t>, CCU)</w:t>
      </w:r>
      <w:r w:rsidR="00AA7191">
        <w:t>.</w:t>
      </w:r>
    </w:p>
    <w:p w14:paraId="68C69A7D" w14:textId="5D1F0FE7" w:rsidR="00F523F2" w:rsidRPr="00BD1024" w:rsidRDefault="00B851B2" w:rsidP="21422D9F">
      <w:r>
        <w:t>Kluczowym c</w:t>
      </w:r>
      <w:r w:rsidR="00256586">
        <w:t xml:space="preserve">zynnikiem </w:t>
      </w:r>
      <w:r w:rsidR="00923D47">
        <w:t xml:space="preserve">dekarbonizacji przemysłu </w:t>
      </w:r>
      <w:r w:rsidR="00374D0F">
        <w:t>mo</w:t>
      </w:r>
      <w:r w:rsidR="6D8EED8F">
        <w:t>gą</w:t>
      </w:r>
      <w:r w:rsidR="00374D0F">
        <w:t xml:space="preserve"> </w:t>
      </w:r>
      <w:r w:rsidR="00256586">
        <w:t>być</w:t>
      </w:r>
      <w:r w:rsidR="00923D47">
        <w:t xml:space="preserve"> </w:t>
      </w:r>
      <w:r w:rsidR="62FDF2AA">
        <w:t>prace</w:t>
      </w:r>
      <w:r w:rsidR="00F523F2" w:rsidRPr="00F523F2">
        <w:rPr>
          <w:b/>
          <w:bCs/>
        </w:rPr>
        <w:t xml:space="preserve"> ba</w:t>
      </w:r>
      <w:r w:rsidR="09932C22" w:rsidRPr="00F523F2">
        <w:rPr>
          <w:b/>
          <w:bCs/>
        </w:rPr>
        <w:t>dawczo-rozw</w:t>
      </w:r>
      <w:r w:rsidR="002A31E1">
        <w:rPr>
          <w:b/>
          <w:bCs/>
        </w:rPr>
        <w:t>o</w:t>
      </w:r>
      <w:r w:rsidR="09932C22" w:rsidRPr="00F523F2">
        <w:rPr>
          <w:b/>
          <w:bCs/>
        </w:rPr>
        <w:t>jowe</w:t>
      </w:r>
      <w:r w:rsidR="00F523F2" w:rsidRPr="00F523F2">
        <w:rPr>
          <w:b/>
          <w:bCs/>
        </w:rPr>
        <w:t xml:space="preserve"> </w:t>
      </w:r>
      <w:r w:rsidR="00476C70" w:rsidRPr="00F523F2">
        <w:rPr>
          <w:b/>
          <w:bCs/>
        </w:rPr>
        <w:t>(B+R)</w:t>
      </w:r>
      <w:r w:rsidR="00476C70" w:rsidRPr="00476C70">
        <w:t xml:space="preserve"> </w:t>
      </w:r>
      <w:r w:rsidR="00476C70" w:rsidRPr="00F523F2">
        <w:rPr>
          <w:b/>
          <w:bCs/>
        </w:rPr>
        <w:t>w</w:t>
      </w:r>
      <w:r w:rsidR="00256586">
        <w:rPr>
          <w:b/>
          <w:bCs/>
        </w:rPr>
        <w:t> </w:t>
      </w:r>
      <w:r w:rsidR="00476C70" w:rsidRPr="00F523F2">
        <w:rPr>
          <w:b/>
          <w:bCs/>
        </w:rPr>
        <w:t>obszarze procesów przemysłowych i produkcji energii</w:t>
      </w:r>
      <w:r w:rsidR="00F523F2">
        <w:rPr>
          <w:szCs w:val="20"/>
        </w:rPr>
        <w:t>.</w:t>
      </w:r>
      <w:r w:rsidR="00256586" w:rsidRPr="21422D9F">
        <w:t xml:space="preserve"> Istotną rolę motywującą do działań będzie mieć także </w:t>
      </w:r>
      <w:r w:rsidR="00256586">
        <w:t xml:space="preserve">popularyzacja </w:t>
      </w:r>
      <w:r w:rsidR="00256586" w:rsidRPr="00923D47">
        <w:rPr>
          <w:b/>
          <w:bCs/>
        </w:rPr>
        <w:t xml:space="preserve">standardów zrównoważonego rozwoju i ich raportowania </w:t>
      </w:r>
      <w:r w:rsidR="00256586" w:rsidRPr="00923D47">
        <w:t>(ESG</w:t>
      </w:r>
      <w:r w:rsidR="00256586">
        <w:t xml:space="preserve">, ang. </w:t>
      </w:r>
      <w:r w:rsidR="00256586" w:rsidRPr="21422D9F">
        <w:rPr>
          <w:i/>
          <w:iCs/>
        </w:rPr>
        <w:t>environment, society, corporate governance</w:t>
      </w:r>
      <w:r w:rsidR="00256586">
        <w:t>)</w:t>
      </w:r>
      <w:r w:rsidR="00BD1024">
        <w:rPr>
          <w:rStyle w:val="Odwoanieprzypisudolnego"/>
        </w:rPr>
        <w:footnoteReference w:id="46"/>
      </w:r>
      <w:r w:rsidR="00256586">
        <w:t xml:space="preserve"> znacznie ułatwia dostęp do zunifikowanych informacji, które można porównywać</w:t>
      </w:r>
      <w:r w:rsidR="00287DE6">
        <w:t xml:space="preserve"> i na ich podstawie podejmować decyzje biznesowe.</w:t>
      </w:r>
    </w:p>
    <w:tbl>
      <w:tblPr>
        <w:tblStyle w:val="Tabela-Siatka"/>
        <w:tblpPr w:leftFromText="141" w:rightFromText="141" w:vertAnchor="text" w:horzAnchor="margin" w:tblpXSpec="right" w:tblpY="3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tblGrid>
      <w:tr w:rsidR="001B1984" w14:paraId="576A4092" w14:textId="77777777" w:rsidTr="000D2EC4">
        <w:trPr>
          <w:trHeight w:val="340"/>
        </w:trPr>
        <w:tc>
          <w:tcPr>
            <w:tcW w:w="0" w:type="auto"/>
            <w:vAlign w:val="center"/>
          </w:tcPr>
          <w:p w14:paraId="5ECF728C" w14:textId="4993144F" w:rsidR="001B1984" w:rsidRPr="001B1984" w:rsidRDefault="001B1984" w:rsidP="000D2EC4">
            <w:pPr>
              <w:jc w:val="center"/>
              <w:rPr>
                <w:rFonts w:ascii="Bahnschrift" w:hAnsi="Bahnschrift"/>
                <w:color w:val="70AD47" w:themeColor="accent6"/>
                <w:sz w:val="48"/>
                <w:szCs w:val="48"/>
              </w:rPr>
            </w:pPr>
            <w:r>
              <w:rPr>
                <w:rFonts w:ascii="Bahnschrift" w:hAnsi="Bahnschrift"/>
                <w:color w:val="70AD47" w:themeColor="accent6"/>
                <w:sz w:val="48"/>
                <w:szCs w:val="48"/>
              </w:rPr>
              <w:t>OZE</w:t>
            </w:r>
          </w:p>
        </w:tc>
      </w:tr>
      <w:tr w:rsidR="001B1984" w14:paraId="73F745AE" w14:textId="77777777" w:rsidTr="000D2EC4">
        <w:trPr>
          <w:trHeight w:val="340"/>
        </w:trPr>
        <w:tc>
          <w:tcPr>
            <w:tcW w:w="0" w:type="auto"/>
            <w:vAlign w:val="center"/>
          </w:tcPr>
          <w:p w14:paraId="223C0778" w14:textId="77777777" w:rsidR="001B1984" w:rsidRPr="001B1984" w:rsidRDefault="001B1984" w:rsidP="000D2EC4">
            <w:pPr>
              <w:jc w:val="center"/>
              <w:rPr>
                <w:rFonts w:ascii="Bahnschrift" w:hAnsi="Bahnschrift"/>
                <w:color w:val="70AD47" w:themeColor="accent6"/>
                <w:sz w:val="26"/>
                <w:szCs w:val="26"/>
              </w:rPr>
            </w:pPr>
            <w:r w:rsidRPr="001B1984">
              <w:rPr>
                <w:rFonts w:ascii="Bahnschrift" w:hAnsi="Bahnschrift"/>
                <w:color w:val="70AD47" w:themeColor="accent6"/>
                <w:sz w:val="26"/>
                <w:szCs w:val="26"/>
              </w:rPr>
              <w:t>w przemyśle</w:t>
            </w:r>
          </w:p>
        </w:tc>
      </w:tr>
    </w:tbl>
    <w:p w14:paraId="40B2FD0E" w14:textId="77777777" w:rsidR="000D2EC4" w:rsidRDefault="000D2EC4" w:rsidP="00CA6554">
      <w:pPr>
        <w:pStyle w:val="Bezodstpw"/>
      </w:pPr>
    </w:p>
    <w:p w14:paraId="7B16DBF2" w14:textId="165137C6" w:rsidR="008A327D" w:rsidRDefault="00093D74" w:rsidP="00291F7D">
      <w:pPr>
        <w:rPr>
          <w:vertAlign w:val="superscript"/>
        </w:rPr>
      </w:pPr>
      <w:r>
        <w:t>Zgodnie z dyrektywą RED III p</w:t>
      </w:r>
      <w:r w:rsidRPr="00BD1C89">
        <w:t xml:space="preserve">aństwa członkowskie </w:t>
      </w:r>
      <w:r>
        <w:t xml:space="preserve">zostały zobligowane do </w:t>
      </w:r>
      <w:r w:rsidRPr="00BD1C89">
        <w:t>dąż</w:t>
      </w:r>
      <w:r>
        <w:t>enia</w:t>
      </w:r>
      <w:r w:rsidRPr="00BD1C89">
        <w:t xml:space="preserve"> </w:t>
      </w:r>
      <w:r w:rsidR="00AA0D6B">
        <w:t>na rzecz</w:t>
      </w:r>
      <w:r w:rsidRPr="00BD1C89">
        <w:t xml:space="preserve"> </w:t>
      </w:r>
      <w:r w:rsidRPr="008E75AC">
        <w:rPr>
          <w:b/>
          <w:bCs/>
        </w:rPr>
        <w:t>zwiększenia udziału źródeł odnawialnych</w:t>
      </w:r>
      <w:r w:rsidRPr="00BD1C89">
        <w:t xml:space="preserve"> </w:t>
      </w:r>
      <w:r w:rsidR="00AA0D6B">
        <w:t>w zużyciu energii</w:t>
      </w:r>
      <w:r w:rsidRPr="00BD1C89">
        <w:t xml:space="preserve"> </w:t>
      </w:r>
      <w:r w:rsidRPr="009A0EE5">
        <w:rPr>
          <w:b/>
          <w:bCs/>
        </w:rPr>
        <w:t xml:space="preserve">w sektorze przemysłu o orientacyjny wzrost o co najmniej 1,6 pkt proc. średniorocznie </w:t>
      </w:r>
      <w:r w:rsidR="00265497">
        <w:rPr>
          <w:b/>
          <w:bCs/>
        </w:rPr>
        <w:t>w </w:t>
      </w:r>
      <w:r w:rsidRPr="009A0EE5">
        <w:rPr>
          <w:b/>
          <w:bCs/>
        </w:rPr>
        <w:t>latach 2021–2025 oraz 2026–2030</w:t>
      </w:r>
      <w:r w:rsidRPr="00BD1C89">
        <w:t>.</w:t>
      </w:r>
      <w:r>
        <w:rPr>
          <w:rStyle w:val="Odwoanieprzypisudolnego"/>
        </w:rPr>
        <w:footnoteReference w:id="47"/>
      </w:r>
      <w:r w:rsidR="00030513">
        <w:rPr>
          <w:rStyle w:val="Odwoaniedokomentarza"/>
        </w:rPr>
        <w:t xml:space="preserve"> </w:t>
      </w:r>
    </w:p>
    <w:p w14:paraId="19818C72" w14:textId="2931D00E" w:rsidR="00291F7D" w:rsidRPr="008A327D" w:rsidRDefault="008A327D" w:rsidP="00291F7D">
      <w:r>
        <w:t>Dotychczas kluczow</w:t>
      </w:r>
      <w:r w:rsidR="00030513">
        <w:t xml:space="preserve">ą rolę w zakresie udziału OZE w przemyśle odgrywała biomasa, lecz </w:t>
      </w:r>
      <w:r w:rsidR="00682C83">
        <w:t>przewiduje</w:t>
      </w:r>
      <w:r w:rsidR="00030513">
        <w:t xml:space="preserve"> się, że coraz większe znaczenie będzie mieć </w:t>
      </w:r>
      <w:r w:rsidR="00526C96">
        <w:t>biometan</w:t>
      </w:r>
      <w:r w:rsidR="00141DEF">
        <w:t xml:space="preserve">, </w:t>
      </w:r>
      <w:r w:rsidR="00526C96">
        <w:t xml:space="preserve">energetyka </w:t>
      </w:r>
      <w:r w:rsidR="0015217F">
        <w:t>wiatrowa i</w:t>
      </w:r>
      <w:r w:rsidR="00526C96">
        <w:t xml:space="preserve"> słoneczna.  </w:t>
      </w:r>
    </w:p>
    <w:p w14:paraId="05176590" w14:textId="368EEA48" w:rsidR="00EA143C" w:rsidRPr="000D2EC4" w:rsidRDefault="00EA143C" w:rsidP="000D2EC4">
      <w:pPr>
        <w:pStyle w:val="Cele"/>
        <w:rPr>
          <w:b/>
          <w:bCs/>
        </w:rPr>
      </w:pPr>
      <w:r w:rsidRPr="00A03664">
        <w:rPr>
          <w:b/>
          <w:bCs/>
        </w:rPr>
        <w:lastRenderedPageBreak/>
        <w:t xml:space="preserve">Prognozy wskazują, że w 2030 r. Polska może </w:t>
      </w:r>
      <w:r>
        <w:rPr>
          <w:b/>
          <w:bCs/>
        </w:rPr>
        <w:t xml:space="preserve">osiągnąć ok. </w:t>
      </w:r>
      <w:r w:rsidR="00DC2B31">
        <w:rPr>
          <w:b/>
          <w:bCs/>
        </w:rPr>
        <w:t>23,7</w:t>
      </w:r>
      <w:r>
        <w:rPr>
          <w:b/>
          <w:bCs/>
        </w:rPr>
        <w:t xml:space="preserve">% </w:t>
      </w:r>
      <w:r w:rsidR="00AA0248">
        <w:rPr>
          <w:b/>
          <w:bCs/>
        </w:rPr>
        <w:t xml:space="preserve">udziału </w:t>
      </w:r>
      <w:r>
        <w:rPr>
          <w:b/>
          <w:bCs/>
        </w:rPr>
        <w:t>OZE w</w:t>
      </w:r>
      <w:r w:rsidR="00AA0248">
        <w:rPr>
          <w:b/>
          <w:bCs/>
        </w:rPr>
        <w:t> zużyciu energii w sektorze przemysłu</w:t>
      </w:r>
      <w:r w:rsidR="00265497">
        <w:rPr>
          <w:b/>
          <w:bCs/>
        </w:rPr>
        <w:t xml:space="preserve"> </w:t>
      </w:r>
      <w:r w:rsidR="00265497" w:rsidRPr="005150A3">
        <w:t xml:space="preserve">i ok. </w:t>
      </w:r>
      <w:r w:rsidR="00DC2B31">
        <w:t>42,2</w:t>
      </w:r>
      <w:r w:rsidR="005150A3" w:rsidRPr="005150A3">
        <w:t>% w 2040 r.</w:t>
      </w:r>
      <w:r w:rsidR="00030513">
        <w:rPr>
          <w:rStyle w:val="Odwoanieprzypisudolnego"/>
        </w:rPr>
        <w:footnoteReference w:id="48"/>
      </w:r>
    </w:p>
    <w:tbl>
      <w:tblPr>
        <w:tblStyle w:val="Tabela-Siatka"/>
        <w:tblpPr w:leftFromText="141" w:rightFromText="141" w:vertAnchor="text" w:horzAnchor="margin" w:tblpXSpec="right" w:tblpY="3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tblGrid>
      <w:tr w:rsidR="001B1984" w14:paraId="6DABA808" w14:textId="578CE0BF" w:rsidTr="00DC6163">
        <w:trPr>
          <w:trHeight w:val="340"/>
        </w:trPr>
        <w:tc>
          <w:tcPr>
            <w:tcW w:w="0" w:type="auto"/>
            <w:vAlign w:val="center"/>
          </w:tcPr>
          <w:p w14:paraId="3A997654" w14:textId="77777777" w:rsidR="001B1984" w:rsidRPr="001B1984" w:rsidRDefault="001B1984" w:rsidP="00DC6163">
            <w:pPr>
              <w:jc w:val="center"/>
              <w:rPr>
                <w:rFonts w:ascii="Bahnschrift" w:hAnsi="Bahnschrift"/>
                <w:color w:val="70AD47" w:themeColor="accent6"/>
                <w:sz w:val="48"/>
                <w:szCs w:val="48"/>
              </w:rPr>
            </w:pPr>
            <w:r w:rsidRPr="001B1984">
              <w:rPr>
                <w:rFonts w:ascii="Bahnschrift" w:hAnsi="Bahnschrift"/>
                <w:color w:val="70AD47" w:themeColor="accent6"/>
                <w:sz w:val="48"/>
                <w:szCs w:val="48"/>
              </w:rPr>
              <w:t>wodór</w:t>
            </w:r>
          </w:p>
        </w:tc>
      </w:tr>
      <w:tr w:rsidR="001B1984" w14:paraId="38CB7C3B" w14:textId="5F847192" w:rsidTr="00DC6163">
        <w:trPr>
          <w:trHeight w:val="340"/>
        </w:trPr>
        <w:tc>
          <w:tcPr>
            <w:tcW w:w="0" w:type="auto"/>
            <w:vAlign w:val="center"/>
          </w:tcPr>
          <w:p w14:paraId="12ECE6B9" w14:textId="77777777" w:rsidR="001B1984" w:rsidRPr="001B1984" w:rsidRDefault="001B1984" w:rsidP="00563B07">
            <w:pPr>
              <w:spacing w:after="80"/>
              <w:jc w:val="center"/>
              <w:rPr>
                <w:rFonts w:ascii="Bahnschrift" w:hAnsi="Bahnschrift"/>
                <w:color w:val="70AD47" w:themeColor="accent6"/>
                <w:sz w:val="26"/>
                <w:szCs w:val="26"/>
              </w:rPr>
            </w:pPr>
            <w:r w:rsidRPr="001B1984">
              <w:rPr>
                <w:rFonts w:ascii="Bahnschrift" w:hAnsi="Bahnschrift"/>
                <w:color w:val="70AD47" w:themeColor="accent6"/>
                <w:sz w:val="26"/>
                <w:szCs w:val="26"/>
              </w:rPr>
              <w:t>w przemyśle</w:t>
            </w:r>
          </w:p>
        </w:tc>
      </w:tr>
    </w:tbl>
    <w:p w14:paraId="4DEE95E7" w14:textId="77777777" w:rsidR="00860390" w:rsidRDefault="00860390" w:rsidP="00CA6554">
      <w:pPr>
        <w:pStyle w:val="Bezodstpw"/>
      </w:pPr>
    </w:p>
    <w:p w14:paraId="479E71B5" w14:textId="770782EC" w:rsidR="00DB29E1" w:rsidRDefault="00860390" w:rsidP="00093D74">
      <w:r>
        <w:t xml:space="preserve">Rozwój gospodarki wodorowej </w:t>
      </w:r>
      <w:r w:rsidR="00564807">
        <w:t>to nowy trend globalny, który może zrewolucjonizować różne branże gospodarcze</w:t>
      </w:r>
      <w:r>
        <w:t xml:space="preserve">. </w:t>
      </w:r>
      <w:r w:rsidR="00564807">
        <w:t>Również u</w:t>
      </w:r>
      <w:r w:rsidR="00ED1F94">
        <w:t xml:space="preserve">nijna polityka klimatyczna silnie stawia na wzrost wykorzystania wodoru jako alternatywy dla paliw kopalnych. Jednym z głównych obszarów rozwoju </w:t>
      </w:r>
      <w:r w:rsidR="0049628E">
        <w:t>rynku</w:t>
      </w:r>
      <w:r w:rsidR="00ED1F94">
        <w:t xml:space="preserve"> tego surowca jest </w:t>
      </w:r>
      <w:r w:rsidR="00093D74">
        <w:t xml:space="preserve">wykorzystanie wodoru </w:t>
      </w:r>
      <w:r w:rsidR="3111D8A8">
        <w:t>odnawialnego pochodzenia niebiologicznego</w:t>
      </w:r>
      <w:r w:rsidR="20EB0FBF">
        <w:t xml:space="preserve"> w</w:t>
      </w:r>
      <w:r w:rsidR="0B18014E">
        <w:t xml:space="preserve"> </w:t>
      </w:r>
      <w:r w:rsidR="20EB0FBF">
        <w:t xml:space="preserve">przemyśle. </w:t>
      </w:r>
      <w:r w:rsidR="00093D74">
        <w:t xml:space="preserve">Z tego względu zobowiązano państwa członkowskie, aby </w:t>
      </w:r>
      <w:r w:rsidR="00C65C18" w:rsidRPr="21422D9F">
        <w:rPr>
          <w:b/>
          <w:bCs/>
        </w:rPr>
        <w:t>wodór odnawialny</w:t>
      </w:r>
      <w:r w:rsidR="1A1B6076" w:rsidRPr="1D1393D4">
        <w:rPr>
          <w:b/>
          <w:bCs/>
        </w:rPr>
        <w:t xml:space="preserve"> pochodzenia niebiologicznego</w:t>
      </w:r>
      <w:r w:rsidR="008E75AC" w:rsidRPr="21422D9F">
        <w:rPr>
          <w:b/>
          <w:bCs/>
        </w:rPr>
        <w:t xml:space="preserve"> </w:t>
      </w:r>
      <w:r w:rsidR="00093D74" w:rsidRPr="21422D9F">
        <w:rPr>
          <w:b/>
          <w:bCs/>
        </w:rPr>
        <w:t>stanowił 42% do 2030 r. i</w:t>
      </w:r>
      <w:r w:rsidR="00C65C18" w:rsidRPr="21422D9F">
        <w:rPr>
          <w:b/>
          <w:bCs/>
        </w:rPr>
        <w:t xml:space="preserve"> </w:t>
      </w:r>
      <w:r w:rsidR="00093D74" w:rsidRPr="21422D9F">
        <w:rPr>
          <w:b/>
          <w:bCs/>
        </w:rPr>
        <w:t xml:space="preserve">60% do 2035 r. w strukturze </w:t>
      </w:r>
      <w:r w:rsidR="008E75AC" w:rsidRPr="21422D9F">
        <w:rPr>
          <w:b/>
          <w:bCs/>
        </w:rPr>
        <w:t xml:space="preserve">wodoru </w:t>
      </w:r>
      <w:r w:rsidR="00093D74" w:rsidRPr="21422D9F">
        <w:rPr>
          <w:b/>
          <w:bCs/>
        </w:rPr>
        <w:t>stosowan</w:t>
      </w:r>
      <w:r w:rsidR="008E75AC" w:rsidRPr="21422D9F">
        <w:rPr>
          <w:b/>
          <w:bCs/>
        </w:rPr>
        <w:t>ego</w:t>
      </w:r>
      <w:r w:rsidR="00093D74" w:rsidRPr="21422D9F">
        <w:rPr>
          <w:b/>
          <w:bCs/>
        </w:rPr>
        <w:t xml:space="preserve"> do celów związanych z energią końcową i</w:t>
      </w:r>
      <w:r w:rsidR="00892B71" w:rsidRPr="21422D9F">
        <w:rPr>
          <w:b/>
          <w:bCs/>
        </w:rPr>
        <w:t xml:space="preserve"> </w:t>
      </w:r>
      <w:r w:rsidR="00093D74" w:rsidRPr="21422D9F">
        <w:rPr>
          <w:b/>
          <w:bCs/>
        </w:rPr>
        <w:t>celów innych niż energetyczne</w:t>
      </w:r>
      <w:bookmarkStart w:id="112" w:name="_Hlk159553584"/>
      <w:r w:rsidR="00ED1F94" w:rsidRPr="21422D9F">
        <w:rPr>
          <w:b/>
          <w:bCs/>
        </w:rPr>
        <w:t xml:space="preserve"> </w:t>
      </w:r>
      <w:r w:rsidR="00ED1F94">
        <w:t>(wod</w:t>
      </w:r>
      <w:r w:rsidR="00DB29E1">
        <w:t>ór</w:t>
      </w:r>
      <w:r w:rsidR="00ED1F94">
        <w:t xml:space="preserve"> wykorzystywany do procesów przemysłowych)</w:t>
      </w:r>
      <w:r w:rsidR="00DB29E1">
        <w:t xml:space="preserve">. </w:t>
      </w:r>
      <w:r w:rsidR="00A3757E">
        <w:t xml:space="preserve">To szczególnie ważne w branży produkcji nawozów sztucznych, czy w petrochemii. Przy czym trzeba podkreślić, że aby wykorzystany wodór został zaliczony do powyższego celu, musi zostać wytworzony </w:t>
      </w:r>
      <w:r w:rsidR="21A8395E">
        <w:t>z</w:t>
      </w:r>
      <w:r w:rsidR="00DA0888">
        <w:t> </w:t>
      </w:r>
      <w:r w:rsidR="21A8395E">
        <w:t>energii pochodzącej z</w:t>
      </w:r>
      <w:r w:rsidR="00974007">
        <w:t xml:space="preserve">  </w:t>
      </w:r>
      <w:r w:rsidR="00A3757E">
        <w:t xml:space="preserve">nowej instalacji OZE. Instalacja OZE powinna być sprzężona z elektrolizerem również dla efektywności procesu, </w:t>
      </w:r>
      <w:r w:rsidR="00AA0248">
        <w:t>ale</w:t>
      </w:r>
      <w:r w:rsidR="00A3757E">
        <w:t xml:space="preserve"> ograniczy </w:t>
      </w:r>
      <w:r w:rsidR="00AA0248">
        <w:t xml:space="preserve">to </w:t>
      </w:r>
      <w:r w:rsidR="00A3757E">
        <w:t>potencjał wykorzystania nadwyżek OZE z rynku energii elektrycznej</w:t>
      </w:r>
      <w:r w:rsidR="008F7063">
        <w:t>.</w:t>
      </w:r>
    </w:p>
    <w:p w14:paraId="318433D7" w14:textId="2F2D5F3D" w:rsidR="00893ACA" w:rsidRDefault="002318D0" w:rsidP="00093D74">
      <w:r>
        <w:t>Polska jest jednym z</w:t>
      </w:r>
      <w:r w:rsidR="00F07099">
        <w:t xml:space="preserve"> </w:t>
      </w:r>
      <w:r>
        <w:t xml:space="preserve">największych producentów wodoru w Europie, ale pochodzi on głównie z reformingu parowego </w:t>
      </w:r>
      <w:r w:rsidR="004F2F78">
        <w:t>gazu ziemnego</w:t>
      </w:r>
      <w:r>
        <w:t>.</w:t>
      </w:r>
      <w:r w:rsidR="002C7399">
        <w:t xml:space="preserve"> </w:t>
      </w:r>
      <w:r w:rsidR="00952815" w:rsidRPr="00196891">
        <w:t xml:space="preserve">Osiągnięcie celu zwiększenia udziału wodoru </w:t>
      </w:r>
      <w:r w:rsidR="4360C488">
        <w:t xml:space="preserve">odnawialnego </w:t>
      </w:r>
      <w:r w:rsidR="38C102D9">
        <w:t>pochodzenia niebiologicznego</w:t>
      </w:r>
      <w:r w:rsidR="74516CE7">
        <w:t xml:space="preserve"> </w:t>
      </w:r>
      <w:r w:rsidR="211FFEC0">
        <w:t>do 2030 r.</w:t>
      </w:r>
      <w:r w:rsidR="00952815" w:rsidRPr="00196891">
        <w:t xml:space="preserve"> jest oceniane jako trudne</w:t>
      </w:r>
      <w:r w:rsidR="00952815">
        <w:t>.</w:t>
      </w:r>
      <w:r>
        <w:t xml:space="preserve"> </w:t>
      </w:r>
      <w:r w:rsidR="004B517D">
        <w:t>Zgodnie z</w:t>
      </w:r>
      <w:r>
        <w:t xml:space="preserve"> </w:t>
      </w:r>
      <w:r w:rsidR="004B517D">
        <w:t>szacunkami Ministerstwa Klimatu i</w:t>
      </w:r>
      <w:r w:rsidR="00DA0888">
        <w:t> </w:t>
      </w:r>
      <w:r w:rsidR="004B517D">
        <w:t>Środowiska</w:t>
      </w:r>
      <w:r w:rsidR="00F07099">
        <w:t>,</w:t>
      </w:r>
      <w:r w:rsidR="004B517D">
        <w:t xml:space="preserve"> realizacja </w:t>
      </w:r>
      <w:r>
        <w:t xml:space="preserve">powyższego </w:t>
      </w:r>
      <w:r w:rsidR="004B517D">
        <w:t>celu na 2030 r</w:t>
      </w:r>
      <w:r w:rsidR="004B517D" w:rsidRPr="00F61C46">
        <w:rPr>
          <w:b/>
          <w:bCs/>
        </w:rPr>
        <w:t xml:space="preserve">. wymaga ok. 270 tys. </w:t>
      </w:r>
      <w:r w:rsidR="54BD34EE" w:rsidRPr="09056258">
        <w:rPr>
          <w:b/>
          <w:bCs/>
        </w:rPr>
        <w:t>t wodoru</w:t>
      </w:r>
      <w:r w:rsidR="004B517D" w:rsidRPr="00F61C46">
        <w:rPr>
          <w:b/>
          <w:bCs/>
        </w:rPr>
        <w:t xml:space="preserve"> RFNBO</w:t>
      </w:r>
      <w:r w:rsidR="004B517D">
        <w:t xml:space="preserve"> </w:t>
      </w:r>
      <w:r w:rsidR="004B517D" w:rsidRPr="008E75AC">
        <w:t>jako surowc</w:t>
      </w:r>
      <w:r w:rsidR="00952815">
        <w:t>a</w:t>
      </w:r>
      <w:r w:rsidR="004B517D" w:rsidRPr="008E75AC">
        <w:t xml:space="preserve"> docelow</w:t>
      </w:r>
      <w:r w:rsidR="00952815">
        <w:t>ego</w:t>
      </w:r>
      <w:r w:rsidR="004B517D" w:rsidRPr="008E75AC">
        <w:t xml:space="preserve"> lub pośredni</w:t>
      </w:r>
      <w:r w:rsidR="00952815">
        <w:t>ego</w:t>
      </w:r>
      <w:r w:rsidR="004B517D" w:rsidRPr="008E75AC">
        <w:t xml:space="preserve"> do </w:t>
      </w:r>
      <w:r w:rsidR="0B0007BD">
        <w:t>celów przemysłowych</w:t>
      </w:r>
      <w:r w:rsidR="004B517D">
        <w:t xml:space="preserve">. Przez ostatnie 10 lat w Polsce największym odbiorcą wodoru był sektor nawozowy – dlatego </w:t>
      </w:r>
      <w:r w:rsidR="00FF001C">
        <w:t xml:space="preserve">większa część krajowego zużycia wodoru </w:t>
      </w:r>
      <w:r w:rsidR="62D1AF43">
        <w:t>odnawialnego</w:t>
      </w:r>
      <w:r w:rsidR="7B25717D">
        <w:t xml:space="preserve"> </w:t>
      </w:r>
      <w:r w:rsidR="36764B2A">
        <w:t xml:space="preserve">pochodzenia </w:t>
      </w:r>
      <w:r w:rsidR="059C2709">
        <w:t>niebiologicznego</w:t>
      </w:r>
      <w:r w:rsidDel="7B25717D">
        <w:t xml:space="preserve"> (ok. </w:t>
      </w:r>
      <w:r w:rsidR="00FF001C">
        <w:t>225 tys.</w:t>
      </w:r>
      <w:r w:rsidR="00C65C18">
        <w:t xml:space="preserve"> t</w:t>
      </w:r>
      <w:r w:rsidR="00FF001C">
        <w:t>) będzie związana z wytwarzaniem</w:t>
      </w:r>
      <w:r w:rsidR="004B517D">
        <w:t xml:space="preserve"> amoniaku do utrzymania produkcji nawozów. </w:t>
      </w:r>
      <w:r w:rsidR="00FC0212" w:rsidRPr="00F31C66">
        <w:t xml:space="preserve">Prognozy wskazują, że w 2030 r. krajowa produkcja wodoru odnawialnego </w:t>
      </w:r>
      <w:r w:rsidR="00FC0212">
        <w:t xml:space="preserve">(w tym </w:t>
      </w:r>
      <w:r w:rsidR="00E77ECA">
        <w:t xml:space="preserve">pochodzenia niebiologicznego) </w:t>
      </w:r>
      <w:r w:rsidR="00FC0212" w:rsidRPr="00F31C66">
        <w:t>może wynieść ok. 122 tys. t</w:t>
      </w:r>
      <w:r w:rsidR="00EB451C">
        <w:rPr>
          <w:rStyle w:val="Odwoanieprzypisudolnego"/>
        </w:rPr>
        <w:footnoteReference w:id="49"/>
      </w:r>
      <w:r w:rsidR="00FC0212" w:rsidRPr="00F31C66">
        <w:t>.</w:t>
      </w:r>
    </w:p>
    <w:p w14:paraId="0233ABEE" w14:textId="622D8DB8" w:rsidR="00893ACA" w:rsidRDefault="004B517D" w:rsidP="00893ACA">
      <w:pPr>
        <w:pStyle w:val="Cele"/>
        <w:rPr>
          <w:b/>
          <w:bCs/>
        </w:rPr>
      </w:pPr>
      <w:r w:rsidRPr="008E420F">
        <w:t xml:space="preserve">Do 2030 r. możliwe jest wybudowanie w Polsce </w:t>
      </w:r>
      <w:r w:rsidRPr="008F7063">
        <w:rPr>
          <w:b/>
          <w:bCs/>
        </w:rPr>
        <w:t xml:space="preserve">mocy produkcyjnych wodoru odnawialnego </w:t>
      </w:r>
      <w:r w:rsidR="6818F0F6" w:rsidRPr="008F7063">
        <w:rPr>
          <w:b/>
          <w:bCs/>
        </w:rPr>
        <w:t>pochodzenia niebiologicznego</w:t>
      </w:r>
      <w:r w:rsidRPr="008F7063">
        <w:rPr>
          <w:b/>
          <w:bCs/>
        </w:rPr>
        <w:t xml:space="preserve"> w wysokości ok. 43 tys. t</w:t>
      </w:r>
      <w:r w:rsidRPr="00D63C51">
        <w:rPr>
          <w:rStyle w:val="Odwoanieprzypisudolnego"/>
          <w:rFonts w:asciiTheme="minorHAnsi" w:eastAsiaTheme="minorEastAsia" w:hAnsiTheme="minorHAnsi" w:cstheme="minorBidi"/>
          <w:szCs w:val="24"/>
        </w:rPr>
        <w:footnoteReference w:id="50"/>
      </w:r>
      <w:r w:rsidR="00C12889">
        <w:rPr>
          <w:b/>
          <w:bCs/>
        </w:rPr>
        <w:t xml:space="preserve">. </w:t>
      </w:r>
    </w:p>
    <w:p w14:paraId="5C5A944C" w14:textId="631F97B8" w:rsidR="00093D74" w:rsidRDefault="004B517D" w:rsidP="00093D74">
      <w:r>
        <w:t xml:space="preserve">Pokrycie pozostałej części zapotrzebowania, </w:t>
      </w:r>
      <w:r w:rsidR="00896B12">
        <w:t>musiałoby</w:t>
      </w:r>
      <w:r>
        <w:t xml:space="preserve"> nastąpić</w:t>
      </w:r>
      <w:r w:rsidR="004516AF">
        <w:t xml:space="preserve"> </w:t>
      </w:r>
      <w:r w:rsidR="00D5164E">
        <w:t>z produkcji krajowej stymulowanej przez projektowany instrument wsparcia finansowego oraz</w:t>
      </w:r>
      <w:r>
        <w:t xml:space="preserve"> w drodze importu wodoru odnawialnego </w:t>
      </w:r>
      <w:r w:rsidR="5A84D347">
        <w:t>pochodzenia niebiologicznego</w:t>
      </w:r>
      <w:r w:rsidR="54BD34EE">
        <w:t xml:space="preserve"> </w:t>
      </w:r>
      <w:r>
        <w:t>lub zielonego amoniaku</w:t>
      </w:r>
      <w:r w:rsidR="00867C06">
        <w:t>, co aktualnie również jest problematyczne ze</w:t>
      </w:r>
      <w:r w:rsidR="00F3635F">
        <w:t> </w:t>
      </w:r>
      <w:r w:rsidR="00867C06">
        <w:t>względu na trudności w transporcie wodoru</w:t>
      </w:r>
      <w:r w:rsidR="000D2EC4">
        <w:t>.</w:t>
      </w:r>
      <w:r w:rsidR="000D2EC4" w:rsidRPr="000D2EC4">
        <w:t xml:space="preserve"> </w:t>
      </w:r>
      <w:r w:rsidR="000D2EC4">
        <w:t>Realizacja celów RED III w zakresie wodoru RFNBO</w:t>
      </w:r>
      <w:r w:rsidR="00A3757E">
        <w:t>,</w:t>
      </w:r>
      <w:r w:rsidR="000D2EC4">
        <w:t xml:space="preserve"> to</w:t>
      </w:r>
      <w:r w:rsidR="00F3635F">
        <w:t> </w:t>
      </w:r>
      <w:r w:rsidR="000D2EC4">
        <w:t>ogromne w</w:t>
      </w:r>
      <w:r w:rsidR="00A3757E">
        <w:t>y</w:t>
      </w:r>
      <w:r w:rsidR="000D2EC4">
        <w:t>zywanie</w:t>
      </w:r>
      <w:r w:rsidR="00867C06">
        <w:t xml:space="preserve"> najbliższych lat</w:t>
      </w:r>
      <w:r w:rsidR="000D2EC4">
        <w:t xml:space="preserve"> dla wielu państw członkowskich, co wraz z ograniczoną dostępnością importu surowca wpływa również na konkurencję w tym zakresie</w:t>
      </w:r>
      <w:r>
        <w:t>.</w:t>
      </w:r>
      <w:r>
        <w:rPr>
          <w:rStyle w:val="Odwoanieprzypisudolnego"/>
        </w:rPr>
        <w:footnoteReference w:id="51"/>
      </w:r>
    </w:p>
    <w:bookmarkEnd w:id="112"/>
    <w:p w14:paraId="0F5D409F" w14:textId="3717AEA2" w:rsidR="00256586" w:rsidRDefault="00256586" w:rsidP="00CA6554">
      <w:pPr>
        <w:pStyle w:val="Bezodstpw"/>
      </w:pPr>
    </w:p>
    <w:tbl>
      <w:tblPr>
        <w:tblStyle w:val="Tabela-Siatka"/>
        <w:tblpPr w:leftFromText="141" w:rightFromText="141" w:vertAnchor="text" w:horzAnchor="margin" w:tblpXSpec="right"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tblGrid>
      <w:tr w:rsidR="00256586" w14:paraId="25751BA6" w14:textId="77777777" w:rsidTr="00256586">
        <w:trPr>
          <w:trHeight w:val="340"/>
        </w:trPr>
        <w:tc>
          <w:tcPr>
            <w:tcW w:w="0" w:type="auto"/>
            <w:vAlign w:val="center"/>
          </w:tcPr>
          <w:p w14:paraId="0DAF9F0B" w14:textId="44BE9C99" w:rsidR="00256586" w:rsidRPr="001B1984" w:rsidRDefault="00256586" w:rsidP="00256586">
            <w:pPr>
              <w:jc w:val="center"/>
              <w:rPr>
                <w:rFonts w:ascii="Bahnschrift" w:hAnsi="Bahnschrift"/>
                <w:color w:val="70AD47" w:themeColor="accent6"/>
                <w:sz w:val="48"/>
                <w:szCs w:val="48"/>
              </w:rPr>
            </w:pPr>
            <w:r>
              <w:rPr>
                <w:rFonts w:ascii="Bahnschrift" w:hAnsi="Bahnschrift"/>
                <w:color w:val="70AD47" w:themeColor="accent6"/>
                <w:sz w:val="48"/>
                <w:szCs w:val="48"/>
              </w:rPr>
              <w:t>CCS</w:t>
            </w:r>
            <w:r w:rsidR="00304093">
              <w:rPr>
                <w:rFonts w:ascii="Bahnschrift" w:hAnsi="Bahnschrift"/>
                <w:color w:val="70AD47" w:themeColor="accent6"/>
                <w:sz w:val="48"/>
                <w:szCs w:val="48"/>
              </w:rPr>
              <w:t>/CCU</w:t>
            </w:r>
          </w:p>
        </w:tc>
      </w:tr>
      <w:tr w:rsidR="00256586" w14:paraId="130DB015" w14:textId="77777777" w:rsidTr="00256586">
        <w:trPr>
          <w:trHeight w:val="340"/>
        </w:trPr>
        <w:tc>
          <w:tcPr>
            <w:tcW w:w="0" w:type="auto"/>
            <w:vAlign w:val="center"/>
          </w:tcPr>
          <w:p w14:paraId="18B2810E" w14:textId="77777777" w:rsidR="00256586" w:rsidRPr="001B1984" w:rsidRDefault="00256586" w:rsidP="00256586">
            <w:pPr>
              <w:jc w:val="center"/>
              <w:rPr>
                <w:rFonts w:ascii="Bahnschrift" w:hAnsi="Bahnschrift"/>
                <w:color w:val="70AD47" w:themeColor="accent6"/>
                <w:sz w:val="26"/>
                <w:szCs w:val="26"/>
              </w:rPr>
            </w:pPr>
            <w:r w:rsidRPr="001B1984">
              <w:rPr>
                <w:rFonts w:ascii="Bahnschrift" w:hAnsi="Bahnschrift"/>
                <w:color w:val="70AD47" w:themeColor="accent6"/>
                <w:sz w:val="26"/>
                <w:szCs w:val="26"/>
              </w:rPr>
              <w:t>w przemyśle</w:t>
            </w:r>
          </w:p>
        </w:tc>
      </w:tr>
    </w:tbl>
    <w:p w14:paraId="4956412E" w14:textId="4E0C5073" w:rsidR="00304093" w:rsidRDefault="005457D4" w:rsidP="00325CD4">
      <w:pPr>
        <w:spacing w:before="120" w:after="120" w:line="276" w:lineRule="auto"/>
        <w:rPr>
          <w:szCs w:val="20"/>
        </w:rPr>
      </w:pPr>
      <w:r>
        <w:rPr>
          <w:szCs w:val="20"/>
        </w:rPr>
        <w:t xml:space="preserve">Jednym </w:t>
      </w:r>
      <w:r w:rsidR="00E05AA0">
        <w:rPr>
          <w:szCs w:val="20"/>
        </w:rPr>
        <w:t>ze spos</w:t>
      </w:r>
      <w:r w:rsidR="00F13E6B">
        <w:rPr>
          <w:szCs w:val="20"/>
        </w:rPr>
        <w:t>o</w:t>
      </w:r>
      <w:r w:rsidR="00E05AA0">
        <w:rPr>
          <w:szCs w:val="20"/>
        </w:rPr>
        <w:t>b</w:t>
      </w:r>
      <w:r w:rsidR="00F80CE8">
        <w:rPr>
          <w:szCs w:val="20"/>
        </w:rPr>
        <w:t>ów</w:t>
      </w:r>
      <w:r>
        <w:rPr>
          <w:szCs w:val="20"/>
        </w:rPr>
        <w:t xml:space="preserve"> </w:t>
      </w:r>
      <w:r w:rsidRPr="00737BF2">
        <w:rPr>
          <w:szCs w:val="20"/>
        </w:rPr>
        <w:t>redukcj</w:t>
      </w:r>
      <w:r>
        <w:rPr>
          <w:szCs w:val="20"/>
        </w:rPr>
        <w:t>i</w:t>
      </w:r>
      <w:r w:rsidRPr="00737BF2">
        <w:rPr>
          <w:szCs w:val="20"/>
        </w:rPr>
        <w:t xml:space="preserve"> emisji</w:t>
      </w:r>
      <w:r>
        <w:rPr>
          <w:szCs w:val="20"/>
        </w:rPr>
        <w:t xml:space="preserve"> </w:t>
      </w:r>
      <w:r w:rsidR="00E05AA0">
        <w:rPr>
          <w:szCs w:val="20"/>
        </w:rPr>
        <w:t xml:space="preserve">procesowych </w:t>
      </w:r>
      <w:r>
        <w:rPr>
          <w:szCs w:val="20"/>
        </w:rPr>
        <w:t>w przemyśle</w:t>
      </w:r>
      <w:r w:rsidRPr="00737BF2">
        <w:rPr>
          <w:szCs w:val="20"/>
        </w:rPr>
        <w:t xml:space="preserve"> </w:t>
      </w:r>
      <w:r>
        <w:rPr>
          <w:szCs w:val="20"/>
        </w:rPr>
        <w:t xml:space="preserve">są również </w:t>
      </w:r>
      <w:r w:rsidRPr="00E05AA0">
        <w:rPr>
          <w:b/>
          <w:bCs/>
          <w:szCs w:val="20"/>
        </w:rPr>
        <w:t>technologie wychwytu, składowania i wykorzystania CO</w:t>
      </w:r>
      <w:r w:rsidRPr="00E05AA0">
        <w:rPr>
          <w:b/>
          <w:bCs/>
          <w:szCs w:val="20"/>
          <w:vertAlign w:val="subscript"/>
        </w:rPr>
        <w:t>2</w:t>
      </w:r>
      <w:r>
        <w:rPr>
          <w:szCs w:val="20"/>
        </w:rPr>
        <w:t xml:space="preserve">. Zastosowanie tego rodzaju instalacji może pozwolić na obniżenie emisji w sektorach trudnych </w:t>
      </w:r>
      <w:r>
        <w:rPr>
          <w:szCs w:val="20"/>
        </w:rPr>
        <w:lastRenderedPageBreak/>
        <w:t>do</w:t>
      </w:r>
      <w:r w:rsidR="00F3635F">
        <w:rPr>
          <w:szCs w:val="20"/>
        </w:rPr>
        <w:t> </w:t>
      </w:r>
      <w:r w:rsidR="00BC473C">
        <w:rPr>
          <w:szCs w:val="20"/>
        </w:rPr>
        <w:t>dekarbonizacji</w:t>
      </w:r>
      <w:r w:rsidR="00D213F9">
        <w:rPr>
          <w:szCs w:val="20"/>
        </w:rPr>
        <w:t xml:space="preserve"> lub </w:t>
      </w:r>
      <w:r w:rsidR="0040145B">
        <w:rPr>
          <w:szCs w:val="20"/>
        </w:rPr>
        <w:t>zelektryfikowania</w:t>
      </w:r>
      <w:r>
        <w:rPr>
          <w:szCs w:val="20"/>
        </w:rPr>
        <w:t>, jak</w:t>
      </w:r>
      <w:r w:rsidR="00144326">
        <w:rPr>
          <w:szCs w:val="20"/>
        </w:rPr>
        <w:t xml:space="preserve"> </w:t>
      </w:r>
      <w:r>
        <w:rPr>
          <w:szCs w:val="20"/>
        </w:rPr>
        <w:t xml:space="preserve">przemysł cementowy, stalowy, chemiczny. </w:t>
      </w:r>
    </w:p>
    <w:p w14:paraId="1007697E" w14:textId="4977271D" w:rsidR="00304093" w:rsidRDefault="00304093" w:rsidP="00325CD4">
      <w:pPr>
        <w:spacing w:before="120" w:after="120" w:line="276" w:lineRule="auto"/>
        <w:rPr>
          <w:szCs w:val="20"/>
        </w:rPr>
      </w:pPr>
      <w:r w:rsidRPr="00304093">
        <w:rPr>
          <w:szCs w:val="20"/>
        </w:rPr>
        <w:t xml:space="preserve">CCS umożliwia potencjalne wykorzystanie efektów skali bowiem z tych samych elementów infrastruktury (np. rurociągów, stacji zatłaczania) skorzystać mogą </w:t>
      </w:r>
      <w:r>
        <w:rPr>
          <w:szCs w:val="20"/>
        </w:rPr>
        <w:t xml:space="preserve">różne </w:t>
      </w:r>
      <w:r w:rsidRPr="00304093">
        <w:rPr>
          <w:szCs w:val="20"/>
        </w:rPr>
        <w:t>branże. Zarazem wiele innych branż przemysłu wykorzystuje CO</w:t>
      </w:r>
      <w:r w:rsidRPr="00304093">
        <w:rPr>
          <w:szCs w:val="20"/>
          <w:vertAlign w:val="subscript"/>
        </w:rPr>
        <w:t>2</w:t>
      </w:r>
      <w:r w:rsidRPr="00304093">
        <w:rPr>
          <w:szCs w:val="20"/>
        </w:rPr>
        <w:t xml:space="preserve"> jako surowiec do produkcji swoich produktów, takich jak paliwa, chemikalia czy materiały budowlane, a dwutlenek węgla jest szeroko wykorzystywany w procesach przemysłowych do</w:t>
      </w:r>
      <w:r w:rsidR="00F3635F">
        <w:rPr>
          <w:szCs w:val="20"/>
        </w:rPr>
        <w:t> </w:t>
      </w:r>
      <w:r w:rsidRPr="00304093">
        <w:rPr>
          <w:szCs w:val="20"/>
        </w:rPr>
        <w:t xml:space="preserve">przepływów cieczy w obrębie procesów produkcyjnych. Część wychwyconego </w:t>
      </w:r>
      <w:r>
        <w:rPr>
          <w:szCs w:val="20"/>
        </w:rPr>
        <w:t>CO</w:t>
      </w:r>
      <w:r w:rsidRPr="00304093">
        <w:rPr>
          <w:szCs w:val="20"/>
          <w:vertAlign w:val="subscript"/>
        </w:rPr>
        <w:t>2</w:t>
      </w:r>
      <w:r>
        <w:rPr>
          <w:szCs w:val="20"/>
        </w:rPr>
        <w:t xml:space="preserve"> </w:t>
      </w:r>
      <w:r w:rsidRPr="00304093">
        <w:rPr>
          <w:szCs w:val="20"/>
        </w:rPr>
        <w:t>mogłaby być wykorzystywana na potrzeby krajowej produkcji w przemyśle, a część składowana w odpowiednich dla tego rozwiązania lokalizacjach.</w:t>
      </w:r>
    </w:p>
    <w:p w14:paraId="0FB30C25" w14:textId="7B246D7B" w:rsidR="005457D4" w:rsidRDefault="00A00822" w:rsidP="00325CD4">
      <w:pPr>
        <w:spacing w:before="120" w:after="120" w:line="276" w:lineRule="auto"/>
        <w:rPr>
          <w:szCs w:val="20"/>
        </w:rPr>
      </w:pPr>
      <w:r>
        <w:rPr>
          <w:szCs w:val="20"/>
        </w:rPr>
        <w:t>P</w:t>
      </w:r>
      <w:r>
        <w:rPr>
          <w:rFonts w:eastAsia="Times New Roman" w:cs="Arial"/>
          <w:color w:val="000000"/>
          <w:kern w:val="0"/>
          <w:szCs w:val="20"/>
          <w:lang w:eastAsia="pl-PL"/>
          <w14:ligatures w14:val="none"/>
        </w:rPr>
        <w:t xml:space="preserve">odjęcie decyzji inwestycyjnych i </w:t>
      </w:r>
      <w:r w:rsidRPr="0034459F">
        <w:rPr>
          <w:rFonts w:eastAsia="Times New Roman" w:cs="Arial"/>
          <w:color w:val="000000"/>
          <w:kern w:val="0"/>
          <w:szCs w:val="20"/>
          <w:lang w:eastAsia="pl-PL"/>
          <w14:ligatures w14:val="none"/>
        </w:rPr>
        <w:t>udział podmiotów w projektach CCS</w:t>
      </w:r>
      <w:r w:rsidR="00F022DF">
        <w:rPr>
          <w:rFonts w:eastAsia="Times New Roman" w:cs="Arial"/>
          <w:color w:val="000000"/>
          <w:kern w:val="0"/>
          <w:szCs w:val="20"/>
          <w:lang w:eastAsia="pl-PL"/>
          <w14:ligatures w14:val="none"/>
        </w:rPr>
        <w:t>/CCU</w:t>
      </w:r>
      <w:r w:rsidRPr="0034459F">
        <w:rPr>
          <w:rFonts w:eastAsia="Times New Roman" w:cs="Arial"/>
          <w:color w:val="000000"/>
          <w:kern w:val="0"/>
          <w:szCs w:val="20"/>
          <w:lang w:eastAsia="pl-PL"/>
          <w14:ligatures w14:val="none"/>
        </w:rPr>
        <w:t xml:space="preserve"> zależ</w:t>
      </w:r>
      <w:r>
        <w:rPr>
          <w:rFonts w:eastAsia="Times New Roman" w:cs="Arial"/>
          <w:color w:val="000000"/>
          <w:kern w:val="0"/>
          <w:szCs w:val="20"/>
          <w:lang w:eastAsia="pl-PL"/>
          <w14:ligatures w14:val="none"/>
        </w:rPr>
        <w:t>eć będzie</w:t>
      </w:r>
      <w:r w:rsidRPr="0034459F">
        <w:rPr>
          <w:rFonts w:eastAsia="Times New Roman" w:cs="Arial"/>
          <w:color w:val="000000"/>
          <w:kern w:val="0"/>
          <w:szCs w:val="20"/>
          <w:lang w:eastAsia="pl-PL"/>
          <w14:ligatures w14:val="none"/>
        </w:rPr>
        <w:t xml:space="preserve"> od szeregu czynników</w:t>
      </w:r>
      <w:r>
        <w:rPr>
          <w:rFonts w:eastAsia="Times New Roman" w:cs="Arial"/>
          <w:color w:val="000000"/>
          <w:kern w:val="0"/>
          <w:szCs w:val="20"/>
          <w:lang w:eastAsia="pl-PL"/>
          <w14:ligatures w14:val="none"/>
        </w:rPr>
        <w:t>, takich jak</w:t>
      </w:r>
      <w:r w:rsidRPr="0034459F">
        <w:rPr>
          <w:rFonts w:eastAsia="Times New Roman" w:cs="Arial"/>
          <w:color w:val="000000"/>
          <w:kern w:val="0"/>
          <w:szCs w:val="20"/>
          <w:lang w:eastAsia="pl-PL"/>
          <w14:ligatures w14:val="none"/>
        </w:rPr>
        <w:t xml:space="preserve"> </w:t>
      </w:r>
      <w:r>
        <w:rPr>
          <w:rFonts w:eastAsia="Times New Roman" w:cs="Arial"/>
          <w:color w:val="000000"/>
          <w:kern w:val="0"/>
          <w:szCs w:val="20"/>
          <w:lang w:eastAsia="pl-PL"/>
          <w14:ligatures w14:val="none"/>
        </w:rPr>
        <w:t xml:space="preserve">m.in. </w:t>
      </w:r>
      <w:r w:rsidRPr="0034459F">
        <w:rPr>
          <w:rFonts w:eastAsia="Times New Roman" w:cs="Arial"/>
          <w:color w:val="000000"/>
          <w:kern w:val="0"/>
          <w:szCs w:val="20"/>
          <w:lang w:eastAsia="pl-PL"/>
          <w14:ligatures w14:val="none"/>
        </w:rPr>
        <w:t>koszt uprawnień do emisji, cen</w:t>
      </w:r>
      <w:r>
        <w:rPr>
          <w:rFonts w:eastAsia="Times New Roman" w:cs="Arial"/>
          <w:color w:val="000000"/>
          <w:kern w:val="0"/>
          <w:szCs w:val="20"/>
          <w:lang w:eastAsia="pl-PL"/>
          <w14:ligatures w14:val="none"/>
        </w:rPr>
        <w:t>y</w:t>
      </w:r>
      <w:r w:rsidRPr="0034459F">
        <w:rPr>
          <w:rFonts w:eastAsia="Times New Roman" w:cs="Arial"/>
          <w:color w:val="000000"/>
          <w:kern w:val="0"/>
          <w:szCs w:val="20"/>
          <w:lang w:eastAsia="pl-PL"/>
          <w14:ligatures w14:val="none"/>
        </w:rPr>
        <w:t xml:space="preserve"> paliw i energii elektrycznej</w:t>
      </w:r>
      <w:r>
        <w:rPr>
          <w:rFonts w:eastAsia="Times New Roman" w:cs="Arial"/>
          <w:color w:val="000000"/>
          <w:kern w:val="0"/>
          <w:szCs w:val="20"/>
          <w:lang w:eastAsia="pl-PL"/>
          <w14:ligatures w14:val="none"/>
        </w:rPr>
        <w:t>, a także od</w:t>
      </w:r>
      <w:r w:rsidR="00F3635F">
        <w:rPr>
          <w:rFonts w:eastAsia="Times New Roman" w:cs="Arial"/>
          <w:color w:val="000000"/>
          <w:kern w:val="0"/>
          <w:szCs w:val="20"/>
          <w:lang w:eastAsia="pl-PL"/>
          <w14:ligatures w14:val="none"/>
        </w:rPr>
        <w:t> </w:t>
      </w:r>
      <w:r w:rsidRPr="0034459F">
        <w:rPr>
          <w:rFonts w:eastAsia="Times New Roman" w:cs="Arial"/>
          <w:color w:val="000000"/>
          <w:kern w:val="0"/>
          <w:szCs w:val="20"/>
          <w:lang w:eastAsia="pl-PL"/>
          <w14:ligatures w14:val="none"/>
        </w:rPr>
        <w:t>dostępnoś</w:t>
      </w:r>
      <w:r w:rsidR="00E05AA0">
        <w:rPr>
          <w:rFonts w:eastAsia="Times New Roman" w:cs="Arial"/>
          <w:color w:val="000000"/>
          <w:kern w:val="0"/>
          <w:szCs w:val="20"/>
          <w:lang w:eastAsia="pl-PL"/>
          <w14:ligatures w14:val="none"/>
        </w:rPr>
        <w:t>ci</w:t>
      </w:r>
      <w:r w:rsidRPr="0034459F">
        <w:rPr>
          <w:rFonts w:eastAsia="Times New Roman" w:cs="Arial"/>
          <w:color w:val="000000"/>
          <w:kern w:val="0"/>
          <w:szCs w:val="20"/>
          <w:lang w:eastAsia="pl-PL"/>
          <w14:ligatures w14:val="none"/>
        </w:rPr>
        <w:t xml:space="preserve"> alternatyw w zakresie redukcji emisji </w:t>
      </w:r>
      <w:r w:rsidR="00AD0FB0">
        <w:rPr>
          <w:rFonts w:eastAsia="Times New Roman" w:cs="Arial"/>
          <w:color w:val="000000"/>
          <w:kern w:val="0"/>
          <w:szCs w:val="20"/>
          <w:lang w:eastAsia="pl-PL"/>
          <w14:ligatures w14:val="none"/>
        </w:rPr>
        <w:t>GHG</w:t>
      </w:r>
      <w:r>
        <w:rPr>
          <w:rFonts w:eastAsia="Times New Roman" w:cs="Arial"/>
          <w:color w:val="000000"/>
          <w:kern w:val="0"/>
          <w:szCs w:val="20"/>
          <w:lang w:eastAsia="pl-PL"/>
          <w14:ligatures w14:val="none"/>
        </w:rPr>
        <w:t>. Wyzwaniem dla rozwoju projektów CCS są wysokie koszty budowy infrastruktury</w:t>
      </w:r>
      <w:r w:rsidR="00325CD4">
        <w:rPr>
          <w:rFonts w:eastAsia="Times New Roman" w:cs="Arial"/>
          <w:color w:val="000000"/>
          <w:kern w:val="0"/>
          <w:szCs w:val="20"/>
          <w:lang w:eastAsia="pl-PL"/>
          <w14:ligatures w14:val="none"/>
        </w:rPr>
        <w:t xml:space="preserve">, </w:t>
      </w:r>
      <w:r w:rsidR="00726240">
        <w:rPr>
          <w:rFonts w:eastAsia="Times New Roman" w:cs="Arial"/>
          <w:color w:val="000000"/>
          <w:kern w:val="0"/>
          <w:szCs w:val="20"/>
          <w:lang w:eastAsia="pl-PL"/>
          <w14:ligatures w14:val="none"/>
        </w:rPr>
        <w:t xml:space="preserve">potencjalna i </w:t>
      </w:r>
      <w:r w:rsidR="00325CD4">
        <w:rPr>
          <w:rFonts w:eastAsia="Times New Roman" w:cs="Arial"/>
          <w:color w:val="000000"/>
          <w:kern w:val="0"/>
          <w:szCs w:val="20"/>
          <w:lang w:eastAsia="pl-PL"/>
          <w14:ligatures w14:val="none"/>
        </w:rPr>
        <w:t>realna dostępność infrastruktury transportowej CO</w:t>
      </w:r>
      <w:r w:rsidR="00325CD4" w:rsidRPr="00325CD4">
        <w:rPr>
          <w:rFonts w:eastAsia="Times New Roman" w:cs="Arial"/>
          <w:color w:val="000000"/>
          <w:kern w:val="0"/>
          <w:szCs w:val="20"/>
          <w:vertAlign w:val="subscript"/>
          <w:lang w:eastAsia="pl-PL"/>
          <w14:ligatures w14:val="none"/>
        </w:rPr>
        <w:t>2</w:t>
      </w:r>
      <w:r w:rsidR="00DA1E59">
        <w:rPr>
          <w:rFonts w:eastAsia="Times New Roman" w:cs="Arial"/>
          <w:color w:val="000000"/>
          <w:kern w:val="0"/>
          <w:szCs w:val="20"/>
          <w:lang w:eastAsia="pl-PL"/>
          <w14:ligatures w14:val="none"/>
        </w:rPr>
        <w:t>,</w:t>
      </w:r>
      <w:r w:rsidR="00F45E08">
        <w:rPr>
          <w:rFonts w:eastAsia="Times New Roman" w:cs="Arial"/>
          <w:color w:val="000000"/>
          <w:kern w:val="0"/>
          <w:szCs w:val="20"/>
          <w:lang w:eastAsia="pl-PL"/>
          <w14:ligatures w14:val="none"/>
        </w:rPr>
        <w:t xml:space="preserve"> </w:t>
      </w:r>
      <w:r w:rsidR="00F45E08" w:rsidRPr="00F45E08">
        <w:rPr>
          <w:rFonts w:eastAsia="Times New Roman" w:cs="Arial"/>
          <w:color w:val="000000"/>
          <w:kern w:val="0"/>
          <w:szCs w:val="20"/>
          <w:lang w:eastAsia="pl-PL"/>
          <w14:ligatures w14:val="none"/>
        </w:rPr>
        <w:t xml:space="preserve">możliwości lokalizacji kompleksu podziemnego składowania dwutlenku węgla </w:t>
      </w:r>
      <w:r w:rsidR="00CB4475">
        <w:rPr>
          <w:rFonts w:eastAsia="Times New Roman" w:cs="Arial"/>
          <w:color w:val="000000"/>
          <w:kern w:val="0"/>
          <w:szCs w:val="20"/>
          <w:lang w:eastAsia="pl-PL"/>
          <w14:ligatures w14:val="none"/>
        </w:rPr>
        <w:t>oraz</w:t>
      </w:r>
      <w:r w:rsidR="00F45E08">
        <w:rPr>
          <w:rFonts w:eastAsia="Times New Roman" w:cs="Arial"/>
          <w:color w:val="000000"/>
          <w:kern w:val="0"/>
          <w:szCs w:val="20"/>
          <w:lang w:eastAsia="pl-PL"/>
          <w14:ligatures w14:val="none"/>
        </w:rPr>
        <w:t xml:space="preserve"> </w:t>
      </w:r>
      <w:r w:rsidR="001722C1">
        <w:rPr>
          <w:rFonts w:eastAsia="Times New Roman" w:cs="Arial"/>
          <w:color w:val="000000"/>
          <w:kern w:val="0"/>
          <w:szCs w:val="20"/>
          <w:lang w:eastAsia="pl-PL"/>
          <w14:ligatures w14:val="none"/>
        </w:rPr>
        <w:t xml:space="preserve">dostępne </w:t>
      </w:r>
      <w:r w:rsidR="00F45E08" w:rsidRPr="00F45E08">
        <w:rPr>
          <w:rFonts w:eastAsia="Times New Roman" w:cs="Arial"/>
          <w:color w:val="000000"/>
          <w:kern w:val="0"/>
          <w:szCs w:val="20"/>
          <w:lang w:eastAsia="pl-PL"/>
          <w14:ligatures w14:val="none"/>
        </w:rPr>
        <w:t>pojemności podziemnych składowisk dwutlenku węgla</w:t>
      </w:r>
      <w:r w:rsidR="00F45E08">
        <w:rPr>
          <w:rFonts w:eastAsia="Times New Roman" w:cs="Arial"/>
          <w:color w:val="000000"/>
          <w:kern w:val="0"/>
          <w:szCs w:val="20"/>
          <w:lang w:eastAsia="pl-PL"/>
          <w14:ligatures w14:val="none"/>
        </w:rPr>
        <w:t>, a także</w:t>
      </w:r>
      <w:r>
        <w:rPr>
          <w:rFonts w:eastAsia="Times New Roman" w:cs="Arial"/>
          <w:color w:val="000000"/>
          <w:kern w:val="0"/>
          <w:szCs w:val="20"/>
          <w:lang w:eastAsia="pl-PL"/>
          <w14:ligatures w14:val="none"/>
        </w:rPr>
        <w:t xml:space="preserve"> konieczność koordynacji w ramach całego łańcucha wartości.</w:t>
      </w:r>
      <w:r w:rsidRPr="00737BF2">
        <w:rPr>
          <w:rFonts w:eastAsia="Times New Roman" w:cs="Arial"/>
          <w:color w:val="000000"/>
          <w:kern w:val="0"/>
          <w:szCs w:val="20"/>
          <w:lang w:eastAsia="pl-PL"/>
          <w14:ligatures w14:val="none"/>
        </w:rPr>
        <w:t xml:space="preserve"> </w:t>
      </w:r>
      <w:r w:rsidR="00A827DD" w:rsidRPr="006A0659">
        <w:rPr>
          <w:szCs w:val="20"/>
        </w:rPr>
        <w:t xml:space="preserve">Przy wyznaczaniu obszarów </w:t>
      </w:r>
      <w:r w:rsidR="00923890">
        <w:rPr>
          <w:rFonts w:eastAsia="Times New Roman" w:cs="Arial"/>
          <w:color w:val="000000"/>
          <w:kern w:val="0"/>
          <w:szCs w:val="20"/>
          <w:lang w:eastAsia="pl-PL"/>
          <w14:ligatures w14:val="none"/>
        </w:rPr>
        <w:t>podziemnego składowania CO</w:t>
      </w:r>
      <w:r w:rsidR="00923890">
        <w:rPr>
          <w:rFonts w:eastAsia="Times New Roman" w:cs="Arial"/>
          <w:color w:val="000000"/>
          <w:kern w:val="0"/>
          <w:szCs w:val="20"/>
          <w:vertAlign w:val="subscript"/>
          <w:lang w:eastAsia="pl-PL"/>
          <w14:ligatures w14:val="none"/>
        </w:rPr>
        <w:t>2,</w:t>
      </w:r>
      <w:r w:rsidR="00923890">
        <w:rPr>
          <w:rFonts w:eastAsia="Times New Roman" w:cs="Arial"/>
          <w:color w:val="000000"/>
          <w:kern w:val="0"/>
          <w:szCs w:val="20"/>
          <w:lang w:eastAsia="pl-PL"/>
          <w14:ligatures w14:val="none"/>
        </w:rPr>
        <w:t xml:space="preserve"> </w:t>
      </w:r>
      <w:r w:rsidR="00A827DD" w:rsidRPr="006A0659">
        <w:rPr>
          <w:szCs w:val="20"/>
        </w:rPr>
        <w:t xml:space="preserve">brane </w:t>
      </w:r>
      <w:r w:rsidR="00923890">
        <w:rPr>
          <w:szCs w:val="20"/>
        </w:rPr>
        <w:t>będą</w:t>
      </w:r>
      <w:r w:rsidR="00A827DD" w:rsidRPr="006A0659">
        <w:rPr>
          <w:szCs w:val="20"/>
        </w:rPr>
        <w:t xml:space="preserve"> </w:t>
      </w:r>
      <w:r w:rsidR="00923890">
        <w:rPr>
          <w:szCs w:val="20"/>
        </w:rPr>
        <w:t>p</w:t>
      </w:r>
      <w:r w:rsidR="00A827DD" w:rsidRPr="006A0659">
        <w:rPr>
          <w:szCs w:val="20"/>
        </w:rPr>
        <w:t>od uwagę</w:t>
      </w:r>
      <w:r w:rsidR="00345993">
        <w:rPr>
          <w:szCs w:val="20"/>
        </w:rPr>
        <w:t xml:space="preserve"> m.in.</w:t>
      </w:r>
      <w:r w:rsidR="00A827DD" w:rsidRPr="006A0659">
        <w:rPr>
          <w:szCs w:val="20"/>
        </w:rPr>
        <w:t xml:space="preserve"> uwarunkowania geologiczne i przyrodnicze oraz charakterystyka kompleks</w:t>
      </w:r>
      <w:r w:rsidR="00467D5A">
        <w:rPr>
          <w:szCs w:val="20"/>
        </w:rPr>
        <w:t>ów</w:t>
      </w:r>
      <w:r w:rsidR="00A827DD" w:rsidRPr="006A0659">
        <w:rPr>
          <w:szCs w:val="20"/>
        </w:rPr>
        <w:t xml:space="preserve"> podziemnego składowania, jak również potrzeba zapewnienia bezpieczeństwa powszechnego, ochrony zdrowia i życia ludzi oraz </w:t>
      </w:r>
      <w:r w:rsidR="00E80748">
        <w:rPr>
          <w:szCs w:val="20"/>
        </w:rPr>
        <w:t xml:space="preserve">dbałość o dobry </w:t>
      </w:r>
      <w:r w:rsidR="009354F8">
        <w:rPr>
          <w:szCs w:val="20"/>
        </w:rPr>
        <w:t xml:space="preserve">stan </w:t>
      </w:r>
      <w:r w:rsidR="00A827DD" w:rsidRPr="006A0659">
        <w:rPr>
          <w:szCs w:val="20"/>
        </w:rPr>
        <w:t>środowiska</w:t>
      </w:r>
      <w:r w:rsidR="00345993">
        <w:rPr>
          <w:szCs w:val="20"/>
        </w:rPr>
        <w:t>. W</w:t>
      </w:r>
      <w:r w:rsidRPr="004E144B">
        <w:rPr>
          <w:szCs w:val="20"/>
        </w:rPr>
        <w:t xml:space="preserve">ażnym czynnikiem mającym wpływ </w:t>
      </w:r>
      <w:r w:rsidR="004C5D61">
        <w:rPr>
          <w:szCs w:val="20"/>
        </w:rPr>
        <w:t>na rozwój technologii</w:t>
      </w:r>
      <w:r w:rsidR="00AA0248">
        <w:rPr>
          <w:szCs w:val="20"/>
        </w:rPr>
        <w:t xml:space="preserve"> </w:t>
      </w:r>
      <w:r w:rsidR="00A827DD">
        <w:rPr>
          <w:szCs w:val="20"/>
        </w:rPr>
        <w:t>CCS</w:t>
      </w:r>
      <w:r w:rsidR="00AA0248">
        <w:rPr>
          <w:szCs w:val="20"/>
        </w:rPr>
        <w:t xml:space="preserve"> i</w:t>
      </w:r>
      <w:r w:rsidRPr="004E144B">
        <w:rPr>
          <w:szCs w:val="20"/>
        </w:rPr>
        <w:t xml:space="preserve"> </w:t>
      </w:r>
      <w:r w:rsidR="00AA0248" w:rsidRPr="004E144B">
        <w:rPr>
          <w:szCs w:val="20"/>
        </w:rPr>
        <w:t xml:space="preserve">szerokiego wdrożenia w skali komercyjnej </w:t>
      </w:r>
      <w:r w:rsidR="004C277E">
        <w:rPr>
          <w:szCs w:val="20"/>
        </w:rPr>
        <w:t>jest</w:t>
      </w:r>
      <w:r w:rsidRPr="004E144B">
        <w:rPr>
          <w:szCs w:val="20"/>
        </w:rPr>
        <w:t xml:space="preserve"> uzyskanie akceptacji społecznej.</w:t>
      </w:r>
    </w:p>
    <w:p w14:paraId="0AACBF83" w14:textId="0614ABD2" w:rsidR="00BC214E" w:rsidRDefault="004F2F78" w:rsidP="00A00822">
      <w:pPr>
        <w:spacing w:before="120" w:after="120" w:line="276" w:lineRule="auto"/>
      </w:pPr>
      <w:bookmarkStart w:id="113" w:name="_Hlk177548707"/>
      <w:r>
        <w:rPr>
          <w:szCs w:val="20"/>
        </w:rPr>
        <w:t xml:space="preserve">Aktualnie </w:t>
      </w:r>
      <w:r w:rsidR="00A3757E">
        <w:rPr>
          <w:szCs w:val="20"/>
        </w:rPr>
        <w:t xml:space="preserve">tego rodzaju </w:t>
      </w:r>
      <w:r>
        <w:rPr>
          <w:szCs w:val="20"/>
        </w:rPr>
        <w:t xml:space="preserve">technologia nie jest spopularyzowana, dlatego </w:t>
      </w:r>
      <w:r w:rsidR="00A537A6">
        <w:rPr>
          <w:szCs w:val="20"/>
        </w:rPr>
        <w:t>UE</w:t>
      </w:r>
      <w:r>
        <w:rPr>
          <w:szCs w:val="20"/>
        </w:rPr>
        <w:t xml:space="preserve"> postawiła </w:t>
      </w:r>
      <w:r w:rsidR="00A3757E">
        <w:rPr>
          <w:szCs w:val="20"/>
        </w:rPr>
        <w:t xml:space="preserve">za </w:t>
      </w:r>
      <w:r>
        <w:rPr>
          <w:szCs w:val="20"/>
        </w:rPr>
        <w:t>cel</w:t>
      </w:r>
      <w:r w:rsidR="00A537A6">
        <w:rPr>
          <w:szCs w:val="20"/>
        </w:rPr>
        <w:t xml:space="preserve"> </w:t>
      </w:r>
      <w:r w:rsidR="00A537A6" w:rsidRPr="00A537A6">
        <w:rPr>
          <w:szCs w:val="20"/>
        </w:rPr>
        <w:t>osiągnię</w:t>
      </w:r>
      <w:r>
        <w:rPr>
          <w:szCs w:val="20"/>
        </w:rPr>
        <w:t>cie do</w:t>
      </w:r>
      <w:r w:rsidR="00F3635F">
        <w:rPr>
          <w:szCs w:val="20"/>
        </w:rPr>
        <w:t> </w:t>
      </w:r>
      <w:r>
        <w:rPr>
          <w:szCs w:val="20"/>
        </w:rPr>
        <w:t>2030 r.</w:t>
      </w:r>
      <w:r w:rsidR="00A537A6" w:rsidRPr="00A537A6">
        <w:rPr>
          <w:szCs w:val="20"/>
        </w:rPr>
        <w:t xml:space="preserve"> roczn</w:t>
      </w:r>
      <w:r>
        <w:rPr>
          <w:szCs w:val="20"/>
        </w:rPr>
        <w:t>ej</w:t>
      </w:r>
      <w:r w:rsidR="00A537A6" w:rsidRPr="00A537A6">
        <w:rPr>
          <w:szCs w:val="20"/>
        </w:rPr>
        <w:t xml:space="preserve"> moc</w:t>
      </w:r>
      <w:r>
        <w:rPr>
          <w:szCs w:val="20"/>
        </w:rPr>
        <w:t>y</w:t>
      </w:r>
      <w:r w:rsidR="00A537A6" w:rsidRPr="00A537A6">
        <w:rPr>
          <w:szCs w:val="20"/>
        </w:rPr>
        <w:t xml:space="preserve"> zatłaczania wynosząc</w:t>
      </w:r>
      <w:r w:rsidR="00023909">
        <w:rPr>
          <w:szCs w:val="20"/>
        </w:rPr>
        <w:t>ej</w:t>
      </w:r>
      <w:r w:rsidR="00A537A6" w:rsidRPr="00A537A6">
        <w:rPr>
          <w:szCs w:val="20"/>
        </w:rPr>
        <w:t xml:space="preserve"> co najmniej 50 mln t CO</w:t>
      </w:r>
      <w:r w:rsidR="00A537A6" w:rsidRPr="00E57B0A">
        <w:rPr>
          <w:szCs w:val="20"/>
          <w:vertAlign w:val="subscript"/>
        </w:rPr>
        <w:t>2</w:t>
      </w:r>
      <w:r w:rsidR="00A537A6" w:rsidRPr="00A537A6">
        <w:rPr>
          <w:szCs w:val="20"/>
        </w:rPr>
        <w:t xml:space="preserve"> w</w:t>
      </w:r>
      <w:r>
        <w:rPr>
          <w:szCs w:val="20"/>
        </w:rPr>
        <w:t> </w:t>
      </w:r>
      <w:r w:rsidR="00DA1E59">
        <w:rPr>
          <w:szCs w:val="20"/>
        </w:rPr>
        <w:t xml:space="preserve">geologicznych </w:t>
      </w:r>
      <w:r w:rsidR="00A537A6" w:rsidRPr="00A537A6">
        <w:rPr>
          <w:szCs w:val="20"/>
        </w:rPr>
        <w:t>składowiskach</w:t>
      </w:r>
      <w:r w:rsidR="00E57B0A">
        <w:rPr>
          <w:szCs w:val="20"/>
        </w:rPr>
        <w:t xml:space="preserve"> </w:t>
      </w:r>
      <w:r w:rsidR="00DA1E59">
        <w:rPr>
          <w:szCs w:val="20"/>
        </w:rPr>
        <w:t xml:space="preserve">dopuszczonych na mocy dyrektywy </w:t>
      </w:r>
      <w:r w:rsidR="00DA1E59" w:rsidRPr="00B1613B">
        <w:rPr>
          <w:szCs w:val="20"/>
        </w:rPr>
        <w:t>2009/31/WE</w:t>
      </w:r>
      <w:r w:rsidR="00DA1E59">
        <w:rPr>
          <w:szCs w:val="20"/>
        </w:rPr>
        <w:t xml:space="preserve"> </w:t>
      </w:r>
      <w:r w:rsidR="00A537A6" w:rsidRPr="00A537A6">
        <w:rPr>
          <w:szCs w:val="20"/>
        </w:rPr>
        <w:t xml:space="preserve">na terytorium </w:t>
      </w:r>
      <w:r w:rsidR="00E57B0A">
        <w:rPr>
          <w:szCs w:val="20"/>
        </w:rPr>
        <w:t>U</w:t>
      </w:r>
      <w:r>
        <w:rPr>
          <w:szCs w:val="20"/>
        </w:rPr>
        <w:t>E</w:t>
      </w:r>
      <w:r w:rsidR="00DA1E59">
        <w:rPr>
          <w:szCs w:val="20"/>
        </w:rPr>
        <w:t xml:space="preserve">, </w:t>
      </w:r>
      <w:r w:rsidR="00DA1E59" w:rsidRPr="00B1613B">
        <w:rPr>
          <w:szCs w:val="20"/>
        </w:rPr>
        <w:t>w jej wyłącznych strefach ekonomicznych lub na jej szelfie kontynentalnym w rozumieniu Konwencji Narodów Zjednoczonych o</w:t>
      </w:r>
      <w:r w:rsidR="00DA1E59">
        <w:rPr>
          <w:szCs w:val="20"/>
        </w:rPr>
        <w:t> </w:t>
      </w:r>
      <w:r w:rsidR="00DA1E59" w:rsidRPr="00B1613B">
        <w:rPr>
          <w:szCs w:val="20"/>
        </w:rPr>
        <w:t>prawie morza</w:t>
      </w:r>
      <w:r w:rsidR="00E57B0A">
        <w:rPr>
          <w:szCs w:val="20"/>
        </w:rPr>
        <w:t xml:space="preserve">. </w:t>
      </w:r>
      <w:r w:rsidR="00A67B83" w:rsidRPr="002F406F">
        <w:rPr>
          <w:szCs w:val="20"/>
        </w:rPr>
        <w:t xml:space="preserve">Wdrażanie technologii CCS oraz obowiązków </w:t>
      </w:r>
      <w:r w:rsidR="002F406F" w:rsidRPr="002F406F">
        <w:rPr>
          <w:szCs w:val="20"/>
        </w:rPr>
        <w:t xml:space="preserve">w tym obszarze </w:t>
      </w:r>
      <w:r w:rsidR="00A67B83" w:rsidRPr="002F406F">
        <w:rPr>
          <w:szCs w:val="20"/>
        </w:rPr>
        <w:t>wynikających z</w:t>
      </w:r>
      <w:r w:rsidR="00DA0888">
        <w:rPr>
          <w:szCs w:val="20"/>
        </w:rPr>
        <w:t> </w:t>
      </w:r>
      <w:r w:rsidR="00A67B83" w:rsidRPr="002F406F">
        <w:rPr>
          <w:szCs w:val="20"/>
        </w:rPr>
        <w:t>rozporządzenia</w:t>
      </w:r>
      <w:r w:rsidR="002F406F">
        <w:rPr>
          <w:szCs w:val="20"/>
        </w:rPr>
        <w:t xml:space="preserve"> UE 2024/1735, tzw.</w:t>
      </w:r>
      <w:r w:rsidR="00A67B83" w:rsidRPr="002F406F">
        <w:rPr>
          <w:szCs w:val="20"/>
        </w:rPr>
        <w:t xml:space="preserve"> </w:t>
      </w:r>
      <w:r w:rsidR="00A67B83" w:rsidRPr="00E36BEA">
        <w:rPr>
          <w:i/>
          <w:iCs/>
          <w:szCs w:val="20"/>
        </w:rPr>
        <w:t>Net Zero Industry Act</w:t>
      </w:r>
      <w:r w:rsidR="00A67B83" w:rsidRPr="002F406F">
        <w:rPr>
          <w:szCs w:val="20"/>
        </w:rPr>
        <w:t xml:space="preserve"> </w:t>
      </w:r>
      <w:r w:rsidR="002F406F">
        <w:rPr>
          <w:szCs w:val="20"/>
        </w:rPr>
        <w:t xml:space="preserve">– </w:t>
      </w:r>
      <w:r w:rsidR="00A67B83" w:rsidRPr="002F406F">
        <w:rPr>
          <w:szCs w:val="20"/>
        </w:rPr>
        <w:t>NZIA</w:t>
      </w:r>
      <w:r w:rsidR="002F406F">
        <w:rPr>
          <w:szCs w:val="20"/>
        </w:rPr>
        <w:t>,</w:t>
      </w:r>
      <w:r w:rsidR="00A67B83" w:rsidRPr="002F406F">
        <w:rPr>
          <w:szCs w:val="20"/>
        </w:rPr>
        <w:t xml:space="preserve"> spoczywać będzie zarówno na państwach członkowskich</w:t>
      </w:r>
      <w:r w:rsidR="002F406F">
        <w:rPr>
          <w:szCs w:val="20"/>
        </w:rPr>
        <w:t>.</w:t>
      </w:r>
      <w:r w:rsidR="00A67B83" w:rsidRPr="002F406F">
        <w:rPr>
          <w:szCs w:val="20"/>
        </w:rPr>
        <w:t xml:space="preserve"> jak i na firmach wydobywających węglowodory (w Pols</w:t>
      </w:r>
      <w:r w:rsidR="0087221F">
        <w:rPr>
          <w:szCs w:val="20"/>
        </w:rPr>
        <w:t>ce</w:t>
      </w:r>
      <w:r w:rsidR="00A67B83" w:rsidRPr="002F406F">
        <w:rPr>
          <w:szCs w:val="20"/>
        </w:rPr>
        <w:t xml:space="preserve"> będzie to przede wszystkim </w:t>
      </w:r>
      <w:r w:rsidR="00DA1E59">
        <w:rPr>
          <w:szCs w:val="20"/>
        </w:rPr>
        <w:t>ORLEN</w:t>
      </w:r>
      <w:r w:rsidR="00DA1E59" w:rsidRPr="002F406F">
        <w:rPr>
          <w:szCs w:val="20"/>
        </w:rPr>
        <w:t xml:space="preserve"> </w:t>
      </w:r>
      <w:r w:rsidR="002F406F" w:rsidRPr="002F406F">
        <w:rPr>
          <w:szCs w:val="20"/>
        </w:rPr>
        <w:t>S.A.).</w:t>
      </w:r>
      <w:r w:rsidR="00A67B83">
        <w:rPr>
          <w:b/>
          <w:bCs/>
          <w:szCs w:val="20"/>
        </w:rPr>
        <w:t xml:space="preserve"> </w:t>
      </w:r>
      <w:r w:rsidR="00B35CD0">
        <w:rPr>
          <w:szCs w:val="20"/>
        </w:rPr>
        <w:t xml:space="preserve">Państwa członkowskie mają </w:t>
      </w:r>
      <w:r w:rsidR="00DA1E59">
        <w:rPr>
          <w:szCs w:val="20"/>
        </w:rPr>
        <w:t xml:space="preserve">obowiązek podać </w:t>
      </w:r>
      <w:r w:rsidR="00DA1E59" w:rsidRPr="00F76341">
        <w:rPr>
          <w:szCs w:val="20"/>
        </w:rPr>
        <w:t>dane dotyczące obszarów na ich terytorium, na których składowiska CO</w:t>
      </w:r>
      <w:r w:rsidR="00DA1E59" w:rsidRPr="00F76341">
        <w:rPr>
          <w:szCs w:val="20"/>
          <w:vertAlign w:val="subscript"/>
        </w:rPr>
        <w:t>2</w:t>
      </w:r>
      <w:r w:rsidR="00DA1E59" w:rsidRPr="00F76341">
        <w:rPr>
          <w:szCs w:val="20"/>
        </w:rPr>
        <w:t xml:space="preserve"> mogą być dopuszczone</w:t>
      </w:r>
      <w:r w:rsidR="00306029">
        <w:rPr>
          <w:szCs w:val="20"/>
        </w:rPr>
        <w:t xml:space="preserve">. </w:t>
      </w:r>
      <w:r w:rsidR="00DA1E59">
        <w:rPr>
          <w:szCs w:val="20"/>
        </w:rPr>
        <w:t xml:space="preserve">Natomiast na </w:t>
      </w:r>
      <w:r w:rsidR="00306029">
        <w:rPr>
          <w:szCs w:val="20"/>
        </w:rPr>
        <w:t xml:space="preserve">podmioty wydobywające węglowodory </w:t>
      </w:r>
      <w:r w:rsidR="00DA1E59">
        <w:rPr>
          <w:szCs w:val="20"/>
        </w:rPr>
        <w:t>nałożony został obowiązek zapewnienia</w:t>
      </w:r>
      <w:r w:rsidR="00DA1E59" w:rsidRPr="00F76341">
        <w:rPr>
          <w:szCs w:val="20"/>
        </w:rPr>
        <w:t xml:space="preserve"> </w:t>
      </w:r>
      <w:r w:rsidR="003F6C43">
        <w:rPr>
          <w:szCs w:val="20"/>
        </w:rPr>
        <w:t xml:space="preserve">kontrybucji do </w:t>
      </w:r>
      <w:r w:rsidR="00DE60DC">
        <w:rPr>
          <w:szCs w:val="20"/>
        </w:rPr>
        <w:t xml:space="preserve">ww. </w:t>
      </w:r>
      <w:r w:rsidR="00407A59">
        <w:rPr>
          <w:szCs w:val="20"/>
        </w:rPr>
        <w:t xml:space="preserve">unijnego celu </w:t>
      </w:r>
      <w:r w:rsidR="00DE60DC">
        <w:rPr>
          <w:szCs w:val="20"/>
        </w:rPr>
        <w:t xml:space="preserve">na 2030 r. </w:t>
      </w:r>
      <w:r w:rsidR="00407A59">
        <w:rPr>
          <w:szCs w:val="20"/>
        </w:rPr>
        <w:t>w</w:t>
      </w:r>
      <w:r w:rsidR="00E164B3">
        <w:rPr>
          <w:szCs w:val="20"/>
        </w:rPr>
        <w:t> </w:t>
      </w:r>
      <w:r w:rsidR="00407A59">
        <w:rPr>
          <w:szCs w:val="20"/>
        </w:rPr>
        <w:t>zakresie zapewnienia rocznej mocy zat</w:t>
      </w:r>
      <w:r w:rsidR="00523E45">
        <w:rPr>
          <w:szCs w:val="20"/>
        </w:rPr>
        <w:t xml:space="preserve">łaczania </w:t>
      </w:r>
      <w:r w:rsidR="00086907" w:rsidRPr="00A537A6">
        <w:rPr>
          <w:szCs w:val="20"/>
        </w:rPr>
        <w:t>CO</w:t>
      </w:r>
      <w:r w:rsidR="00086907" w:rsidRPr="00E57B0A">
        <w:rPr>
          <w:szCs w:val="20"/>
          <w:vertAlign w:val="subscript"/>
        </w:rPr>
        <w:t>2</w:t>
      </w:r>
      <w:r w:rsidR="00086907" w:rsidRPr="00A537A6">
        <w:rPr>
          <w:szCs w:val="20"/>
        </w:rPr>
        <w:t xml:space="preserve"> </w:t>
      </w:r>
      <w:r w:rsidR="00572EE3">
        <w:rPr>
          <w:szCs w:val="20"/>
        </w:rPr>
        <w:t xml:space="preserve">- </w:t>
      </w:r>
      <w:r w:rsidR="00DA1E59" w:rsidRPr="00F76341">
        <w:rPr>
          <w:szCs w:val="20"/>
        </w:rPr>
        <w:t>stosownie do wielkości ich produkcji w okresie 2020-2023 r.</w:t>
      </w:r>
      <w:r w:rsidR="00572EE3">
        <w:rPr>
          <w:szCs w:val="20"/>
        </w:rPr>
        <w:t xml:space="preserve"> </w:t>
      </w:r>
      <w:r w:rsidR="00B41BF6">
        <w:t>(przy czym podmioty mogą inwestować w projekty składowania, które nie będą realizowane w Polsce, ale na terytorium Unii Europejskiej</w:t>
      </w:r>
      <w:r w:rsidR="00E164B3">
        <w:t xml:space="preserve"> -</w:t>
      </w:r>
      <w:r w:rsidR="00B41BF6">
        <w:t xml:space="preserve"> w jej wyłącznych strefach ekonomicznych lub na jej szelfie kontynentalnym). </w:t>
      </w:r>
      <w:r w:rsidR="00572EE3">
        <w:rPr>
          <w:szCs w:val="20"/>
        </w:rPr>
        <w:t>Dodatkowo</w:t>
      </w:r>
      <w:r w:rsidR="00DA1E59">
        <w:rPr>
          <w:szCs w:val="20"/>
        </w:rPr>
        <w:t xml:space="preserve"> </w:t>
      </w:r>
      <w:r w:rsidR="00E164B3">
        <w:rPr>
          <w:szCs w:val="20"/>
        </w:rPr>
        <w:t>zobligowane</w:t>
      </w:r>
      <w:r w:rsidR="00DA1E59">
        <w:rPr>
          <w:szCs w:val="20"/>
        </w:rPr>
        <w:t xml:space="preserve"> podmioty </w:t>
      </w:r>
      <w:r w:rsidR="00306029">
        <w:rPr>
          <w:szCs w:val="20"/>
        </w:rPr>
        <w:t xml:space="preserve">powinny podać </w:t>
      </w:r>
      <w:r w:rsidR="00306029">
        <w:t>do wiadomości publicznej dane geologiczne dotyczące zakładów produkcyjnych, które zostały zlikwidowane lub zostały zgłoszone do</w:t>
      </w:r>
      <w:r w:rsidR="00E164B3">
        <w:t> </w:t>
      </w:r>
      <w:r w:rsidR="00306029">
        <w:t>likwidacji – jako potencjalne miejsca składowania</w:t>
      </w:r>
      <w:r w:rsidR="00726240">
        <w:t xml:space="preserve"> CO</w:t>
      </w:r>
      <w:r w:rsidR="00726240" w:rsidRPr="00726240">
        <w:rPr>
          <w:vertAlign w:val="subscript"/>
        </w:rPr>
        <w:t>2</w:t>
      </w:r>
      <w:r w:rsidR="00306029">
        <w:t xml:space="preserve">. </w:t>
      </w:r>
    </w:p>
    <w:bookmarkEnd w:id="113"/>
    <w:p w14:paraId="55CDB417" w14:textId="7D367676" w:rsidR="007C094D" w:rsidRPr="001050A9" w:rsidRDefault="00023909" w:rsidP="00A00822">
      <w:pPr>
        <w:spacing w:before="120" w:after="120" w:line="276" w:lineRule="auto"/>
        <w:rPr>
          <w:rFonts w:eastAsia="Times New Roman" w:cs="Arial"/>
          <w:color w:val="000000"/>
          <w:kern w:val="0"/>
          <w:szCs w:val="20"/>
          <w:lang w:eastAsia="pl-PL"/>
          <w14:ligatures w14:val="none"/>
        </w:rPr>
      </w:pPr>
      <w:r>
        <w:t xml:space="preserve">W lipcu 2024 r. podjęto inicjatywę </w:t>
      </w:r>
      <w:r w:rsidRPr="007C094D">
        <w:t>zawarcia</w:t>
      </w:r>
      <w:r w:rsidRPr="007C094D">
        <w:rPr>
          <w:i/>
          <w:iCs/>
        </w:rPr>
        <w:t xml:space="preserve"> listu intencyjnego w sprawie rozwoju technologii sekwestracji </w:t>
      </w:r>
      <w:r>
        <w:rPr>
          <w:i/>
          <w:iCs/>
        </w:rPr>
        <w:t>CO</w:t>
      </w:r>
      <w:r w:rsidRPr="007C094D">
        <w:rPr>
          <w:i/>
          <w:iCs/>
          <w:vertAlign w:val="subscript"/>
        </w:rPr>
        <w:t>2</w:t>
      </w:r>
      <w:r w:rsidRPr="007C094D">
        <w:rPr>
          <w:i/>
          <w:iCs/>
        </w:rPr>
        <w:t xml:space="preserve"> w Polsce</w:t>
      </w:r>
      <w:r w:rsidRPr="007C094D">
        <w:t xml:space="preserve"> </w:t>
      </w:r>
      <w:r>
        <w:t xml:space="preserve">pomiędzy </w:t>
      </w:r>
      <w:r>
        <w:rPr>
          <w:rFonts w:eastAsia="Times New Roman" w:cs="Arial"/>
          <w:color w:val="000000"/>
          <w:kern w:val="0"/>
          <w:szCs w:val="20"/>
          <w:lang w:eastAsia="pl-PL"/>
          <w14:ligatures w14:val="none"/>
        </w:rPr>
        <w:t xml:space="preserve">Ministerstwem Klimatu i Środowiska a </w:t>
      </w:r>
      <w:r w:rsidRPr="00A4426E">
        <w:rPr>
          <w:rFonts w:eastAsia="Times New Roman" w:cs="Arial"/>
          <w:color w:val="000000"/>
          <w:kern w:val="0"/>
          <w:szCs w:val="20"/>
          <w:lang w:eastAsia="pl-PL"/>
          <w14:ligatures w14:val="none"/>
        </w:rPr>
        <w:t>przedstawicielami przedsiębiorców, nauki oraz organizacji pozarządowych</w:t>
      </w:r>
      <w:r>
        <w:rPr>
          <w:rFonts w:eastAsia="Times New Roman" w:cs="Arial"/>
          <w:color w:val="000000"/>
          <w:kern w:val="0"/>
          <w:szCs w:val="20"/>
          <w:lang w:eastAsia="pl-PL"/>
          <w14:ligatures w14:val="none"/>
        </w:rPr>
        <w:t>. Zawarcie listu intencyjnego oraz podjęcie i intensyfikacja określonych w nim działań pozwolą na o</w:t>
      </w:r>
      <w:r w:rsidRPr="00737BF2">
        <w:rPr>
          <w:rFonts w:eastAsia="Times New Roman" w:cs="Arial"/>
          <w:color w:val="000000"/>
          <w:kern w:val="0"/>
          <w:szCs w:val="20"/>
          <w:lang w:eastAsia="pl-PL"/>
          <w14:ligatures w14:val="none"/>
        </w:rPr>
        <w:t>stateczn</w:t>
      </w:r>
      <w:r>
        <w:rPr>
          <w:rFonts w:eastAsia="Times New Roman" w:cs="Arial"/>
          <w:color w:val="000000"/>
          <w:kern w:val="0"/>
          <w:szCs w:val="20"/>
          <w:lang w:eastAsia="pl-PL"/>
          <w14:ligatures w14:val="none"/>
        </w:rPr>
        <w:t>ą</w:t>
      </w:r>
      <w:r w:rsidRPr="00737BF2">
        <w:rPr>
          <w:rFonts w:eastAsia="Times New Roman" w:cs="Arial"/>
          <w:color w:val="000000"/>
          <w:kern w:val="0"/>
          <w:szCs w:val="20"/>
          <w:lang w:eastAsia="pl-PL"/>
          <w14:ligatures w14:val="none"/>
        </w:rPr>
        <w:t xml:space="preserve"> ocen</w:t>
      </w:r>
      <w:r>
        <w:rPr>
          <w:rFonts w:eastAsia="Times New Roman" w:cs="Arial"/>
          <w:color w:val="000000"/>
          <w:kern w:val="0"/>
          <w:szCs w:val="20"/>
          <w:lang w:eastAsia="pl-PL"/>
          <w14:ligatures w14:val="none"/>
        </w:rPr>
        <w:t>ę</w:t>
      </w:r>
      <w:r w:rsidRPr="00737BF2">
        <w:rPr>
          <w:rFonts w:eastAsia="Times New Roman" w:cs="Arial"/>
          <w:color w:val="000000"/>
          <w:kern w:val="0"/>
          <w:szCs w:val="20"/>
          <w:lang w:eastAsia="pl-PL"/>
          <w14:ligatures w14:val="none"/>
        </w:rPr>
        <w:t xml:space="preserve"> potencjału rozwoju technologii CCS</w:t>
      </w:r>
      <w:r>
        <w:rPr>
          <w:rFonts w:eastAsia="Times New Roman" w:cs="Arial"/>
          <w:color w:val="000000"/>
          <w:kern w:val="0"/>
          <w:szCs w:val="20"/>
          <w:lang w:eastAsia="pl-PL"/>
          <w14:ligatures w14:val="none"/>
        </w:rPr>
        <w:t>/CCUS</w:t>
      </w:r>
      <w:r w:rsidRPr="00737BF2">
        <w:rPr>
          <w:rFonts w:eastAsia="Times New Roman" w:cs="Arial"/>
          <w:color w:val="000000"/>
          <w:kern w:val="0"/>
          <w:szCs w:val="20"/>
          <w:lang w:eastAsia="pl-PL"/>
          <w14:ligatures w14:val="none"/>
        </w:rPr>
        <w:t xml:space="preserve"> w Polsce</w:t>
      </w:r>
      <w:r>
        <w:rPr>
          <w:rFonts w:eastAsia="Times New Roman" w:cs="Arial"/>
          <w:color w:val="000000"/>
          <w:kern w:val="0"/>
          <w:szCs w:val="20"/>
          <w:lang w:eastAsia="pl-PL"/>
          <w14:ligatures w14:val="none"/>
        </w:rPr>
        <w:t xml:space="preserve">, która jest </w:t>
      </w:r>
      <w:r w:rsidRPr="00737BF2">
        <w:rPr>
          <w:rFonts w:eastAsia="Times New Roman" w:cs="Arial"/>
          <w:color w:val="000000"/>
          <w:kern w:val="0"/>
          <w:szCs w:val="20"/>
          <w:lang w:eastAsia="pl-PL"/>
          <w14:ligatures w14:val="none"/>
        </w:rPr>
        <w:t xml:space="preserve">silnie uzależniona od weryfikacji szacunków </w:t>
      </w:r>
      <w:r w:rsidRPr="003C784D">
        <w:rPr>
          <w:rFonts w:eastAsia="Times New Roman" w:cs="Arial"/>
          <w:color w:val="000000"/>
          <w:kern w:val="0"/>
          <w:szCs w:val="20"/>
          <w:lang w:eastAsia="pl-PL"/>
          <w14:ligatures w14:val="none"/>
        </w:rPr>
        <w:t>w zakresie pojemności kompleksów podziemnych składowisk CO</w:t>
      </w:r>
      <w:r w:rsidRPr="003C784D">
        <w:rPr>
          <w:rFonts w:eastAsia="Times New Roman" w:cs="Arial"/>
          <w:color w:val="000000"/>
          <w:kern w:val="0"/>
          <w:szCs w:val="20"/>
          <w:vertAlign w:val="subscript"/>
          <w:lang w:eastAsia="pl-PL"/>
          <w14:ligatures w14:val="none"/>
        </w:rPr>
        <w:t>2</w:t>
      </w:r>
      <w:r w:rsidRPr="003C784D">
        <w:rPr>
          <w:rFonts w:eastAsia="Times New Roman" w:cs="Arial"/>
          <w:color w:val="000000"/>
          <w:kern w:val="0"/>
          <w:szCs w:val="20"/>
          <w:lang w:eastAsia="pl-PL"/>
          <w14:ligatures w14:val="none"/>
        </w:rPr>
        <w:t xml:space="preserve"> w Polsce</w:t>
      </w:r>
      <w:r>
        <w:rPr>
          <w:rFonts w:eastAsia="Times New Roman" w:cs="Arial"/>
          <w:color w:val="000000"/>
          <w:kern w:val="0"/>
          <w:szCs w:val="20"/>
          <w:lang w:eastAsia="pl-PL"/>
          <w14:ligatures w14:val="none"/>
        </w:rPr>
        <w:t xml:space="preserve">. Z tego względu dokładne szacunki dla Polski w zakresie m.in. </w:t>
      </w:r>
      <w:r w:rsidRPr="00551FBE">
        <w:rPr>
          <w:rFonts w:eastAsia="Times New Roman" w:cs="Arial"/>
          <w:color w:val="000000"/>
          <w:kern w:val="0"/>
          <w:szCs w:val="20"/>
          <w:lang w:eastAsia="pl-PL"/>
          <w14:ligatures w14:val="none"/>
        </w:rPr>
        <w:t>iloś</w:t>
      </w:r>
      <w:r>
        <w:rPr>
          <w:rFonts w:eastAsia="Times New Roman" w:cs="Arial"/>
          <w:color w:val="000000"/>
          <w:kern w:val="0"/>
          <w:szCs w:val="20"/>
          <w:lang w:eastAsia="pl-PL"/>
          <w14:ligatures w14:val="none"/>
        </w:rPr>
        <w:t>ci</w:t>
      </w:r>
      <w:r w:rsidRPr="00551FBE">
        <w:rPr>
          <w:rFonts w:eastAsia="Times New Roman" w:cs="Arial"/>
          <w:color w:val="000000"/>
          <w:kern w:val="0"/>
          <w:szCs w:val="20"/>
          <w:lang w:eastAsia="pl-PL"/>
          <w14:ligatures w14:val="none"/>
        </w:rPr>
        <w:t xml:space="preserve"> emisji CO</w:t>
      </w:r>
      <w:r w:rsidRPr="004F2F78">
        <w:rPr>
          <w:rFonts w:eastAsia="Times New Roman" w:cs="Arial"/>
          <w:color w:val="000000"/>
          <w:kern w:val="0"/>
          <w:szCs w:val="20"/>
          <w:vertAlign w:val="subscript"/>
          <w:lang w:eastAsia="pl-PL"/>
          <w14:ligatures w14:val="none"/>
        </w:rPr>
        <w:t>2</w:t>
      </w:r>
      <w:r w:rsidRPr="00551FBE">
        <w:rPr>
          <w:rFonts w:eastAsia="Times New Roman" w:cs="Arial"/>
          <w:color w:val="000000"/>
          <w:kern w:val="0"/>
          <w:szCs w:val="20"/>
          <w:lang w:eastAsia="pl-PL"/>
          <w14:ligatures w14:val="none"/>
        </w:rPr>
        <w:t>, którą można wychwycić rocznie do 2030</w:t>
      </w:r>
      <w:r>
        <w:rPr>
          <w:rFonts w:eastAsia="Times New Roman" w:cs="Arial"/>
          <w:color w:val="000000"/>
          <w:kern w:val="0"/>
          <w:szCs w:val="20"/>
          <w:lang w:eastAsia="pl-PL"/>
          <w14:ligatures w14:val="none"/>
        </w:rPr>
        <w:t xml:space="preserve"> </w:t>
      </w:r>
      <w:r w:rsidRPr="00551FBE">
        <w:rPr>
          <w:rFonts w:eastAsia="Times New Roman" w:cs="Arial"/>
          <w:color w:val="000000"/>
          <w:kern w:val="0"/>
          <w:szCs w:val="20"/>
          <w:lang w:eastAsia="pl-PL"/>
          <w14:ligatures w14:val="none"/>
        </w:rPr>
        <w:t>r., sposobu transportu wychwyconego CO</w:t>
      </w:r>
      <w:r w:rsidRPr="007C094D">
        <w:rPr>
          <w:rFonts w:eastAsia="Times New Roman" w:cs="Arial"/>
          <w:color w:val="000000"/>
          <w:kern w:val="0"/>
          <w:szCs w:val="20"/>
          <w:vertAlign w:val="subscript"/>
          <w:lang w:eastAsia="pl-PL"/>
          <w14:ligatures w14:val="none"/>
        </w:rPr>
        <w:t>2</w:t>
      </w:r>
      <w:r>
        <w:rPr>
          <w:rFonts w:eastAsia="Times New Roman" w:cs="Arial"/>
          <w:color w:val="000000"/>
          <w:kern w:val="0"/>
          <w:szCs w:val="20"/>
          <w:lang w:eastAsia="pl-PL"/>
          <w14:ligatures w14:val="none"/>
        </w:rPr>
        <w:t xml:space="preserve">, czy </w:t>
      </w:r>
      <w:r w:rsidRPr="00551FBE">
        <w:rPr>
          <w:rFonts w:eastAsia="Times New Roman" w:cs="Arial"/>
          <w:color w:val="000000"/>
          <w:kern w:val="0"/>
          <w:szCs w:val="20"/>
          <w:lang w:eastAsia="pl-PL"/>
          <w14:ligatures w14:val="none"/>
        </w:rPr>
        <w:t>zdolnoś</w:t>
      </w:r>
      <w:r>
        <w:rPr>
          <w:rFonts w:eastAsia="Times New Roman" w:cs="Arial"/>
          <w:color w:val="000000"/>
          <w:kern w:val="0"/>
          <w:szCs w:val="20"/>
          <w:lang w:eastAsia="pl-PL"/>
          <w14:ligatures w14:val="none"/>
        </w:rPr>
        <w:t>ci</w:t>
      </w:r>
      <w:r w:rsidRPr="00551FBE">
        <w:rPr>
          <w:rFonts w:eastAsia="Times New Roman" w:cs="Arial"/>
          <w:color w:val="000000"/>
          <w:kern w:val="0"/>
          <w:szCs w:val="20"/>
          <w:lang w:eastAsia="pl-PL"/>
          <w14:ligatures w14:val="none"/>
        </w:rPr>
        <w:t xml:space="preserve"> </w:t>
      </w:r>
      <w:r w:rsidR="00726240">
        <w:rPr>
          <w:rFonts w:eastAsia="Times New Roman" w:cs="Arial"/>
          <w:color w:val="000000"/>
          <w:kern w:val="0"/>
          <w:szCs w:val="20"/>
          <w:lang w:eastAsia="pl-PL"/>
          <w14:ligatures w14:val="none"/>
        </w:rPr>
        <w:t>składowania</w:t>
      </w:r>
      <w:r w:rsidRPr="00551FBE">
        <w:rPr>
          <w:rFonts w:eastAsia="Times New Roman" w:cs="Arial"/>
          <w:color w:val="000000"/>
          <w:kern w:val="0"/>
          <w:szCs w:val="20"/>
          <w:lang w:eastAsia="pl-PL"/>
          <w14:ligatures w14:val="none"/>
        </w:rPr>
        <w:t xml:space="preserve"> i</w:t>
      </w:r>
      <w:r w:rsidR="00726240">
        <w:rPr>
          <w:rFonts w:eastAsia="Times New Roman" w:cs="Arial"/>
          <w:color w:val="000000"/>
          <w:kern w:val="0"/>
          <w:szCs w:val="20"/>
          <w:lang w:eastAsia="pl-PL"/>
          <w14:ligatures w14:val="none"/>
        </w:rPr>
        <w:t> </w:t>
      </w:r>
      <w:r w:rsidRPr="00551FBE">
        <w:rPr>
          <w:rFonts w:eastAsia="Times New Roman" w:cs="Arial"/>
          <w:color w:val="000000"/>
          <w:kern w:val="0"/>
          <w:szCs w:val="20"/>
          <w:lang w:eastAsia="pl-PL"/>
          <w14:ligatures w14:val="none"/>
        </w:rPr>
        <w:t>objętoś</w:t>
      </w:r>
      <w:r>
        <w:rPr>
          <w:rFonts w:eastAsia="Times New Roman" w:cs="Arial"/>
          <w:color w:val="000000"/>
          <w:kern w:val="0"/>
          <w:szCs w:val="20"/>
          <w:lang w:eastAsia="pl-PL"/>
          <w14:ligatures w14:val="none"/>
        </w:rPr>
        <w:t>ci</w:t>
      </w:r>
      <w:r w:rsidRPr="00551FBE">
        <w:rPr>
          <w:rFonts w:eastAsia="Times New Roman" w:cs="Arial"/>
          <w:color w:val="000000"/>
          <w:kern w:val="0"/>
          <w:szCs w:val="20"/>
          <w:lang w:eastAsia="pl-PL"/>
          <w14:ligatures w14:val="none"/>
        </w:rPr>
        <w:t xml:space="preserve"> iniekcji CO</w:t>
      </w:r>
      <w:r w:rsidRPr="007C094D">
        <w:rPr>
          <w:rFonts w:eastAsia="Times New Roman" w:cs="Arial"/>
          <w:color w:val="000000"/>
          <w:kern w:val="0"/>
          <w:szCs w:val="20"/>
          <w:vertAlign w:val="subscript"/>
          <w:lang w:eastAsia="pl-PL"/>
          <w14:ligatures w14:val="none"/>
        </w:rPr>
        <w:t>2</w:t>
      </w:r>
      <w:r w:rsidRPr="00551FBE">
        <w:rPr>
          <w:rFonts w:eastAsia="Times New Roman" w:cs="Arial"/>
          <w:color w:val="000000"/>
          <w:kern w:val="0"/>
          <w:szCs w:val="20"/>
          <w:lang w:eastAsia="pl-PL"/>
          <w14:ligatures w14:val="none"/>
        </w:rPr>
        <w:t xml:space="preserve"> dostępn</w:t>
      </w:r>
      <w:r>
        <w:rPr>
          <w:rFonts w:eastAsia="Times New Roman" w:cs="Arial"/>
          <w:color w:val="000000"/>
          <w:kern w:val="0"/>
          <w:szCs w:val="20"/>
          <w:lang w:eastAsia="pl-PL"/>
          <w14:ligatures w14:val="none"/>
        </w:rPr>
        <w:t>ych</w:t>
      </w:r>
      <w:r w:rsidRPr="00551FBE">
        <w:rPr>
          <w:rFonts w:eastAsia="Times New Roman" w:cs="Arial"/>
          <w:color w:val="000000"/>
          <w:kern w:val="0"/>
          <w:szCs w:val="20"/>
          <w:lang w:eastAsia="pl-PL"/>
          <w14:ligatures w14:val="none"/>
        </w:rPr>
        <w:t xml:space="preserve"> do 2030</w:t>
      </w:r>
      <w:r>
        <w:rPr>
          <w:rFonts w:eastAsia="Times New Roman" w:cs="Arial"/>
          <w:color w:val="000000"/>
          <w:kern w:val="0"/>
          <w:szCs w:val="20"/>
          <w:lang w:eastAsia="pl-PL"/>
          <w14:ligatures w14:val="none"/>
        </w:rPr>
        <w:t xml:space="preserve"> </w:t>
      </w:r>
      <w:r w:rsidRPr="00551FBE">
        <w:rPr>
          <w:rFonts w:eastAsia="Times New Roman" w:cs="Arial"/>
          <w:color w:val="000000"/>
          <w:kern w:val="0"/>
          <w:szCs w:val="20"/>
          <w:lang w:eastAsia="pl-PL"/>
          <w14:ligatures w14:val="none"/>
        </w:rPr>
        <w:t>r</w:t>
      </w:r>
      <w:r>
        <w:rPr>
          <w:rFonts w:eastAsia="Times New Roman" w:cs="Arial"/>
          <w:color w:val="000000"/>
          <w:kern w:val="0"/>
          <w:szCs w:val="20"/>
          <w:lang w:eastAsia="pl-PL"/>
          <w14:ligatures w14:val="none"/>
        </w:rPr>
        <w:t>. mogą zostać określone na dalszym etapie prac, w</w:t>
      </w:r>
      <w:r w:rsidR="00661B98">
        <w:rPr>
          <w:rFonts w:eastAsia="Times New Roman" w:cs="Arial"/>
          <w:color w:val="000000"/>
          <w:kern w:val="0"/>
          <w:szCs w:val="20"/>
          <w:lang w:eastAsia="pl-PL"/>
          <w14:ligatures w14:val="none"/>
        </w:rPr>
        <w:t> </w:t>
      </w:r>
      <w:r>
        <w:rPr>
          <w:rFonts w:eastAsia="Times New Roman" w:cs="Arial"/>
          <w:color w:val="000000"/>
          <w:kern w:val="0"/>
          <w:szCs w:val="20"/>
          <w:lang w:eastAsia="pl-PL"/>
          <w14:ligatures w14:val="none"/>
        </w:rPr>
        <w:t xml:space="preserve">szczególności w ramach planowanej </w:t>
      </w:r>
      <w:r w:rsidRPr="00FD308A">
        <w:rPr>
          <w:rFonts w:eastAsia="Times New Roman" w:cs="Arial"/>
          <w:color w:val="000000"/>
          <w:kern w:val="0"/>
          <w:szCs w:val="20"/>
          <w:lang w:eastAsia="pl-PL"/>
          <w14:ligatures w14:val="none"/>
        </w:rPr>
        <w:t>strategi</w:t>
      </w:r>
      <w:r>
        <w:rPr>
          <w:rFonts w:eastAsia="Times New Roman" w:cs="Arial"/>
          <w:color w:val="000000"/>
          <w:kern w:val="0"/>
          <w:szCs w:val="20"/>
          <w:lang w:eastAsia="pl-PL"/>
          <w14:ligatures w14:val="none"/>
        </w:rPr>
        <w:t xml:space="preserve">i </w:t>
      </w:r>
      <w:r w:rsidRPr="00FD308A">
        <w:rPr>
          <w:rFonts w:eastAsia="Times New Roman" w:cs="Arial"/>
          <w:color w:val="000000"/>
          <w:kern w:val="0"/>
          <w:szCs w:val="20"/>
          <w:lang w:eastAsia="pl-PL"/>
          <w14:ligatures w14:val="none"/>
        </w:rPr>
        <w:t xml:space="preserve">rozwoju zarządzaniem sekwestracją </w:t>
      </w:r>
      <w:r>
        <w:rPr>
          <w:rFonts w:eastAsia="Times New Roman" w:cs="Arial"/>
          <w:color w:val="000000"/>
          <w:kern w:val="0"/>
          <w:szCs w:val="20"/>
          <w:lang w:eastAsia="pl-PL"/>
          <w14:ligatures w14:val="none"/>
        </w:rPr>
        <w:t>CO</w:t>
      </w:r>
      <w:r w:rsidRPr="007C094D">
        <w:rPr>
          <w:rFonts w:eastAsia="Times New Roman" w:cs="Arial"/>
          <w:color w:val="000000"/>
          <w:kern w:val="0"/>
          <w:szCs w:val="20"/>
          <w:vertAlign w:val="subscript"/>
          <w:lang w:eastAsia="pl-PL"/>
          <w14:ligatures w14:val="none"/>
        </w:rPr>
        <w:t>2</w:t>
      </w:r>
      <w:r w:rsidR="00072408">
        <w:rPr>
          <w:rFonts w:eastAsia="Times New Roman" w:cs="Arial"/>
          <w:color w:val="000000"/>
          <w:kern w:val="0"/>
          <w:szCs w:val="20"/>
          <w:lang w:eastAsia="pl-PL"/>
          <w14:ligatures w14:val="none"/>
        </w:rPr>
        <w:t>,</w:t>
      </w:r>
      <w:r w:rsidRPr="00FD308A">
        <w:rPr>
          <w:rFonts w:eastAsia="Times New Roman" w:cs="Arial"/>
          <w:color w:val="000000"/>
          <w:kern w:val="0"/>
          <w:szCs w:val="20"/>
          <w:lang w:eastAsia="pl-PL"/>
          <w14:ligatures w14:val="none"/>
        </w:rPr>
        <w:t xml:space="preserve"> jego </w:t>
      </w:r>
      <w:r w:rsidR="00437418">
        <w:rPr>
          <w:rFonts w:eastAsia="Times New Roman" w:cs="Arial"/>
          <w:color w:val="000000"/>
          <w:kern w:val="0"/>
          <w:szCs w:val="20"/>
          <w:lang w:eastAsia="pl-PL"/>
          <w14:ligatures w14:val="none"/>
        </w:rPr>
        <w:t>magazynowaniem</w:t>
      </w:r>
      <w:r w:rsidR="00DA1E59">
        <w:rPr>
          <w:rFonts w:eastAsia="Times New Roman" w:cs="Arial"/>
          <w:color w:val="000000"/>
          <w:kern w:val="0"/>
          <w:szCs w:val="20"/>
          <w:lang w:eastAsia="pl-PL"/>
          <w14:ligatures w14:val="none"/>
        </w:rPr>
        <w:t>, składowaniem</w:t>
      </w:r>
      <w:r w:rsidR="00437418">
        <w:rPr>
          <w:rFonts w:eastAsia="Times New Roman" w:cs="Arial"/>
          <w:color w:val="000000"/>
          <w:kern w:val="0"/>
          <w:szCs w:val="20"/>
          <w:lang w:eastAsia="pl-PL"/>
          <w14:ligatures w14:val="none"/>
        </w:rPr>
        <w:t xml:space="preserve"> i </w:t>
      </w:r>
      <w:r w:rsidRPr="00FD308A">
        <w:rPr>
          <w:rFonts w:eastAsia="Times New Roman" w:cs="Arial"/>
          <w:color w:val="000000"/>
          <w:kern w:val="0"/>
          <w:szCs w:val="20"/>
          <w:lang w:eastAsia="pl-PL"/>
          <w14:ligatures w14:val="none"/>
        </w:rPr>
        <w:t>wykorzystaniem w</w:t>
      </w:r>
      <w:r>
        <w:rPr>
          <w:rFonts w:eastAsia="Times New Roman" w:cs="Arial"/>
          <w:color w:val="000000"/>
          <w:kern w:val="0"/>
          <w:szCs w:val="20"/>
          <w:lang w:eastAsia="pl-PL"/>
          <w14:ligatures w14:val="none"/>
        </w:rPr>
        <w:t xml:space="preserve"> </w:t>
      </w:r>
      <w:r w:rsidRPr="00FD308A">
        <w:rPr>
          <w:rFonts w:eastAsia="Times New Roman" w:cs="Arial"/>
          <w:color w:val="000000"/>
          <w:kern w:val="0"/>
          <w:szCs w:val="20"/>
          <w:lang w:eastAsia="pl-PL"/>
          <w14:ligatures w14:val="none"/>
        </w:rPr>
        <w:t>gospodarce</w:t>
      </w:r>
      <w:r>
        <w:rPr>
          <w:rFonts w:eastAsia="Times New Roman" w:cs="Arial"/>
          <w:color w:val="000000"/>
          <w:kern w:val="0"/>
          <w:szCs w:val="20"/>
          <w:lang w:eastAsia="pl-PL"/>
          <w14:ligatures w14:val="none"/>
        </w:rPr>
        <w:t>.</w:t>
      </w:r>
    </w:p>
    <w:p w14:paraId="124DFF25" w14:textId="2D6B8E45" w:rsidR="00306029" w:rsidRDefault="00BC214E" w:rsidP="00306029">
      <w:pPr>
        <w:pStyle w:val="Cele"/>
        <w:rPr>
          <w:b/>
          <w:lang w:eastAsia="pl-PL"/>
        </w:rPr>
      </w:pPr>
      <w:r w:rsidRPr="007C094D">
        <w:rPr>
          <w:b/>
          <w:bCs/>
          <w:lang w:eastAsia="pl-PL"/>
        </w:rPr>
        <w:t xml:space="preserve">Polska </w:t>
      </w:r>
      <w:r w:rsidR="002F406F">
        <w:rPr>
          <w:b/>
          <w:bCs/>
          <w:lang w:eastAsia="pl-PL"/>
        </w:rPr>
        <w:t xml:space="preserve">przygotuje strategię </w:t>
      </w:r>
      <w:r w:rsidRPr="007C094D">
        <w:rPr>
          <w:b/>
          <w:bCs/>
          <w:lang w:eastAsia="pl-PL"/>
        </w:rPr>
        <w:t xml:space="preserve">rozwoju </w:t>
      </w:r>
      <w:r w:rsidR="00007B2D" w:rsidRPr="007E45A6">
        <w:t xml:space="preserve">wychwytu, transportu, składowania </w:t>
      </w:r>
      <w:r w:rsidRPr="007C094D">
        <w:rPr>
          <w:b/>
          <w:bCs/>
          <w:lang w:eastAsia="pl-PL"/>
        </w:rPr>
        <w:t>CO</w:t>
      </w:r>
      <w:r w:rsidRPr="007C094D">
        <w:rPr>
          <w:b/>
          <w:bCs/>
          <w:vertAlign w:val="subscript"/>
          <w:lang w:eastAsia="pl-PL"/>
        </w:rPr>
        <w:t>2</w:t>
      </w:r>
      <w:r w:rsidR="007C094D">
        <w:rPr>
          <w:b/>
          <w:bCs/>
          <w:i/>
          <w:vertAlign w:val="subscript"/>
          <w:lang w:eastAsia="pl-PL"/>
        </w:rPr>
        <w:t xml:space="preserve"> </w:t>
      </w:r>
      <w:r w:rsidR="007C094D" w:rsidRPr="007C094D">
        <w:rPr>
          <w:b/>
          <w:bCs/>
          <w:iCs/>
          <w:lang w:eastAsia="pl-PL"/>
        </w:rPr>
        <w:t>i</w:t>
      </w:r>
      <w:r w:rsidR="007C094D">
        <w:rPr>
          <w:b/>
          <w:bCs/>
          <w:iCs/>
          <w:lang w:eastAsia="pl-PL"/>
        </w:rPr>
        <w:t xml:space="preserve"> jego wykorzystania w</w:t>
      </w:r>
      <w:r w:rsidR="002F406F">
        <w:rPr>
          <w:b/>
          <w:bCs/>
          <w:iCs/>
          <w:lang w:eastAsia="pl-PL"/>
        </w:rPr>
        <w:t> </w:t>
      </w:r>
      <w:r w:rsidR="007C094D">
        <w:rPr>
          <w:b/>
          <w:bCs/>
          <w:iCs/>
          <w:lang w:eastAsia="pl-PL"/>
        </w:rPr>
        <w:t>gospodarce.</w:t>
      </w:r>
    </w:p>
    <w:p w14:paraId="7A80A9B0" w14:textId="77777777" w:rsidR="00080BA7" w:rsidRDefault="00080BA7" w:rsidP="004F2F78">
      <w:pPr>
        <w:keepNext/>
        <w:spacing w:before="240" w:after="80"/>
        <w:rPr>
          <w:rFonts w:ascii="Bahnschrift" w:hAnsi="Bahnschrift"/>
        </w:rPr>
      </w:pPr>
      <w:r w:rsidRPr="00C46DAA">
        <w:rPr>
          <w:rFonts w:ascii="Bahnschrift" w:hAnsi="Bahnschrift"/>
          <w:b/>
          <w:bCs/>
          <w:sz w:val="32"/>
          <w:szCs w:val="32"/>
        </w:rPr>
        <w:lastRenderedPageBreak/>
        <w:t>POLITYKA</w:t>
      </w:r>
    </w:p>
    <w:p w14:paraId="588CA888" w14:textId="3B0767F8" w:rsidR="00306029" w:rsidRDefault="00306029" w:rsidP="00080BA7">
      <w:r>
        <w:t>Redukcja emisji gazów cieplarnianych w sektorze przemy</w:t>
      </w:r>
      <w:r w:rsidR="00280BF1">
        <w:t>s</w:t>
      </w:r>
      <w:r>
        <w:t xml:space="preserve">łu </w:t>
      </w:r>
      <w:r w:rsidR="00280BF1">
        <w:t>będzie odbywać się wielotorowo. Część</w:t>
      </w:r>
      <w:r w:rsidR="00D80F32">
        <w:t> </w:t>
      </w:r>
      <w:r w:rsidR="00280BF1">
        <w:t>działań będzie motywowana regulacjami unijnymi i krajowymi ukierunkowanymi na</w:t>
      </w:r>
      <w:r w:rsidR="00D80F32">
        <w:t> </w:t>
      </w:r>
      <w:r w:rsidR="00280BF1">
        <w:t>dekarbonizację</w:t>
      </w:r>
      <w:r w:rsidR="000D2EC4">
        <w:t>,</w:t>
      </w:r>
      <w:r w:rsidR="00280BF1">
        <w:t xml:space="preserve"> </w:t>
      </w:r>
      <w:r w:rsidR="00844C8C">
        <w:t>także ze względu na funk</w:t>
      </w:r>
      <w:r w:rsidR="004F2F78">
        <w:t>cj</w:t>
      </w:r>
      <w:r w:rsidR="00844C8C">
        <w:t>onowanie systemu EU ET</w:t>
      </w:r>
      <w:r w:rsidR="004F2F78">
        <w:t>S</w:t>
      </w:r>
      <w:r w:rsidR="00844C8C">
        <w:t>. C</w:t>
      </w:r>
      <w:r w:rsidR="00280BF1">
        <w:t>oraz częściej przedsiębiorcy będą podejmować działania z własnej inicjatywy</w:t>
      </w:r>
      <w:r w:rsidR="00BD5D4F">
        <w:t xml:space="preserve">. Szczególne znaczenie mają rosnące </w:t>
      </w:r>
      <w:r w:rsidR="00280BF1">
        <w:t>korzyści</w:t>
      </w:r>
      <w:r w:rsidR="00BD5D4F">
        <w:t xml:space="preserve"> ekonomiczne, jak również wzrost atrakcyjności rynkowej wynikającej z </w:t>
      </w:r>
      <w:r w:rsidR="005363A1">
        <w:t>zapotrzebowania na produkty i</w:t>
      </w:r>
      <w:r w:rsidR="00D80F32">
        <w:t> </w:t>
      </w:r>
      <w:r w:rsidR="005363A1">
        <w:t>usługi cechujące się niskim śladem węglowym</w:t>
      </w:r>
      <w:r w:rsidR="00280BF1">
        <w:t xml:space="preserve">. </w:t>
      </w:r>
    </w:p>
    <w:p w14:paraId="306DAECE" w14:textId="42542C15" w:rsidR="005363A1" w:rsidRDefault="00E32647" w:rsidP="00080BA7">
      <w:r>
        <w:t xml:space="preserve">Do szczególnie ważnych </w:t>
      </w:r>
      <w:r w:rsidR="00844C8C">
        <w:t>narzędzi i działań wpływających na dekarbonizację zaliczyć</w:t>
      </w:r>
      <w:r>
        <w:t xml:space="preserve"> można:</w:t>
      </w:r>
    </w:p>
    <w:p w14:paraId="56794B39" w14:textId="07B0C2A3" w:rsidR="00254A2D" w:rsidRPr="00254A2D" w:rsidRDefault="001F1A0E" w:rsidP="000625AC">
      <w:pPr>
        <w:pStyle w:val="Akapitzlist"/>
        <w:numPr>
          <w:ilvl w:val="0"/>
          <w:numId w:val="28"/>
        </w:numPr>
        <w:spacing w:after="80"/>
        <w:ind w:left="426" w:hanging="357"/>
        <w:rPr>
          <w:b/>
          <w:bCs/>
        </w:rPr>
      </w:pPr>
      <w:r w:rsidRPr="21422D9F">
        <w:rPr>
          <w:b/>
          <w:bCs/>
        </w:rPr>
        <w:t>Zwiększanie wykorzystania OZE i innych zeroemisyjnych źródeł</w:t>
      </w:r>
      <w:r>
        <w:t xml:space="preserve"> </w:t>
      </w:r>
    </w:p>
    <w:p w14:paraId="10EB55EA" w14:textId="3A1953B0" w:rsidR="00060354" w:rsidRDefault="008B0AA7" w:rsidP="21422D9F">
      <w:pPr>
        <w:pStyle w:val="Akapitzlist"/>
        <w:spacing w:after="80"/>
        <w:ind w:left="426"/>
      </w:pPr>
      <w:r>
        <w:t>Do popularyzacji OZE w przemyśle</w:t>
      </w:r>
      <w:r w:rsidR="00844C8C">
        <w:t xml:space="preserve"> w</w:t>
      </w:r>
      <w:r>
        <w:t xml:space="preserve"> </w:t>
      </w:r>
      <w:r w:rsidR="00844C8C">
        <w:t xml:space="preserve">sposób szczególny przyczyni się </w:t>
      </w:r>
      <w:r>
        <w:t xml:space="preserve">coraz większa dostępność finansowania „zielonych” inwestycji, również przez banki komercyjne. Od </w:t>
      </w:r>
      <w:r w:rsidR="005863F9">
        <w:t xml:space="preserve">października 2023 r. możliwe jest współdzielenie przyłączy przez kilka instalacji wytwórczych, czyli tzw. </w:t>
      </w:r>
      <w:r w:rsidR="005863F9" w:rsidRPr="21422D9F">
        <w:rPr>
          <w:i/>
          <w:iCs/>
        </w:rPr>
        <w:t>cable pooling</w:t>
      </w:r>
      <w:r w:rsidR="005863F9">
        <w:t>, co</w:t>
      </w:r>
      <w:r w:rsidR="00744355">
        <w:t> </w:t>
      </w:r>
      <w:r w:rsidR="005863F9">
        <w:t>wraz z</w:t>
      </w:r>
      <w:r w:rsidR="0090268A">
        <w:t> </w:t>
      </w:r>
      <w:r w:rsidR="005863F9">
        <w:t>rosnącą dostępnością kontraktów długoterminowych na dostawy energii typu PPA (ang.</w:t>
      </w:r>
      <w:r w:rsidR="00D80F32">
        <w:t> </w:t>
      </w:r>
      <w:r w:rsidR="005863F9" w:rsidRPr="21422D9F">
        <w:rPr>
          <w:i/>
          <w:iCs/>
        </w:rPr>
        <w:t>power purchase agreement</w:t>
      </w:r>
      <w:r w:rsidR="005863F9">
        <w:t>)</w:t>
      </w:r>
      <w:r w:rsidR="00902554">
        <w:t xml:space="preserve"> powinno sprzyjać zazielenianiu energii dla przemysłu</w:t>
      </w:r>
      <w:r w:rsidR="005863F9">
        <w:t>.</w:t>
      </w:r>
      <w:r w:rsidR="003E2DE5">
        <w:t xml:space="preserve"> </w:t>
      </w:r>
      <w:r w:rsidR="00902554">
        <w:t>W</w:t>
      </w:r>
      <w:r>
        <w:t>ażne</w:t>
      </w:r>
      <w:r w:rsidR="00902554">
        <w:t xml:space="preserve"> również</w:t>
      </w:r>
      <w:r>
        <w:t xml:space="preserve">, aby </w:t>
      </w:r>
      <w:r w:rsidR="005863F9">
        <w:t xml:space="preserve">nowe </w:t>
      </w:r>
      <w:r w:rsidR="00521104">
        <w:t xml:space="preserve">źródła energii były </w:t>
      </w:r>
      <w:r w:rsidR="005863F9">
        <w:t>wkompon</w:t>
      </w:r>
      <w:r w:rsidR="00521104">
        <w:t xml:space="preserve">owane </w:t>
      </w:r>
      <w:r w:rsidR="005863F9">
        <w:t xml:space="preserve">w </w:t>
      </w:r>
      <w:r w:rsidR="00521104">
        <w:t>otoczenie w sposób nieingerujący w</w:t>
      </w:r>
      <w:r w:rsidR="00163D55">
        <w:t> </w:t>
      </w:r>
      <w:r w:rsidR="00521104">
        <w:t>środowisko</w:t>
      </w:r>
      <w:r w:rsidR="00902554">
        <w:t>, a</w:t>
      </w:r>
      <w:r w:rsidR="00DA0888">
        <w:t> </w:t>
      </w:r>
      <w:r w:rsidR="00902554">
        <w:t>jeśli to możliwe</w:t>
      </w:r>
      <w:r w:rsidR="00521104">
        <w:t xml:space="preserve"> </w:t>
      </w:r>
      <w:r w:rsidR="00902554">
        <w:t xml:space="preserve">w przypadku energetyki słonecznej </w:t>
      </w:r>
      <w:r w:rsidR="00521104">
        <w:t>z zapewnieniem dodatkowej funkcji</w:t>
      </w:r>
      <w:r w:rsidR="00902554">
        <w:t>, np.</w:t>
      </w:r>
      <w:r w:rsidR="00D80F32">
        <w:t> </w:t>
      </w:r>
      <w:r w:rsidR="00902554">
        <w:t>zadaszenia.</w:t>
      </w:r>
      <w:r w:rsidR="00521104">
        <w:t xml:space="preserve"> </w:t>
      </w:r>
      <w:r w:rsidR="00526C96">
        <w:t>Duże znaczenie będzie mieć także popularyzacj</w:t>
      </w:r>
      <w:r w:rsidR="00E75AED">
        <w:t>a</w:t>
      </w:r>
      <w:r w:rsidR="00526C96">
        <w:t xml:space="preserve"> </w:t>
      </w:r>
      <w:r w:rsidR="00E75AED">
        <w:t>gazów zdekarbonizowanych (biogaz, biometan, wodór</w:t>
      </w:r>
      <w:r w:rsidR="2BBEDD7A">
        <w:t xml:space="preserve"> odnawialny, w tym pochodzenia niebiologicznego</w:t>
      </w:r>
      <w:r w:rsidR="00E75AED">
        <w:t>, amoniak)</w:t>
      </w:r>
      <w:r w:rsidR="00526C96">
        <w:t>, któr</w:t>
      </w:r>
      <w:r w:rsidR="00E75AED">
        <w:t>e</w:t>
      </w:r>
      <w:r w:rsidR="00526C96">
        <w:t xml:space="preserve"> mo</w:t>
      </w:r>
      <w:r w:rsidR="00E75AED">
        <w:t>gą</w:t>
      </w:r>
      <w:r w:rsidR="00526C96">
        <w:t xml:space="preserve"> stanowić realną alternatywę dla paliw kopalnych także w przypadku przemysłu ciężkiego.</w:t>
      </w:r>
      <w:r w:rsidR="00254A2D">
        <w:t xml:space="preserve"> Przemysł wykazuje także zainteresowanie wykorzystaniem energii jądrowej, dlatego zapewnione będą warunki prawne dla tego typu instalacji. </w:t>
      </w:r>
    </w:p>
    <w:p w14:paraId="154D8158" w14:textId="19FEC2C5" w:rsidR="001F1A0E" w:rsidRPr="001F1A0E" w:rsidRDefault="00060354" w:rsidP="00901FEA">
      <w:pPr>
        <w:pStyle w:val="Akapitzlist"/>
        <w:ind w:left="426"/>
        <w:rPr>
          <w:b/>
          <w:bCs/>
        </w:rPr>
      </w:pPr>
      <w:r>
        <w:t>Przemysł może stanowić również wsparcie dla bilansowania s</w:t>
      </w:r>
      <w:r w:rsidR="00E75AED">
        <w:t>ystemu</w:t>
      </w:r>
      <w:r>
        <w:t xml:space="preserve"> elektroenergetycznego, dlatego szczególnie ważny jest rozwój usług zarządzania podażą i popytem na energię.</w:t>
      </w:r>
      <w:r w:rsidR="003A1538">
        <w:t xml:space="preserve"> Niezbędna jest tu elastyczność procesów, ale także zasadne jest rozwijanie </w:t>
      </w:r>
      <w:r w:rsidR="00A95625">
        <w:t>własnych źródeł wytwórczych</w:t>
      </w:r>
      <w:r w:rsidR="00CA5AB5">
        <w:t xml:space="preserve"> energii elektrycznej oraz </w:t>
      </w:r>
      <w:r w:rsidR="003A1538">
        <w:t>różnego rodzaju systemów magazynowania energii, które wpłyną na wyższy stopień autokonsumpcj</w:t>
      </w:r>
      <w:r w:rsidR="00AA0248">
        <w:t>i</w:t>
      </w:r>
      <w:r w:rsidR="003A1538">
        <w:t xml:space="preserve"> i współpracy z </w:t>
      </w:r>
      <w:r w:rsidR="00E75AED">
        <w:t>KSE</w:t>
      </w:r>
      <w:r w:rsidR="003A1538">
        <w:t>.</w:t>
      </w:r>
      <w:r w:rsidR="003E2DE5">
        <w:t xml:space="preserve"> </w:t>
      </w:r>
    </w:p>
    <w:p w14:paraId="53783E4C" w14:textId="5BB5256C" w:rsidR="00254A2D" w:rsidRPr="00254A2D" w:rsidRDefault="005363A1" w:rsidP="000625AC">
      <w:pPr>
        <w:pStyle w:val="Akapitzlist"/>
        <w:numPr>
          <w:ilvl w:val="0"/>
          <w:numId w:val="28"/>
        </w:numPr>
        <w:spacing w:after="80"/>
        <w:ind w:left="426" w:hanging="357"/>
        <w:contextualSpacing w:val="0"/>
        <w:rPr>
          <w:b/>
          <w:bCs/>
        </w:rPr>
      </w:pPr>
      <w:r w:rsidRPr="001F1A0E">
        <w:rPr>
          <w:b/>
          <w:bCs/>
        </w:rPr>
        <w:t>Z</w:t>
      </w:r>
      <w:r w:rsidR="00306029" w:rsidRPr="001F1A0E">
        <w:rPr>
          <w:b/>
          <w:bCs/>
        </w:rPr>
        <w:t>większanie efektywności procesów przemysłowych</w:t>
      </w:r>
      <w:r w:rsidR="001F1A0E" w:rsidRPr="001F1A0E">
        <w:t xml:space="preserve"> </w:t>
      </w:r>
    </w:p>
    <w:p w14:paraId="3E2CEF4A" w14:textId="61029550" w:rsidR="00844C8C" w:rsidRDefault="00744355" w:rsidP="21422D9F">
      <w:pPr>
        <w:pStyle w:val="Akapitzlist"/>
        <w:ind w:left="426"/>
        <w:rPr>
          <w:b/>
          <w:bCs/>
        </w:rPr>
      </w:pPr>
      <w:r>
        <w:t xml:space="preserve">Przedsiębiorcy powinni identyfikować potencjał zwiększenia sprawności realizowanych procesów oraz redukcji zużycia energii. Obok redukcji zużycia energii przez maszyny, wymiany ich na nowsze, jeśli to ekonomicznie zasadne, </w:t>
      </w:r>
      <w:r w:rsidR="2C625FCC">
        <w:t xml:space="preserve">należy również rozważyć </w:t>
      </w:r>
      <w:r w:rsidR="00731263">
        <w:t>wykorzystanie pieców elektrycznych, a</w:t>
      </w:r>
      <w:r w:rsidR="00DA0888">
        <w:t> </w:t>
      </w:r>
      <w:r w:rsidR="00731263">
        <w:t>także surowców wtórnych. W</w:t>
      </w:r>
      <w:r>
        <w:t>arto</w:t>
      </w:r>
      <w:r w:rsidR="00974007">
        <w:t xml:space="preserve">  </w:t>
      </w:r>
      <w:r w:rsidR="521BA60E">
        <w:t>wdr</w:t>
      </w:r>
      <w:r w:rsidR="4747DF15">
        <w:t>o</w:t>
      </w:r>
      <w:r w:rsidR="521BA60E">
        <w:t>ż</w:t>
      </w:r>
      <w:r w:rsidR="004B02F6">
        <w:t>yć</w:t>
      </w:r>
      <w:r>
        <w:t xml:space="preserve"> rozwiązania skutkujące redukcją zbędnego oświetlenia, niepotrzebnego zużycia wody</w:t>
      </w:r>
      <w:r w:rsidR="0031259F">
        <w:t xml:space="preserve"> oraz potencjału wykorzystania ciepła odpadowego</w:t>
      </w:r>
      <w:r>
        <w:t xml:space="preserve">. </w:t>
      </w:r>
    </w:p>
    <w:p w14:paraId="390B0ED7" w14:textId="1430973D" w:rsidR="00254A2D" w:rsidRPr="00254A2D" w:rsidRDefault="008E0923" w:rsidP="000625AC">
      <w:pPr>
        <w:pStyle w:val="Akapitzlist"/>
        <w:keepNext/>
        <w:numPr>
          <w:ilvl w:val="0"/>
          <w:numId w:val="28"/>
        </w:numPr>
        <w:spacing w:after="80"/>
        <w:ind w:left="425" w:hanging="357"/>
        <w:contextualSpacing w:val="0"/>
        <w:rPr>
          <w:b/>
          <w:bCs/>
        </w:rPr>
      </w:pPr>
      <w:r w:rsidRPr="00844C8C">
        <w:rPr>
          <w:b/>
          <w:bCs/>
        </w:rPr>
        <w:t>Popularyzacja wykorzystania ciepła odpadowego</w:t>
      </w:r>
    </w:p>
    <w:p w14:paraId="4BF35A63" w14:textId="7378AF30" w:rsidR="006121A7" w:rsidRPr="006121A7" w:rsidRDefault="00902554" w:rsidP="00254A2D">
      <w:pPr>
        <w:pStyle w:val="Akapitzlist"/>
        <w:ind w:left="426"/>
        <w:contextualSpacing w:val="0"/>
        <w:rPr>
          <w:b/>
          <w:bCs/>
        </w:rPr>
      </w:pPr>
      <w:r>
        <w:t>Działania w tym obszarze mogą odnosić się zarówno do efektywniejszego wykorzystania energii w</w:t>
      </w:r>
      <w:r w:rsidR="00163D55">
        <w:t> </w:t>
      </w:r>
      <w:r>
        <w:t xml:space="preserve">danym przedsiębiorstwie, jak również zapewniać dodatkowy strumień ciepła dla systemów ciepłowniczych. </w:t>
      </w:r>
      <w:r w:rsidR="0090268A">
        <w:t xml:space="preserve">W obu przypadkach uzyskany zostanie pozytywny efekt energetyczny. </w:t>
      </w:r>
    </w:p>
    <w:p w14:paraId="267DEC84" w14:textId="1F2A9C0A" w:rsidR="006121A7" w:rsidRPr="00603C77" w:rsidRDefault="006121A7" w:rsidP="000625AC">
      <w:pPr>
        <w:pStyle w:val="Akapitzlist"/>
        <w:numPr>
          <w:ilvl w:val="0"/>
          <w:numId w:val="28"/>
        </w:numPr>
        <w:ind w:left="426" w:hanging="357"/>
        <w:contextualSpacing w:val="0"/>
        <w:rPr>
          <w:b/>
          <w:bCs/>
        </w:rPr>
      </w:pPr>
      <w:r w:rsidRPr="00603C77">
        <w:rPr>
          <w:b/>
          <w:bCs/>
        </w:rPr>
        <w:t>Rozwój B+R w obszarze procesów przemysłowych i produkcji energii</w:t>
      </w:r>
    </w:p>
    <w:p w14:paraId="2FF5F4C8" w14:textId="5CB3193C" w:rsidR="00254A2D" w:rsidRPr="00254A2D" w:rsidRDefault="00F93658" w:rsidP="21422D9F">
      <w:pPr>
        <w:pStyle w:val="Akapitzlist"/>
        <w:ind w:left="426"/>
      </w:pPr>
      <w:r>
        <w:t xml:space="preserve">W wielu przypadkach dotychczas stosowane </w:t>
      </w:r>
      <w:r w:rsidR="003C7836">
        <w:t xml:space="preserve">lub </w:t>
      </w:r>
      <w:r>
        <w:t xml:space="preserve">znane na rynku </w:t>
      </w:r>
      <w:r w:rsidR="003C7836">
        <w:t xml:space="preserve">rozwiązania </w:t>
      </w:r>
      <w:r>
        <w:t xml:space="preserve">nie pozwalają na </w:t>
      </w:r>
      <w:r w:rsidR="003C7836">
        <w:t xml:space="preserve">dalsze redukowanie energochłonności lub emisyjności, dlatego potrzebne jest podejmowanie działań badawczo-rozwojowych. Wpływają one również </w:t>
      </w:r>
      <w:r w:rsidR="4C485690">
        <w:t>na</w:t>
      </w:r>
      <w:r w:rsidR="12D82E62">
        <w:t xml:space="preserve"> </w:t>
      </w:r>
      <w:r w:rsidR="003C7836">
        <w:t xml:space="preserve">innowacyjność gospodarki, dlatego też istnieją zachęty dla przedsiębiorców w tym zakresie </w:t>
      </w:r>
      <w:r w:rsidR="000205CF">
        <w:t>–</w:t>
      </w:r>
      <w:r w:rsidR="003C7836">
        <w:t xml:space="preserve"> </w:t>
      </w:r>
      <w:r w:rsidR="000205CF">
        <w:t xml:space="preserve">więcej Wymiarze </w:t>
      </w:r>
      <w:r>
        <w:fldChar w:fldCharType="begin"/>
      </w:r>
      <w:r>
        <w:instrText>REF _Ref175569780 \r</w:instrText>
      </w:r>
      <w:r>
        <w:fldChar w:fldCharType="separate"/>
      </w:r>
      <w:r w:rsidR="00871DD5">
        <w:t>5</w:t>
      </w:r>
      <w:r>
        <w:fldChar w:fldCharType="end"/>
      </w:r>
      <w:r w:rsidR="000205CF">
        <w:t>.</w:t>
      </w:r>
    </w:p>
    <w:p w14:paraId="3C81EB0A" w14:textId="0AFC5367" w:rsidR="00254A2D" w:rsidRPr="00254A2D" w:rsidRDefault="769529CD" w:rsidP="000625AC">
      <w:pPr>
        <w:pStyle w:val="Akapitzlist"/>
        <w:numPr>
          <w:ilvl w:val="0"/>
          <w:numId w:val="28"/>
        </w:numPr>
        <w:spacing w:after="80"/>
        <w:ind w:left="426" w:hanging="357"/>
        <w:rPr>
          <w:b/>
          <w:bCs/>
        </w:rPr>
      </w:pPr>
      <w:r w:rsidRPr="1D1393D4">
        <w:rPr>
          <w:b/>
          <w:bCs/>
        </w:rPr>
        <w:t>W</w:t>
      </w:r>
      <w:r w:rsidR="59F1A258" w:rsidRPr="1D1393D4">
        <w:rPr>
          <w:b/>
          <w:bCs/>
        </w:rPr>
        <w:t>ykorzystani</w:t>
      </w:r>
      <w:r w:rsidR="786F096A" w:rsidRPr="1D1393D4">
        <w:rPr>
          <w:b/>
          <w:bCs/>
        </w:rPr>
        <w:t>e</w:t>
      </w:r>
      <w:r w:rsidR="59F1A258" w:rsidRPr="1D1393D4">
        <w:rPr>
          <w:b/>
          <w:bCs/>
        </w:rPr>
        <w:t xml:space="preserve"> wodoru</w:t>
      </w:r>
      <w:r w:rsidR="3B03000A" w:rsidRPr="1D1393D4">
        <w:rPr>
          <w:b/>
          <w:bCs/>
        </w:rPr>
        <w:t xml:space="preserve"> odnawialnego, w tym pochodzenia niebiologicznego</w:t>
      </w:r>
      <w:r w:rsidR="59F1A258" w:rsidRPr="1D1393D4">
        <w:rPr>
          <w:b/>
          <w:bCs/>
        </w:rPr>
        <w:t xml:space="preserve"> </w:t>
      </w:r>
    </w:p>
    <w:p w14:paraId="663637F9" w14:textId="58A4BFCD" w:rsidR="006121A7" w:rsidRPr="006121A7" w:rsidRDefault="005F0E00" w:rsidP="21422D9F">
      <w:pPr>
        <w:pStyle w:val="Akapitzlist"/>
        <w:ind w:left="426"/>
        <w:rPr>
          <w:b/>
          <w:bCs/>
        </w:rPr>
      </w:pPr>
      <w:r>
        <w:t>W celu rozwoju przemysłowych zastosowań wodoru</w:t>
      </w:r>
      <w:r w:rsidR="3B24F45E">
        <w:t xml:space="preserve"> </w:t>
      </w:r>
      <w:r w:rsidR="26798779">
        <w:t>będą</w:t>
      </w:r>
      <w:r>
        <w:t xml:space="preserve"> prowadzone projekty B+R+I oraz projekty inwestycyjne, które przyczynią się do współpracy pomiędzy lokalnymi, krajowymi i zagranicznymi interesariuszami. Wspólne cele i skrócenie odległości między centrami podaży a popytu umożliwią wymianę informacji i doświadczeń pomiędzy uczestnikami dolin wodorowych. Określona zostanie polityka w zakresie dążenia do realizacji cel 42% udziału wodoru odnawialnego </w:t>
      </w:r>
      <w:r w:rsidR="735FFBB9">
        <w:t>pochodzenia niebiologicznego</w:t>
      </w:r>
      <w:r w:rsidR="3B24F45E">
        <w:t xml:space="preserve"> </w:t>
      </w:r>
      <w:r>
        <w:t>w całkowitym wykorzystaniu wodoru w przemyśle – obejmować będzie kierunki dostaw, sposób zagospodarowania wodoru odnawialnego</w:t>
      </w:r>
      <w:r w:rsidR="2617BD29">
        <w:t xml:space="preserve"> pochodzenia niebiologicznego</w:t>
      </w:r>
      <w:r>
        <w:t>, jak</w:t>
      </w:r>
      <w:r w:rsidR="00163D55">
        <w:t> </w:t>
      </w:r>
      <w:r w:rsidR="001B637D">
        <w:t xml:space="preserve">potrzebę i sposób </w:t>
      </w:r>
      <w:r>
        <w:t>import</w:t>
      </w:r>
      <w:r w:rsidR="001B637D">
        <w:t>u</w:t>
      </w:r>
      <w:r>
        <w:t xml:space="preserve"> zielonego amoniaku w różnych sektorach gospodarki w Polsce, a także </w:t>
      </w:r>
      <w:r>
        <w:lastRenderedPageBreak/>
        <w:t>sposób rozwoju terminali importowych do przeładunku zielonego amoniaku w portach i</w:t>
      </w:r>
      <w:r w:rsidR="00DA0888">
        <w:t> </w:t>
      </w:r>
      <w:r>
        <w:t xml:space="preserve">infrastruktury do krakingu oraz przesyłu amoniaku. </w:t>
      </w:r>
      <w:r w:rsidR="006121A7">
        <w:t xml:space="preserve">Szerszy kontekst rozwoju gospodarki wodorowej został przedstawiony w </w:t>
      </w:r>
      <w:r>
        <w:fldChar w:fldCharType="begin"/>
      </w:r>
      <w:r>
        <w:instrText xml:space="preserve"> REF _Ref175493995 \r \h </w:instrText>
      </w:r>
      <w:r>
        <w:fldChar w:fldCharType="separate"/>
      </w:r>
      <w:r w:rsidR="00871DD5">
        <w:t>Obszar 3.4</w:t>
      </w:r>
      <w:r>
        <w:fldChar w:fldCharType="end"/>
      </w:r>
      <w:r w:rsidR="001B04FC">
        <w:t>.</w:t>
      </w:r>
    </w:p>
    <w:p w14:paraId="28FCA96F" w14:textId="77777777" w:rsidR="000205CF" w:rsidRPr="000205CF" w:rsidRDefault="00306029" w:rsidP="000625AC">
      <w:pPr>
        <w:pStyle w:val="Akapitzlist"/>
        <w:numPr>
          <w:ilvl w:val="0"/>
          <w:numId w:val="28"/>
        </w:numPr>
        <w:spacing w:after="80"/>
        <w:ind w:left="426" w:hanging="357"/>
        <w:contextualSpacing w:val="0"/>
        <w:rPr>
          <w:b/>
          <w:bCs/>
        </w:rPr>
      </w:pPr>
      <w:r w:rsidRPr="00603C77">
        <w:rPr>
          <w:b/>
          <w:bCs/>
        </w:rPr>
        <w:t>Regulacje z zakresu ESG</w:t>
      </w:r>
      <w:r w:rsidR="00603C77">
        <w:t xml:space="preserve"> </w:t>
      </w:r>
    </w:p>
    <w:p w14:paraId="570A22B5" w14:textId="01723F83" w:rsidR="00306029" w:rsidRPr="008A327D" w:rsidRDefault="000205CF" w:rsidP="000205CF">
      <w:pPr>
        <w:pStyle w:val="Akapitzlist"/>
        <w:ind w:left="426"/>
        <w:contextualSpacing w:val="0"/>
        <w:rPr>
          <w:b/>
          <w:bCs/>
        </w:rPr>
      </w:pPr>
      <w:r>
        <w:t>K</w:t>
      </w:r>
      <w:r w:rsidR="00603C77">
        <w:t>onsekwentnie wdrażane powinny być również regulacje dotyczące raportowania ESG</w:t>
      </w:r>
      <w:r w:rsidR="00F93658">
        <w:t>, które pomagają identyfikować wpływ na środowisko i dzięki temu podejmować działania naprawcze. Informacje stanowią także benchmark sektorowy.</w:t>
      </w:r>
    </w:p>
    <w:p w14:paraId="36C8B47A" w14:textId="7CA52170" w:rsidR="00276FD6" w:rsidRDefault="008A327D" w:rsidP="000625AC">
      <w:pPr>
        <w:pStyle w:val="Akapitzlist"/>
        <w:numPr>
          <w:ilvl w:val="0"/>
          <w:numId w:val="28"/>
        </w:numPr>
        <w:spacing w:after="80"/>
        <w:ind w:left="426" w:hanging="357"/>
        <w:contextualSpacing w:val="0"/>
      </w:pPr>
      <w:r>
        <w:rPr>
          <w:b/>
          <w:bCs/>
        </w:rPr>
        <w:t xml:space="preserve">Zapewnienie warunków popularyzacji </w:t>
      </w:r>
      <w:r w:rsidR="00E57B0A" w:rsidRPr="008A327D">
        <w:rPr>
          <w:b/>
          <w:bCs/>
        </w:rPr>
        <w:t>CCS</w:t>
      </w:r>
      <w:r w:rsidR="003E2DE5">
        <w:rPr>
          <w:b/>
          <w:bCs/>
        </w:rPr>
        <w:t xml:space="preserve"> </w:t>
      </w:r>
    </w:p>
    <w:p w14:paraId="77356FC7" w14:textId="78F2075B" w:rsidR="004B624F" w:rsidRDefault="00AA6348" w:rsidP="00901FEA">
      <w:pPr>
        <w:pStyle w:val="Akapitzlist"/>
        <w:ind w:left="426"/>
      </w:pPr>
      <w:r>
        <w:t>Aktualnie możliwość sekwestracji CO</w:t>
      </w:r>
      <w:r w:rsidRPr="00AA6348">
        <w:rPr>
          <w:vertAlign w:val="subscript"/>
        </w:rPr>
        <w:t>2</w:t>
      </w:r>
      <w:r>
        <w:t xml:space="preserve"> jest ograniczona, lecz działania wynikające z </w:t>
      </w:r>
      <w:r w:rsidR="00F00ADB">
        <w:t xml:space="preserve">podpisanego </w:t>
      </w:r>
      <w:r w:rsidR="009F1C4F">
        <w:t>w</w:t>
      </w:r>
      <w:r w:rsidR="00DA0888">
        <w:t> </w:t>
      </w:r>
      <w:r w:rsidR="009F1C4F">
        <w:t xml:space="preserve">dn. 5 marca 2025 r. </w:t>
      </w:r>
      <w:r w:rsidR="000111A9">
        <w:t xml:space="preserve">z </w:t>
      </w:r>
      <w:r w:rsidR="00551DC3">
        <w:t>inicjatywy</w:t>
      </w:r>
      <w:r w:rsidR="003E6A1F">
        <w:t xml:space="preserve"> Ministerstw</w:t>
      </w:r>
      <w:r w:rsidR="009F1C4F">
        <w:t>a</w:t>
      </w:r>
      <w:r w:rsidR="003E6A1F">
        <w:t xml:space="preserve"> Klimatu i Środowiska </w:t>
      </w:r>
      <w:r w:rsidR="00DA58F8" w:rsidRPr="21422D9F">
        <w:rPr>
          <w:i/>
          <w:iCs/>
        </w:rPr>
        <w:t>L</w:t>
      </w:r>
      <w:r w:rsidRPr="21422D9F">
        <w:rPr>
          <w:i/>
          <w:iCs/>
        </w:rPr>
        <w:t xml:space="preserve">istu intencyjnego </w:t>
      </w:r>
      <w:r>
        <w:t xml:space="preserve">powinny otworzyć możliwość zastosowania tej technologii w szczególności przez </w:t>
      </w:r>
      <w:r w:rsidR="00535DD7">
        <w:t xml:space="preserve">branże </w:t>
      </w:r>
      <w:r>
        <w:t>przemysł</w:t>
      </w:r>
      <w:r w:rsidR="00535DD7">
        <w:t xml:space="preserve">u cechujące się trudnością redukcji emisji </w:t>
      </w:r>
      <w:r w:rsidR="00AD0FB0">
        <w:t>GHG</w:t>
      </w:r>
      <w:r>
        <w:t xml:space="preserve">. Przewiduje się </w:t>
      </w:r>
      <w:r w:rsidR="001039C2">
        <w:t xml:space="preserve">m.in. </w:t>
      </w:r>
      <w:r>
        <w:t>okreś</w:t>
      </w:r>
      <w:r w:rsidR="001039C2">
        <w:t xml:space="preserve">lenie </w:t>
      </w:r>
      <w:r w:rsidR="001039C2" w:rsidRPr="007E45A6">
        <w:t xml:space="preserve">krajowej strategii rozwoju </w:t>
      </w:r>
      <w:r w:rsidR="009F1C4F" w:rsidRPr="007E45A6">
        <w:t>technologii wychwytu, transportu, składowania i wykorzystania dwutlenku węgla</w:t>
      </w:r>
      <w:r w:rsidR="007E45A6">
        <w:t>,</w:t>
      </w:r>
      <w:r w:rsidDel="009F1C4F">
        <w:t xml:space="preserve"> </w:t>
      </w:r>
      <w:r w:rsidR="001039C2" w:rsidRPr="001039C2">
        <w:t>wypracowani</w:t>
      </w:r>
      <w:r w:rsidR="001039C2">
        <w:t>e</w:t>
      </w:r>
      <w:r w:rsidR="001039C2" w:rsidRPr="001039C2">
        <w:t xml:space="preserve"> </w:t>
      </w:r>
      <w:r w:rsidR="007E45A6">
        <w:t xml:space="preserve">kompleksowych </w:t>
      </w:r>
      <w:r w:rsidR="001039C2" w:rsidRPr="001039C2">
        <w:t>ram prawnych umożliwiających rozwój technologii w Polsce</w:t>
      </w:r>
      <w:r w:rsidR="001039C2">
        <w:t>,</w:t>
      </w:r>
      <w:r w:rsidR="001039C2" w:rsidRPr="001039C2">
        <w:t xml:space="preserve"> </w:t>
      </w:r>
      <w:r w:rsidR="00A328F2">
        <w:t>w tym sprawną realizację projektów inwestycyjnych</w:t>
      </w:r>
      <w:r w:rsidR="0054428A">
        <w:t>,</w:t>
      </w:r>
      <w:r w:rsidR="001039C2" w:rsidRPr="001039C2">
        <w:t xml:space="preserve"> </w:t>
      </w:r>
      <w:r w:rsidR="001039C2" w:rsidRPr="21422D9F">
        <w:rPr>
          <w:rFonts w:eastAsia="Times New Roman" w:cs="Arial"/>
          <w:color w:val="000000"/>
          <w:kern w:val="0"/>
          <w:lang w:eastAsia="pl-PL"/>
          <w14:ligatures w14:val="none"/>
        </w:rPr>
        <w:t>określenie mechanizmów wsparcia dla rozwoju technologii</w:t>
      </w:r>
      <w:r w:rsidR="000D0117" w:rsidRPr="21422D9F">
        <w:rPr>
          <w:rFonts w:eastAsia="Times New Roman" w:cs="Arial"/>
          <w:color w:val="000000"/>
          <w:kern w:val="0"/>
          <w:lang w:eastAsia="pl-PL"/>
          <w14:ligatures w14:val="none"/>
        </w:rPr>
        <w:t>, i</w:t>
      </w:r>
      <w:r w:rsidR="00DA0888">
        <w:rPr>
          <w:rFonts w:eastAsia="Times New Roman" w:cs="Arial"/>
          <w:color w:val="000000"/>
          <w:kern w:val="0"/>
          <w:lang w:eastAsia="pl-PL"/>
          <w14:ligatures w14:val="none"/>
        </w:rPr>
        <w:t> </w:t>
      </w:r>
      <w:r w:rsidR="000D0117" w:rsidRPr="21422D9F">
        <w:rPr>
          <w:rFonts w:eastAsia="Times New Roman" w:cs="Arial"/>
          <w:color w:val="000000"/>
          <w:kern w:val="0"/>
          <w:lang w:eastAsia="pl-PL"/>
          <w14:ligatures w14:val="none"/>
        </w:rPr>
        <w:t>in</w:t>
      </w:r>
      <w:r w:rsidR="001039C2" w:rsidRPr="21422D9F">
        <w:rPr>
          <w:rFonts w:eastAsia="Times New Roman" w:cs="Arial"/>
          <w:color w:val="000000"/>
          <w:kern w:val="0"/>
          <w:lang w:eastAsia="pl-PL"/>
          <w14:ligatures w14:val="none"/>
        </w:rPr>
        <w:t>. Niezwykle ważne będzie także określenie potrzeb badawczo-rozwojowych w zakresie technologii wychwytywania, transportu, sekwestracji dwutlenku węgla, bądź jego wykorzystywania w</w:t>
      </w:r>
      <w:r w:rsidR="00163D55">
        <w:rPr>
          <w:rFonts w:eastAsia="Times New Roman" w:cs="Arial"/>
          <w:color w:val="000000"/>
          <w:kern w:val="0"/>
          <w:lang w:eastAsia="pl-PL"/>
          <w14:ligatures w14:val="none"/>
        </w:rPr>
        <w:t> </w:t>
      </w:r>
      <w:r w:rsidR="001039C2" w:rsidRPr="21422D9F">
        <w:rPr>
          <w:rFonts w:eastAsia="Times New Roman" w:cs="Arial"/>
          <w:color w:val="000000"/>
          <w:kern w:val="0"/>
          <w:lang w:eastAsia="pl-PL"/>
          <w14:ligatures w14:val="none"/>
        </w:rPr>
        <w:t>gospodarce</w:t>
      </w:r>
      <w:r w:rsidR="0054428A">
        <w:rPr>
          <w:rFonts w:eastAsia="Times New Roman" w:cs="Arial"/>
          <w:color w:val="000000"/>
          <w:kern w:val="0"/>
          <w:lang w:eastAsia="pl-PL"/>
          <w14:ligatures w14:val="none"/>
        </w:rPr>
        <w:t>,</w:t>
      </w:r>
      <w:r w:rsidR="001039C2" w:rsidRPr="21422D9F">
        <w:rPr>
          <w:rFonts w:eastAsia="Times New Roman" w:cs="Arial"/>
          <w:color w:val="000000"/>
          <w:kern w:val="0"/>
          <w:lang w:eastAsia="pl-PL"/>
          <w14:ligatures w14:val="none"/>
        </w:rPr>
        <w:t xml:space="preserve"> rozwój silnych krajowych i lokalnych kompetencji w tym obszarze, ale także </w:t>
      </w:r>
      <w:r w:rsidR="00B35F0D" w:rsidRPr="21422D9F">
        <w:rPr>
          <w:rFonts w:eastAsia="Times New Roman" w:cs="Arial"/>
          <w:color w:val="000000"/>
          <w:kern w:val="0"/>
          <w:lang w:eastAsia="pl-PL"/>
          <w14:ligatures w14:val="none"/>
        </w:rPr>
        <w:t xml:space="preserve">określenie </w:t>
      </w:r>
      <w:r w:rsidR="001126B4" w:rsidRPr="21422D9F">
        <w:rPr>
          <w:rFonts w:eastAsia="Times New Roman" w:cs="Arial"/>
          <w:color w:val="000000"/>
          <w:kern w:val="0"/>
          <w:lang w:eastAsia="pl-PL"/>
          <w14:ligatures w14:val="none"/>
        </w:rPr>
        <w:t xml:space="preserve">potrzeb i modelu rozwoju infrastruktury transportowej i magazynowej </w:t>
      </w:r>
      <w:r w:rsidR="001039C2" w:rsidRPr="21422D9F">
        <w:rPr>
          <w:rFonts w:eastAsia="Times New Roman" w:cs="Arial"/>
          <w:color w:val="000000"/>
          <w:kern w:val="0"/>
          <w:lang w:eastAsia="pl-PL"/>
          <w14:ligatures w14:val="none"/>
        </w:rPr>
        <w:t>oraz wymiana wiedzy, w tym w ramach współpracy międzynarodowej.</w:t>
      </w:r>
    </w:p>
    <w:p w14:paraId="13C054BD" w14:textId="71402A48" w:rsidR="00EF7CF4" w:rsidRPr="005B7E5D" w:rsidRDefault="001B637D" w:rsidP="000625AC">
      <w:pPr>
        <w:pStyle w:val="Akapitzlist"/>
        <w:numPr>
          <w:ilvl w:val="0"/>
          <w:numId w:val="28"/>
        </w:numPr>
        <w:spacing w:after="80"/>
        <w:ind w:left="426" w:hanging="357"/>
        <w:contextualSpacing w:val="0"/>
        <w:rPr>
          <w:b/>
        </w:rPr>
      </w:pPr>
      <w:r w:rsidRPr="005B7E5D">
        <w:rPr>
          <w:b/>
        </w:rPr>
        <w:t xml:space="preserve">Współpraca przemysłu z </w:t>
      </w:r>
      <w:r w:rsidR="005B7E5D" w:rsidRPr="005B7E5D">
        <w:rPr>
          <w:b/>
          <w:bCs/>
        </w:rPr>
        <w:t>elektroenergetyką</w:t>
      </w:r>
      <w:r w:rsidRPr="005B7E5D">
        <w:rPr>
          <w:b/>
        </w:rPr>
        <w:t xml:space="preserve"> i ciepłownictwem</w:t>
      </w:r>
    </w:p>
    <w:p w14:paraId="43753883" w14:textId="2AE04581" w:rsidR="00850E07" w:rsidRDefault="005B7E5D" w:rsidP="005B7E5D">
      <w:pPr>
        <w:spacing w:after="80"/>
        <w:ind w:left="426"/>
      </w:pPr>
      <w:r>
        <w:t>Dążyć się będzie do p</w:t>
      </w:r>
      <w:r w:rsidR="001B637D">
        <w:t>opularyzacj</w:t>
      </w:r>
      <w:r w:rsidR="47AFBC2B">
        <w:t>i</w:t>
      </w:r>
      <w:r>
        <w:t xml:space="preserve"> wykorzystania ciepła odpadowego oraz</w:t>
      </w:r>
      <w:r w:rsidR="001B637D">
        <w:t xml:space="preserve"> </w:t>
      </w:r>
      <w:r w:rsidR="00EF7CF4" w:rsidRPr="00EF7CF4">
        <w:t>zagospodarowania nadwyżek energii OZE poprzez zwiększenie wielkości produkcji przemysłowej</w:t>
      </w:r>
      <w:r>
        <w:t xml:space="preserve"> </w:t>
      </w:r>
      <w:r w:rsidR="001E237A">
        <w:t>w okresach nadprodukcji OZE. B</w:t>
      </w:r>
      <w:r>
        <w:t xml:space="preserve">ędzie mieć </w:t>
      </w:r>
      <w:r w:rsidR="001E237A">
        <w:t>to</w:t>
      </w:r>
      <w:r>
        <w:t xml:space="preserve"> ograniczony wpływ na „rachunkową” dekarbonizację przemysłu, ale wpłynie efekt sumaryczny. Wykorzystanie wzajemnych możliwości pomi</w:t>
      </w:r>
      <w:r w:rsidR="007844EA">
        <w:t xml:space="preserve">ędzy </w:t>
      </w:r>
      <w:r w:rsidR="001E237A">
        <w:t>sektorami</w:t>
      </w:r>
      <w:r w:rsidR="007844EA">
        <w:t xml:space="preserve"> powinno mieć także skutek pozytywny ekonomiczny</w:t>
      </w:r>
      <w:r w:rsidR="00EF7CF4" w:rsidRPr="00EF7CF4">
        <w:t xml:space="preserve">. </w:t>
      </w:r>
    </w:p>
    <w:p w14:paraId="5DBCD062" w14:textId="3450CD24" w:rsidR="00E57B0A" w:rsidRDefault="00726240" w:rsidP="21422D9F">
      <w:pPr>
        <w:pStyle w:val="Akapitzlist"/>
        <w:ind w:left="426"/>
      </w:pPr>
      <w:r>
        <w:t xml:space="preserve">Ponadto zrewidowane zostanie </w:t>
      </w:r>
      <w:r w:rsidR="005F4143">
        <w:t xml:space="preserve">rozporządzenie Ministra Środowiska z dnia 3 września 2014 r. </w:t>
      </w:r>
      <w:r w:rsidR="005F4143" w:rsidRPr="21422D9F">
        <w:rPr>
          <w:i/>
          <w:iCs/>
        </w:rPr>
        <w:t>w sprawie obszarów, na których dopuszcza się lokalizowanie kompleksu podziemnego składowania dwutlenku węgla</w:t>
      </w:r>
      <w:r w:rsidR="005F4143">
        <w:t>. Prowadzone prace powinny skutkować m.in. dopuszczeniem lokalizowania kompleksu podziemnego składowania dwutlenku węgla również na lądzie.</w:t>
      </w:r>
    </w:p>
    <w:p w14:paraId="6E756586" w14:textId="77777777" w:rsidR="0021697F" w:rsidRDefault="0021697F" w:rsidP="00E50196">
      <w:pPr>
        <w:spacing w:after="0" w:line="240" w:lineRule="auto"/>
        <w:ind w:right="-40"/>
      </w:pPr>
    </w:p>
    <w:p w14:paraId="0DE9204C" w14:textId="78111A7A" w:rsidR="006D55B8" w:rsidRDefault="00020D1C" w:rsidP="00E50196">
      <w:pPr>
        <w:spacing w:after="0" w:line="240" w:lineRule="auto"/>
        <w:ind w:right="-40"/>
      </w:pPr>
      <w:r>
        <w:t>P</w:t>
      </w:r>
      <w:r w:rsidR="006D55B8">
        <w:t>oni</w:t>
      </w:r>
      <w:r w:rsidR="00617AE7">
        <w:t xml:space="preserve">żej zebrano </w:t>
      </w:r>
      <w:r w:rsidR="00E50196">
        <w:t>szczególnie istotne obszary działań w poszczególnych branżach, które powinny skutkować spadkiem emisyjności lub całkowitego poziomu emisji.</w:t>
      </w:r>
      <w:r w:rsidR="00481A04">
        <w:t xml:space="preserve"> </w:t>
      </w:r>
      <w:r w:rsidR="00BF0EAF">
        <w:t>Redukcja emisyjności wpłynie na</w:t>
      </w:r>
      <w:r w:rsidR="00163D55">
        <w:t> </w:t>
      </w:r>
      <w:r w:rsidR="00BF0EAF">
        <w:t xml:space="preserve">poprawę </w:t>
      </w:r>
      <w:r w:rsidR="00481A04">
        <w:t xml:space="preserve">konkurencyjności </w:t>
      </w:r>
      <w:r w:rsidR="00BF0EAF">
        <w:t xml:space="preserve">tych </w:t>
      </w:r>
      <w:r w:rsidR="00C215A8">
        <w:t>sektorów, dlatego zachęcać się będzie przemysł do podejmowania działań.</w:t>
      </w:r>
    </w:p>
    <w:p w14:paraId="705BA262" w14:textId="77777777" w:rsidR="00CA1308" w:rsidRDefault="00CA1308" w:rsidP="00124DBA">
      <w:pPr>
        <w:pStyle w:val="Akapitzlist"/>
        <w:ind w:left="426"/>
        <w:contextualSpacing w:val="0"/>
      </w:pPr>
    </w:p>
    <w:tbl>
      <w:tblPr>
        <w:tblStyle w:val="Tabela-Siatka"/>
        <w:tblW w:w="9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6009"/>
      </w:tblGrid>
      <w:tr w:rsidR="00905F1D" w:rsidRPr="00F312AF" w14:paraId="45EDC969" w14:textId="77777777" w:rsidTr="21422D9F">
        <w:trPr>
          <w:trHeight w:val="230"/>
        </w:trPr>
        <w:tc>
          <w:tcPr>
            <w:tcW w:w="3118" w:type="dxa"/>
            <w:tcBorders>
              <w:bottom w:val="single" w:sz="18" w:space="0" w:color="A6A6A6" w:themeColor="background1" w:themeShade="A6"/>
            </w:tcBorders>
          </w:tcPr>
          <w:p w14:paraId="485DF9B0" w14:textId="77777777" w:rsidR="00CA1308" w:rsidRPr="00F312AF" w:rsidRDefault="00CA1308" w:rsidP="00905F1D">
            <w:pPr>
              <w:spacing w:before="40" w:after="40"/>
              <w:jc w:val="left"/>
              <w:rPr>
                <w:b/>
                <w:bCs/>
                <w:sz w:val="18"/>
                <w:szCs w:val="20"/>
              </w:rPr>
            </w:pPr>
            <w:r w:rsidRPr="00F312AF">
              <w:rPr>
                <w:b/>
                <w:bCs/>
                <w:sz w:val="18"/>
                <w:szCs w:val="20"/>
              </w:rPr>
              <w:t>przemysł/ branża</w:t>
            </w:r>
          </w:p>
        </w:tc>
        <w:tc>
          <w:tcPr>
            <w:tcW w:w="6009" w:type="dxa"/>
            <w:tcBorders>
              <w:bottom w:val="single" w:sz="18" w:space="0" w:color="A6A6A6" w:themeColor="background1" w:themeShade="A6"/>
            </w:tcBorders>
          </w:tcPr>
          <w:p w14:paraId="5840B85E" w14:textId="77777777" w:rsidR="00CA1308" w:rsidRPr="00F312AF" w:rsidRDefault="00CA1308" w:rsidP="00905F1D">
            <w:pPr>
              <w:spacing w:before="40" w:after="40"/>
              <w:ind w:left="313"/>
              <w:jc w:val="left"/>
              <w:rPr>
                <w:b/>
                <w:bCs/>
                <w:sz w:val="18"/>
                <w:szCs w:val="20"/>
              </w:rPr>
            </w:pPr>
            <w:r w:rsidRPr="00F312AF">
              <w:rPr>
                <w:b/>
                <w:bCs/>
                <w:sz w:val="18"/>
                <w:szCs w:val="20"/>
              </w:rPr>
              <w:t>możliwe działania dekarbonizacyjne</w:t>
            </w:r>
          </w:p>
        </w:tc>
      </w:tr>
      <w:tr w:rsidR="00905F1D" w:rsidRPr="00F312AF" w14:paraId="6840BF64" w14:textId="77777777" w:rsidTr="21422D9F">
        <w:trPr>
          <w:trHeight w:val="244"/>
        </w:trPr>
        <w:tc>
          <w:tcPr>
            <w:tcW w:w="3118" w:type="dxa"/>
            <w:tcBorders>
              <w:top w:val="single" w:sz="18" w:space="0" w:color="A6A6A6" w:themeColor="background1" w:themeShade="A6"/>
              <w:bottom w:val="dotted" w:sz="4" w:space="0" w:color="D9D9D9" w:themeColor="background1" w:themeShade="D9"/>
            </w:tcBorders>
          </w:tcPr>
          <w:p w14:paraId="4E54A420" w14:textId="77777777" w:rsidR="00CA1308" w:rsidRPr="00F312AF" w:rsidRDefault="00CA1308" w:rsidP="00905F1D">
            <w:pPr>
              <w:spacing w:before="40" w:after="40"/>
              <w:jc w:val="left"/>
              <w:rPr>
                <w:b/>
                <w:bCs/>
                <w:sz w:val="18"/>
                <w:szCs w:val="20"/>
              </w:rPr>
            </w:pPr>
            <w:r w:rsidRPr="00F312AF">
              <w:rPr>
                <w:b/>
                <w:bCs/>
                <w:sz w:val="18"/>
                <w:szCs w:val="20"/>
              </w:rPr>
              <w:t>przemysł mineralny</w:t>
            </w:r>
          </w:p>
        </w:tc>
        <w:tc>
          <w:tcPr>
            <w:tcW w:w="6009" w:type="dxa"/>
            <w:tcBorders>
              <w:top w:val="single" w:sz="18" w:space="0" w:color="A6A6A6" w:themeColor="background1" w:themeShade="A6"/>
              <w:bottom w:val="dotted" w:sz="4" w:space="0" w:color="D9D9D9" w:themeColor="background1" w:themeShade="D9"/>
            </w:tcBorders>
          </w:tcPr>
          <w:p w14:paraId="20293771" w14:textId="77777777" w:rsidR="00CA1308" w:rsidRPr="00F312AF" w:rsidRDefault="00CA1308" w:rsidP="00905F1D">
            <w:pPr>
              <w:spacing w:before="40" w:after="40"/>
              <w:jc w:val="left"/>
              <w:rPr>
                <w:sz w:val="18"/>
                <w:szCs w:val="20"/>
              </w:rPr>
            </w:pPr>
          </w:p>
        </w:tc>
      </w:tr>
      <w:tr w:rsidR="00905F1D" w:rsidRPr="00F312AF" w14:paraId="0CD27DB4" w14:textId="77777777" w:rsidTr="21422D9F">
        <w:trPr>
          <w:trHeight w:val="473"/>
        </w:trPr>
        <w:tc>
          <w:tcPr>
            <w:tcW w:w="3118" w:type="dxa"/>
            <w:tcBorders>
              <w:top w:val="dotted" w:sz="4" w:space="0" w:color="D9D9D9" w:themeColor="background1" w:themeShade="D9"/>
              <w:bottom w:val="dotted" w:sz="4" w:space="0" w:color="D9D9D9" w:themeColor="background1" w:themeShade="D9"/>
            </w:tcBorders>
          </w:tcPr>
          <w:p w14:paraId="16FB5B43" w14:textId="77777777" w:rsidR="00CA1308" w:rsidRPr="00F312AF" w:rsidRDefault="00CA1308" w:rsidP="00905F1D">
            <w:pPr>
              <w:spacing w:before="40" w:after="40"/>
              <w:jc w:val="left"/>
              <w:rPr>
                <w:sz w:val="18"/>
                <w:szCs w:val="20"/>
              </w:rPr>
            </w:pPr>
            <w:r w:rsidRPr="00F312AF">
              <w:rPr>
                <w:sz w:val="18"/>
                <w:szCs w:val="20"/>
              </w:rPr>
              <w:t>produkcja cementu</w:t>
            </w:r>
          </w:p>
        </w:tc>
        <w:tc>
          <w:tcPr>
            <w:tcW w:w="6009" w:type="dxa"/>
            <w:tcBorders>
              <w:top w:val="dotted" w:sz="4" w:space="0" w:color="D9D9D9" w:themeColor="background1" w:themeShade="D9"/>
              <w:bottom w:val="dotted" w:sz="4" w:space="0" w:color="D9D9D9" w:themeColor="background1" w:themeShade="D9"/>
            </w:tcBorders>
          </w:tcPr>
          <w:p w14:paraId="43E8DD73" w14:textId="77777777" w:rsidR="00CA1308" w:rsidRPr="00F312AF" w:rsidRDefault="00CA1308" w:rsidP="000625AC">
            <w:pPr>
              <w:pStyle w:val="Akapitzlist"/>
              <w:numPr>
                <w:ilvl w:val="0"/>
                <w:numId w:val="106"/>
              </w:numPr>
              <w:spacing w:before="40" w:after="40"/>
              <w:jc w:val="left"/>
              <w:rPr>
                <w:sz w:val="18"/>
                <w:szCs w:val="20"/>
              </w:rPr>
            </w:pPr>
            <w:r w:rsidRPr="00F312AF">
              <w:rPr>
                <w:sz w:val="18"/>
                <w:szCs w:val="20"/>
              </w:rPr>
              <w:t>redukcja zastosowania klinkieru</w:t>
            </w:r>
          </w:p>
          <w:p w14:paraId="578462E3" w14:textId="77777777" w:rsidR="00CA1308" w:rsidRPr="00F312AF" w:rsidRDefault="00CA1308" w:rsidP="000625AC">
            <w:pPr>
              <w:pStyle w:val="Akapitzlist"/>
              <w:numPr>
                <w:ilvl w:val="0"/>
                <w:numId w:val="106"/>
              </w:numPr>
              <w:spacing w:before="40" w:after="40"/>
              <w:jc w:val="left"/>
              <w:rPr>
                <w:sz w:val="18"/>
                <w:szCs w:val="20"/>
              </w:rPr>
            </w:pPr>
            <w:r w:rsidRPr="00F312AF">
              <w:rPr>
                <w:sz w:val="18"/>
                <w:szCs w:val="20"/>
              </w:rPr>
              <w:t>zastosowanie technologii CCS (metoda kriogeniczna)</w:t>
            </w:r>
          </w:p>
        </w:tc>
      </w:tr>
      <w:tr w:rsidR="00905F1D" w:rsidRPr="00F312AF" w14:paraId="248C91F3" w14:textId="77777777" w:rsidTr="21422D9F">
        <w:trPr>
          <w:trHeight w:val="1291"/>
        </w:trPr>
        <w:tc>
          <w:tcPr>
            <w:tcW w:w="3118" w:type="dxa"/>
            <w:tcBorders>
              <w:top w:val="dotted" w:sz="4" w:space="0" w:color="D9D9D9" w:themeColor="background1" w:themeShade="D9"/>
              <w:bottom w:val="dotted" w:sz="4" w:space="0" w:color="D9D9D9" w:themeColor="background1" w:themeShade="D9"/>
            </w:tcBorders>
          </w:tcPr>
          <w:p w14:paraId="022D10B3" w14:textId="77777777" w:rsidR="00CA1308" w:rsidRPr="00F312AF" w:rsidRDefault="00CA1308" w:rsidP="00905F1D">
            <w:pPr>
              <w:spacing w:before="40" w:after="40"/>
              <w:jc w:val="left"/>
              <w:rPr>
                <w:sz w:val="18"/>
                <w:szCs w:val="20"/>
              </w:rPr>
            </w:pPr>
            <w:r w:rsidRPr="00F312AF">
              <w:rPr>
                <w:sz w:val="18"/>
                <w:szCs w:val="20"/>
              </w:rPr>
              <w:t>produkcja wapna</w:t>
            </w:r>
          </w:p>
        </w:tc>
        <w:tc>
          <w:tcPr>
            <w:tcW w:w="6009" w:type="dxa"/>
            <w:tcBorders>
              <w:top w:val="dotted" w:sz="4" w:space="0" w:color="D9D9D9" w:themeColor="background1" w:themeShade="D9"/>
              <w:bottom w:val="dotted" w:sz="4" w:space="0" w:color="D9D9D9" w:themeColor="background1" w:themeShade="D9"/>
            </w:tcBorders>
          </w:tcPr>
          <w:p w14:paraId="15E6603F" w14:textId="77777777" w:rsidR="00CA1308" w:rsidRPr="00F312AF" w:rsidRDefault="00CA1308" w:rsidP="000625AC">
            <w:pPr>
              <w:pStyle w:val="Akapitzlist"/>
              <w:numPr>
                <w:ilvl w:val="0"/>
                <w:numId w:val="107"/>
              </w:numPr>
              <w:spacing w:before="40" w:after="40"/>
              <w:ind w:right="-40"/>
              <w:jc w:val="left"/>
              <w:rPr>
                <w:sz w:val="18"/>
                <w:szCs w:val="20"/>
              </w:rPr>
            </w:pPr>
            <w:r w:rsidRPr="00F312AF">
              <w:rPr>
                <w:sz w:val="18"/>
                <w:szCs w:val="20"/>
              </w:rPr>
              <w:t>zastosowanie mniej emisyjnego paliwa (zamiast obecnie stosowanego powszechnie węgla) do produkcji energii na potrzeby własne</w:t>
            </w:r>
          </w:p>
          <w:p w14:paraId="420713BA" w14:textId="77777777" w:rsidR="00CA1308" w:rsidRPr="00F312AF" w:rsidRDefault="00CA1308" w:rsidP="000625AC">
            <w:pPr>
              <w:pStyle w:val="Akapitzlist"/>
              <w:numPr>
                <w:ilvl w:val="0"/>
                <w:numId w:val="107"/>
              </w:numPr>
              <w:spacing w:before="40" w:after="40"/>
              <w:ind w:right="-40"/>
              <w:jc w:val="left"/>
              <w:rPr>
                <w:sz w:val="18"/>
                <w:szCs w:val="20"/>
              </w:rPr>
            </w:pPr>
            <w:r w:rsidRPr="00F312AF">
              <w:rPr>
                <w:sz w:val="18"/>
                <w:szCs w:val="20"/>
              </w:rPr>
              <w:t>częściowa elektryfikacja procesu wytwarzania ciepła wysokotemperaturowego</w:t>
            </w:r>
          </w:p>
        </w:tc>
      </w:tr>
      <w:tr w:rsidR="00905F1D" w:rsidRPr="00F312AF" w14:paraId="260B2548" w14:textId="77777777" w:rsidTr="21422D9F">
        <w:trPr>
          <w:trHeight w:val="473"/>
        </w:trPr>
        <w:tc>
          <w:tcPr>
            <w:tcW w:w="3118" w:type="dxa"/>
            <w:tcBorders>
              <w:top w:val="dotted" w:sz="4" w:space="0" w:color="D9D9D9" w:themeColor="background1" w:themeShade="D9"/>
              <w:bottom w:val="single" w:sz="12" w:space="0" w:color="A6A6A6" w:themeColor="background1" w:themeShade="A6"/>
            </w:tcBorders>
          </w:tcPr>
          <w:p w14:paraId="3FC7E6C7" w14:textId="77777777" w:rsidR="00CA1308" w:rsidRPr="00F312AF" w:rsidRDefault="00CA1308" w:rsidP="00905F1D">
            <w:pPr>
              <w:spacing w:before="40" w:after="40"/>
              <w:jc w:val="left"/>
              <w:rPr>
                <w:sz w:val="18"/>
                <w:szCs w:val="20"/>
              </w:rPr>
            </w:pPr>
            <w:r w:rsidRPr="00F312AF">
              <w:rPr>
                <w:noProof/>
                <w:sz w:val="18"/>
                <w:szCs w:val="20"/>
              </w:rPr>
              <w:t>produkcja szkła i wyrobów ceramicznych</w:t>
            </w:r>
          </w:p>
        </w:tc>
        <w:tc>
          <w:tcPr>
            <w:tcW w:w="6009" w:type="dxa"/>
            <w:tcBorders>
              <w:top w:val="dotted" w:sz="4" w:space="0" w:color="D9D9D9" w:themeColor="background1" w:themeShade="D9"/>
              <w:bottom w:val="single" w:sz="12" w:space="0" w:color="A6A6A6" w:themeColor="background1" w:themeShade="A6"/>
            </w:tcBorders>
          </w:tcPr>
          <w:p w14:paraId="72ED2F6A" w14:textId="77777777" w:rsidR="00CA1308" w:rsidRPr="00F312AF" w:rsidRDefault="00CA1308" w:rsidP="000625AC">
            <w:pPr>
              <w:pStyle w:val="Akapitzlist"/>
              <w:numPr>
                <w:ilvl w:val="0"/>
                <w:numId w:val="107"/>
              </w:numPr>
              <w:spacing w:before="40" w:after="40"/>
              <w:jc w:val="left"/>
              <w:rPr>
                <w:sz w:val="18"/>
                <w:szCs w:val="20"/>
              </w:rPr>
            </w:pPr>
            <w:r w:rsidRPr="00F312AF">
              <w:rPr>
                <w:sz w:val="18"/>
                <w:szCs w:val="20"/>
              </w:rPr>
              <w:t>dalsza elektryfikacja procesu wytwarzania ciepła wysokotemperaturowego</w:t>
            </w:r>
          </w:p>
          <w:p w14:paraId="1040EE85" w14:textId="77777777" w:rsidR="00CA1308" w:rsidRPr="00F312AF" w:rsidRDefault="00CA1308" w:rsidP="000625AC">
            <w:pPr>
              <w:pStyle w:val="Akapitzlist"/>
              <w:numPr>
                <w:ilvl w:val="0"/>
                <w:numId w:val="107"/>
              </w:numPr>
              <w:spacing w:before="40" w:after="40"/>
              <w:jc w:val="left"/>
              <w:rPr>
                <w:sz w:val="18"/>
                <w:szCs w:val="20"/>
              </w:rPr>
            </w:pPr>
            <w:r w:rsidRPr="00F312AF">
              <w:rPr>
                <w:sz w:val="18"/>
                <w:szCs w:val="20"/>
              </w:rPr>
              <w:t>zmiana paliwa z gazu ziemnego na biometan/biogaz</w:t>
            </w:r>
          </w:p>
        </w:tc>
      </w:tr>
      <w:tr w:rsidR="00905F1D" w:rsidRPr="00F312AF" w14:paraId="30F4AF10" w14:textId="77777777" w:rsidTr="21422D9F">
        <w:trPr>
          <w:trHeight w:val="473"/>
        </w:trPr>
        <w:tc>
          <w:tcPr>
            <w:tcW w:w="3118" w:type="dxa"/>
            <w:tcBorders>
              <w:top w:val="single" w:sz="12" w:space="0" w:color="A6A6A6" w:themeColor="background1" w:themeShade="A6"/>
              <w:bottom w:val="dotted" w:sz="4" w:space="0" w:color="D9D9D9" w:themeColor="background1" w:themeShade="D9"/>
            </w:tcBorders>
          </w:tcPr>
          <w:p w14:paraId="14A20124" w14:textId="41E17FBD" w:rsidR="00CA1308" w:rsidRPr="00F312AF" w:rsidRDefault="00CA1308" w:rsidP="00905F1D">
            <w:pPr>
              <w:spacing w:before="40" w:after="40"/>
              <w:jc w:val="left"/>
              <w:rPr>
                <w:b/>
                <w:bCs/>
                <w:sz w:val="18"/>
                <w:szCs w:val="20"/>
              </w:rPr>
            </w:pPr>
            <w:r w:rsidRPr="00F312AF">
              <w:rPr>
                <w:b/>
                <w:bCs/>
                <w:noProof/>
                <w:sz w:val="18"/>
                <w:szCs w:val="20"/>
              </w:rPr>
              <w:t>przemysł chemiczny i</w:t>
            </w:r>
            <w:r w:rsidR="00905F1D">
              <w:rPr>
                <w:b/>
                <w:bCs/>
                <w:noProof/>
                <w:sz w:val="18"/>
                <w:szCs w:val="20"/>
              </w:rPr>
              <w:t> </w:t>
            </w:r>
            <w:r w:rsidRPr="00F312AF">
              <w:rPr>
                <w:b/>
                <w:bCs/>
                <w:noProof/>
                <w:sz w:val="18"/>
                <w:szCs w:val="20"/>
              </w:rPr>
              <w:t>petrochemiczny</w:t>
            </w:r>
          </w:p>
        </w:tc>
        <w:tc>
          <w:tcPr>
            <w:tcW w:w="6009" w:type="dxa"/>
            <w:tcBorders>
              <w:top w:val="single" w:sz="12" w:space="0" w:color="A6A6A6" w:themeColor="background1" w:themeShade="A6"/>
              <w:bottom w:val="dotted" w:sz="4" w:space="0" w:color="D9D9D9" w:themeColor="background1" w:themeShade="D9"/>
            </w:tcBorders>
          </w:tcPr>
          <w:p w14:paraId="26128E95" w14:textId="77777777" w:rsidR="00CA1308" w:rsidRPr="00F312AF" w:rsidRDefault="00CA1308" w:rsidP="00905F1D">
            <w:pPr>
              <w:pStyle w:val="Akapitzlist"/>
              <w:spacing w:before="40" w:after="40"/>
              <w:ind w:left="360"/>
              <w:jc w:val="left"/>
              <w:rPr>
                <w:sz w:val="18"/>
                <w:szCs w:val="20"/>
              </w:rPr>
            </w:pPr>
          </w:p>
        </w:tc>
      </w:tr>
      <w:tr w:rsidR="00905F1D" w:rsidRPr="00F312AF" w14:paraId="32FC96B4" w14:textId="77777777" w:rsidTr="21422D9F">
        <w:trPr>
          <w:trHeight w:val="473"/>
        </w:trPr>
        <w:tc>
          <w:tcPr>
            <w:tcW w:w="3118" w:type="dxa"/>
            <w:tcBorders>
              <w:top w:val="dotted" w:sz="4" w:space="0" w:color="D9D9D9" w:themeColor="background1" w:themeShade="D9"/>
              <w:bottom w:val="dotted" w:sz="4" w:space="0" w:color="D9D9D9" w:themeColor="background1" w:themeShade="D9"/>
            </w:tcBorders>
          </w:tcPr>
          <w:p w14:paraId="35ECD6D9" w14:textId="02EE4098" w:rsidR="00CA1308" w:rsidRPr="00F312AF" w:rsidRDefault="00CA1308" w:rsidP="00905F1D">
            <w:pPr>
              <w:spacing w:before="40" w:after="40"/>
              <w:jc w:val="left"/>
              <w:rPr>
                <w:sz w:val="18"/>
                <w:szCs w:val="20"/>
              </w:rPr>
            </w:pPr>
            <w:r w:rsidRPr="00F312AF">
              <w:rPr>
                <w:noProof/>
                <w:sz w:val="18"/>
                <w:szCs w:val="20"/>
              </w:rPr>
              <w:lastRenderedPageBreak/>
              <w:t xml:space="preserve">produkcja amoniaku </w:t>
            </w:r>
            <w:r w:rsidR="00905F1D">
              <w:rPr>
                <w:noProof/>
                <w:sz w:val="18"/>
                <w:szCs w:val="20"/>
              </w:rPr>
              <w:br/>
            </w:r>
            <w:r w:rsidRPr="00F312AF">
              <w:rPr>
                <w:noProof/>
                <w:sz w:val="18"/>
                <w:szCs w:val="20"/>
              </w:rPr>
              <w:t>(do nawozów azotowych)</w:t>
            </w:r>
          </w:p>
        </w:tc>
        <w:tc>
          <w:tcPr>
            <w:tcW w:w="6009" w:type="dxa"/>
            <w:tcBorders>
              <w:top w:val="dotted" w:sz="4" w:space="0" w:color="D9D9D9" w:themeColor="background1" w:themeShade="D9"/>
              <w:bottom w:val="dotted" w:sz="4" w:space="0" w:color="D9D9D9" w:themeColor="background1" w:themeShade="D9"/>
            </w:tcBorders>
          </w:tcPr>
          <w:p w14:paraId="59FB1B19" w14:textId="77777777" w:rsidR="00CA1308" w:rsidRPr="00F312AF" w:rsidRDefault="00CA1308" w:rsidP="000625AC">
            <w:pPr>
              <w:pStyle w:val="Akapitzlist"/>
              <w:numPr>
                <w:ilvl w:val="0"/>
                <w:numId w:val="107"/>
              </w:numPr>
              <w:spacing w:before="40" w:after="40"/>
              <w:jc w:val="left"/>
              <w:rPr>
                <w:sz w:val="18"/>
                <w:szCs w:val="20"/>
              </w:rPr>
            </w:pPr>
            <w:r w:rsidRPr="00F312AF">
              <w:rPr>
                <w:sz w:val="18"/>
                <w:szCs w:val="20"/>
              </w:rPr>
              <w:t>zastosowanie technologii CCS</w:t>
            </w:r>
          </w:p>
          <w:p w14:paraId="114B66E0" w14:textId="4331B43B" w:rsidR="00CA1308" w:rsidRPr="00F312AF" w:rsidRDefault="00CA1308" w:rsidP="000625AC">
            <w:pPr>
              <w:pStyle w:val="Akapitzlist"/>
              <w:numPr>
                <w:ilvl w:val="0"/>
                <w:numId w:val="107"/>
              </w:numPr>
              <w:spacing w:before="40" w:after="40"/>
              <w:jc w:val="left"/>
              <w:rPr>
                <w:sz w:val="18"/>
                <w:szCs w:val="18"/>
              </w:rPr>
            </w:pPr>
            <w:r w:rsidRPr="1D1393D4">
              <w:rPr>
                <w:sz w:val="18"/>
                <w:szCs w:val="18"/>
              </w:rPr>
              <w:t xml:space="preserve">produkcja wodoru </w:t>
            </w:r>
            <w:r w:rsidR="3A1F8D30" w:rsidRPr="1D1393D4">
              <w:rPr>
                <w:sz w:val="18"/>
                <w:szCs w:val="18"/>
              </w:rPr>
              <w:t>odnawialnego, w tym pochodzenia niebiologicznego</w:t>
            </w:r>
            <w:r w:rsidR="0308BAA4" w:rsidRPr="1D1393D4">
              <w:rPr>
                <w:sz w:val="18"/>
                <w:szCs w:val="18"/>
              </w:rPr>
              <w:t xml:space="preserve"> </w:t>
            </w:r>
            <w:r w:rsidRPr="1D1393D4">
              <w:rPr>
                <w:sz w:val="18"/>
                <w:szCs w:val="18"/>
              </w:rPr>
              <w:t>i pochodzącego z niego zielonego amoniaku</w:t>
            </w:r>
          </w:p>
          <w:p w14:paraId="14B65C38" w14:textId="77777777" w:rsidR="00CA1308" w:rsidRPr="00F312AF" w:rsidRDefault="00CA1308" w:rsidP="000625AC">
            <w:pPr>
              <w:pStyle w:val="Akapitzlist"/>
              <w:numPr>
                <w:ilvl w:val="0"/>
                <w:numId w:val="107"/>
              </w:numPr>
              <w:spacing w:before="40" w:after="40"/>
              <w:jc w:val="left"/>
              <w:rPr>
                <w:sz w:val="18"/>
                <w:szCs w:val="20"/>
              </w:rPr>
            </w:pPr>
            <w:r w:rsidRPr="00F312AF">
              <w:rPr>
                <w:sz w:val="18"/>
                <w:szCs w:val="20"/>
              </w:rPr>
              <w:t>zmiana paliwa z gazu ziemnego na biometan/biogaz</w:t>
            </w:r>
          </w:p>
        </w:tc>
      </w:tr>
      <w:tr w:rsidR="00905F1D" w:rsidRPr="00F312AF" w14:paraId="73196C21" w14:textId="77777777" w:rsidTr="21422D9F">
        <w:trPr>
          <w:trHeight w:val="473"/>
        </w:trPr>
        <w:tc>
          <w:tcPr>
            <w:tcW w:w="3118" w:type="dxa"/>
            <w:tcBorders>
              <w:top w:val="dotted" w:sz="4" w:space="0" w:color="D9D9D9" w:themeColor="background1" w:themeShade="D9"/>
              <w:bottom w:val="dotted" w:sz="4" w:space="0" w:color="D9D9D9" w:themeColor="background1" w:themeShade="D9"/>
            </w:tcBorders>
          </w:tcPr>
          <w:p w14:paraId="1F2E4060" w14:textId="0930ACE9" w:rsidR="00CA1308" w:rsidRPr="00F312AF" w:rsidRDefault="00CA1308" w:rsidP="00905F1D">
            <w:pPr>
              <w:spacing w:before="40" w:after="40"/>
              <w:jc w:val="left"/>
              <w:rPr>
                <w:sz w:val="18"/>
                <w:szCs w:val="20"/>
              </w:rPr>
            </w:pPr>
            <w:r w:rsidRPr="00F312AF">
              <w:rPr>
                <w:noProof/>
                <w:sz w:val="18"/>
                <w:szCs w:val="20"/>
              </w:rPr>
              <w:t>produkcja sody kalcynowanej</w:t>
            </w:r>
            <w:r w:rsidR="00905F1D">
              <w:rPr>
                <w:noProof/>
                <w:sz w:val="18"/>
                <w:szCs w:val="20"/>
              </w:rPr>
              <w:br/>
            </w:r>
            <w:r w:rsidRPr="00F312AF">
              <w:rPr>
                <w:noProof/>
                <w:sz w:val="18"/>
                <w:szCs w:val="20"/>
              </w:rPr>
              <w:t xml:space="preserve"> i soli warzonej</w:t>
            </w:r>
          </w:p>
        </w:tc>
        <w:tc>
          <w:tcPr>
            <w:tcW w:w="6009" w:type="dxa"/>
            <w:tcBorders>
              <w:top w:val="dotted" w:sz="4" w:space="0" w:color="D9D9D9" w:themeColor="background1" w:themeShade="D9"/>
              <w:bottom w:val="dotted" w:sz="4" w:space="0" w:color="D9D9D9" w:themeColor="background1" w:themeShade="D9"/>
            </w:tcBorders>
          </w:tcPr>
          <w:p w14:paraId="4C685334" w14:textId="64DC034A" w:rsidR="00CA1308" w:rsidRPr="00F312AF" w:rsidRDefault="00CA1308" w:rsidP="000625AC">
            <w:pPr>
              <w:pStyle w:val="Akapitzlist"/>
              <w:numPr>
                <w:ilvl w:val="0"/>
                <w:numId w:val="109"/>
              </w:numPr>
              <w:spacing w:before="40" w:after="40"/>
              <w:jc w:val="left"/>
              <w:rPr>
                <w:sz w:val="18"/>
                <w:szCs w:val="20"/>
              </w:rPr>
            </w:pPr>
            <w:r w:rsidRPr="00F312AF">
              <w:rPr>
                <w:sz w:val="18"/>
                <w:szCs w:val="20"/>
              </w:rPr>
              <w:t>zastosowanie mniej emisyjnego paliwa do produkcji energii na</w:t>
            </w:r>
            <w:r w:rsidR="00163D55">
              <w:rPr>
                <w:sz w:val="18"/>
                <w:szCs w:val="20"/>
              </w:rPr>
              <w:t> </w:t>
            </w:r>
            <w:r w:rsidRPr="00F312AF">
              <w:rPr>
                <w:sz w:val="18"/>
                <w:szCs w:val="20"/>
              </w:rPr>
              <w:t>potrzeby własne</w:t>
            </w:r>
          </w:p>
          <w:p w14:paraId="594CD1CC" w14:textId="77777777" w:rsidR="00CA1308" w:rsidRPr="00F312AF" w:rsidRDefault="00CA1308" w:rsidP="000625AC">
            <w:pPr>
              <w:pStyle w:val="Akapitzlist"/>
              <w:numPr>
                <w:ilvl w:val="0"/>
                <w:numId w:val="109"/>
              </w:numPr>
              <w:spacing w:before="40" w:after="40"/>
              <w:jc w:val="left"/>
              <w:rPr>
                <w:sz w:val="18"/>
                <w:szCs w:val="20"/>
              </w:rPr>
            </w:pPr>
            <w:r w:rsidRPr="00F312AF">
              <w:rPr>
                <w:sz w:val="18"/>
                <w:szCs w:val="20"/>
              </w:rPr>
              <w:t>odzysk ciepła</w:t>
            </w:r>
          </w:p>
        </w:tc>
      </w:tr>
      <w:tr w:rsidR="00905F1D" w:rsidRPr="00F312AF" w14:paraId="63C8C3FE" w14:textId="77777777" w:rsidTr="21422D9F">
        <w:trPr>
          <w:trHeight w:val="473"/>
        </w:trPr>
        <w:tc>
          <w:tcPr>
            <w:tcW w:w="3118" w:type="dxa"/>
            <w:tcBorders>
              <w:top w:val="dotted" w:sz="4" w:space="0" w:color="D9D9D9" w:themeColor="background1" w:themeShade="D9"/>
              <w:bottom w:val="single" w:sz="12" w:space="0" w:color="A6A6A6" w:themeColor="background1" w:themeShade="A6"/>
            </w:tcBorders>
          </w:tcPr>
          <w:p w14:paraId="315612D8" w14:textId="740DF745" w:rsidR="00CA1308" w:rsidRPr="00F312AF" w:rsidRDefault="4DF635F8" w:rsidP="00905F1D">
            <w:pPr>
              <w:spacing w:before="40" w:after="40"/>
              <w:jc w:val="left"/>
              <w:rPr>
                <w:sz w:val="18"/>
                <w:szCs w:val="18"/>
              </w:rPr>
            </w:pPr>
            <w:r w:rsidRPr="21422D9F">
              <w:rPr>
                <w:noProof/>
                <w:sz w:val="18"/>
                <w:szCs w:val="18"/>
              </w:rPr>
              <w:t>produkcja produktów petrochemicznych oraz paliw</w:t>
            </w:r>
          </w:p>
        </w:tc>
        <w:tc>
          <w:tcPr>
            <w:tcW w:w="6009" w:type="dxa"/>
            <w:tcBorders>
              <w:top w:val="dotted" w:sz="4" w:space="0" w:color="D9D9D9" w:themeColor="background1" w:themeShade="D9"/>
              <w:bottom w:val="single" w:sz="12" w:space="0" w:color="A6A6A6" w:themeColor="background1" w:themeShade="A6"/>
            </w:tcBorders>
          </w:tcPr>
          <w:p w14:paraId="4E1DAED3" w14:textId="56D3F9B1" w:rsidR="00CA1308" w:rsidRPr="00F312AF" w:rsidRDefault="4DF635F8" w:rsidP="000625AC">
            <w:pPr>
              <w:pStyle w:val="Akapitzlist"/>
              <w:numPr>
                <w:ilvl w:val="0"/>
                <w:numId w:val="108"/>
              </w:numPr>
              <w:spacing w:before="40" w:after="40"/>
              <w:jc w:val="left"/>
              <w:rPr>
                <w:sz w:val="18"/>
                <w:szCs w:val="18"/>
              </w:rPr>
            </w:pPr>
            <w:r w:rsidRPr="21422D9F">
              <w:rPr>
                <w:sz w:val="18"/>
                <w:szCs w:val="18"/>
              </w:rPr>
              <w:t>zastosowanie technologii CCS</w:t>
            </w:r>
            <w:r w:rsidR="00CA1308">
              <w:br/>
            </w:r>
            <w:r w:rsidRPr="21422D9F">
              <w:rPr>
                <w:i/>
                <w:iCs/>
                <w:sz w:val="18"/>
                <w:szCs w:val="18"/>
              </w:rPr>
              <w:t>rynek będzie się kurczył, co wpłynie na spadek emisji</w:t>
            </w:r>
          </w:p>
        </w:tc>
      </w:tr>
      <w:tr w:rsidR="00905F1D" w:rsidRPr="00F312AF" w14:paraId="7DD2FE40" w14:textId="77777777" w:rsidTr="21422D9F">
        <w:trPr>
          <w:trHeight w:val="230"/>
        </w:trPr>
        <w:tc>
          <w:tcPr>
            <w:tcW w:w="3118" w:type="dxa"/>
            <w:tcBorders>
              <w:top w:val="single" w:sz="12" w:space="0" w:color="A6A6A6" w:themeColor="background1" w:themeShade="A6"/>
              <w:bottom w:val="dotted" w:sz="4" w:space="0" w:color="D9D9D9" w:themeColor="background1" w:themeShade="D9"/>
            </w:tcBorders>
          </w:tcPr>
          <w:p w14:paraId="2813E455" w14:textId="77777777" w:rsidR="00CA1308" w:rsidRPr="00F312AF" w:rsidRDefault="00CA1308" w:rsidP="00905F1D">
            <w:pPr>
              <w:spacing w:before="40" w:after="40"/>
              <w:jc w:val="left"/>
              <w:rPr>
                <w:b/>
                <w:bCs/>
                <w:sz w:val="18"/>
                <w:szCs w:val="20"/>
              </w:rPr>
            </w:pPr>
            <w:r w:rsidRPr="00F312AF">
              <w:rPr>
                <w:b/>
                <w:bCs/>
                <w:noProof/>
                <w:sz w:val="18"/>
                <w:szCs w:val="20"/>
              </w:rPr>
              <w:t>przemysł metalurgiczny</w:t>
            </w:r>
          </w:p>
        </w:tc>
        <w:tc>
          <w:tcPr>
            <w:tcW w:w="6009" w:type="dxa"/>
            <w:tcBorders>
              <w:top w:val="single" w:sz="12" w:space="0" w:color="A6A6A6" w:themeColor="background1" w:themeShade="A6"/>
              <w:bottom w:val="dotted" w:sz="4" w:space="0" w:color="D9D9D9" w:themeColor="background1" w:themeShade="D9"/>
            </w:tcBorders>
          </w:tcPr>
          <w:p w14:paraId="1E2B4A6D" w14:textId="77777777" w:rsidR="00CA1308" w:rsidRPr="00F312AF" w:rsidRDefault="00CA1308" w:rsidP="00905F1D">
            <w:pPr>
              <w:spacing w:before="40" w:after="40"/>
              <w:jc w:val="left"/>
              <w:rPr>
                <w:sz w:val="18"/>
                <w:szCs w:val="20"/>
              </w:rPr>
            </w:pPr>
          </w:p>
        </w:tc>
      </w:tr>
      <w:tr w:rsidR="00905F1D" w:rsidRPr="00F312AF" w14:paraId="675F1074" w14:textId="77777777" w:rsidTr="21422D9F">
        <w:trPr>
          <w:trHeight w:val="244"/>
        </w:trPr>
        <w:tc>
          <w:tcPr>
            <w:tcW w:w="3118" w:type="dxa"/>
            <w:tcBorders>
              <w:top w:val="dotted" w:sz="4" w:space="0" w:color="D9D9D9" w:themeColor="background1" w:themeShade="D9"/>
              <w:bottom w:val="dotted" w:sz="4" w:space="0" w:color="D9D9D9" w:themeColor="background1" w:themeShade="D9"/>
            </w:tcBorders>
          </w:tcPr>
          <w:p w14:paraId="2270E878" w14:textId="77777777" w:rsidR="00CA1308" w:rsidRPr="00F312AF" w:rsidRDefault="00CA1308" w:rsidP="00905F1D">
            <w:pPr>
              <w:spacing w:before="40" w:after="40"/>
              <w:jc w:val="left"/>
              <w:rPr>
                <w:noProof/>
                <w:sz w:val="18"/>
                <w:szCs w:val="20"/>
              </w:rPr>
            </w:pPr>
            <w:r w:rsidRPr="00F312AF">
              <w:rPr>
                <w:noProof/>
                <w:sz w:val="18"/>
                <w:szCs w:val="20"/>
              </w:rPr>
              <w:t>produkcja stali</w:t>
            </w:r>
          </w:p>
        </w:tc>
        <w:tc>
          <w:tcPr>
            <w:tcW w:w="6009" w:type="dxa"/>
            <w:tcBorders>
              <w:top w:val="dotted" w:sz="4" w:space="0" w:color="D9D9D9" w:themeColor="background1" w:themeShade="D9"/>
              <w:bottom w:val="dotted" w:sz="4" w:space="0" w:color="D9D9D9" w:themeColor="background1" w:themeShade="D9"/>
            </w:tcBorders>
          </w:tcPr>
          <w:p w14:paraId="609309F3" w14:textId="77777777" w:rsidR="00CA1308" w:rsidRPr="00F312AF" w:rsidRDefault="00CA1308" w:rsidP="000625AC">
            <w:pPr>
              <w:pStyle w:val="Akapitzlist"/>
              <w:numPr>
                <w:ilvl w:val="0"/>
                <w:numId w:val="108"/>
              </w:numPr>
              <w:spacing w:before="40" w:after="40"/>
              <w:jc w:val="left"/>
              <w:rPr>
                <w:sz w:val="18"/>
                <w:szCs w:val="20"/>
              </w:rPr>
            </w:pPr>
            <w:r w:rsidRPr="00F312AF">
              <w:rPr>
                <w:sz w:val="18"/>
                <w:szCs w:val="20"/>
              </w:rPr>
              <w:t>dekarbonizacja stali z odzysku (elektrycznej – EAF) – upowszechnianie zakupu energii z OZE</w:t>
            </w:r>
          </w:p>
          <w:p w14:paraId="03F19EA0" w14:textId="5D8CA913" w:rsidR="00CA1308" w:rsidRPr="00F312AF" w:rsidRDefault="4DF635F8" w:rsidP="000625AC">
            <w:pPr>
              <w:pStyle w:val="Akapitzlist"/>
              <w:numPr>
                <w:ilvl w:val="0"/>
                <w:numId w:val="108"/>
              </w:numPr>
              <w:spacing w:before="40" w:after="40"/>
              <w:jc w:val="left"/>
              <w:rPr>
                <w:sz w:val="18"/>
                <w:szCs w:val="18"/>
              </w:rPr>
            </w:pPr>
            <w:r w:rsidRPr="21422D9F">
              <w:rPr>
                <w:sz w:val="18"/>
                <w:szCs w:val="18"/>
              </w:rPr>
              <w:t xml:space="preserve">dekarbonizacja stali pierwotnej, huta „zielonej stali” (bezpośrednia redukcja żelaza – DRI-EAF+H2) – zastosowanie gazu ziemnego </w:t>
            </w:r>
            <w:r w:rsidR="25E9AAF8" w:rsidRPr="21422D9F">
              <w:rPr>
                <w:sz w:val="18"/>
                <w:szCs w:val="18"/>
              </w:rPr>
              <w:t>(a</w:t>
            </w:r>
            <w:r w:rsidR="00163D55">
              <w:rPr>
                <w:sz w:val="18"/>
                <w:szCs w:val="18"/>
              </w:rPr>
              <w:t> </w:t>
            </w:r>
            <w:r w:rsidR="25E9AAF8" w:rsidRPr="21422D9F">
              <w:rPr>
                <w:sz w:val="18"/>
                <w:szCs w:val="18"/>
              </w:rPr>
              <w:t>docelowo biometanu, biogazu</w:t>
            </w:r>
            <w:r w:rsidRPr="21422D9F">
              <w:rPr>
                <w:sz w:val="18"/>
                <w:szCs w:val="18"/>
              </w:rPr>
              <w:t xml:space="preserve"> lub wodoru</w:t>
            </w:r>
            <w:r w:rsidR="09DE0BA3" w:rsidRPr="1D1393D4">
              <w:rPr>
                <w:sz w:val="18"/>
                <w:szCs w:val="18"/>
              </w:rPr>
              <w:t xml:space="preserve"> odnawialnego</w:t>
            </w:r>
            <w:r w:rsidR="25E9AAF8" w:rsidRPr="21422D9F">
              <w:rPr>
                <w:sz w:val="18"/>
                <w:szCs w:val="18"/>
              </w:rPr>
              <w:t>)</w:t>
            </w:r>
            <w:r w:rsidRPr="21422D9F">
              <w:rPr>
                <w:sz w:val="18"/>
                <w:szCs w:val="18"/>
              </w:rPr>
              <w:t xml:space="preserve"> jako</w:t>
            </w:r>
            <w:r w:rsidR="00163D55">
              <w:rPr>
                <w:sz w:val="18"/>
                <w:szCs w:val="18"/>
              </w:rPr>
              <w:t> </w:t>
            </w:r>
            <w:r w:rsidRPr="21422D9F">
              <w:rPr>
                <w:sz w:val="18"/>
                <w:szCs w:val="18"/>
              </w:rPr>
              <w:t>reduktora procesowego</w:t>
            </w:r>
          </w:p>
        </w:tc>
      </w:tr>
      <w:tr w:rsidR="00905F1D" w:rsidRPr="00F312AF" w14:paraId="6EAB3894" w14:textId="77777777" w:rsidTr="21422D9F">
        <w:trPr>
          <w:trHeight w:val="230"/>
        </w:trPr>
        <w:tc>
          <w:tcPr>
            <w:tcW w:w="3118" w:type="dxa"/>
            <w:tcBorders>
              <w:top w:val="dotted" w:sz="4" w:space="0" w:color="D9D9D9" w:themeColor="background1" w:themeShade="D9"/>
            </w:tcBorders>
          </w:tcPr>
          <w:p w14:paraId="4507120D" w14:textId="77777777" w:rsidR="00CA1308" w:rsidRPr="00F312AF" w:rsidRDefault="00CA1308" w:rsidP="00905F1D">
            <w:pPr>
              <w:spacing w:before="40" w:after="40"/>
              <w:jc w:val="left"/>
              <w:rPr>
                <w:noProof/>
                <w:sz w:val="18"/>
                <w:szCs w:val="20"/>
              </w:rPr>
            </w:pPr>
            <w:r w:rsidRPr="00F312AF">
              <w:rPr>
                <w:noProof/>
                <w:sz w:val="18"/>
                <w:szCs w:val="20"/>
              </w:rPr>
              <w:t>produkcja miedzi</w:t>
            </w:r>
          </w:p>
        </w:tc>
        <w:tc>
          <w:tcPr>
            <w:tcW w:w="6009" w:type="dxa"/>
            <w:tcBorders>
              <w:top w:val="dotted" w:sz="4" w:space="0" w:color="D9D9D9" w:themeColor="background1" w:themeShade="D9"/>
            </w:tcBorders>
          </w:tcPr>
          <w:p w14:paraId="3B4C4361" w14:textId="77777777" w:rsidR="00CA1308" w:rsidRPr="00F312AF" w:rsidRDefault="00CA1308" w:rsidP="000625AC">
            <w:pPr>
              <w:pStyle w:val="Akapitzlist"/>
              <w:numPr>
                <w:ilvl w:val="0"/>
                <w:numId w:val="110"/>
              </w:numPr>
              <w:spacing w:before="40" w:after="40"/>
              <w:jc w:val="left"/>
              <w:rPr>
                <w:sz w:val="18"/>
                <w:szCs w:val="20"/>
              </w:rPr>
            </w:pPr>
            <w:r w:rsidRPr="00F312AF">
              <w:rPr>
                <w:sz w:val="18"/>
                <w:szCs w:val="20"/>
              </w:rPr>
              <w:t>zakup energii z OZE</w:t>
            </w:r>
          </w:p>
          <w:p w14:paraId="77C1C517" w14:textId="783F254D" w:rsidR="00CA1308" w:rsidRPr="00F312AF" w:rsidRDefault="00CA1308" w:rsidP="000625AC">
            <w:pPr>
              <w:pStyle w:val="Akapitzlist"/>
              <w:numPr>
                <w:ilvl w:val="0"/>
                <w:numId w:val="110"/>
              </w:numPr>
              <w:spacing w:before="40" w:after="40"/>
              <w:jc w:val="left"/>
              <w:rPr>
                <w:sz w:val="18"/>
                <w:szCs w:val="20"/>
              </w:rPr>
            </w:pPr>
            <w:r w:rsidRPr="00F312AF">
              <w:rPr>
                <w:sz w:val="18"/>
                <w:szCs w:val="20"/>
              </w:rPr>
              <w:t>zastosowanie mniej emisyjnego paliwa do produkcji energii na</w:t>
            </w:r>
            <w:r w:rsidR="00163D55">
              <w:rPr>
                <w:sz w:val="18"/>
                <w:szCs w:val="20"/>
              </w:rPr>
              <w:t> </w:t>
            </w:r>
            <w:r w:rsidRPr="00F312AF">
              <w:rPr>
                <w:sz w:val="18"/>
                <w:szCs w:val="20"/>
              </w:rPr>
              <w:t>potrzeby własne</w:t>
            </w:r>
          </w:p>
          <w:p w14:paraId="5FB2EFED" w14:textId="77777777" w:rsidR="00CA1308" w:rsidRPr="00F312AF" w:rsidRDefault="00CA1308" w:rsidP="000625AC">
            <w:pPr>
              <w:pStyle w:val="Akapitzlist"/>
              <w:numPr>
                <w:ilvl w:val="0"/>
                <w:numId w:val="110"/>
              </w:numPr>
              <w:spacing w:before="40" w:after="40"/>
              <w:jc w:val="left"/>
              <w:rPr>
                <w:sz w:val="18"/>
                <w:szCs w:val="20"/>
              </w:rPr>
            </w:pPr>
            <w:r w:rsidRPr="00F312AF">
              <w:rPr>
                <w:sz w:val="18"/>
                <w:szCs w:val="20"/>
              </w:rPr>
              <w:t>zastosowanie technologii CCS (metoda aminowa)</w:t>
            </w:r>
          </w:p>
        </w:tc>
      </w:tr>
      <w:tr w:rsidR="00905F1D" w:rsidRPr="00F312AF" w14:paraId="23F8A4F9" w14:textId="77777777" w:rsidTr="21422D9F">
        <w:trPr>
          <w:trHeight w:val="230"/>
        </w:trPr>
        <w:tc>
          <w:tcPr>
            <w:tcW w:w="3118" w:type="dxa"/>
            <w:tcBorders>
              <w:top w:val="dotted" w:sz="4" w:space="0" w:color="D9D9D9" w:themeColor="background1" w:themeShade="D9"/>
            </w:tcBorders>
          </w:tcPr>
          <w:p w14:paraId="39A66BAB" w14:textId="77777777" w:rsidR="00CA1308" w:rsidRPr="00F312AF" w:rsidRDefault="00CA1308" w:rsidP="00905F1D">
            <w:pPr>
              <w:spacing w:before="40" w:after="40"/>
              <w:jc w:val="left"/>
              <w:rPr>
                <w:noProof/>
                <w:sz w:val="18"/>
                <w:szCs w:val="20"/>
              </w:rPr>
            </w:pPr>
            <w:r w:rsidRPr="00F312AF">
              <w:rPr>
                <w:noProof/>
                <w:sz w:val="18"/>
                <w:szCs w:val="20"/>
              </w:rPr>
              <w:t>produkcja cynku</w:t>
            </w:r>
          </w:p>
        </w:tc>
        <w:tc>
          <w:tcPr>
            <w:tcW w:w="6009" w:type="dxa"/>
            <w:tcBorders>
              <w:top w:val="dotted" w:sz="4" w:space="0" w:color="D9D9D9" w:themeColor="background1" w:themeShade="D9"/>
            </w:tcBorders>
          </w:tcPr>
          <w:p w14:paraId="407D5A29" w14:textId="77777777" w:rsidR="00CA1308" w:rsidRPr="00F312AF" w:rsidRDefault="00CA1308" w:rsidP="000625AC">
            <w:pPr>
              <w:pStyle w:val="Akapitzlist"/>
              <w:numPr>
                <w:ilvl w:val="0"/>
                <w:numId w:val="111"/>
              </w:numPr>
              <w:spacing w:before="40" w:after="40"/>
              <w:jc w:val="left"/>
              <w:rPr>
                <w:sz w:val="18"/>
                <w:szCs w:val="20"/>
              </w:rPr>
            </w:pPr>
            <w:r w:rsidRPr="00F312AF">
              <w:rPr>
                <w:sz w:val="18"/>
                <w:szCs w:val="20"/>
              </w:rPr>
              <w:t>zastosowanie technologii CCS (metoda aminowa)</w:t>
            </w:r>
          </w:p>
        </w:tc>
      </w:tr>
    </w:tbl>
    <w:p w14:paraId="4DAEDCEB" w14:textId="77777777" w:rsidR="00CA1308" w:rsidRDefault="00CA1308" w:rsidP="00124DBA">
      <w:pPr>
        <w:pStyle w:val="Akapitzlist"/>
        <w:ind w:left="426"/>
        <w:contextualSpacing w:val="0"/>
      </w:pPr>
    </w:p>
    <w:p w14:paraId="2B7C9E95" w14:textId="77777777" w:rsidR="00080BA7" w:rsidRPr="00C46DAA" w:rsidRDefault="00080BA7" w:rsidP="00080BA7">
      <w:pPr>
        <w:spacing w:before="240" w:after="80"/>
        <w:rPr>
          <w:rFonts w:ascii="Bahnschrift" w:hAnsi="Bahnschrift"/>
          <w:sz w:val="32"/>
          <w:szCs w:val="32"/>
        </w:rPr>
      </w:pPr>
      <w:r w:rsidRPr="00C46DAA">
        <w:rPr>
          <w:rFonts w:ascii="Bahnschrift" w:hAnsi="Bahnschrift"/>
          <w:b/>
          <w:bCs/>
          <w:sz w:val="32"/>
          <w:szCs w:val="32"/>
        </w:rPr>
        <w:t>DZIAŁANIA</w:t>
      </w:r>
    </w:p>
    <w:bookmarkStart w:id="114" w:name="_Hlk173432463"/>
    <w:p w14:paraId="46BD34F4" w14:textId="332D38B3" w:rsidR="00656DA8" w:rsidRPr="00B8071F" w:rsidRDefault="00656DA8" w:rsidP="003530A9">
      <w:pPr>
        <w:pStyle w:val="Akapitzlist"/>
        <w:numPr>
          <w:ilvl w:val="0"/>
          <w:numId w:val="3"/>
        </w:numPr>
        <w:rPr>
          <w:szCs w:val="20"/>
        </w:rPr>
      </w:pPr>
      <w:r w:rsidRPr="00B8071F">
        <w:rPr>
          <w:szCs w:val="20"/>
        </w:rPr>
        <w:fldChar w:fldCharType="begin"/>
      </w:r>
      <w:r w:rsidRPr="00B8071F">
        <w:rPr>
          <w:szCs w:val="20"/>
        </w:rPr>
        <w:instrText xml:space="preserve"> REF _Ref195884372 \h </w:instrText>
      </w:r>
      <w:r w:rsidR="00B8071F">
        <w:rPr>
          <w:szCs w:val="20"/>
        </w:rPr>
        <w:instrText xml:space="preserve"> \* MERGEFORMAT </w:instrText>
      </w:r>
      <w:r w:rsidRPr="00B8071F">
        <w:rPr>
          <w:szCs w:val="20"/>
        </w:rPr>
      </w:r>
      <w:r w:rsidRPr="00B8071F">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1</w:t>
      </w:r>
      <w:r w:rsidR="00871DD5" w:rsidRPr="00871DD5">
        <w:rPr>
          <w:rStyle w:val="Nagwek6Znak"/>
          <w:rFonts w:ascii="Lato" w:hAnsi="Lato"/>
          <w:b w:val="0"/>
        </w:rPr>
        <w:t>.</w:t>
      </w:r>
      <w:r w:rsidR="00871DD5" w:rsidRPr="008A084B">
        <w:t xml:space="preserve"> Uczestnictwo w systemie handlu emisjami EU-ETS</w:t>
      </w:r>
      <w:r w:rsidRPr="00B8071F">
        <w:rPr>
          <w:szCs w:val="20"/>
        </w:rPr>
        <w:fldChar w:fldCharType="end"/>
      </w:r>
    </w:p>
    <w:p w14:paraId="60042392" w14:textId="59DCA755" w:rsidR="00656DA8" w:rsidRPr="00B8071F" w:rsidRDefault="002F76DA" w:rsidP="003530A9">
      <w:pPr>
        <w:pStyle w:val="Akapitzlist"/>
        <w:numPr>
          <w:ilvl w:val="0"/>
          <w:numId w:val="3"/>
        </w:numPr>
        <w:rPr>
          <w:szCs w:val="20"/>
        </w:rPr>
      </w:pPr>
      <w:r w:rsidRPr="00B8071F">
        <w:rPr>
          <w:szCs w:val="20"/>
        </w:rPr>
        <w:fldChar w:fldCharType="begin"/>
      </w:r>
      <w:r w:rsidRPr="00B8071F">
        <w:rPr>
          <w:szCs w:val="20"/>
        </w:rPr>
        <w:instrText xml:space="preserve"> REF _Ref195884408 \h </w:instrText>
      </w:r>
      <w:r w:rsidR="00B8071F">
        <w:rPr>
          <w:szCs w:val="20"/>
        </w:rPr>
        <w:instrText xml:space="preserve"> \* MERGEFORMAT </w:instrText>
      </w:r>
      <w:r w:rsidRPr="00B8071F">
        <w:rPr>
          <w:szCs w:val="20"/>
        </w:rPr>
      </w:r>
      <w:r w:rsidRPr="00B8071F">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2</w:t>
      </w:r>
      <w:r w:rsidR="00871DD5" w:rsidRPr="00871DD5">
        <w:rPr>
          <w:rStyle w:val="Nagwek6Znak"/>
          <w:rFonts w:ascii="Lato" w:hAnsi="Lato"/>
          <w:b w:val="0"/>
        </w:rPr>
        <w:t xml:space="preserve">. </w:t>
      </w:r>
      <w:r w:rsidR="00871DD5" w:rsidRPr="00077D7F">
        <w:t>Instrument finansowy – Fundusz Modernizacyjny</w:t>
      </w:r>
      <w:r w:rsidRPr="00B8071F">
        <w:rPr>
          <w:szCs w:val="20"/>
        </w:rPr>
        <w:fldChar w:fldCharType="end"/>
      </w:r>
    </w:p>
    <w:p w14:paraId="39B15BC2" w14:textId="2864721B" w:rsidR="002F76DA" w:rsidRDefault="00B35D65" w:rsidP="003530A9">
      <w:pPr>
        <w:pStyle w:val="Akapitzlist"/>
        <w:numPr>
          <w:ilvl w:val="0"/>
          <w:numId w:val="3"/>
        </w:numPr>
      </w:pPr>
      <w:r>
        <w:rPr>
          <w:szCs w:val="20"/>
        </w:rPr>
        <w:fldChar w:fldCharType="begin"/>
      </w:r>
      <w:r>
        <w:rPr>
          <w:szCs w:val="20"/>
        </w:rPr>
        <w:instrText xml:space="preserve"> REF _Ref195884511 \h </w:instrText>
      </w:r>
      <w:r>
        <w:rPr>
          <w:szCs w:val="20"/>
        </w:rPr>
      </w:r>
      <w:r>
        <w:rPr>
          <w:szCs w:val="20"/>
        </w:rPr>
        <w:fldChar w:fldCharType="separate"/>
      </w:r>
      <w:r w:rsidR="00871DD5">
        <w:t xml:space="preserve">Działanie </w:t>
      </w:r>
      <w:r w:rsidR="00871DD5">
        <w:rPr>
          <w:noProof/>
        </w:rPr>
        <w:t>52</w:t>
      </w:r>
      <w:r w:rsidR="00871DD5">
        <w:t xml:space="preserve">. </w:t>
      </w:r>
      <w:r w:rsidR="00871DD5" w:rsidRPr="008A1ED6">
        <w:t>Aktualizacja Polskiej Strategii Wodorowej</w:t>
      </w:r>
      <w:r>
        <w:rPr>
          <w:szCs w:val="20"/>
        </w:rPr>
        <w:fldChar w:fldCharType="end"/>
      </w:r>
    </w:p>
    <w:p w14:paraId="7E0763F3" w14:textId="2A3545B3" w:rsidR="00B35D65" w:rsidRDefault="00B35D65" w:rsidP="003530A9">
      <w:pPr>
        <w:pStyle w:val="Akapitzlist"/>
        <w:numPr>
          <w:ilvl w:val="0"/>
          <w:numId w:val="3"/>
        </w:numPr>
        <w:rPr>
          <w:szCs w:val="20"/>
        </w:rPr>
      </w:pPr>
      <w:r>
        <w:rPr>
          <w:szCs w:val="20"/>
        </w:rPr>
        <w:fldChar w:fldCharType="begin"/>
      </w:r>
      <w:r>
        <w:rPr>
          <w:szCs w:val="20"/>
        </w:rPr>
        <w:instrText xml:space="preserve"> REF _Ref195884519 \h </w:instrText>
      </w:r>
      <w:r>
        <w:rPr>
          <w:szCs w:val="20"/>
        </w:rPr>
      </w:r>
      <w:r>
        <w:rPr>
          <w:szCs w:val="20"/>
        </w:rPr>
        <w:fldChar w:fldCharType="separate"/>
      </w:r>
      <w:r w:rsidR="00871DD5">
        <w:t xml:space="preserve">Działanie </w:t>
      </w:r>
      <w:r w:rsidR="00871DD5">
        <w:rPr>
          <w:noProof/>
        </w:rPr>
        <w:t>53</w:t>
      </w:r>
      <w:r w:rsidR="00871DD5">
        <w:t xml:space="preserve">. </w:t>
      </w:r>
      <w:r w:rsidR="00871DD5" w:rsidRPr="0014742C">
        <w:t>Instrument finansowy – wsparcie transformacji w przemyśle</w:t>
      </w:r>
      <w:r>
        <w:rPr>
          <w:szCs w:val="20"/>
        </w:rPr>
        <w:fldChar w:fldCharType="end"/>
      </w:r>
    </w:p>
    <w:p w14:paraId="6091FA0D" w14:textId="5ABB2C09" w:rsidR="00B35D65" w:rsidRDefault="00B35D65" w:rsidP="003530A9">
      <w:pPr>
        <w:pStyle w:val="Akapitzlist"/>
        <w:numPr>
          <w:ilvl w:val="0"/>
          <w:numId w:val="3"/>
        </w:numPr>
      </w:pPr>
      <w:r>
        <w:rPr>
          <w:szCs w:val="20"/>
        </w:rPr>
        <w:fldChar w:fldCharType="begin"/>
      </w:r>
      <w:r>
        <w:rPr>
          <w:szCs w:val="20"/>
        </w:rPr>
        <w:instrText xml:space="preserve"> REF _Ref195884525 \h </w:instrText>
      </w:r>
      <w:r>
        <w:rPr>
          <w:szCs w:val="20"/>
        </w:rPr>
      </w:r>
      <w:r>
        <w:rPr>
          <w:szCs w:val="20"/>
        </w:rPr>
        <w:fldChar w:fldCharType="separate"/>
      </w:r>
      <w:r w:rsidR="00871DD5">
        <w:t xml:space="preserve">Działanie </w:t>
      </w:r>
      <w:r w:rsidR="00871DD5">
        <w:rPr>
          <w:noProof/>
        </w:rPr>
        <w:t>54</w:t>
      </w:r>
      <w:r w:rsidR="00871DD5">
        <w:t xml:space="preserve">. </w:t>
      </w:r>
      <w:r w:rsidR="00871DD5" w:rsidRPr="00870F65">
        <w:t>Wsparcie budowy mocy wytwórczych do produkcji wodoru odnawialnego</w:t>
      </w:r>
      <w:r w:rsidR="00871DD5">
        <w:t xml:space="preserve"> (w tym pochodzenia niebiologicznego) i niskoemisyjnego</w:t>
      </w:r>
      <w:r>
        <w:rPr>
          <w:szCs w:val="20"/>
        </w:rPr>
        <w:fldChar w:fldCharType="end"/>
      </w:r>
    </w:p>
    <w:p w14:paraId="1F76B6AA" w14:textId="0421022D" w:rsidR="00B35D65" w:rsidRDefault="000512F6" w:rsidP="003530A9">
      <w:pPr>
        <w:pStyle w:val="Akapitzlist"/>
        <w:numPr>
          <w:ilvl w:val="0"/>
          <w:numId w:val="3"/>
        </w:numPr>
        <w:rPr>
          <w:szCs w:val="20"/>
        </w:rPr>
      </w:pPr>
      <w:r>
        <w:rPr>
          <w:szCs w:val="20"/>
        </w:rPr>
        <w:fldChar w:fldCharType="begin"/>
      </w:r>
      <w:r>
        <w:rPr>
          <w:szCs w:val="20"/>
        </w:rPr>
        <w:instrText xml:space="preserve"> REF _Ref195884563 \h </w:instrText>
      </w:r>
      <w:r>
        <w:rPr>
          <w:szCs w:val="20"/>
        </w:rPr>
      </w:r>
      <w:r>
        <w:rPr>
          <w:szCs w:val="20"/>
        </w:rPr>
        <w:fldChar w:fldCharType="separate"/>
      </w:r>
      <w:r w:rsidR="00871DD5">
        <w:t xml:space="preserve">Działanie </w:t>
      </w:r>
      <w:r w:rsidR="00871DD5">
        <w:rPr>
          <w:noProof/>
        </w:rPr>
        <w:t>55</w:t>
      </w:r>
      <w:r w:rsidR="00871DD5">
        <w:t xml:space="preserve">. </w:t>
      </w:r>
      <w:r w:rsidR="00871DD5" w:rsidRPr="00477751">
        <w:t>Analiza potrzeby budowy i wykorzystania infrastruktury do importu amoniaku lub wodoru, w tym budowy morskiego terminalu portowego do przeładunku amoniaku lub wodoru</w:t>
      </w:r>
      <w:r>
        <w:rPr>
          <w:szCs w:val="20"/>
        </w:rPr>
        <w:fldChar w:fldCharType="end"/>
      </w:r>
    </w:p>
    <w:p w14:paraId="27897290" w14:textId="03117E5A" w:rsidR="000512F6" w:rsidRDefault="000512F6" w:rsidP="003530A9">
      <w:pPr>
        <w:pStyle w:val="Akapitzlist"/>
        <w:numPr>
          <w:ilvl w:val="0"/>
          <w:numId w:val="3"/>
        </w:numPr>
        <w:rPr>
          <w:szCs w:val="20"/>
        </w:rPr>
      </w:pPr>
      <w:r>
        <w:rPr>
          <w:szCs w:val="20"/>
        </w:rPr>
        <w:fldChar w:fldCharType="begin"/>
      </w:r>
      <w:r>
        <w:rPr>
          <w:szCs w:val="20"/>
        </w:rPr>
        <w:instrText xml:space="preserve"> REF _Ref195884578 \h </w:instrText>
      </w:r>
      <w:r>
        <w:rPr>
          <w:szCs w:val="20"/>
        </w:rPr>
      </w:r>
      <w:r>
        <w:rPr>
          <w:szCs w:val="20"/>
        </w:rPr>
        <w:fldChar w:fldCharType="separate"/>
      </w:r>
      <w:r w:rsidR="00871DD5">
        <w:t xml:space="preserve">Działanie </w:t>
      </w:r>
      <w:r w:rsidR="00871DD5">
        <w:rPr>
          <w:noProof/>
        </w:rPr>
        <w:t>56</w:t>
      </w:r>
      <w:r w:rsidR="00871DD5">
        <w:t xml:space="preserve">. </w:t>
      </w:r>
      <w:r w:rsidR="00871DD5" w:rsidRPr="001F6E20">
        <w:t>Działania wspierające komercyjne projekty CCS i CCU</w:t>
      </w:r>
      <w:r>
        <w:rPr>
          <w:szCs w:val="20"/>
        </w:rPr>
        <w:fldChar w:fldCharType="end"/>
      </w:r>
    </w:p>
    <w:p w14:paraId="5E0B90EB" w14:textId="5C0DD53D" w:rsidR="000512F6" w:rsidRDefault="000512F6" w:rsidP="003530A9">
      <w:pPr>
        <w:pStyle w:val="Akapitzlist"/>
        <w:numPr>
          <w:ilvl w:val="0"/>
          <w:numId w:val="3"/>
        </w:numPr>
        <w:rPr>
          <w:szCs w:val="20"/>
        </w:rPr>
      </w:pPr>
      <w:r>
        <w:rPr>
          <w:szCs w:val="20"/>
        </w:rPr>
        <w:fldChar w:fldCharType="begin"/>
      </w:r>
      <w:r>
        <w:rPr>
          <w:szCs w:val="20"/>
        </w:rPr>
        <w:instrText xml:space="preserve"> REF _Ref195884584 \h </w:instrText>
      </w:r>
      <w:r>
        <w:rPr>
          <w:szCs w:val="20"/>
        </w:rPr>
      </w:r>
      <w:r>
        <w:rPr>
          <w:szCs w:val="20"/>
        </w:rPr>
        <w:fldChar w:fldCharType="separate"/>
      </w:r>
      <w:r w:rsidR="00871DD5">
        <w:t xml:space="preserve">Działanie </w:t>
      </w:r>
      <w:r w:rsidR="00871DD5">
        <w:rPr>
          <w:noProof/>
        </w:rPr>
        <w:t>57</w:t>
      </w:r>
      <w:r w:rsidR="00871DD5">
        <w:t xml:space="preserve">. </w:t>
      </w:r>
      <w:r w:rsidR="00871DD5" w:rsidRPr="000139BC">
        <w:t>Działania na rzecz wsparcia dekarbonizacji przemysłu energochłonnego</w:t>
      </w:r>
      <w:r>
        <w:rPr>
          <w:szCs w:val="20"/>
        </w:rPr>
        <w:fldChar w:fldCharType="end"/>
      </w:r>
    </w:p>
    <w:p w14:paraId="32EFCD4E" w14:textId="262A01A8" w:rsidR="000512F6" w:rsidRDefault="000512F6" w:rsidP="003530A9">
      <w:pPr>
        <w:pStyle w:val="Akapitzlist"/>
        <w:numPr>
          <w:ilvl w:val="0"/>
          <w:numId w:val="3"/>
        </w:numPr>
        <w:rPr>
          <w:szCs w:val="20"/>
        </w:rPr>
      </w:pPr>
      <w:r>
        <w:rPr>
          <w:szCs w:val="20"/>
        </w:rPr>
        <w:fldChar w:fldCharType="begin"/>
      </w:r>
      <w:r>
        <w:rPr>
          <w:szCs w:val="20"/>
        </w:rPr>
        <w:instrText xml:space="preserve"> REF _Ref195884587 \h </w:instrText>
      </w:r>
      <w:r>
        <w:rPr>
          <w:szCs w:val="20"/>
        </w:rPr>
      </w:r>
      <w:r>
        <w:rPr>
          <w:szCs w:val="20"/>
        </w:rPr>
        <w:fldChar w:fldCharType="separate"/>
      </w:r>
      <w:r w:rsidR="00871DD5">
        <w:t xml:space="preserve">Działanie </w:t>
      </w:r>
      <w:r w:rsidR="00871DD5">
        <w:rPr>
          <w:noProof/>
        </w:rPr>
        <w:t>58</w:t>
      </w:r>
      <w:r w:rsidR="00871DD5">
        <w:t xml:space="preserve">. </w:t>
      </w:r>
      <w:r w:rsidR="00871DD5" w:rsidRPr="008E73FB">
        <w:t>Działania na rzecz wsparcia konkurencyjności i dekarbonizacji przemysłu cementowego</w:t>
      </w:r>
      <w:r>
        <w:rPr>
          <w:szCs w:val="20"/>
        </w:rPr>
        <w:fldChar w:fldCharType="end"/>
      </w:r>
    </w:p>
    <w:p w14:paraId="58C0191C" w14:textId="7C2DD969" w:rsidR="000512F6" w:rsidRDefault="000512F6" w:rsidP="003530A9">
      <w:pPr>
        <w:pStyle w:val="Akapitzlist"/>
        <w:numPr>
          <w:ilvl w:val="0"/>
          <w:numId w:val="3"/>
        </w:numPr>
        <w:rPr>
          <w:szCs w:val="20"/>
        </w:rPr>
      </w:pPr>
      <w:r>
        <w:rPr>
          <w:szCs w:val="20"/>
        </w:rPr>
        <w:fldChar w:fldCharType="begin"/>
      </w:r>
      <w:r>
        <w:rPr>
          <w:szCs w:val="20"/>
        </w:rPr>
        <w:instrText xml:space="preserve"> REF _Ref195884591 \h </w:instrText>
      </w:r>
      <w:r>
        <w:rPr>
          <w:szCs w:val="20"/>
        </w:rPr>
      </w:r>
      <w:r>
        <w:rPr>
          <w:szCs w:val="20"/>
        </w:rPr>
        <w:fldChar w:fldCharType="separate"/>
      </w:r>
      <w:r w:rsidR="00871DD5">
        <w:t xml:space="preserve">Działanie </w:t>
      </w:r>
      <w:r w:rsidR="00871DD5">
        <w:rPr>
          <w:noProof/>
        </w:rPr>
        <w:t>59</w:t>
      </w:r>
      <w:r w:rsidR="00871DD5">
        <w:t xml:space="preserve">. </w:t>
      </w:r>
      <w:r w:rsidR="00871DD5" w:rsidRPr="00F05312">
        <w:t>Działania na rzecz wsparcia konkurencyjności i dekarbonizacji przemysłu chemicznego</w:t>
      </w:r>
      <w:r>
        <w:rPr>
          <w:szCs w:val="20"/>
        </w:rPr>
        <w:fldChar w:fldCharType="end"/>
      </w:r>
    </w:p>
    <w:p w14:paraId="1EC8EFC1" w14:textId="7328C718" w:rsidR="000512F6" w:rsidRDefault="000512F6" w:rsidP="003530A9">
      <w:pPr>
        <w:pStyle w:val="Akapitzlist"/>
        <w:numPr>
          <w:ilvl w:val="0"/>
          <w:numId w:val="3"/>
        </w:numPr>
        <w:rPr>
          <w:szCs w:val="20"/>
        </w:rPr>
      </w:pPr>
      <w:r>
        <w:rPr>
          <w:szCs w:val="20"/>
        </w:rPr>
        <w:fldChar w:fldCharType="begin"/>
      </w:r>
      <w:r>
        <w:rPr>
          <w:szCs w:val="20"/>
        </w:rPr>
        <w:instrText xml:space="preserve"> REF _Ref195884600 \h </w:instrText>
      </w:r>
      <w:r>
        <w:rPr>
          <w:szCs w:val="20"/>
        </w:rPr>
      </w:r>
      <w:r>
        <w:rPr>
          <w:szCs w:val="20"/>
        </w:rPr>
        <w:fldChar w:fldCharType="separate"/>
      </w:r>
      <w:r w:rsidR="00871DD5">
        <w:t xml:space="preserve">Działanie </w:t>
      </w:r>
      <w:r w:rsidR="00871DD5">
        <w:rPr>
          <w:noProof/>
        </w:rPr>
        <w:t>60</w:t>
      </w:r>
      <w:r w:rsidR="00871DD5">
        <w:t xml:space="preserve">. </w:t>
      </w:r>
      <w:r w:rsidR="00871DD5" w:rsidRPr="00406D5B">
        <w:t>Działania na rzecz wsparcia konkurencyjności i dekarbonizacji przemysłu hutniczego</w:t>
      </w:r>
      <w:r>
        <w:rPr>
          <w:szCs w:val="20"/>
        </w:rPr>
        <w:fldChar w:fldCharType="end"/>
      </w:r>
    </w:p>
    <w:p w14:paraId="18362481" w14:textId="78FB506A" w:rsidR="000512F6" w:rsidRPr="00361EF9" w:rsidRDefault="000512F6" w:rsidP="003530A9">
      <w:pPr>
        <w:pStyle w:val="Akapitzlist"/>
        <w:numPr>
          <w:ilvl w:val="0"/>
          <w:numId w:val="3"/>
        </w:numPr>
        <w:rPr>
          <w:szCs w:val="20"/>
        </w:rPr>
      </w:pPr>
      <w:r w:rsidRPr="00361EF9">
        <w:rPr>
          <w:szCs w:val="20"/>
        </w:rPr>
        <w:fldChar w:fldCharType="begin"/>
      </w:r>
      <w:r w:rsidRPr="00361EF9">
        <w:rPr>
          <w:szCs w:val="20"/>
        </w:rPr>
        <w:instrText xml:space="preserve"> REF _Ref195884622 \h </w:instrText>
      </w:r>
      <w:r w:rsidR="00361EF9">
        <w:rPr>
          <w:szCs w:val="20"/>
        </w:rPr>
        <w:instrText xml:space="preserve"> \* MERGEFORMAT </w:instrText>
      </w:r>
      <w:r w:rsidRPr="00361EF9">
        <w:rPr>
          <w:szCs w:val="20"/>
        </w:rPr>
      </w:r>
      <w:r w:rsidRPr="00361EF9">
        <w:rPr>
          <w:szCs w:val="20"/>
        </w:rPr>
        <w:fldChar w:fldCharType="separate"/>
      </w:r>
      <w:r w:rsidR="00871DD5">
        <w:t xml:space="preserve">Działanie </w:t>
      </w:r>
      <w:r w:rsidR="00871DD5">
        <w:rPr>
          <w:noProof/>
        </w:rPr>
        <w:t>61</w:t>
      </w:r>
      <w:r w:rsidR="00871DD5">
        <w:t xml:space="preserve">. </w:t>
      </w:r>
      <w:r w:rsidR="00871DD5" w:rsidRPr="00776D01">
        <w:t>Działania na rzecz wsparcia konkurencyjności i dekarbonizacji branż przemysłu</w:t>
      </w:r>
      <w:r w:rsidRPr="00361EF9">
        <w:rPr>
          <w:szCs w:val="20"/>
        </w:rPr>
        <w:fldChar w:fldCharType="end"/>
      </w:r>
    </w:p>
    <w:p w14:paraId="5A8EA944" w14:textId="78DF219D" w:rsidR="00307E70" w:rsidRPr="00361EF9" w:rsidRDefault="00307E70" w:rsidP="003530A9">
      <w:pPr>
        <w:pStyle w:val="Akapitzlist"/>
        <w:numPr>
          <w:ilvl w:val="0"/>
          <w:numId w:val="3"/>
        </w:numPr>
        <w:rPr>
          <w:szCs w:val="20"/>
        </w:rPr>
      </w:pPr>
      <w:r w:rsidRPr="00361EF9">
        <w:rPr>
          <w:szCs w:val="20"/>
        </w:rPr>
        <w:fldChar w:fldCharType="begin"/>
      </w:r>
      <w:r w:rsidRPr="00361EF9">
        <w:rPr>
          <w:szCs w:val="20"/>
        </w:rPr>
        <w:instrText xml:space="preserve"> REF _Ref195889311 \h </w:instrText>
      </w:r>
      <w:r w:rsidR="00361EF9">
        <w:rPr>
          <w:szCs w:val="20"/>
        </w:rPr>
        <w:instrText xml:space="preserve"> \* MERGEFORMAT </w:instrText>
      </w:r>
      <w:r w:rsidRPr="00361EF9">
        <w:rPr>
          <w:szCs w:val="20"/>
        </w:rPr>
      </w:r>
      <w:r w:rsidRPr="00361EF9">
        <w:rPr>
          <w:szCs w:val="20"/>
        </w:rPr>
        <w:fldChar w:fldCharType="separate"/>
      </w:r>
      <w:r w:rsidR="00871DD5" w:rsidRPr="00871DD5">
        <w:rPr>
          <w:rStyle w:val="Nagwek6Znak"/>
          <w:rFonts w:ascii="Lato" w:hAnsi="Lato"/>
          <w:b w:val="0"/>
        </w:rPr>
        <w:t xml:space="preserve">Działanie </w:t>
      </w:r>
      <w:r w:rsidR="00871DD5" w:rsidRPr="00871DD5">
        <w:rPr>
          <w:lang w:eastAsia="pl-PL"/>
        </w:rPr>
        <w:t>115</w:t>
      </w:r>
      <w:r w:rsidR="00871DD5">
        <w:rPr>
          <w:lang w:eastAsia="pl-PL"/>
        </w:rPr>
        <w:t xml:space="preserve">. </w:t>
      </w:r>
      <w:r w:rsidR="00871DD5" w:rsidRPr="00077D7F">
        <w:rPr>
          <w:lang w:eastAsia="pl-PL"/>
        </w:rPr>
        <w:t>Instrument finansowy – system białych certyfikatów</w:t>
      </w:r>
      <w:r w:rsidRPr="00361EF9">
        <w:rPr>
          <w:szCs w:val="20"/>
        </w:rPr>
        <w:fldChar w:fldCharType="end"/>
      </w:r>
    </w:p>
    <w:p w14:paraId="33A93AD3" w14:textId="3E28CE08" w:rsidR="007754E2" w:rsidRDefault="001039C9" w:rsidP="007754E2">
      <w:pPr>
        <w:pStyle w:val="Nagwek4"/>
        <w:rPr>
          <w:color w:val="70AD47" w:themeColor="accent6"/>
        </w:rPr>
      </w:pPr>
      <w:bookmarkStart w:id="115" w:name="_Toc195897197"/>
      <w:bookmarkStart w:id="116" w:name="_Toc195899442"/>
      <w:bookmarkStart w:id="117" w:name="_Toc195897198"/>
      <w:bookmarkStart w:id="118" w:name="_Toc195899443"/>
      <w:bookmarkStart w:id="119" w:name="_Toc195897199"/>
      <w:bookmarkStart w:id="120" w:name="_Toc195899444"/>
      <w:bookmarkStart w:id="121" w:name="_Toc195897200"/>
      <w:bookmarkStart w:id="122" w:name="_Toc195899445"/>
      <w:bookmarkStart w:id="123" w:name="_Toc195897201"/>
      <w:bookmarkStart w:id="124" w:name="_Toc195899446"/>
      <w:bookmarkStart w:id="125" w:name="_Toc195897202"/>
      <w:bookmarkStart w:id="126" w:name="_Toc195899447"/>
      <w:bookmarkStart w:id="127" w:name="_Toc195897203"/>
      <w:bookmarkStart w:id="128" w:name="_Toc195899448"/>
      <w:bookmarkStart w:id="129" w:name="_Toc195897204"/>
      <w:bookmarkStart w:id="130" w:name="_Toc195899449"/>
      <w:bookmarkStart w:id="131" w:name="_Toc195897205"/>
      <w:bookmarkStart w:id="132" w:name="_Toc195899450"/>
      <w:bookmarkStart w:id="133" w:name="_Toc195897206"/>
      <w:bookmarkStart w:id="134" w:name="_Toc195899451"/>
      <w:bookmarkStart w:id="135" w:name="_Toc195897207"/>
      <w:bookmarkStart w:id="136" w:name="_Toc195899452"/>
      <w:bookmarkStart w:id="137" w:name="_Toc195897208"/>
      <w:bookmarkStart w:id="138" w:name="_Toc195899453"/>
      <w:bookmarkStart w:id="139" w:name="_Toc195897209"/>
      <w:bookmarkStart w:id="140" w:name="_Toc195899454"/>
      <w:bookmarkStart w:id="141" w:name="_Toc195897210"/>
      <w:bookmarkStart w:id="142" w:name="_Toc195899455"/>
      <w:bookmarkStart w:id="143" w:name="_Toc195897211"/>
      <w:bookmarkStart w:id="144" w:name="_Toc195899456"/>
      <w:bookmarkStart w:id="145" w:name="_Toc159598293"/>
      <w:bookmarkStart w:id="146" w:name="_Ref174098003"/>
      <w:bookmarkStart w:id="147" w:name="_Ref174098009"/>
      <w:bookmarkStart w:id="148" w:name="_Ref190182870"/>
      <w:bookmarkStart w:id="149" w:name="_Ref190182894"/>
      <w:bookmarkStart w:id="150" w:name="_Toc195897212"/>
      <w:bookmarkStart w:id="151" w:name="_Toc205203165"/>
      <w:bookmarkStart w:id="152" w:name="_Hlk149850879"/>
      <w:bookmarkEnd w:id="11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color w:val="70AD47" w:themeColor="accent6"/>
        </w:rPr>
        <w:t>Redukcja</w:t>
      </w:r>
      <w:r w:rsidR="00270892">
        <w:rPr>
          <w:color w:val="70AD47" w:themeColor="accent6"/>
        </w:rPr>
        <w:t xml:space="preserve"> emisji </w:t>
      </w:r>
      <w:r w:rsidR="00AD0FB0">
        <w:rPr>
          <w:color w:val="70AD47" w:themeColor="accent6"/>
        </w:rPr>
        <w:t>GHG</w:t>
      </w:r>
      <w:r w:rsidR="00932BB1">
        <w:rPr>
          <w:color w:val="70AD47" w:themeColor="accent6"/>
        </w:rPr>
        <w:t xml:space="preserve"> </w:t>
      </w:r>
      <w:r w:rsidR="00FF1774">
        <w:rPr>
          <w:color w:val="70AD47" w:themeColor="accent6"/>
        </w:rPr>
        <w:t>w</w:t>
      </w:r>
      <w:r w:rsidR="00270892">
        <w:rPr>
          <w:color w:val="70AD47" w:themeColor="accent6"/>
        </w:rPr>
        <w:t xml:space="preserve"> </w:t>
      </w:r>
      <w:r w:rsidR="00C06AA6">
        <w:rPr>
          <w:color w:val="70AD47" w:themeColor="accent6"/>
        </w:rPr>
        <w:t>rolnictw</w:t>
      </w:r>
      <w:r w:rsidR="00FF1774">
        <w:rPr>
          <w:color w:val="70AD47" w:themeColor="accent6"/>
        </w:rPr>
        <w:t>ie</w:t>
      </w:r>
      <w:bookmarkEnd w:id="145"/>
      <w:bookmarkEnd w:id="146"/>
      <w:bookmarkEnd w:id="147"/>
      <w:bookmarkEnd w:id="148"/>
      <w:bookmarkEnd w:id="149"/>
      <w:bookmarkEnd w:id="150"/>
      <w:bookmarkEnd w:id="151"/>
    </w:p>
    <w:p w14:paraId="689A9827" w14:textId="38705557" w:rsidR="00BA154D" w:rsidRDefault="00BA154D" w:rsidP="00BA154D">
      <w:r>
        <w:t>Rolnictwo jest źródłem emisji gazów cieplarnianych, których poziom od ok. dwóch dekad utrzymuje się</w:t>
      </w:r>
      <w:r w:rsidR="00163D55">
        <w:t> </w:t>
      </w:r>
      <w:r>
        <w:t xml:space="preserve">na stabilnym poziomie </w:t>
      </w:r>
      <w:r w:rsidR="00267A69">
        <w:t xml:space="preserve">31–34 </w:t>
      </w:r>
      <w:r>
        <w:t xml:space="preserve">mln t </w:t>
      </w:r>
      <w:r w:rsidR="0060072F">
        <w:t xml:space="preserve">ekw. </w:t>
      </w:r>
      <w:r>
        <w:t>CO</w:t>
      </w:r>
      <w:r w:rsidRPr="0060072F">
        <w:rPr>
          <w:vertAlign w:val="subscript"/>
        </w:rPr>
        <w:t>2</w:t>
      </w:r>
      <w:r>
        <w:t xml:space="preserve">. </w:t>
      </w:r>
      <w:r w:rsidR="003A638C">
        <w:t>Do kategorii źródeł emisji w rolnictwie zalicza się fermentację jelitową i odchody zwierząt (CH</w:t>
      </w:r>
      <w:r w:rsidR="003A638C" w:rsidRPr="00D4112C">
        <w:rPr>
          <w:vertAlign w:val="subscript"/>
        </w:rPr>
        <w:t>4</w:t>
      </w:r>
      <w:r w:rsidR="003A638C">
        <w:t>), spalanie odpadów roślinnych, emisję z gleb rolnych (N</w:t>
      </w:r>
      <w:r w:rsidR="003A638C" w:rsidRPr="00D4112C">
        <w:rPr>
          <w:vertAlign w:val="subscript"/>
        </w:rPr>
        <w:t>2</w:t>
      </w:r>
      <w:r w:rsidR="003A638C">
        <w:t>O) oraz</w:t>
      </w:r>
      <w:r w:rsidR="00163D55">
        <w:t> </w:t>
      </w:r>
      <w:r w:rsidR="003A638C">
        <w:t>stosowanie nawozów – wapnowanie, mocznik, inne (CO</w:t>
      </w:r>
      <w:r w:rsidR="003A638C" w:rsidRPr="00D4112C">
        <w:rPr>
          <w:vertAlign w:val="subscript"/>
        </w:rPr>
        <w:t>2</w:t>
      </w:r>
      <w:r w:rsidR="003A638C">
        <w:t>)</w:t>
      </w:r>
      <w:r w:rsidR="00363592">
        <w:t>,</w:t>
      </w:r>
      <w:r w:rsidR="00020F56">
        <w:t xml:space="preserve"> </w:t>
      </w:r>
      <w:r w:rsidR="00020F56" w:rsidRPr="00623F2F">
        <w:t>przy czym emisje CO</w:t>
      </w:r>
      <w:r w:rsidR="00020F56" w:rsidRPr="00D64E67">
        <w:rPr>
          <w:vertAlign w:val="subscript"/>
        </w:rPr>
        <w:t>2</w:t>
      </w:r>
      <w:r w:rsidR="00020F56" w:rsidRPr="00623F2F">
        <w:t xml:space="preserve"> w rolnictwie mają znaczenie marginalne</w:t>
      </w:r>
      <w:r w:rsidR="003A638C">
        <w:t>.</w:t>
      </w:r>
      <w:r>
        <w:t xml:space="preserve"> Rolnictwo jest odpowiedzialne za około 8</w:t>
      </w:r>
      <w:r w:rsidR="005B637D">
        <w:t>–9</w:t>
      </w:r>
      <w:r>
        <w:t>% krajowej emisji gazów cieplarnianych. Udział emisji z rolnictwa w grupie non-ETS wynosi około 16</w:t>
      </w:r>
      <w:r w:rsidR="005B637D">
        <w:t>–</w:t>
      </w:r>
      <w:r>
        <w:t>17%.</w:t>
      </w:r>
    </w:p>
    <w:p w14:paraId="2EAD2C2D" w14:textId="3E5BC3A1" w:rsidR="00D10D18" w:rsidRDefault="00913C9D" w:rsidP="00BA154D">
      <w:r w:rsidRPr="00CD4BEB">
        <w:lastRenderedPageBreak/>
        <w:t>E</w:t>
      </w:r>
      <w:r w:rsidR="00E15B15" w:rsidRPr="00CD4BEB">
        <w:t>mi</w:t>
      </w:r>
      <w:r w:rsidRPr="00CD4BEB">
        <w:t>sje w rolnictwie mają w dużym stopniu charakter procesowy</w:t>
      </w:r>
      <w:r w:rsidR="00E15B15" w:rsidRPr="00CD4BEB">
        <w:t xml:space="preserve">, </w:t>
      </w:r>
      <w:r w:rsidR="00231979" w:rsidRPr="00CD4BEB">
        <w:t xml:space="preserve">co powoduje trudność </w:t>
      </w:r>
      <w:r w:rsidR="00450032" w:rsidRPr="00CD4BEB">
        <w:t xml:space="preserve">w osiągnięciu </w:t>
      </w:r>
      <w:r w:rsidR="0077592B" w:rsidRPr="00CD4BEB">
        <w:t>redukc</w:t>
      </w:r>
      <w:r w:rsidR="00A160C5">
        <w:t>ji</w:t>
      </w:r>
      <w:r w:rsidR="0077592B" w:rsidRPr="00CD4BEB">
        <w:t xml:space="preserve"> w tym sektorze. </w:t>
      </w:r>
      <w:r w:rsidR="003046F1" w:rsidRPr="00CD4BEB">
        <w:t>Realizacja o</w:t>
      </w:r>
      <w:r w:rsidR="005006B9" w:rsidRPr="00CD4BEB">
        <w:t>graniczeni</w:t>
      </w:r>
      <w:r w:rsidR="003046F1" w:rsidRPr="00CD4BEB">
        <w:t>a</w:t>
      </w:r>
      <w:r w:rsidR="005006B9" w:rsidRPr="00CD4BEB">
        <w:t xml:space="preserve"> emisji GHG </w:t>
      </w:r>
      <w:r w:rsidR="00F35EF0" w:rsidRPr="00CD4BEB">
        <w:t xml:space="preserve">nie powinna </w:t>
      </w:r>
      <w:r w:rsidR="00F81133">
        <w:t xml:space="preserve">mieć negatywnego </w:t>
      </w:r>
      <w:r w:rsidR="00707506">
        <w:t xml:space="preserve">wpływu na </w:t>
      </w:r>
      <w:r w:rsidR="005006B9" w:rsidRPr="00CD4BEB">
        <w:t>bezpieczeństwo żywnościowe i uzależnienie od zewnętrznych źródeł dostaw</w:t>
      </w:r>
      <w:r w:rsidR="0077592B" w:rsidRPr="00CD4BEB">
        <w:t xml:space="preserve">. </w:t>
      </w:r>
    </w:p>
    <w:p w14:paraId="70CF0929" w14:textId="20550F26" w:rsidR="004B0331" w:rsidRDefault="0015217F" w:rsidP="00BA154D">
      <w:r>
        <w:rPr>
          <w:noProof/>
        </w:rPr>
        <mc:AlternateContent>
          <mc:Choice Requires="wps">
            <w:drawing>
              <wp:anchor distT="0" distB="0" distL="114300" distR="114300" simplePos="0" relativeHeight="251681280" behindDoc="1" locked="0" layoutInCell="1" allowOverlap="1" wp14:anchorId="7A32FAD2" wp14:editId="23C6187B">
                <wp:simplePos x="0" y="0"/>
                <wp:positionH relativeFrom="column">
                  <wp:posOffset>2795905</wp:posOffset>
                </wp:positionH>
                <wp:positionV relativeFrom="paragraph">
                  <wp:posOffset>1903095</wp:posOffset>
                </wp:positionV>
                <wp:extent cx="2964180" cy="635"/>
                <wp:effectExtent l="0" t="0" r="0" b="0"/>
                <wp:wrapTight wrapText="bothSides">
                  <wp:wrapPolygon edited="0">
                    <wp:start x="0" y="0"/>
                    <wp:lineTo x="0" y="21600"/>
                    <wp:lineTo x="21600" y="21600"/>
                    <wp:lineTo x="21600" y="0"/>
                  </wp:wrapPolygon>
                </wp:wrapTight>
                <wp:docPr id="640218369" name="Pole tekstowe 1"/>
                <wp:cNvGraphicFramePr/>
                <a:graphic xmlns:a="http://schemas.openxmlformats.org/drawingml/2006/main">
                  <a:graphicData uri="http://schemas.microsoft.com/office/word/2010/wordprocessingShape">
                    <wps:wsp>
                      <wps:cNvSpPr txBox="1"/>
                      <wps:spPr>
                        <a:xfrm>
                          <a:off x="0" y="0"/>
                          <a:ext cx="2964180" cy="635"/>
                        </a:xfrm>
                        <a:prstGeom prst="rect">
                          <a:avLst/>
                        </a:prstGeom>
                        <a:solidFill>
                          <a:prstClr val="white"/>
                        </a:solidFill>
                        <a:ln>
                          <a:noFill/>
                        </a:ln>
                      </wps:spPr>
                      <wps:txbx>
                        <w:txbxContent>
                          <w:p w14:paraId="3C63931F" w14:textId="6C18A1C7" w:rsidR="0015217F" w:rsidRPr="0015217F" w:rsidRDefault="0015217F" w:rsidP="0015217F">
                            <w:pPr>
                              <w:pStyle w:val="Legenda"/>
                              <w:rPr>
                                <w:noProof/>
                                <w:sz w:val="22"/>
                                <w:szCs w:val="24"/>
                              </w:rPr>
                            </w:pPr>
                            <w:bookmarkStart w:id="153" w:name="_Toc205204449"/>
                            <w:r w:rsidRPr="0015217F">
                              <w:rPr>
                                <w:szCs w:val="20"/>
                              </w:rPr>
                              <w:t xml:space="preserve">Wykres </w:t>
                            </w:r>
                            <w:r w:rsidRPr="0015217F">
                              <w:rPr>
                                <w:szCs w:val="20"/>
                              </w:rPr>
                              <w:fldChar w:fldCharType="begin"/>
                            </w:r>
                            <w:r w:rsidRPr="0015217F">
                              <w:rPr>
                                <w:szCs w:val="20"/>
                              </w:rPr>
                              <w:instrText xml:space="preserve"> SEQ Wykres \* ARABIC </w:instrText>
                            </w:r>
                            <w:r w:rsidRPr="0015217F">
                              <w:rPr>
                                <w:szCs w:val="20"/>
                              </w:rPr>
                              <w:fldChar w:fldCharType="separate"/>
                            </w:r>
                            <w:r w:rsidR="00871DD5">
                              <w:rPr>
                                <w:noProof/>
                                <w:szCs w:val="20"/>
                              </w:rPr>
                              <w:t>11</w:t>
                            </w:r>
                            <w:r w:rsidRPr="0015217F">
                              <w:rPr>
                                <w:szCs w:val="20"/>
                              </w:rPr>
                              <w:fldChar w:fldCharType="end"/>
                            </w:r>
                            <w:r w:rsidRPr="0015217F">
                              <w:rPr>
                                <w:szCs w:val="20"/>
                              </w:rPr>
                              <w:t>. Emisje GHG z rolnictwa</w:t>
                            </w:r>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32FAD2" id="_x0000_s1094" type="#_x0000_t202" style="position:absolute;left:0;text-align:left;margin-left:220.15pt;margin-top:149.85pt;width:233.4pt;height:.0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q9RGwIAAEAEAAAOAAAAZHJzL2Uyb0RvYy54bWysU8Fu2zAMvQ/YPwi6L06yLmi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" stroked="f">
                <v:textbox style="mso-fit-shape-to-text:t" inset="0,0,0,0">
                  <w:txbxContent>
                    <w:p w14:paraId="3C63931F" w14:textId="6C18A1C7" w:rsidR="0015217F" w:rsidRPr="0015217F" w:rsidRDefault="0015217F" w:rsidP="0015217F">
                      <w:pPr>
                        <w:pStyle w:val="Legenda"/>
                        <w:rPr>
                          <w:noProof/>
                          <w:sz w:val="22"/>
                          <w:szCs w:val="24"/>
                        </w:rPr>
                      </w:pPr>
                      <w:bookmarkStart w:id="163" w:name="_Toc205204449"/>
                      <w:r w:rsidRPr="0015217F">
                        <w:rPr>
                          <w:szCs w:val="20"/>
                        </w:rPr>
                        <w:t xml:space="preserve">Wykres </w:t>
                      </w:r>
                      <w:r w:rsidRPr="0015217F">
                        <w:rPr>
                          <w:szCs w:val="20"/>
                        </w:rPr>
                        <w:fldChar w:fldCharType="begin"/>
                      </w:r>
                      <w:r w:rsidRPr="0015217F">
                        <w:rPr>
                          <w:szCs w:val="20"/>
                        </w:rPr>
                        <w:instrText xml:space="preserve"> SEQ Wykres \* ARABIC </w:instrText>
                      </w:r>
                      <w:r w:rsidRPr="0015217F">
                        <w:rPr>
                          <w:szCs w:val="20"/>
                        </w:rPr>
                        <w:fldChar w:fldCharType="separate"/>
                      </w:r>
                      <w:r w:rsidR="00871DD5">
                        <w:rPr>
                          <w:noProof/>
                          <w:szCs w:val="20"/>
                        </w:rPr>
                        <w:t>11</w:t>
                      </w:r>
                      <w:r w:rsidRPr="0015217F">
                        <w:rPr>
                          <w:szCs w:val="20"/>
                        </w:rPr>
                        <w:fldChar w:fldCharType="end"/>
                      </w:r>
                      <w:r w:rsidRPr="0015217F">
                        <w:rPr>
                          <w:szCs w:val="20"/>
                        </w:rPr>
                        <w:t>. Emisje GHG z rolnictwa</w:t>
                      </w:r>
                      <w:bookmarkEnd w:id="163"/>
                    </w:p>
                  </w:txbxContent>
                </v:textbox>
                <w10:wrap type="tight"/>
              </v:shape>
            </w:pict>
          </mc:Fallback>
        </mc:AlternateContent>
      </w:r>
      <w:r w:rsidR="005758AF">
        <w:rPr>
          <w:noProof/>
          <w:lang w:eastAsia="pl-PL"/>
        </w:rPr>
        <w:drawing>
          <wp:anchor distT="0" distB="0" distL="114300" distR="114300" simplePos="0" relativeHeight="251861504" behindDoc="0" locked="0" layoutInCell="1" allowOverlap="1" wp14:anchorId="30EEC0AE" wp14:editId="729549E7">
            <wp:simplePos x="0" y="0"/>
            <wp:positionH relativeFrom="margin">
              <wp:posOffset>2795905</wp:posOffset>
            </wp:positionH>
            <wp:positionV relativeFrom="paragraph">
              <wp:posOffset>9525</wp:posOffset>
            </wp:positionV>
            <wp:extent cx="2964180" cy="1836420"/>
            <wp:effectExtent l="0" t="0" r="7620" b="11430"/>
            <wp:wrapTight wrapText="bothSides">
              <wp:wrapPolygon edited="0">
                <wp:start x="0" y="0"/>
                <wp:lineTo x="0" y="21510"/>
                <wp:lineTo x="21517" y="21510"/>
                <wp:lineTo x="21517" y="0"/>
                <wp:lineTo x="0" y="0"/>
              </wp:wrapPolygon>
            </wp:wrapTight>
            <wp:docPr id="1755240053" name="Wykres 1">
              <a:extLst xmlns:a="http://schemas.openxmlformats.org/drawingml/2006/main">
                <a:ext uri="{FF2B5EF4-FFF2-40B4-BE49-F238E27FC236}">
                  <a16:creationId xmlns:a16="http://schemas.microsoft.com/office/drawing/2014/main" id="{B44907EF-A7A0-4AEA-85E3-E784F994C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BA154D">
        <w:t>Równocześnie zmian</w:t>
      </w:r>
      <w:r w:rsidR="00E321C1">
        <w:t>a</w:t>
      </w:r>
      <w:r w:rsidR="00BA154D">
        <w:t xml:space="preserve"> klimatu przejawiają</w:t>
      </w:r>
      <w:r w:rsidR="002340B5">
        <w:t>ca</w:t>
      </w:r>
      <w:r w:rsidR="00BA154D">
        <w:t xml:space="preserve"> się</w:t>
      </w:r>
      <w:r w:rsidR="00163D55">
        <w:t> </w:t>
      </w:r>
      <w:r w:rsidR="00BA154D">
        <w:t>w anomaliach i ekstremalnych warunkach pogodowych przyspieszają degradację środowiska naturalnego powodując m.in. susze, wichury, powodzie i pożary, a</w:t>
      </w:r>
      <w:r w:rsidR="004B0331">
        <w:t> </w:t>
      </w:r>
      <w:r w:rsidR="00BA154D">
        <w:t>także sprzyjają rozprzestrzenianiu się chorób i szkodników. Szczególnie dotkliwym zjawiskiem w Polsce są</w:t>
      </w:r>
      <w:r w:rsidR="00163D55">
        <w:t> </w:t>
      </w:r>
      <w:r w:rsidR="00BA154D">
        <w:t>powtarzające się susze. Ekstremalne warunki pogodowe i klimatyczne wpływają negatywnie na wysokość i jakość plonów, a w konsekwencji – dostępność dobrej jakościowo i przystępnej cenowo żywności na rynku. Mają również poważne konsekwencje ekonomiczne dla gospodarstw rolniczych, związane ze stratami wywołanymi przez anomalie pogodowe czy walkę z chorobami i szkodnikami.</w:t>
      </w:r>
      <w:r w:rsidR="003E2DE5">
        <w:t xml:space="preserve"> </w:t>
      </w:r>
      <w:r w:rsidR="007D4DA6">
        <w:t xml:space="preserve">Z tego względu niezbędne jest nastawienie działań na adaptację do zmian klimatu, tak aby skutki miały możliwie </w:t>
      </w:r>
      <w:r w:rsidR="00A034EC">
        <w:t xml:space="preserve">niewielki </w:t>
      </w:r>
      <w:r w:rsidR="007D4DA6">
        <w:t xml:space="preserve">wpływ na rolnictwo. </w:t>
      </w:r>
    </w:p>
    <w:p w14:paraId="35389FC1" w14:textId="15188A3A" w:rsidR="00080BA7" w:rsidRPr="00484566" w:rsidRDefault="009230DD" w:rsidP="004B0331">
      <w:pPr>
        <w:pStyle w:val="Cele"/>
        <w:rPr>
          <w:i/>
        </w:rPr>
      </w:pPr>
      <w:r w:rsidRPr="004B0331">
        <w:rPr>
          <w:b/>
          <w:bCs/>
        </w:rPr>
        <w:t>Prognozy wskazują, że w Polsce w 2030 r.</w:t>
      </w:r>
      <w:r w:rsidR="003E2DE5">
        <w:rPr>
          <w:b/>
          <w:bCs/>
        </w:rPr>
        <w:t xml:space="preserve"> </w:t>
      </w:r>
      <w:r w:rsidRPr="004B0331">
        <w:rPr>
          <w:b/>
          <w:bCs/>
        </w:rPr>
        <w:t>emisje</w:t>
      </w:r>
      <w:r w:rsidR="001E3949">
        <w:rPr>
          <w:b/>
          <w:bCs/>
        </w:rPr>
        <w:t xml:space="preserve"> </w:t>
      </w:r>
      <w:r w:rsidR="00AD0FB0">
        <w:rPr>
          <w:b/>
          <w:bCs/>
        </w:rPr>
        <w:t>GHG</w:t>
      </w:r>
      <w:r w:rsidRPr="004B0331">
        <w:rPr>
          <w:b/>
          <w:bCs/>
        </w:rPr>
        <w:t xml:space="preserve"> z rolnictwa osiągną wielkości rzędu </w:t>
      </w:r>
      <w:r w:rsidR="00B23D99">
        <w:rPr>
          <w:b/>
          <w:bCs/>
        </w:rPr>
        <w:t>32</w:t>
      </w:r>
      <w:r w:rsidRPr="004B0331">
        <w:rPr>
          <w:b/>
          <w:bCs/>
        </w:rPr>
        <w:t xml:space="preserve"> </w:t>
      </w:r>
      <w:r w:rsidR="004B0331" w:rsidRPr="004B0331">
        <w:rPr>
          <w:b/>
          <w:bCs/>
        </w:rPr>
        <w:t>mln t</w:t>
      </w:r>
      <w:r w:rsidRPr="004B0331">
        <w:rPr>
          <w:b/>
          <w:bCs/>
        </w:rPr>
        <w:t xml:space="preserve"> </w:t>
      </w:r>
      <w:r w:rsidR="004B0331">
        <w:rPr>
          <w:b/>
          <w:bCs/>
        </w:rPr>
        <w:t xml:space="preserve">ekw. </w:t>
      </w:r>
      <w:r w:rsidRPr="004B0331">
        <w:rPr>
          <w:b/>
          <w:bCs/>
        </w:rPr>
        <w:t>CO</w:t>
      </w:r>
      <w:r w:rsidRPr="004B0331">
        <w:rPr>
          <w:b/>
          <w:bCs/>
          <w:vertAlign w:val="subscript"/>
        </w:rPr>
        <w:t>2</w:t>
      </w:r>
      <w:r w:rsidRPr="004B0331">
        <w:rPr>
          <w:b/>
          <w:bCs/>
        </w:rPr>
        <w:t xml:space="preserve">, a więc </w:t>
      </w:r>
      <w:r w:rsidR="005758AF">
        <w:rPr>
          <w:b/>
          <w:bCs/>
        </w:rPr>
        <w:t>nastąpi spadek</w:t>
      </w:r>
      <w:r w:rsidRPr="004B0331">
        <w:rPr>
          <w:b/>
          <w:bCs/>
        </w:rPr>
        <w:t xml:space="preserve"> emisji </w:t>
      </w:r>
      <w:r w:rsidR="005758AF">
        <w:rPr>
          <w:b/>
          <w:bCs/>
        </w:rPr>
        <w:t>do poziomu z </w:t>
      </w:r>
      <w:r w:rsidRPr="004B0331">
        <w:rPr>
          <w:b/>
          <w:bCs/>
        </w:rPr>
        <w:t>2005</w:t>
      </w:r>
      <w:r w:rsidR="005758AF">
        <w:rPr>
          <w:b/>
          <w:bCs/>
        </w:rPr>
        <w:t> </w:t>
      </w:r>
      <w:r w:rsidR="004B0331" w:rsidRPr="004B0331">
        <w:rPr>
          <w:b/>
          <w:bCs/>
        </w:rPr>
        <w:t>r.</w:t>
      </w:r>
      <w:r w:rsidR="001E3949">
        <w:rPr>
          <w:b/>
          <w:bCs/>
        </w:rPr>
        <w:t xml:space="preserve"> </w:t>
      </w:r>
      <w:r w:rsidR="004C42D6">
        <w:rPr>
          <w:b/>
          <w:bCs/>
        </w:rPr>
        <w:t>Prognozowana w</w:t>
      </w:r>
      <w:r w:rsidR="001E3949">
        <w:rPr>
          <w:b/>
          <w:bCs/>
        </w:rPr>
        <w:t xml:space="preserve">ielkość emisji będzie </w:t>
      </w:r>
      <w:r w:rsidR="004C42D6">
        <w:rPr>
          <w:b/>
          <w:bCs/>
        </w:rPr>
        <w:t xml:space="preserve">w 2030 r. </w:t>
      </w:r>
      <w:r w:rsidR="001E3949">
        <w:rPr>
          <w:b/>
          <w:bCs/>
        </w:rPr>
        <w:t xml:space="preserve">niższa o </w:t>
      </w:r>
      <w:r w:rsidR="00B04C5E">
        <w:rPr>
          <w:b/>
          <w:bCs/>
        </w:rPr>
        <w:t>35</w:t>
      </w:r>
      <w:r w:rsidR="001E3949">
        <w:rPr>
          <w:b/>
          <w:bCs/>
        </w:rPr>
        <w:t>% w stosunku do 1990 r</w:t>
      </w:r>
      <w:r w:rsidR="001E3949" w:rsidRPr="004B0331">
        <w:rPr>
          <w:b/>
          <w:bCs/>
        </w:rPr>
        <w:t>.</w:t>
      </w:r>
      <w:r w:rsidR="003E2DE5">
        <w:rPr>
          <w:b/>
          <w:bCs/>
        </w:rPr>
        <w:t xml:space="preserve"> </w:t>
      </w:r>
      <w:r w:rsidR="00B23D99" w:rsidRPr="00080BA7">
        <w:rPr>
          <w:i/>
          <w:iCs/>
        </w:rPr>
        <w:t>[szacunki nie mają charakteru celu]</w:t>
      </w:r>
    </w:p>
    <w:p w14:paraId="553E1B5F" w14:textId="6A47D155" w:rsidR="00080BA7" w:rsidRDefault="00080BA7" w:rsidP="003657F2">
      <w:pPr>
        <w:pStyle w:val="PaMs"/>
      </w:pPr>
      <w:r w:rsidRPr="00C46DAA">
        <w:t>POLITYKA</w:t>
      </w:r>
    </w:p>
    <w:p w14:paraId="1C7DE685" w14:textId="56EC47FB" w:rsidR="00BA154D" w:rsidRDefault="00B351F5" w:rsidP="00BA154D">
      <w:r>
        <w:t>Znaczna część</w:t>
      </w:r>
      <w:r w:rsidR="00BA154D">
        <w:t xml:space="preserve"> działań na rzecz redukcji emisji </w:t>
      </w:r>
      <w:r w:rsidR="00047932">
        <w:t>gazów cieplarnianych</w:t>
      </w:r>
      <w:r w:rsidR="00BA154D">
        <w:t xml:space="preserve"> w rolnictwie wdrażana jest za pomocą instrumentów Wspólnej Polityki Rolnej (WPR), a te określone zostały szczegółowo w</w:t>
      </w:r>
      <w:r w:rsidR="00527BFD">
        <w:t> </w:t>
      </w:r>
      <w:r w:rsidR="00BA154D" w:rsidRPr="002C4B10">
        <w:rPr>
          <w:b/>
          <w:bCs/>
        </w:rPr>
        <w:t>Planie</w:t>
      </w:r>
      <w:r w:rsidR="00527BFD">
        <w:rPr>
          <w:b/>
          <w:bCs/>
        </w:rPr>
        <w:t> </w:t>
      </w:r>
      <w:r w:rsidR="00BA154D" w:rsidRPr="002C4B10">
        <w:rPr>
          <w:b/>
          <w:bCs/>
        </w:rPr>
        <w:t>Strategicznym WPR</w:t>
      </w:r>
      <w:r w:rsidR="00BA154D">
        <w:t xml:space="preserve"> </w:t>
      </w:r>
      <w:r w:rsidR="00BA154D" w:rsidRPr="002C4B10">
        <w:rPr>
          <w:b/>
          <w:bCs/>
        </w:rPr>
        <w:t>na lata 2023</w:t>
      </w:r>
      <w:r w:rsidR="002C4B10">
        <w:rPr>
          <w:b/>
          <w:bCs/>
        </w:rPr>
        <w:softHyphen/>
        <w:t>–</w:t>
      </w:r>
      <w:r w:rsidR="00BA154D" w:rsidRPr="002C4B10">
        <w:rPr>
          <w:b/>
          <w:bCs/>
        </w:rPr>
        <w:t>2027</w:t>
      </w:r>
      <w:r w:rsidR="002C4B10">
        <w:rPr>
          <w:b/>
          <w:bCs/>
        </w:rPr>
        <w:t xml:space="preserve"> </w:t>
      </w:r>
      <w:r w:rsidR="002C4B10">
        <w:t>(</w:t>
      </w:r>
      <w:hyperlink r:id="rId65" w:history="1">
        <w:r w:rsidR="002C4B10" w:rsidRPr="002C4B10">
          <w:rPr>
            <w:rStyle w:val="Hipercze"/>
          </w:rPr>
          <w:t>link</w:t>
        </w:r>
      </w:hyperlink>
      <w:r w:rsidR="002C4B10">
        <w:t>)</w:t>
      </w:r>
      <w:r w:rsidR="00BA154D">
        <w:t>. Plan Strategiczny stanowi narzędzie wsparcia zrównoważonych metod gospodarowania promujących działania przyjazne klimatowi i środowisku, chroniące glebę, wodę i</w:t>
      </w:r>
      <w:r w:rsidR="002C4B10">
        <w:t> </w:t>
      </w:r>
      <w:r w:rsidR="00BA154D">
        <w:t xml:space="preserve">powietrze oraz różnorodność biologiczną. Wsparcie jest realizowane zarówno poprzez płatności roczne (I filar WPR), jak i wieloletnie zobowiązania (inwestycje w ramach II filaru WPR). </w:t>
      </w:r>
    </w:p>
    <w:p w14:paraId="68F968A2" w14:textId="67244326" w:rsidR="008A796A" w:rsidRPr="00B23D99" w:rsidRDefault="00D44ABA" w:rsidP="008A796A">
      <w:r w:rsidRPr="00B23D99">
        <w:rPr>
          <w:rFonts w:eastAsia="Calibri" w:cs="Times New Roman"/>
        </w:rPr>
        <w:t xml:space="preserve">Działania na rzecz ograniczania emisji </w:t>
      </w:r>
      <w:r w:rsidR="00AD0FB0">
        <w:rPr>
          <w:rFonts w:eastAsia="Calibri" w:cs="Times New Roman"/>
        </w:rPr>
        <w:t>GHG</w:t>
      </w:r>
      <w:r w:rsidRPr="00B23D99">
        <w:rPr>
          <w:rFonts w:eastAsia="Calibri" w:cs="Times New Roman"/>
        </w:rPr>
        <w:t xml:space="preserve"> – wynikające z Planu Strategicznego </w:t>
      </w:r>
      <w:r w:rsidR="00624987" w:rsidRPr="00B23D99">
        <w:rPr>
          <w:rFonts w:eastAsia="Calibri" w:cs="Times New Roman"/>
        </w:rPr>
        <w:t xml:space="preserve">WPR </w:t>
      </w:r>
      <w:r w:rsidRPr="00B23D99">
        <w:rPr>
          <w:rFonts w:eastAsia="Calibri" w:cs="Times New Roman"/>
        </w:rPr>
        <w:t>– obejmują:</w:t>
      </w:r>
      <w:r w:rsidR="008A796A" w:rsidRPr="00B23D99">
        <w:t xml:space="preserve"> </w:t>
      </w:r>
    </w:p>
    <w:p w14:paraId="432FF2E2" w14:textId="3D620035" w:rsidR="008A796A" w:rsidRPr="00B23D99" w:rsidRDefault="008A796A" w:rsidP="000625AC">
      <w:pPr>
        <w:pStyle w:val="Akapitzlist"/>
        <w:numPr>
          <w:ilvl w:val="0"/>
          <w:numId w:val="26"/>
        </w:numPr>
      </w:pPr>
      <w:r w:rsidRPr="00B23D99">
        <w:rPr>
          <w:b/>
          <w:bCs/>
        </w:rPr>
        <w:t>stosowanie warunkowości środowiskowej</w:t>
      </w:r>
      <w:r w:rsidRPr="00B23D99">
        <w:t xml:space="preserve">, czyli </w:t>
      </w:r>
      <w:r w:rsidR="000A6243" w:rsidRPr="00B23D99">
        <w:t xml:space="preserve">zestawu </w:t>
      </w:r>
      <w:r w:rsidRPr="00B23D99">
        <w:t>zasad składające</w:t>
      </w:r>
      <w:r w:rsidR="000A6243" w:rsidRPr="00B23D99">
        <w:t>go</w:t>
      </w:r>
      <w:r w:rsidRPr="00B23D99">
        <w:t xml:space="preserve"> się z norm dobrej kultury rolnej</w:t>
      </w:r>
      <w:r w:rsidR="002040AF" w:rsidRPr="00B23D99">
        <w:t xml:space="preserve"> (</w:t>
      </w:r>
      <w:r w:rsidR="00963588">
        <w:t>DKR</w:t>
      </w:r>
      <w:r w:rsidR="002040AF" w:rsidRPr="00B23D99">
        <w:t>)</w:t>
      </w:r>
      <w:r w:rsidRPr="00B23D99">
        <w:t>, zgodnej z ochroną środowiska oraz wymogów podstawowych z zakresu zarządzania, których rolnik musi przestrzegać w swoim gospodarstwie, aby otrzymać wsparcie w ramach WPR w pełnej wysokości. Działania nastawione są zarówno na redukcj</w:t>
      </w:r>
      <w:r w:rsidR="00E16842" w:rsidRPr="00B23D99">
        <w:t>ę</w:t>
      </w:r>
      <w:r w:rsidRPr="00B23D99">
        <w:t xml:space="preserve"> emisji </w:t>
      </w:r>
      <w:r w:rsidR="00AD0FB0">
        <w:t>GHG</w:t>
      </w:r>
      <w:r w:rsidR="00A84E98" w:rsidRPr="00B23D99">
        <w:t xml:space="preserve"> </w:t>
      </w:r>
      <w:r w:rsidRPr="00B23D99">
        <w:t>i zwiększani</w:t>
      </w:r>
      <w:r w:rsidR="00E16842" w:rsidRPr="00B23D99">
        <w:t>e</w:t>
      </w:r>
      <w:r w:rsidRPr="00B23D99">
        <w:t xml:space="preserve"> pochłaniania</w:t>
      </w:r>
      <w:r w:rsidR="00A84E98" w:rsidRPr="00B23D99">
        <w:t xml:space="preserve"> (np. zapewnianie minimalnej pokrywy gleby w newralgicznych okresach)</w:t>
      </w:r>
      <w:r w:rsidRPr="00B23D99">
        <w:t>, jak i ograniczenie zanieczyszczeń do powietrza</w:t>
      </w:r>
      <w:r w:rsidR="00E16842" w:rsidRPr="00B23D99">
        <w:t xml:space="preserve"> (np. zakaz wypalania użytków rolnych)</w:t>
      </w:r>
      <w:r w:rsidRPr="00B23D99">
        <w:t>;</w:t>
      </w:r>
    </w:p>
    <w:p w14:paraId="21858E63" w14:textId="39FC759D" w:rsidR="008A796A" w:rsidRDefault="008A796A" w:rsidP="000625AC">
      <w:pPr>
        <w:pStyle w:val="Akapitzlist"/>
        <w:numPr>
          <w:ilvl w:val="0"/>
          <w:numId w:val="26"/>
        </w:numPr>
      </w:pPr>
      <w:r w:rsidRPr="008A796A">
        <w:rPr>
          <w:b/>
          <w:bCs/>
        </w:rPr>
        <w:t>stosowanie ekoschematów</w:t>
      </w:r>
      <w:r>
        <w:t>, czyli dodatkow</w:t>
      </w:r>
      <w:r w:rsidR="00FC31D5">
        <w:t>ych</w:t>
      </w:r>
      <w:r>
        <w:t xml:space="preserve"> </w:t>
      </w:r>
      <w:r w:rsidRPr="00B21BF4">
        <w:t>dobrowoln</w:t>
      </w:r>
      <w:r>
        <w:t xml:space="preserve">ych </w:t>
      </w:r>
      <w:r w:rsidRPr="00B21BF4">
        <w:t>praktyk</w:t>
      </w:r>
      <w:r>
        <w:t xml:space="preserve"> rolniczych</w:t>
      </w:r>
      <w:r w:rsidRPr="00B21BF4">
        <w:t>,</w:t>
      </w:r>
      <w:r w:rsidR="00FC31D5">
        <w:t xml:space="preserve"> które </w:t>
      </w:r>
      <w:r w:rsidRPr="00B21BF4">
        <w:t>służą ochronie zasobów gleby, wód, klimatu, dobrostanu zwierząt i różnorodności biologicznej w</w:t>
      </w:r>
      <w:r w:rsidR="00D44ABA">
        <w:t> </w:t>
      </w:r>
      <w:r w:rsidRPr="00B21BF4">
        <w:t>produkcji rolnej</w:t>
      </w:r>
      <w:r w:rsidR="00FC31D5">
        <w:t xml:space="preserve">, ale są </w:t>
      </w:r>
      <w:r w:rsidR="00FC31D5" w:rsidRPr="00B21BF4">
        <w:t>dostosowan</w:t>
      </w:r>
      <w:r w:rsidR="00FC31D5">
        <w:t xml:space="preserve">e </w:t>
      </w:r>
      <w:r w:rsidR="00FC31D5" w:rsidRPr="00B21BF4">
        <w:t>do warunków i potrzeb krajowych</w:t>
      </w:r>
      <w:r>
        <w:t>;</w:t>
      </w:r>
    </w:p>
    <w:p w14:paraId="1BB42DFB" w14:textId="14120DDF" w:rsidR="008A796A" w:rsidRDefault="008A796A" w:rsidP="000625AC">
      <w:pPr>
        <w:pStyle w:val="Akapitzlist"/>
        <w:numPr>
          <w:ilvl w:val="0"/>
          <w:numId w:val="26"/>
        </w:numPr>
      </w:pPr>
      <w:r>
        <w:rPr>
          <w:b/>
          <w:bCs/>
        </w:rPr>
        <w:t xml:space="preserve">stosowanie płatności </w:t>
      </w:r>
      <w:r w:rsidR="00B351F5">
        <w:rPr>
          <w:b/>
          <w:bCs/>
        </w:rPr>
        <w:t xml:space="preserve">rolno-środowiskowo-klimatycznych </w:t>
      </w:r>
      <w:r>
        <w:rPr>
          <w:b/>
          <w:bCs/>
        </w:rPr>
        <w:t xml:space="preserve">rekompensujących </w:t>
      </w:r>
      <w:r w:rsidRPr="008A796A">
        <w:t xml:space="preserve">poniesione koszty i utracone dochody ze względu na </w:t>
      </w:r>
      <w:r w:rsidR="002825C1">
        <w:t xml:space="preserve">dobrowolne </w:t>
      </w:r>
      <w:r w:rsidRPr="008A796A">
        <w:t>stosowan</w:t>
      </w:r>
      <w:r w:rsidR="002825C1">
        <w:t>ie</w:t>
      </w:r>
      <w:r w:rsidRPr="008A796A">
        <w:t xml:space="preserve"> </w:t>
      </w:r>
      <w:r>
        <w:rPr>
          <w:b/>
          <w:bCs/>
        </w:rPr>
        <w:t>metod produkcji sprzyjając</w:t>
      </w:r>
      <w:r w:rsidR="00694CDE">
        <w:rPr>
          <w:b/>
          <w:bCs/>
        </w:rPr>
        <w:t>ych</w:t>
      </w:r>
      <w:r>
        <w:rPr>
          <w:b/>
          <w:bCs/>
        </w:rPr>
        <w:t xml:space="preserve"> zachowani</w:t>
      </w:r>
      <w:r w:rsidR="00694CDE">
        <w:rPr>
          <w:b/>
          <w:bCs/>
        </w:rPr>
        <w:t>u</w:t>
      </w:r>
      <w:r>
        <w:rPr>
          <w:b/>
          <w:bCs/>
        </w:rPr>
        <w:t xml:space="preserve"> różnorodności zarówno biologi</w:t>
      </w:r>
      <w:r w:rsidR="002040AF">
        <w:rPr>
          <w:b/>
          <w:bCs/>
        </w:rPr>
        <w:t>c</w:t>
      </w:r>
      <w:r>
        <w:rPr>
          <w:b/>
          <w:bCs/>
        </w:rPr>
        <w:t>znej, krajobrazu, jak i zasobów przyrody, zwłaszcza gleby i wody</w:t>
      </w:r>
      <w:r w:rsidR="002040AF">
        <w:rPr>
          <w:b/>
          <w:bCs/>
        </w:rPr>
        <w:t xml:space="preserve">. </w:t>
      </w:r>
      <w:r w:rsidR="002040AF" w:rsidRPr="00694CDE">
        <w:t xml:space="preserve">Tego typu działania </w:t>
      </w:r>
      <w:r w:rsidR="00A034EC">
        <w:t xml:space="preserve">pozwalają na </w:t>
      </w:r>
      <w:r w:rsidR="002040AF" w:rsidRPr="00694CDE">
        <w:t>adaptacj</w:t>
      </w:r>
      <w:r w:rsidR="00A034EC">
        <w:t>ę</w:t>
      </w:r>
      <w:r w:rsidR="002040AF" w:rsidRPr="00694CDE">
        <w:t xml:space="preserve"> do zmian klimatu;</w:t>
      </w:r>
    </w:p>
    <w:p w14:paraId="4A252E03" w14:textId="02C252D9" w:rsidR="00694CDE" w:rsidRDefault="00694CDE" w:rsidP="000625AC">
      <w:pPr>
        <w:pStyle w:val="Akapitzlist"/>
        <w:numPr>
          <w:ilvl w:val="0"/>
          <w:numId w:val="26"/>
        </w:numPr>
      </w:pPr>
      <w:r w:rsidRPr="00694CDE">
        <w:rPr>
          <w:b/>
          <w:bCs/>
        </w:rPr>
        <w:t>wsparcie zalesiania gruntów rolnych, tworzenia zadrzewień śródpolnych, zakładani</w:t>
      </w:r>
      <w:r w:rsidR="00B351F5">
        <w:rPr>
          <w:b/>
          <w:bCs/>
        </w:rPr>
        <w:t>a</w:t>
      </w:r>
      <w:r w:rsidRPr="00694CDE">
        <w:rPr>
          <w:b/>
          <w:bCs/>
        </w:rPr>
        <w:t xml:space="preserve"> systemów rolno</w:t>
      </w:r>
      <w:r>
        <w:rPr>
          <w:b/>
          <w:bCs/>
        </w:rPr>
        <w:noBreakHyphen/>
      </w:r>
      <w:r w:rsidRPr="00694CDE">
        <w:rPr>
          <w:b/>
          <w:bCs/>
        </w:rPr>
        <w:t>leśnych</w:t>
      </w:r>
      <w:r>
        <w:t>;</w:t>
      </w:r>
    </w:p>
    <w:p w14:paraId="2971CDE3" w14:textId="257DC535" w:rsidR="00694CDE" w:rsidRPr="002040AF" w:rsidRDefault="00D6066B" w:rsidP="000625AC">
      <w:pPr>
        <w:pStyle w:val="Akapitzlist"/>
        <w:numPr>
          <w:ilvl w:val="0"/>
          <w:numId w:val="26"/>
        </w:numPr>
      </w:pPr>
      <w:bookmarkStart w:id="154" w:name="_Hlk170991553"/>
      <w:r w:rsidRPr="00B96A97">
        <w:rPr>
          <w:b/>
        </w:rPr>
        <w:lastRenderedPageBreak/>
        <w:t xml:space="preserve">współfinansowanie inwestycji przyczyniających się do ochrony środowiska i klimatu </w:t>
      </w:r>
      <w:bookmarkEnd w:id="154"/>
      <w:r w:rsidRPr="00D6066B">
        <w:rPr>
          <w:bCs/>
        </w:rPr>
        <w:t xml:space="preserve">takich jak: </w:t>
      </w:r>
      <w:bookmarkStart w:id="155" w:name="_Hlk170997369"/>
      <w:r w:rsidRPr="00D6066B">
        <w:rPr>
          <w:bCs/>
        </w:rPr>
        <w:t>zakup maszyn do precyzyjnej aplikacji nawozów, wyposażenie gospodarstw w zbiorniki i</w:t>
      </w:r>
      <w:r>
        <w:rPr>
          <w:bCs/>
        </w:rPr>
        <w:t> </w:t>
      </w:r>
      <w:r w:rsidRPr="00D6066B">
        <w:rPr>
          <w:bCs/>
        </w:rPr>
        <w:t>urządzenia do przechowywania nawozów naturalnych</w:t>
      </w:r>
      <w:bookmarkEnd w:id="155"/>
      <w:r w:rsidRPr="00D6066B">
        <w:rPr>
          <w:bCs/>
        </w:rPr>
        <w:t>, wspierające niskoemisyjne systemy utrzymania zwierząt gospodarskich.</w:t>
      </w:r>
    </w:p>
    <w:p w14:paraId="050562EB" w14:textId="4E8EB807" w:rsidR="00015DC0" w:rsidRDefault="00015DC0" w:rsidP="00BA154D">
      <w:r w:rsidRPr="00015DC0">
        <w:t xml:space="preserve">Istnieje możliwość rozwijania katalogu działań na rzecz zmniejszenia skali emisji w sektorze rolnym. Potencjalne działania mogłyby uwzględniać obniżenie emisji metanu z procesów metabolicznych zwierząt gospodarskich, zwiększeniu pochłaniania i magazynowania </w:t>
      </w:r>
      <w:r w:rsidR="00767C8D">
        <w:t>węgla</w:t>
      </w:r>
      <w:r w:rsidRPr="00015DC0">
        <w:t xml:space="preserve"> oraz redukcji emisji z gleb uprawnych. W celu zminimalizowania ewentualnej presji na produkcję rolną i ryzyka zmniejszania produkcji, działania w tym obszarze powinny opierać się na odpowiednim systemie zachęt. Zakres i tempo rozwoju potencjalnych przyszłych działań są uzależnione od dostępnych środków finansowych, kształtu WPR po</w:t>
      </w:r>
      <w:r w:rsidR="00974007">
        <w:t xml:space="preserve">  </w:t>
      </w:r>
      <w:r w:rsidRPr="00015DC0">
        <w:t>2027 r. oraz od przyszłej legislacji unijnej i krajowej</w:t>
      </w:r>
      <w:r>
        <w:t>.</w:t>
      </w:r>
    </w:p>
    <w:p w14:paraId="7FAB19DC" w14:textId="4CBA0A44" w:rsidR="007714E0" w:rsidRDefault="007714E0" w:rsidP="007714E0">
      <w:r w:rsidRPr="0082729E">
        <w:t xml:space="preserve">W </w:t>
      </w:r>
      <w:r>
        <w:t xml:space="preserve">odniesieniu do emisji z sektora rolnictwa, zgodnie z </w:t>
      </w:r>
      <w:r w:rsidRPr="00B370EE">
        <w:t>Krajowy</w:t>
      </w:r>
      <w:r>
        <w:t>m</w:t>
      </w:r>
      <w:r w:rsidRPr="00B370EE">
        <w:t xml:space="preserve"> Program</w:t>
      </w:r>
      <w:r>
        <w:t>em</w:t>
      </w:r>
      <w:r w:rsidRPr="00B370EE">
        <w:t xml:space="preserve"> Ograniczania Zanieczyszczeń Powietrza</w:t>
      </w:r>
      <w:r w:rsidR="006A271E">
        <w:t xml:space="preserve"> – aktualizacja</w:t>
      </w:r>
      <w:r>
        <w:t>,</w:t>
      </w:r>
      <w:r w:rsidRPr="00B370EE">
        <w:t xml:space="preserve"> </w:t>
      </w:r>
      <w:r>
        <w:t>niezbędny jest rozwój</w:t>
      </w:r>
      <w:r w:rsidRPr="00555001">
        <w:t xml:space="preserve"> niskoemisyjnych technik rozprowadzania i przechowywania nawozów</w:t>
      </w:r>
      <w:r>
        <w:t xml:space="preserve">, </w:t>
      </w:r>
      <w:r w:rsidRPr="00555001">
        <w:t>systemów utrzymywania i żywienia zwierząt</w:t>
      </w:r>
      <w:r>
        <w:t xml:space="preserve">, a także </w:t>
      </w:r>
      <w:r w:rsidRPr="00EB25F6">
        <w:t>racjonalizacj</w:t>
      </w:r>
      <w:r>
        <w:t>a</w:t>
      </w:r>
      <w:r w:rsidRPr="00EB25F6">
        <w:t xml:space="preserve"> nawożenia azotowego</w:t>
      </w:r>
      <w:r>
        <w:t xml:space="preserve"> i szerokie rozpowszechnianie dobrych praktyk rolniczych.</w:t>
      </w:r>
    </w:p>
    <w:p w14:paraId="1333E756" w14:textId="41C38656" w:rsidR="00D4112C" w:rsidRDefault="00D4112C" w:rsidP="00BA154D">
      <w:r>
        <w:t xml:space="preserve">Podejmowane są również działania mające na celu bardziej </w:t>
      </w:r>
      <w:r w:rsidRPr="00E43CB4">
        <w:rPr>
          <w:b/>
          <w:bCs/>
        </w:rPr>
        <w:t>racjonalne wykorzystanie energii na obszarach wiejskich</w:t>
      </w:r>
      <w:r>
        <w:t xml:space="preserve">. Choć osiągnięta w ten sposób redukcja emisji </w:t>
      </w:r>
      <w:r w:rsidR="00AD0FB0">
        <w:t>GHG</w:t>
      </w:r>
      <w:r>
        <w:t xml:space="preserve"> nie jest rozliczana w sektorze rolnictwa, ale przyczynia się do całkowitej redukcji krajowej</w:t>
      </w:r>
      <w:r w:rsidR="00D6066B">
        <w:t>, dlatego warta jest podkreślenia</w:t>
      </w:r>
      <w:r>
        <w:t xml:space="preserve">. W tym celu dla </w:t>
      </w:r>
      <w:r w:rsidR="002825C1">
        <w:t xml:space="preserve">indywidualnych podmiotów </w:t>
      </w:r>
      <w:r>
        <w:t>prowadzący</w:t>
      </w:r>
      <w:r w:rsidR="002825C1">
        <w:t>ch</w:t>
      </w:r>
      <w:r>
        <w:t xml:space="preserve"> działalność rolniczą</w:t>
      </w:r>
      <w:r w:rsidR="002825C1">
        <w:t>, jak również dla spółdzielni energetycznych zapewniono</w:t>
      </w:r>
      <w:r>
        <w:t xml:space="preserve"> programy finansujące wyposażenie w instalacje </w:t>
      </w:r>
      <w:r w:rsidR="002825C1">
        <w:t>odnawialnych źródeł energii oraz magazyny energii</w:t>
      </w:r>
      <w:r w:rsidR="00E43CB4">
        <w:t>, co skutkować powinno zarówno ograniczeniem emisji, jak również poprawą efektywności energetycznej</w:t>
      </w:r>
      <w:r w:rsidR="002825C1">
        <w:t xml:space="preserve">. </w:t>
      </w:r>
    </w:p>
    <w:p w14:paraId="73E4A993" w14:textId="29150975" w:rsidR="00E43CB4" w:rsidRDefault="00E43CB4" w:rsidP="00BA154D">
      <w:r>
        <w:t xml:space="preserve">Istotna część </w:t>
      </w:r>
      <w:r w:rsidRPr="00CD4BEB">
        <w:t>instalacji odnawialnych źród</w:t>
      </w:r>
      <w:r w:rsidR="00171474" w:rsidRPr="00CD4BEB">
        <w:t>e</w:t>
      </w:r>
      <w:r w:rsidRPr="00CD4BEB">
        <w:t xml:space="preserve">ł energii ulokowana jest na obszarach wiejskich, ale szczególne znaczenie mają w tym </w:t>
      </w:r>
      <w:r w:rsidRPr="00CD4BEB">
        <w:rPr>
          <w:b/>
        </w:rPr>
        <w:t>biogazownie</w:t>
      </w:r>
      <w:r w:rsidR="005A4B33" w:rsidRPr="00CD4BEB">
        <w:rPr>
          <w:b/>
        </w:rPr>
        <w:t xml:space="preserve"> produku</w:t>
      </w:r>
      <w:r w:rsidR="00DA0C69" w:rsidRPr="00CD4BEB">
        <w:rPr>
          <w:b/>
        </w:rPr>
        <w:t xml:space="preserve">jące </w:t>
      </w:r>
      <w:r w:rsidR="00446EC7" w:rsidRPr="00CD4BEB">
        <w:rPr>
          <w:b/>
          <w:bCs/>
        </w:rPr>
        <w:t>energi</w:t>
      </w:r>
      <w:r w:rsidR="00C3201D" w:rsidRPr="00CD4BEB">
        <w:rPr>
          <w:b/>
          <w:bCs/>
        </w:rPr>
        <w:t>ę</w:t>
      </w:r>
      <w:r w:rsidR="00446EC7" w:rsidRPr="00CD4BEB">
        <w:rPr>
          <w:b/>
          <w:bCs/>
        </w:rPr>
        <w:t xml:space="preserve"> elektryczn</w:t>
      </w:r>
      <w:r w:rsidR="00434DBF" w:rsidRPr="00CD4BEB">
        <w:rPr>
          <w:b/>
          <w:bCs/>
        </w:rPr>
        <w:t>ą</w:t>
      </w:r>
      <w:r w:rsidR="00446EC7" w:rsidRPr="00CD4BEB">
        <w:rPr>
          <w:b/>
          <w:bCs/>
        </w:rPr>
        <w:t xml:space="preserve"> i ciepł</w:t>
      </w:r>
      <w:r w:rsidR="00434DBF" w:rsidRPr="00CD4BEB">
        <w:rPr>
          <w:b/>
          <w:bCs/>
        </w:rPr>
        <w:t>o</w:t>
      </w:r>
      <w:r w:rsidR="00446EC7" w:rsidRPr="00CD4BEB">
        <w:rPr>
          <w:b/>
          <w:bCs/>
        </w:rPr>
        <w:t xml:space="preserve"> na potrzeby lokalnych społeczności, </w:t>
      </w:r>
      <w:r w:rsidR="00CB1E35">
        <w:rPr>
          <w:b/>
          <w:bCs/>
        </w:rPr>
        <w:t xml:space="preserve">w tym biogazownie szczytowe, </w:t>
      </w:r>
      <w:r w:rsidR="00446EC7" w:rsidRPr="00CD4BEB">
        <w:rPr>
          <w:b/>
          <w:bCs/>
        </w:rPr>
        <w:t xml:space="preserve">a </w:t>
      </w:r>
      <w:r w:rsidR="00E90DCA" w:rsidRPr="00CD4BEB">
        <w:rPr>
          <w:b/>
          <w:bCs/>
        </w:rPr>
        <w:t xml:space="preserve">w kolejnych latach </w:t>
      </w:r>
      <w:r w:rsidR="00446EC7" w:rsidRPr="00CD4BEB">
        <w:rPr>
          <w:b/>
          <w:bCs/>
        </w:rPr>
        <w:t xml:space="preserve">także </w:t>
      </w:r>
      <w:r w:rsidR="00AB594E" w:rsidRPr="00CD4BEB">
        <w:rPr>
          <w:b/>
          <w:bCs/>
        </w:rPr>
        <w:t>biometanowni</w:t>
      </w:r>
      <w:r w:rsidR="00C3201D" w:rsidRPr="00CD4BEB">
        <w:rPr>
          <w:b/>
          <w:bCs/>
        </w:rPr>
        <w:t>e</w:t>
      </w:r>
      <w:r w:rsidR="00AB594E" w:rsidRPr="00CD4BEB">
        <w:rPr>
          <w:b/>
          <w:bCs/>
        </w:rPr>
        <w:t xml:space="preserve"> wprowadzając</w:t>
      </w:r>
      <w:r w:rsidR="000743B6">
        <w:rPr>
          <w:b/>
          <w:bCs/>
        </w:rPr>
        <w:t>e</w:t>
      </w:r>
      <w:r w:rsidR="00AB594E" w:rsidRPr="00CD4BEB">
        <w:rPr>
          <w:b/>
          <w:bCs/>
        </w:rPr>
        <w:t xml:space="preserve"> </w:t>
      </w:r>
      <w:r w:rsidR="009E7F08" w:rsidRPr="00CD4BEB">
        <w:rPr>
          <w:b/>
          <w:bCs/>
        </w:rPr>
        <w:t>biometan do sieci gazowej</w:t>
      </w:r>
      <w:r w:rsidR="005807C6" w:rsidRPr="00CD4BEB">
        <w:rPr>
          <w:b/>
          <w:bCs/>
        </w:rPr>
        <w:t xml:space="preserve">. </w:t>
      </w:r>
      <w:r w:rsidR="006F4B1A" w:rsidRPr="00CD4BEB">
        <w:t>Instalacje</w:t>
      </w:r>
      <w:r w:rsidR="005807C6" w:rsidRPr="00CD4BEB">
        <w:t xml:space="preserve"> te</w:t>
      </w:r>
      <w:r w:rsidR="005807C6" w:rsidRPr="00CD4BEB">
        <w:rPr>
          <w:b/>
          <w:bCs/>
        </w:rPr>
        <w:t xml:space="preserve"> </w:t>
      </w:r>
      <w:r w:rsidRPr="00CD4BEB">
        <w:t xml:space="preserve">pozwalają na wykorzystanie </w:t>
      </w:r>
      <w:r w:rsidR="005807C6" w:rsidRPr="00CD4BEB">
        <w:t xml:space="preserve">pozostałości </w:t>
      </w:r>
      <w:r w:rsidR="005C14A2">
        <w:t>z</w:t>
      </w:r>
      <w:r w:rsidR="005807C6" w:rsidRPr="00CD4BEB">
        <w:t xml:space="preserve"> </w:t>
      </w:r>
      <w:r w:rsidRPr="00CD4BEB">
        <w:t xml:space="preserve">odpadów rolniczych </w:t>
      </w:r>
      <w:r w:rsidR="003C7BAE" w:rsidRPr="00CD4BEB">
        <w:t xml:space="preserve">i rolno-spożywczych </w:t>
      </w:r>
      <w:r w:rsidRPr="00CD4BEB">
        <w:t>na cele energetyczne. Biorąc pod uwagę zalety biogazowni</w:t>
      </w:r>
      <w:r w:rsidR="00714E22" w:rsidRPr="00CD4BEB">
        <w:t xml:space="preserve"> oraz </w:t>
      </w:r>
      <w:r w:rsidR="001D558A" w:rsidRPr="00CD4BEB">
        <w:t>niezwykle</w:t>
      </w:r>
      <w:r w:rsidR="00763DB0" w:rsidRPr="00CD4BEB">
        <w:t xml:space="preserve"> </w:t>
      </w:r>
      <w:r w:rsidR="00EA7F63" w:rsidRPr="00CD4BEB">
        <w:t>istotną rolę biometanow</w:t>
      </w:r>
      <w:r w:rsidR="00A770F1">
        <w:t>n</w:t>
      </w:r>
      <w:r w:rsidR="00EA7F63" w:rsidRPr="00CD4BEB">
        <w:t>i</w:t>
      </w:r>
      <w:r w:rsidR="005B7EE2" w:rsidRPr="00CD4BEB">
        <w:t xml:space="preserve"> dla dekarbonizacji </w:t>
      </w:r>
      <w:r w:rsidR="00256520" w:rsidRPr="00CD4BEB">
        <w:t>krajowej gospodarki</w:t>
      </w:r>
      <w:r w:rsidRPr="00CD4BEB">
        <w:t>, nadal wspierane</w:t>
      </w:r>
      <w:r>
        <w:t xml:space="preserve"> będą działania związane z</w:t>
      </w:r>
      <w:r w:rsidR="00B03CFF">
        <w:t> </w:t>
      </w:r>
      <w:r>
        <w:t xml:space="preserve">budową tego typu instalacji – zarówno na poziomie inwestycyjnym, jak i poprzez wsparcie organizacyjne. </w:t>
      </w:r>
    </w:p>
    <w:p w14:paraId="710C206E" w14:textId="73AEC7B8" w:rsidR="00DF59F1" w:rsidRPr="00C46DAA" w:rsidRDefault="00080BA7" w:rsidP="007D7C29">
      <w:pPr>
        <w:pStyle w:val="PaMs"/>
      </w:pPr>
      <w:r w:rsidRPr="00C46DAA">
        <w:t>DZIAŁANIA</w:t>
      </w:r>
    </w:p>
    <w:p w14:paraId="5F2A3B6C" w14:textId="70AC4A8D" w:rsidR="003E1E63" w:rsidRDefault="00BC58A9" w:rsidP="003530A9">
      <w:pPr>
        <w:pStyle w:val="Akapitzlist"/>
        <w:numPr>
          <w:ilvl w:val="0"/>
          <w:numId w:val="3"/>
        </w:numPr>
        <w:ind w:left="426"/>
        <w:rPr>
          <w:szCs w:val="20"/>
        </w:rPr>
      </w:pPr>
      <w:r>
        <w:rPr>
          <w:szCs w:val="20"/>
        </w:rPr>
        <w:fldChar w:fldCharType="begin"/>
      </w:r>
      <w:r>
        <w:rPr>
          <w:szCs w:val="20"/>
        </w:rPr>
        <w:instrText xml:space="preserve"> REF _Ref195885530 \h </w:instrText>
      </w:r>
      <w:r>
        <w:rPr>
          <w:szCs w:val="20"/>
        </w:rPr>
      </w:r>
      <w:r>
        <w:rPr>
          <w:szCs w:val="20"/>
        </w:rPr>
        <w:fldChar w:fldCharType="separate"/>
      </w:r>
      <w:r w:rsidR="00871DD5">
        <w:t xml:space="preserve">Działanie </w:t>
      </w:r>
      <w:r w:rsidR="00871DD5">
        <w:rPr>
          <w:noProof/>
        </w:rPr>
        <w:t>62</w:t>
      </w:r>
      <w:r w:rsidR="00871DD5">
        <w:t xml:space="preserve">. </w:t>
      </w:r>
      <w:r w:rsidR="00871DD5" w:rsidRPr="00656C99">
        <w:t>Wspieranie działań zastosowania ekologicznych źródeł energii i poprawy efektywności energetycznej w gospodarstwach rolnych w ramach WPR</w:t>
      </w:r>
      <w:r>
        <w:rPr>
          <w:szCs w:val="20"/>
        </w:rPr>
        <w:fldChar w:fldCharType="end"/>
      </w:r>
    </w:p>
    <w:p w14:paraId="25886AF2" w14:textId="35D6B805" w:rsidR="00BC58A9" w:rsidRDefault="00BC58A9" w:rsidP="003530A9">
      <w:pPr>
        <w:pStyle w:val="Akapitzlist"/>
        <w:numPr>
          <w:ilvl w:val="0"/>
          <w:numId w:val="3"/>
        </w:numPr>
        <w:ind w:left="426"/>
        <w:rPr>
          <w:szCs w:val="20"/>
        </w:rPr>
      </w:pPr>
      <w:r>
        <w:rPr>
          <w:szCs w:val="20"/>
        </w:rPr>
        <w:fldChar w:fldCharType="begin"/>
      </w:r>
      <w:r>
        <w:rPr>
          <w:szCs w:val="20"/>
        </w:rPr>
        <w:instrText xml:space="preserve"> REF _Ref195885537 \h </w:instrText>
      </w:r>
      <w:r>
        <w:rPr>
          <w:szCs w:val="20"/>
        </w:rPr>
      </w:r>
      <w:r>
        <w:rPr>
          <w:szCs w:val="20"/>
        </w:rPr>
        <w:fldChar w:fldCharType="separate"/>
      </w:r>
      <w:r w:rsidR="00871DD5">
        <w:t xml:space="preserve">Działanie </w:t>
      </w:r>
      <w:r w:rsidR="00871DD5">
        <w:rPr>
          <w:noProof/>
        </w:rPr>
        <w:t>63</w:t>
      </w:r>
      <w:r w:rsidR="00871DD5">
        <w:t xml:space="preserve">. </w:t>
      </w:r>
      <w:r w:rsidR="00871DD5" w:rsidRPr="004040E0">
        <w:t>Stosowanie warunkowości (środowiskowej) w ramach WPR</w:t>
      </w:r>
      <w:r>
        <w:rPr>
          <w:szCs w:val="20"/>
        </w:rPr>
        <w:fldChar w:fldCharType="end"/>
      </w:r>
    </w:p>
    <w:p w14:paraId="6E904137" w14:textId="02280669" w:rsidR="00BC58A9" w:rsidRDefault="00BC58A9" w:rsidP="003530A9">
      <w:pPr>
        <w:pStyle w:val="Akapitzlist"/>
        <w:numPr>
          <w:ilvl w:val="0"/>
          <w:numId w:val="3"/>
        </w:numPr>
        <w:ind w:left="426"/>
        <w:rPr>
          <w:szCs w:val="20"/>
        </w:rPr>
      </w:pPr>
      <w:r>
        <w:rPr>
          <w:szCs w:val="20"/>
        </w:rPr>
        <w:fldChar w:fldCharType="begin"/>
      </w:r>
      <w:r>
        <w:rPr>
          <w:szCs w:val="20"/>
        </w:rPr>
        <w:instrText xml:space="preserve"> REF _Ref195885544 \h </w:instrText>
      </w:r>
      <w:r>
        <w:rPr>
          <w:szCs w:val="20"/>
        </w:rPr>
      </w:r>
      <w:r>
        <w:rPr>
          <w:szCs w:val="20"/>
        </w:rPr>
        <w:fldChar w:fldCharType="separate"/>
      </w:r>
      <w:r w:rsidR="00871DD5">
        <w:t xml:space="preserve">Działanie </w:t>
      </w:r>
      <w:r w:rsidR="00871DD5">
        <w:rPr>
          <w:noProof/>
        </w:rPr>
        <w:t>64</w:t>
      </w:r>
      <w:r w:rsidR="00871DD5">
        <w:t xml:space="preserve">. </w:t>
      </w:r>
      <w:r w:rsidR="00871DD5" w:rsidRPr="000C3864">
        <w:t>Stosowanie ekoschematów w ramach WPR</w:t>
      </w:r>
      <w:r>
        <w:rPr>
          <w:szCs w:val="20"/>
        </w:rPr>
        <w:fldChar w:fldCharType="end"/>
      </w:r>
    </w:p>
    <w:p w14:paraId="1824B84E" w14:textId="08573601" w:rsidR="00BC58A9" w:rsidRDefault="00AF2E11" w:rsidP="003530A9">
      <w:pPr>
        <w:pStyle w:val="Akapitzlist"/>
        <w:numPr>
          <w:ilvl w:val="0"/>
          <w:numId w:val="3"/>
        </w:numPr>
        <w:ind w:left="426"/>
        <w:rPr>
          <w:szCs w:val="20"/>
        </w:rPr>
      </w:pPr>
      <w:r>
        <w:rPr>
          <w:szCs w:val="20"/>
        </w:rPr>
        <w:fldChar w:fldCharType="begin"/>
      </w:r>
      <w:r>
        <w:rPr>
          <w:szCs w:val="20"/>
        </w:rPr>
        <w:instrText xml:space="preserve"> REF _Ref195885892 \h </w:instrText>
      </w:r>
      <w:r>
        <w:rPr>
          <w:szCs w:val="20"/>
        </w:rPr>
      </w:r>
      <w:r>
        <w:rPr>
          <w:szCs w:val="20"/>
        </w:rPr>
        <w:fldChar w:fldCharType="separate"/>
      </w:r>
      <w:r w:rsidR="00871DD5">
        <w:t xml:space="preserve">Działanie </w:t>
      </w:r>
      <w:r w:rsidR="00871DD5">
        <w:rPr>
          <w:noProof/>
        </w:rPr>
        <w:t>65</w:t>
      </w:r>
      <w:r w:rsidR="00871DD5">
        <w:t xml:space="preserve">. </w:t>
      </w:r>
      <w:r w:rsidR="00871DD5" w:rsidRPr="003B4C4B">
        <w:t>Działania rolno-środowiskowo-klimatyczne w ramach WPR</w:t>
      </w:r>
      <w:r>
        <w:rPr>
          <w:szCs w:val="20"/>
        </w:rPr>
        <w:fldChar w:fldCharType="end"/>
      </w:r>
    </w:p>
    <w:p w14:paraId="6DCC5C0D" w14:textId="56C4FE57" w:rsidR="009147C9" w:rsidRDefault="009147C9" w:rsidP="003530A9">
      <w:pPr>
        <w:pStyle w:val="Akapitzlist"/>
        <w:numPr>
          <w:ilvl w:val="0"/>
          <w:numId w:val="3"/>
        </w:numPr>
        <w:ind w:left="426"/>
        <w:rPr>
          <w:szCs w:val="20"/>
        </w:rPr>
      </w:pPr>
      <w:r>
        <w:rPr>
          <w:szCs w:val="20"/>
        </w:rPr>
        <w:fldChar w:fldCharType="begin"/>
      </w:r>
      <w:r>
        <w:rPr>
          <w:szCs w:val="20"/>
        </w:rPr>
        <w:instrText xml:space="preserve"> REF _Ref195886202 \h </w:instrText>
      </w:r>
      <w:r>
        <w:rPr>
          <w:szCs w:val="20"/>
        </w:rPr>
      </w:r>
      <w:r>
        <w:rPr>
          <w:szCs w:val="20"/>
        </w:rPr>
        <w:fldChar w:fldCharType="separate"/>
      </w:r>
      <w:r w:rsidR="00871DD5">
        <w:t xml:space="preserve">Działanie </w:t>
      </w:r>
      <w:r w:rsidR="00871DD5">
        <w:rPr>
          <w:noProof/>
        </w:rPr>
        <w:t>67</w:t>
      </w:r>
      <w:r w:rsidR="00871DD5">
        <w:t xml:space="preserve">. </w:t>
      </w:r>
      <w:r w:rsidR="00871DD5" w:rsidRPr="00101B21">
        <w:t>Interwencje leśne i zadrzewieniowe w ramach WPR</w:t>
      </w:r>
      <w:r>
        <w:rPr>
          <w:szCs w:val="20"/>
        </w:rPr>
        <w:fldChar w:fldCharType="end"/>
      </w:r>
    </w:p>
    <w:p w14:paraId="0F4BD6B5" w14:textId="080E85E8" w:rsidR="00AF2E11" w:rsidRDefault="005C1793" w:rsidP="003530A9">
      <w:pPr>
        <w:pStyle w:val="Akapitzlist"/>
        <w:numPr>
          <w:ilvl w:val="0"/>
          <w:numId w:val="3"/>
        </w:numPr>
        <w:ind w:left="426"/>
        <w:rPr>
          <w:szCs w:val="20"/>
        </w:rPr>
      </w:pPr>
      <w:r>
        <w:rPr>
          <w:szCs w:val="20"/>
        </w:rPr>
        <w:fldChar w:fldCharType="begin"/>
      </w:r>
      <w:r>
        <w:rPr>
          <w:szCs w:val="20"/>
        </w:rPr>
        <w:instrText xml:space="preserve"> REF _Ref195885942 \h </w:instrText>
      </w:r>
      <w:r>
        <w:rPr>
          <w:szCs w:val="20"/>
        </w:rPr>
      </w:r>
      <w:r>
        <w:rPr>
          <w:szCs w:val="20"/>
        </w:rPr>
        <w:fldChar w:fldCharType="separate"/>
      </w:r>
      <w:r w:rsidR="00871DD5">
        <w:t xml:space="preserve">Działanie </w:t>
      </w:r>
      <w:r w:rsidR="00871DD5">
        <w:rPr>
          <w:noProof/>
        </w:rPr>
        <w:t>68</w:t>
      </w:r>
      <w:r w:rsidR="00871DD5">
        <w:t xml:space="preserve">. </w:t>
      </w:r>
      <w:r w:rsidR="00871DD5" w:rsidRPr="006E75AF">
        <w:t>Wsparcie rozwoju biogazowni rolniczych</w:t>
      </w:r>
      <w:r>
        <w:rPr>
          <w:szCs w:val="20"/>
        </w:rPr>
        <w:fldChar w:fldCharType="end"/>
      </w:r>
    </w:p>
    <w:p w14:paraId="29898BEE" w14:textId="4E37F461" w:rsidR="005C1793" w:rsidRDefault="005C1793" w:rsidP="003530A9">
      <w:pPr>
        <w:pStyle w:val="Akapitzlist"/>
        <w:numPr>
          <w:ilvl w:val="0"/>
          <w:numId w:val="3"/>
        </w:numPr>
        <w:ind w:left="426"/>
        <w:rPr>
          <w:szCs w:val="20"/>
        </w:rPr>
      </w:pPr>
      <w:r>
        <w:rPr>
          <w:szCs w:val="20"/>
        </w:rPr>
        <w:fldChar w:fldCharType="begin"/>
      </w:r>
      <w:r>
        <w:rPr>
          <w:szCs w:val="20"/>
        </w:rPr>
        <w:instrText xml:space="preserve"> REF _Ref195885955 \h </w:instrText>
      </w:r>
      <w:r>
        <w:rPr>
          <w:szCs w:val="20"/>
        </w:rPr>
      </w:r>
      <w:r>
        <w:rPr>
          <w:szCs w:val="20"/>
        </w:rPr>
        <w:fldChar w:fldCharType="separate"/>
      </w:r>
      <w:r w:rsidR="00871DD5">
        <w:t xml:space="preserve">Działanie </w:t>
      </w:r>
      <w:r w:rsidR="00871DD5">
        <w:rPr>
          <w:noProof/>
        </w:rPr>
        <w:t>69</w:t>
      </w:r>
      <w:r w:rsidR="00871DD5">
        <w:t xml:space="preserve">. </w:t>
      </w:r>
      <w:r w:rsidR="00871DD5" w:rsidRPr="00A47125">
        <w:t>Instrument finansowy – Program NFOŚiGW „Energia dla wsi”</w:t>
      </w:r>
      <w:r>
        <w:rPr>
          <w:szCs w:val="20"/>
        </w:rPr>
        <w:fldChar w:fldCharType="end"/>
      </w:r>
    </w:p>
    <w:p w14:paraId="4DBC3636" w14:textId="45F042F4" w:rsidR="005C1793" w:rsidRDefault="005C1793" w:rsidP="003530A9">
      <w:pPr>
        <w:pStyle w:val="Akapitzlist"/>
        <w:numPr>
          <w:ilvl w:val="0"/>
          <w:numId w:val="3"/>
        </w:numPr>
        <w:ind w:left="426"/>
        <w:rPr>
          <w:szCs w:val="20"/>
        </w:rPr>
      </w:pPr>
      <w:r>
        <w:rPr>
          <w:szCs w:val="20"/>
        </w:rPr>
        <w:fldChar w:fldCharType="begin"/>
      </w:r>
      <w:r>
        <w:rPr>
          <w:szCs w:val="20"/>
        </w:rPr>
        <w:instrText xml:space="preserve"> REF _Ref195886081 \h </w:instrText>
      </w:r>
      <w:r>
        <w:rPr>
          <w:szCs w:val="20"/>
        </w:rPr>
      </w:r>
      <w:r>
        <w:rPr>
          <w:szCs w:val="20"/>
        </w:rPr>
        <w:fldChar w:fldCharType="separate"/>
      </w:r>
      <w:r w:rsidR="00871DD5">
        <w:t xml:space="preserve">Działanie </w:t>
      </w:r>
      <w:r w:rsidR="00871DD5">
        <w:rPr>
          <w:noProof/>
        </w:rPr>
        <w:t>72</w:t>
      </w:r>
      <w:r w:rsidR="00871DD5">
        <w:t xml:space="preserve">. </w:t>
      </w:r>
      <w:r w:rsidR="00871DD5" w:rsidRPr="004F305B">
        <w:t>Wprowadzenie systemu certyfikacji pochłaniania dwutlenku węgla i redukcji emisji z gleb użytkowanych rolniczo</w:t>
      </w:r>
      <w:r>
        <w:rPr>
          <w:szCs w:val="20"/>
        </w:rPr>
        <w:fldChar w:fldCharType="end"/>
      </w:r>
    </w:p>
    <w:p w14:paraId="6F2F71DD" w14:textId="52AE0A5A" w:rsidR="005C1793" w:rsidRDefault="005C1793" w:rsidP="003530A9">
      <w:pPr>
        <w:pStyle w:val="Akapitzlist"/>
        <w:numPr>
          <w:ilvl w:val="0"/>
          <w:numId w:val="3"/>
        </w:numPr>
        <w:ind w:left="426"/>
        <w:rPr>
          <w:szCs w:val="20"/>
        </w:rPr>
      </w:pPr>
      <w:r>
        <w:rPr>
          <w:szCs w:val="20"/>
        </w:rPr>
        <w:fldChar w:fldCharType="begin"/>
      </w:r>
      <w:r>
        <w:rPr>
          <w:szCs w:val="20"/>
        </w:rPr>
        <w:instrText xml:space="preserve"> REF _Ref195886097 \h </w:instrText>
      </w:r>
      <w:r>
        <w:rPr>
          <w:szCs w:val="20"/>
        </w:rPr>
      </w:r>
      <w:r>
        <w:rPr>
          <w:szCs w:val="20"/>
        </w:rPr>
        <w:fldChar w:fldCharType="separate"/>
      </w:r>
      <w:r w:rsidR="00871DD5">
        <w:t xml:space="preserve">Działanie </w:t>
      </w:r>
      <w:r w:rsidR="00871DD5">
        <w:rPr>
          <w:noProof/>
        </w:rPr>
        <w:t>73</w:t>
      </w:r>
      <w:r w:rsidR="00871DD5">
        <w:t xml:space="preserve">. </w:t>
      </w:r>
      <w:r w:rsidR="00871DD5" w:rsidRPr="00E20A77">
        <w:t>Racjonalizacja nawożenia</w:t>
      </w:r>
      <w:r>
        <w:rPr>
          <w:szCs w:val="20"/>
        </w:rPr>
        <w:fldChar w:fldCharType="end"/>
      </w:r>
    </w:p>
    <w:p w14:paraId="1E92077B" w14:textId="15619E6B" w:rsidR="003D7670" w:rsidRPr="00653FC0" w:rsidRDefault="003D7670" w:rsidP="006B5839">
      <w:pPr>
        <w:spacing w:after="80"/>
        <w:rPr>
          <w:i/>
          <w:iCs/>
          <w:szCs w:val="20"/>
        </w:rPr>
      </w:pPr>
      <w:r w:rsidRPr="00653FC0">
        <w:rPr>
          <w:i/>
          <w:iCs/>
          <w:szCs w:val="20"/>
        </w:rPr>
        <w:t xml:space="preserve">Działania </w:t>
      </w:r>
      <w:r w:rsidR="00653FC0" w:rsidRPr="00653FC0">
        <w:rPr>
          <w:i/>
          <w:iCs/>
          <w:szCs w:val="20"/>
        </w:rPr>
        <w:t>pośredni</w:t>
      </w:r>
      <w:r w:rsidR="00C633D8">
        <w:rPr>
          <w:i/>
          <w:iCs/>
          <w:szCs w:val="20"/>
        </w:rPr>
        <w:t>o zmniejszające emisje GHG</w:t>
      </w:r>
      <w:r w:rsidR="00653FC0" w:rsidRPr="00653FC0">
        <w:rPr>
          <w:i/>
          <w:iCs/>
          <w:szCs w:val="20"/>
        </w:rPr>
        <w:t>:</w:t>
      </w:r>
    </w:p>
    <w:p w14:paraId="0F971D63" w14:textId="608080E5" w:rsidR="00AF2E11" w:rsidRDefault="00AF2E11" w:rsidP="003530A9">
      <w:pPr>
        <w:pStyle w:val="Akapitzlist"/>
        <w:numPr>
          <w:ilvl w:val="0"/>
          <w:numId w:val="3"/>
        </w:numPr>
        <w:ind w:left="426"/>
        <w:rPr>
          <w:szCs w:val="20"/>
        </w:rPr>
      </w:pPr>
      <w:r>
        <w:rPr>
          <w:szCs w:val="20"/>
        </w:rPr>
        <w:fldChar w:fldCharType="begin"/>
      </w:r>
      <w:r>
        <w:rPr>
          <w:szCs w:val="20"/>
        </w:rPr>
        <w:instrText xml:space="preserve"> REF _Ref195885913 \h </w:instrText>
      </w:r>
      <w:r>
        <w:rPr>
          <w:szCs w:val="20"/>
        </w:rPr>
      </w:r>
      <w:r>
        <w:rPr>
          <w:szCs w:val="20"/>
        </w:rPr>
        <w:fldChar w:fldCharType="separate"/>
      </w:r>
      <w:r w:rsidR="00871DD5">
        <w:t xml:space="preserve">Działanie </w:t>
      </w:r>
      <w:r w:rsidR="00871DD5">
        <w:rPr>
          <w:noProof/>
        </w:rPr>
        <w:t>66</w:t>
      </w:r>
      <w:r w:rsidR="00871DD5">
        <w:t xml:space="preserve">. </w:t>
      </w:r>
      <w:r w:rsidR="00871DD5" w:rsidRPr="001462C7">
        <w:t>Wsparcie w zakresie rolnictwa ekologicznego w ramach WPR</w:t>
      </w:r>
      <w:r>
        <w:rPr>
          <w:szCs w:val="20"/>
        </w:rPr>
        <w:fldChar w:fldCharType="end"/>
      </w:r>
    </w:p>
    <w:p w14:paraId="2F27EDC9" w14:textId="7A1667DA" w:rsidR="00AF2E11" w:rsidRDefault="005C1793" w:rsidP="003530A9">
      <w:pPr>
        <w:pStyle w:val="Akapitzlist"/>
        <w:numPr>
          <w:ilvl w:val="0"/>
          <w:numId w:val="3"/>
        </w:numPr>
        <w:ind w:left="426"/>
        <w:rPr>
          <w:szCs w:val="20"/>
        </w:rPr>
      </w:pPr>
      <w:r>
        <w:rPr>
          <w:szCs w:val="20"/>
        </w:rPr>
        <w:fldChar w:fldCharType="begin"/>
      </w:r>
      <w:r>
        <w:rPr>
          <w:szCs w:val="20"/>
        </w:rPr>
        <w:instrText xml:space="preserve"> REF _Ref195886049 \h </w:instrText>
      </w:r>
      <w:r>
        <w:rPr>
          <w:szCs w:val="20"/>
        </w:rPr>
      </w:r>
      <w:r>
        <w:rPr>
          <w:szCs w:val="20"/>
        </w:rPr>
        <w:fldChar w:fldCharType="separate"/>
      </w:r>
      <w:r w:rsidR="00871DD5">
        <w:t xml:space="preserve">Działanie </w:t>
      </w:r>
      <w:r w:rsidR="00871DD5">
        <w:rPr>
          <w:noProof/>
        </w:rPr>
        <w:t>70</w:t>
      </w:r>
      <w:r w:rsidR="00871DD5">
        <w:t xml:space="preserve">. </w:t>
      </w:r>
      <w:r w:rsidR="00871DD5" w:rsidRPr="00A24CCD">
        <w:t>Ograniczenie marnotrawstwa żywności</w:t>
      </w:r>
      <w:r>
        <w:rPr>
          <w:szCs w:val="20"/>
        </w:rPr>
        <w:fldChar w:fldCharType="end"/>
      </w:r>
    </w:p>
    <w:p w14:paraId="67EB4F32" w14:textId="3DD26985" w:rsidR="005C1793" w:rsidRDefault="005C1793" w:rsidP="003530A9">
      <w:pPr>
        <w:pStyle w:val="Akapitzlist"/>
        <w:numPr>
          <w:ilvl w:val="0"/>
          <w:numId w:val="3"/>
        </w:numPr>
        <w:ind w:left="426"/>
        <w:rPr>
          <w:szCs w:val="20"/>
        </w:rPr>
      </w:pPr>
      <w:r>
        <w:rPr>
          <w:szCs w:val="20"/>
        </w:rPr>
        <w:fldChar w:fldCharType="begin"/>
      </w:r>
      <w:r>
        <w:rPr>
          <w:szCs w:val="20"/>
        </w:rPr>
        <w:instrText xml:space="preserve"> REF _Ref195886057 \h </w:instrText>
      </w:r>
      <w:r>
        <w:rPr>
          <w:szCs w:val="20"/>
        </w:rPr>
      </w:r>
      <w:r>
        <w:rPr>
          <w:szCs w:val="20"/>
        </w:rPr>
        <w:fldChar w:fldCharType="separate"/>
      </w:r>
      <w:r w:rsidR="00871DD5">
        <w:t xml:space="preserve">Działanie </w:t>
      </w:r>
      <w:r w:rsidR="00871DD5">
        <w:rPr>
          <w:noProof/>
        </w:rPr>
        <w:t>71</w:t>
      </w:r>
      <w:r w:rsidR="00871DD5">
        <w:t xml:space="preserve">. </w:t>
      </w:r>
      <w:r w:rsidR="00871DD5" w:rsidRPr="00B80A3E">
        <w:t>Kształtowania postaw proekologicznych przyszłych rolników i producentów żywności.</w:t>
      </w:r>
      <w:r>
        <w:rPr>
          <w:szCs w:val="20"/>
        </w:rPr>
        <w:fldChar w:fldCharType="end"/>
      </w:r>
    </w:p>
    <w:p w14:paraId="42DD5EFC" w14:textId="57920519" w:rsidR="00554B65" w:rsidRPr="00F16302" w:rsidRDefault="00F16302" w:rsidP="003530A9">
      <w:pPr>
        <w:pStyle w:val="Akapitzlist"/>
        <w:numPr>
          <w:ilvl w:val="0"/>
          <w:numId w:val="3"/>
        </w:numPr>
        <w:ind w:left="426"/>
      </w:pPr>
      <w:r w:rsidRPr="00F16302">
        <w:fldChar w:fldCharType="begin"/>
      </w:r>
      <w:r w:rsidRPr="00F16302">
        <w:instrText xml:space="preserve"> REF _Ref197338287 \h  \* MERGEFORMAT </w:instrText>
      </w:r>
      <w:r w:rsidRPr="00F16302">
        <w:fldChar w:fldCharType="separate"/>
      </w:r>
      <w:r w:rsidR="00871DD5" w:rsidRPr="00871DD5">
        <w:t xml:space="preserve">Działanie 156. </w:t>
      </w:r>
      <w:r w:rsidR="00871DD5" w:rsidRPr="00BA4DD1">
        <w:t>Badania i projekty naukowe oraz edukacyjne w zakresie racjonalnej i niskoemisyjnej produkcji rolnej</w:t>
      </w:r>
      <w:r w:rsidRPr="00F16302">
        <w:fldChar w:fldCharType="end"/>
      </w:r>
    </w:p>
    <w:p w14:paraId="33931C58" w14:textId="1778410D" w:rsidR="007754E2" w:rsidRDefault="007754E2" w:rsidP="007754E2">
      <w:pPr>
        <w:pStyle w:val="Nagwek3"/>
        <w:rPr>
          <w:color w:val="70AD47" w:themeColor="accent6"/>
        </w:rPr>
      </w:pPr>
      <w:bookmarkStart w:id="156" w:name="_Toc197522342"/>
      <w:bookmarkStart w:id="157" w:name="_Toc197522568"/>
      <w:bookmarkStart w:id="158" w:name="_Toc198034160"/>
      <w:bookmarkStart w:id="159" w:name="_Toc198107697"/>
      <w:bookmarkStart w:id="160" w:name="_Toc198288786"/>
      <w:bookmarkStart w:id="161" w:name="_Toc198288934"/>
      <w:bookmarkStart w:id="162" w:name="_Toc198289169"/>
      <w:bookmarkStart w:id="163" w:name="_Toc198303546"/>
      <w:bookmarkStart w:id="164" w:name="_Toc198303955"/>
      <w:bookmarkStart w:id="165" w:name="_Toc198304147"/>
      <w:bookmarkStart w:id="166" w:name="_Toc198304476"/>
      <w:bookmarkStart w:id="167" w:name="_Toc198316781"/>
      <w:bookmarkStart w:id="168" w:name="_Toc198825402"/>
      <w:bookmarkStart w:id="169" w:name="_Toc198825502"/>
      <w:bookmarkStart w:id="170" w:name="_Toc195897213"/>
      <w:bookmarkStart w:id="171" w:name="_Toc195899458"/>
      <w:bookmarkStart w:id="172" w:name="_Toc195897214"/>
      <w:bookmarkStart w:id="173" w:name="_Toc195899459"/>
      <w:bookmarkStart w:id="174" w:name="_Toc195897215"/>
      <w:bookmarkStart w:id="175" w:name="_Toc195899460"/>
      <w:bookmarkStart w:id="176" w:name="_Toc195897216"/>
      <w:bookmarkStart w:id="177" w:name="_Toc195899461"/>
      <w:bookmarkStart w:id="178" w:name="_Toc195897217"/>
      <w:bookmarkStart w:id="179" w:name="_Toc195899462"/>
      <w:bookmarkStart w:id="180" w:name="_Toc195897218"/>
      <w:bookmarkStart w:id="181" w:name="_Toc195899463"/>
      <w:bookmarkStart w:id="182" w:name="_Toc195897219"/>
      <w:bookmarkStart w:id="183" w:name="_Toc195899464"/>
      <w:bookmarkStart w:id="184" w:name="_Toc159598294"/>
      <w:bookmarkStart w:id="185" w:name="_Ref174097965"/>
      <w:bookmarkStart w:id="186" w:name="_Ref174097972"/>
      <w:bookmarkStart w:id="187" w:name="_Toc195897220"/>
      <w:bookmarkStart w:id="188" w:name="_Toc205203166"/>
      <w:bookmarkStart w:id="189" w:name="_Hlk157084092"/>
      <w:bookmarkEnd w:id="15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F53663">
        <w:rPr>
          <w:color w:val="70AD47" w:themeColor="accent6"/>
        </w:rPr>
        <w:lastRenderedPageBreak/>
        <w:t>Udział sektora LULUCF w</w:t>
      </w:r>
      <w:r w:rsidR="00ED5C0A">
        <w:rPr>
          <w:color w:val="70AD47" w:themeColor="accent6"/>
        </w:rPr>
        <w:t> </w:t>
      </w:r>
      <w:r w:rsidRPr="00F53663">
        <w:rPr>
          <w:color w:val="70AD47" w:themeColor="accent6"/>
        </w:rPr>
        <w:t>wypełnianiu celów redukcyjnych</w:t>
      </w:r>
      <w:bookmarkEnd w:id="184"/>
      <w:bookmarkEnd w:id="185"/>
      <w:bookmarkEnd w:id="186"/>
      <w:bookmarkEnd w:id="187"/>
      <w:bookmarkEnd w:id="188"/>
      <w:r w:rsidR="003E2DE5">
        <w:rPr>
          <w:color w:val="70AD47" w:themeColor="accent6"/>
        </w:rPr>
        <w:t xml:space="preserve"> </w:t>
      </w:r>
    </w:p>
    <w:p w14:paraId="0E6A71CE" w14:textId="519F55F3" w:rsidR="00D22C5E" w:rsidRDefault="00DE0CED" w:rsidP="009714FB">
      <w:r>
        <w:rPr>
          <w:noProof/>
          <w:lang w:eastAsia="pl-PL"/>
        </w:rPr>
        <mc:AlternateContent>
          <mc:Choice Requires="wps">
            <w:drawing>
              <wp:anchor distT="0" distB="0" distL="114300" distR="114300" simplePos="0" relativeHeight="251463168" behindDoc="1" locked="0" layoutInCell="1" allowOverlap="1" wp14:anchorId="6856E310" wp14:editId="61056118">
                <wp:simplePos x="0" y="0"/>
                <wp:positionH relativeFrom="margin">
                  <wp:align>right</wp:align>
                </wp:positionH>
                <wp:positionV relativeFrom="paragraph">
                  <wp:posOffset>64135</wp:posOffset>
                </wp:positionV>
                <wp:extent cx="2907030" cy="1418590"/>
                <wp:effectExtent l="19050" t="57150" r="102870" b="60325"/>
                <wp:wrapSquare wrapText="bothSides"/>
                <wp:docPr id="777392378" name="Prostokąt: zaokrąglone rogi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7030" cy="1418590"/>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248FE4" w14:textId="43D50866" w:rsidR="00C36C5C" w:rsidRDefault="00C36C5C" w:rsidP="00D557ED">
                            <w:pPr>
                              <w:pStyle w:val="Ramka"/>
                            </w:pPr>
                            <w:r>
                              <w:t>Sektor LULUCF związany jest z użytkowaniem gruntów, zmianą użytkowania gruntów i leśnictwem.</w:t>
                            </w:r>
                          </w:p>
                          <w:p w14:paraId="2CB02780" w14:textId="397E0624" w:rsidR="00C36C5C" w:rsidRPr="004E21CF" w:rsidRDefault="00C36C5C" w:rsidP="00D557ED">
                            <w:pPr>
                              <w:pStyle w:val="Ramka"/>
                            </w:pPr>
                            <w:r>
                              <w:t>Obejmuje gospodarowanie glebą i roślinnością, w tym lasami, oraz i produktami z pozyskanego drewna. Szczególną cechą sektora LULUCF jest to, że może pochłaniać CO</w:t>
                            </w:r>
                            <w:r>
                              <w:rPr>
                                <w:rFonts w:ascii="Cambria Math" w:hAnsi="Cambria Math" w:cs="Cambria Math"/>
                              </w:rPr>
                              <w:t>₂</w:t>
                            </w:r>
                            <w:r>
                              <w:t xml:space="preserve"> z atmosfery.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856E310" id="Prostokąt: zaokrąglone rogi 65" o:spid="_x0000_s1095" style="position:absolute;left:0;text-align:left;margin-left:177.7pt;margin-top:5.05pt;width:228.9pt;height:111.7pt;z-index:-251853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" fillcolor="white [3212]" strokecolor="#70ad47 [3209]">
                <v:stroke joinstyle="miter"/>
                <v:shadow on="t" color="black" opacity="26214f" origin="-.5" offset="3pt,0"/>
                <v:path arrowok="t"/>
                <v:textbox style="mso-fit-shape-to-text:t" inset="2mm,2.5mm,2mm,0">
                  <w:txbxContent>
                    <w:p w14:paraId="3F248FE4" w14:textId="43D50866" w:rsidR="00C36C5C" w:rsidRDefault="00C36C5C" w:rsidP="00D557ED">
                      <w:pPr>
                        <w:pStyle w:val="Ramka"/>
                      </w:pPr>
                      <w:r>
                        <w:t>Sektor LULUCF związany jest z użytkowaniem gruntów, zmianą użytkowania gruntów i leśnictwem.</w:t>
                      </w:r>
                    </w:p>
                    <w:p w14:paraId="2CB02780" w14:textId="397E0624" w:rsidR="00C36C5C" w:rsidRPr="004E21CF" w:rsidRDefault="00C36C5C" w:rsidP="00D557ED">
                      <w:pPr>
                        <w:pStyle w:val="Ramka"/>
                      </w:pPr>
                      <w:r>
                        <w:t>Obejmuje gospodarowanie glebą i roślinnością, w tym lasami, oraz i produktami z pozyskanego drewna. Szczególną cechą sektora LULUCF jest to, że może pochłaniać CO</w:t>
                      </w:r>
                      <w:r>
                        <w:rPr>
                          <w:rFonts w:ascii="Cambria Math" w:hAnsi="Cambria Math" w:cs="Cambria Math"/>
                        </w:rPr>
                        <w:t>₂</w:t>
                      </w:r>
                      <w:r>
                        <w:t xml:space="preserve"> z atmosfery. </w:t>
                      </w:r>
                    </w:p>
                  </w:txbxContent>
                </v:textbox>
                <w10:wrap type="square" anchorx="margin"/>
              </v:roundrect>
            </w:pict>
          </mc:Fallback>
        </mc:AlternateContent>
      </w:r>
      <w:r w:rsidR="0077251A">
        <w:t>F</w:t>
      </w:r>
      <w:r w:rsidR="00D557ED">
        <w:t>lora</w:t>
      </w:r>
      <w:r w:rsidR="00740A3A">
        <w:t>,</w:t>
      </w:r>
      <w:r w:rsidR="00D557ED">
        <w:t xml:space="preserve"> </w:t>
      </w:r>
      <w:r w:rsidR="00D777ED">
        <w:t xml:space="preserve">a także </w:t>
      </w:r>
      <w:r w:rsidR="007E2715">
        <w:t xml:space="preserve">gleby </w:t>
      </w:r>
      <w:r w:rsidR="0077251A">
        <w:t>sekwestruj</w:t>
      </w:r>
      <w:r w:rsidR="000F5682">
        <w:t>ą</w:t>
      </w:r>
      <w:r w:rsidR="00D557ED">
        <w:t xml:space="preserve"> </w:t>
      </w:r>
      <w:r w:rsidR="00B74BD2">
        <w:t>CO</w:t>
      </w:r>
      <w:r w:rsidR="00B74BD2" w:rsidRPr="00B74BD2">
        <w:rPr>
          <w:vertAlign w:val="subscript"/>
        </w:rPr>
        <w:t>2</w:t>
      </w:r>
      <w:r w:rsidR="00D557ED">
        <w:t xml:space="preserve">, dlatego działania </w:t>
      </w:r>
      <w:r w:rsidR="001D3710">
        <w:t>na rzecz</w:t>
      </w:r>
      <w:r w:rsidR="00D557ED">
        <w:t xml:space="preserve"> wzrostu pochłaniania CO</w:t>
      </w:r>
      <w:r w:rsidR="00D557ED" w:rsidRPr="00D557ED">
        <w:rPr>
          <w:vertAlign w:val="subscript"/>
        </w:rPr>
        <w:t>2</w:t>
      </w:r>
      <w:r w:rsidR="00D557ED">
        <w:t xml:space="preserve"> z</w:t>
      </w:r>
      <w:r w:rsidR="00525281">
        <w:t> </w:t>
      </w:r>
      <w:r w:rsidR="00D557ED">
        <w:t xml:space="preserve">atmosfery przez tzw. sektor LULUCF (ang. </w:t>
      </w:r>
      <w:r w:rsidR="00D557ED" w:rsidRPr="00D557ED">
        <w:rPr>
          <w:i/>
          <w:iCs/>
        </w:rPr>
        <w:t>land use, land use change and forestry</w:t>
      </w:r>
      <w:r w:rsidR="00D557ED">
        <w:t xml:space="preserve">) </w:t>
      </w:r>
      <w:r w:rsidR="006D00C2">
        <w:t xml:space="preserve">bilansują cześć </w:t>
      </w:r>
      <w:r w:rsidR="00491322">
        <w:t xml:space="preserve">emisji </w:t>
      </w:r>
      <w:r w:rsidR="00AD0FB0">
        <w:t>GHG</w:t>
      </w:r>
      <w:r w:rsidR="00556F38">
        <w:t>, których nie uda się wyeliminować całkowicie z gospodarki</w:t>
      </w:r>
      <w:r w:rsidR="00D557ED">
        <w:t>. To</w:t>
      </w:r>
      <w:r w:rsidR="001058BD">
        <w:t> </w:t>
      </w:r>
      <w:r w:rsidR="00D557ED">
        <w:t>założenie stoi u podstaw</w:t>
      </w:r>
      <w:r w:rsidR="00592BBB">
        <w:t xml:space="preserve"> zarówno określonego przez Unię Europejską celu redukcji emisji </w:t>
      </w:r>
      <w:r w:rsidR="00AD0FB0">
        <w:t>GHG</w:t>
      </w:r>
      <w:r w:rsidR="00592BBB">
        <w:t xml:space="preserve"> o 55% vs. 1990 r.,</w:t>
      </w:r>
      <w:r w:rsidR="00D557ED">
        <w:t xml:space="preserve"> </w:t>
      </w:r>
      <w:r w:rsidR="00592BBB">
        <w:t xml:space="preserve">jak i </w:t>
      </w:r>
      <w:r w:rsidR="00D22C5E">
        <w:t>cel</w:t>
      </w:r>
      <w:r w:rsidR="00D557ED">
        <w:t>u</w:t>
      </w:r>
      <w:r w:rsidR="00D22C5E">
        <w:t xml:space="preserve"> osiągnięcia </w:t>
      </w:r>
      <w:r w:rsidR="00D22C5E" w:rsidRPr="00D22C5E">
        <w:rPr>
          <w:b/>
          <w:bCs/>
        </w:rPr>
        <w:t>neutralności klimatycznej</w:t>
      </w:r>
      <w:r w:rsidR="00D22C5E">
        <w:t xml:space="preserve"> do 2050 r. </w:t>
      </w:r>
    </w:p>
    <w:p w14:paraId="0870DE12" w14:textId="6ABA003C" w:rsidR="00D557ED" w:rsidRDefault="002134AD" w:rsidP="009714FB">
      <w:r>
        <w:t>Zasady</w:t>
      </w:r>
      <w:r w:rsidR="00D557ED">
        <w:t xml:space="preserve"> rozliczania </w:t>
      </w:r>
      <w:r>
        <w:t>salda netto</w:t>
      </w:r>
      <w:r w:rsidR="00AD1570">
        <w:rPr>
          <w:rStyle w:val="Odwoanieprzypisudolnego"/>
        </w:rPr>
        <w:footnoteReference w:id="52"/>
      </w:r>
      <w:r>
        <w:t xml:space="preserve"> emisji </w:t>
      </w:r>
      <w:r w:rsidR="00AD0FB0">
        <w:t>GHG</w:t>
      </w:r>
      <w:r>
        <w:t xml:space="preserve"> w wyniku </w:t>
      </w:r>
      <w:r w:rsidR="00D557ED">
        <w:t>pochłaniania przez sektor LULUCF</w:t>
      </w:r>
      <w:r>
        <w:t xml:space="preserve"> (generowanie kredytów węglowych) – w tym limity emisji – są </w:t>
      </w:r>
      <w:r w:rsidR="00D557ED">
        <w:t>szczegółowo określon</w:t>
      </w:r>
      <w:r>
        <w:t>e</w:t>
      </w:r>
      <w:r w:rsidR="00D557ED">
        <w:t xml:space="preserve"> </w:t>
      </w:r>
      <w:r>
        <w:t>przez</w:t>
      </w:r>
      <w:r w:rsidR="00592BBB">
        <w:t xml:space="preserve"> r</w:t>
      </w:r>
      <w:r w:rsidR="00592BBB" w:rsidRPr="00C67596">
        <w:rPr>
          <w:rFonts w:cs="Calibri"/>
        </w:rPr>
        <w:t>ozporządzen</w:t>
      </w:r>
      <w:r>
        <w:rPr>
          <w:rFonts w:cs="Calibri"/>
        </w:rPr>
        <w:t>ie</w:t>
      </w:r>
      <w:r w:rsidR="00592BBB">
        <w:rPr>
          <w:rFonts w:cs="Calibri"/>
        </w:rPr>
        <w:t xml:space="preserve"> UE</w:t>
      </w:r>
      <w:r w:rsidR="00592BBB" w:rsidRPr="00C67596">
        <w:rPr>
          <w:rFonts w:cs="Calibri"/>
        </w:rPr>
        <w:t xml:space="preserve"> </w:t>
      </w:r>
      <w:r w:rsidR="00592BBB">
        <w:rPr>
          <w:rFonts w:cs="Calibri"/>
        </w:rPr>
        <w:t xml:space="preserve">2018/841 </w:t>
      </w:r>
      <w:r>
        <w:rPr>
          <w:rFonts w:cs="Calibri"/>
        </w:rPr>
        <w:t xml:space="preserve">(rozporządzenie LULUCF) oraz zmiany wprowadzone w nim </w:t>
      </w:r>
      <w:r w:rsidR="00592BBB">
        <w:t>rozporządzeni</w:t>
      </w:r>
      <w:r>
        <w:t>em</w:t>
      </w:r>
      <w:r w:rsidR="00592BBB">
        <w:t xml:space="preserve"> UE 2023/839 (rozporządz</w:t>
      </w:r>
      <w:r w:rsidR="00CA5D28">
        <w:t>enie LULUCF II)</w:t>
      </w:r>
      <w:r w:rsidR="00AD1570">
        <w:t xml:space="preserve">. </w:t>
      </w:r>
    </w:p>
    <w:p w14:paraId="4EFBA11B" w14:textId="0788D148" w:rsidR="001E4CC6" w:rsidRPr="003768A4" w:rsidRDefault="00CA5D28" w:rsidP="003768A4">
      <w:r>
        <w:t xml:space="preserve">Poniżej określono </w:t>
      </w:r>
      <w:r w:rsidR="00F077D1">
        <w:t>ocenę krajowych możliwości i politykę w zakresie generowania kredytów węglowych przez sektor LULUCF.</w:t>
      </w:r>
    </w:p>
    <w:p w14:paraId="73146C7B" w14:textId="12692EA9" w:rsidR="00C8356A" w:rsidRPr="00F53663" w:rsidRDefault="00491322" w:rsidP="00C8356A">
      <w:pPr>
        <w:pStyle w:val="Nagwek4"/>
        <w:rPr>
          <w:color w:val="70AD47" w:themeColor="accent6"/>
        </w:rPr>
      </w:pPr>
      <w:bookmarkStart w:id="190" w:name="_Ref159358369"/>
      <w:bookmarkStart w:id="191" w:name="_Ref159358398"/>
      <w:bookmarkStart w:id="192" w:name="_Ref159358403"/>
      <w:bookmarkStart w:id="193" w:name="_Toc159598295"/>
      <w:bookmarkStart w:id="194" w:name="_Ref174098014"/>
      <w:bookmarkStart w:id="195" w:name="_Ref174098020"/>
      <w:bookmarkStart w:id="196" w:name="_Toc195897221"/>
      <w:bookmarkStart w:id="197" w:name="_Toc205203167"/>
      <w:r>
        <w:rPr>
          <w:color w:val="70AD47" w:themeColor="accent6"/>
        </w:rPr>
        <w:t xml:space="preserve">Dążenie do zwiększenia pochłaniania </w:t>
      </w:r>
      <w:r w:rsidR="00C34B78">
        <w:rPr>
          <w:color w:val="70AD47" w:themeColor="accent6"/>
        </w:rPr>
        <w:t>gazów cieplarnianych</w:t>
      </w:r>
      <w:r>
        <w:rPr>
          <w:color w:val="70AD47" w:themeColor="accent6"/>
        </w:rPr>
        <w:t xml:space="preserve"> przez </w:t>
      </w:r>
      <w:r w:rsidR="00C34B78">
        <w:rPr>
          <w:color w:val="70AD47" w:themeColor="accent6"/>
        </w:rPr>
        <w:t xml:space="preserve">sektor </w:t>
      </w:r>
      <w:r>
        <w:rPr>
          <w:color w:val="70AD47" w:themeColor="accent6"/>
        </w:rPr>
        <w:t>LULUCF</w:t>
      </w:r>
      <w:bookmarkEnd w:id="190"/>
      <w:bookmarkEnd w:id="191"/>
      <w:bookmarkEnd w:id="192"/>
      <w:bookmarkEnd w:id="193"/>
      <w:bookmarkEnd w:id="194"/>
      <w:bookmarkEnd w:id="195"/>
      <w:bookmarkEnd w:id="196"/>
      <w:bookmarkEnd w:id="197"/>
    </w:p>
    <w:p w14:paraId="79C100E8" w14:textId="4C520A6C" w:rsidR="00946F60" w:rsidRDefault="000E5C6F" w:rsidP="00750CA2">
      <w:pPr>
        <w:spacing w:after="80"/>
      </w:pPr>
      <w:r w:rsidRPr="009C0B2E">
        <w:t xml:space="preserve">Unijny cel na 2030 r. </w:t>
      </w:r>
      <w:r>
        <w:t xml:space="preserve">w zakresie pochłaniania gazów cieplarnianych netto wynosi </w:t>
      </w:r>
      <w:r w:rsidRPr="009C0B2E">
        <w:t>310 mln t ekw</w:t>
      </w:r>
      <w:r w:rsidR="009C0B2E">
        <w:t>.</w:t>
      </w:r>
      <w:r w:rsidRPr="009C0B2E">
        <w:t xml:space="preserve"> CO</w:t>
      </w:r>
      <w:r w:rsidRPr="009C0B2E">
        <w:rPr>
          <w:vertAlign w:val="subscript"/>
        </w:rPr>
        <w:t>2</w:t>
      </w:r>
      <w:r>
        <w:t xml:space="preserve"> (co</w:t>
      </w:r>
      <w:r w:rsidR="0077251A">
        <w:t> </w:t>
      </w:r>
      <w:r>
        <w:t>jest sumą wartości emisji i pochłaniania netto gazów cieplarnianych w</w:t>
      </w:r>
      <w:r w:rsidR="009C0B2E">
        <w:t xml:space="preserve"> </w:t>
      </w:r>
      <w:r>
        <w:t>państwach członkowskich w</w:t>
      </w:r>
      <w:r w:rsidR="0077251A">
        <w:t> </w:t>
      </w:r>
      <w:r>
        <w:t>2030 r.)</w:t>
      </w:r>
      <w:r w:rsidR="009C0B2E">
        <w:t>. Dla k</w:t>
      </w:r>
      <w:r>
        <w:t>ażde</w:t>
      </w:r>
      <w:r w:rsidR="009C0B2E">
        <w:t>go</w:t>
      </w:r>
      <w:r>
        <w:t xml:space="preserve"> państw</w:t>
      </w:r>
      <w:r w:rsidR="009C0B2E">
        <w:t>a</w:t>
      </w:r>
      <w:r>
        <w:t xml:space="preserve"> członkowskie</w:t>
      </w:r>
      <w:r w:rsidR="009C0B2E">
        <w:t>go</w:t>
      </w:r>
      <w:r>
        <w:t xml:space="preserve"> </w:t>
      </w:r>
      <w:r w:rsidR="009C0B2E">
        <w:t xml:space="preserve">określono oddzielny cel, </w:t>
      </w:r>
      <w:r w:rsidR="001E052F" w:rsidRPr="00E944AF">
        <w:t>wynikający z danych historycznych</w:t>
      </w:r>
      <w:r w:rsidR="00C01BC5">
        <w:t>.</w:t>
      </w:r>
      <w:r w:rsidR="00AD1570">
        <w:t xml:space="preserve"> </w:t>
      </w:r>
      <w:bookmarkStart w:id="198" w:name="_Hlk159554589"/>
      <w:r w:rsidR="00946F60">
        <w:t xml:space="preserve">Dla Polski określono na 2030 r. </w:t>
      </w:r>
      <w:r w:rsidR="00946F60" w:rsidRPr="001E052F">
        <w:rPr>
          <w:b/>
          <w:bCs/>
        </w:rPr>
        <w:t>cel na poziomie 38,098 mln t ekw. CO</w:t>
      </w:r>
      <w:r w:rsidR="00946F60" w:rsidRPr="001E052F">
        <w:rPr>
          <w:b/>
          <w:bCs/>
          <w:vertAlign w:val="subscript"/>
        </w:rPr>
        <w:t>2</w:t>
      </w:r>
      <w:r w:rsidR="00946F60">
        <w:rPr>
          <w:rStyle w:val="Odwoanieprzypisudolnego"/>
        </w:rPr>
        <w:footnoteReference w:id="53"/>
      </w:r>
      <w:r w:rsidR="00946F60">
        <w:t>.</w:t>
      </w:r>
      <w:r w:rsidR="00946F60" w:rsidRPr="00946F60">
        <w:t xml:space="preserve"> </w:t>
      </w:r>
      <w:bookmarkEnd w:id="198"/>
      <w:r w:rsidR="00946F60">
        <w:t>P</w:t>
      </w:r>
      <w:r w:rsidR="00946F60" w:rsidRPr="00946F60">
        <w:t>ona</w:t>
      </w:r>
      <w:r w:rsidR="00946F60">
        <w:t>dto:</w:t>
      </w:r>
    </w:p>
    <w:p w14:paraId="64CFE572" w14:textId="0266AC5A" w:rsidR="00F13215" w:rsidRDefault="00667C60" w:rsidP="00667C60">
      <w:pPr>
        <w:pStyle w:val="Akapitzlist"/>
        <w:numPr>
          <w:ilvl w:val="0"/>
          <w:numId w:val="1"/>
        </w:numPr>
      </w:pPr>
      <w:r w:rsidRPr="00E944AF">
        <w:t xml:space="preserve">w latach 2021–2025 należy zapewnić, aby emisje z sektora LULUCF nie przekraczały pochłaniania z tego sektora, </w:t>
      </w:r>
      <w:r w:rsidR="00750CA2">
        <w:t>dodatkowo</w:t>
      </w:r>
      <w:r w:rsidR="00F13215">
        <w:t>:</w:t>
      </w:r>
    </w:p>
    <w:p w14:paraId="252F3C6C" w14:textId="37EEA760" w:rsidR="00F13215" w:rsidRDefault="00667C60" w:rsidP="00F13215">
      <w:pPr>
        <w:pStyle w:val="Akapitzlist"/>
        <w:numPr>
          <w:ilvl w:val="1"/>
          <w:numId w:val="1"/>
        </w:numPr>
      </w:pPr>
      <w:r w:rsidRPr="00E944AF">
        <w:t xml:space="preserve">dla </w:t>
      </w:r>
      <w:r w:rsidR="00750CA2" w:rsidRPr="00E944AF">
        <w:t xml:space="preserve">zarządzanych </w:t>
      </w:r>
      <w:r w:rsidRPr="00E944AF">
        <w:t>gruntów leśnych</w:t>
      </w:r>
      <w:r w:rsidR="00F13215">
        <w:t xml:space="preserve"> (kat. 4A)</w:t>
      </w:r>
      <w:r w:rsidRPr="00E944AF">
        <w:t xml:space="preserve"> obowiązują rozliczenia z wykorzystaniem poziomu referencyjnego dla lasów, który dla Polski wynosi 28,4 </w:t>
      </w:r>
      <w:r w:rsidR="009A137A">
        <w:t>mln</w:t>
      </w:r>
      <w:r w:rsidRPr="00E944AF">
        <w:t xml:space="preserve"> ekw. CO</w:t>
      </w:r>
      <w:r w:rsidRPr="00E944AF">
        <w:rPr>
          <w:vertAlign w:val="subscript"/>
        </w:rPr>
        <w:t>2</w:t>
      </w:r>
      <w:r>
        <w:t xml:space="preserve">; </w:t>
      </w:r>
    </w:p>
    <w:p w14:paraId="106D332D" w14:textId="2B4996E0" w:rsidR="00667C60" w:rsidRDefault="00667C60" w:rsidP="00F13215">
      <w:pPr>
        <w:pStyle w:val="Akapitzlist"/>
        <w:numPr>
          <w:ilvl w:val="1"/>
          <w:numId w:val="1"/>
        </w:numPr>
      </w:pPr>
      <w:r>
        <w:t>d</w:t>
      </w:r>
      <w:r w:rsidRPr="00E944AF">
        <w:t>la gruntów uprawnych, trawiastych i podmokłych</w:t>
      </w:r>
      <w:r w:rsidR="00F13215">
        <w:t xml:space="preserve"> (kat. 4B–4D)</w:t>
      </w:r>
      <w:r w:rsidRPr="00E944AF">
        <w:t xml:space="preserve"> rozliczanie odnosi się do emisji i</w:t>
      </w:r>
      <w:r>
        <w:t> </w:t>
      </w:r>
      <w:r w:rsidRPr="00E944AF">
        <w:t>pochłaniania w okresie bazowym od 2005 do 2009 r.</w:t>
      </w:r>
    </w:p>
    <w:p w14:paraId="1049AB79" w14:textId="2718A71F" w:rsidR="009D13E1" w:rsidRDefault="00946F60" w:rsidP="008340D5">
      <w:pPr>
        <w:pStyle w:val="Akapitzlist"/>
        <w:numPr>
          <w:ilvl w:val="0"/>
          <w:numId w:val="1"/>
        </w:numPr>
      </w:pPr>
      <w:r>
        <w:t>w latach 2026–20</w:t>
      </w:r>
      <w:r w:rsidR="00667C60">
        <w:t>29</w:t>
      </w:r>
      <w:r>
        <w:t xml:space="preserve"> pochłanianie powinno przebiegać według trajektorii liniowej, opartej na średnim pochłaniania w latach 2021–2023</w:t>
      </w:r>
      <w:r w:rsidR="00667C60">
        <w:t xml:space="preserve">, </w:t>
      </w:r>
      <w:r w:rsidR="00667C60" w:rsidRPr="00E944AF">
        <w:t>której początkiem jest 2022</w:t>
      </w:r>
      <w:r w:rsidR="00CE5AEF">
        <w:t xml:space="preserve"> r.</w:t>
      </w:r>
      <w:r w:rsidR="00667C60" w:rsidRPr="00E944AF">
        <w:t xml:space="preserve">, a końcem </w:t>
      </w:r>
      <w:r w:rsidR="00AC3BAF">
        <w:t>–</w:t>
      </w:r>
      <w:r w:rsidR="00667C60" w:rsidRPr="00E944AF">
        <w:t xml:space="preserve"> cel</w:t>
      </w:r>
      <w:r w:rsidR="00312A70">
        <w:t> </w:t>
      </w:r>
      <w:r w:rsidR="00667C60" w:rsidRPr="00E944AF">
        <w:t>pochłonięcia 38,098 mln t ekw. CO</w:t>
      </w:r>
      <w:r w:rsidR="00667C60" w:rsidRPr="00E944AF">
        <w:rPr>
          <w:vertAlign w:val="subscript"/>
        </w:rPr>
        <w:t>2</w:t>
      </w:r>
      <w:r w:rsidR="00667C60" w:rsidRPr="00E944AF">
        <w:t xml:space="preserve"> w 2030 r</w:t>
      </w:r>
      <w:r>
        <w:t>.</w:t>
      </w:r>
      <w:r w:rsidR="00F13215">
        <w:rPr>
          <w:rStyle w:val="Odwoanieprzypisudolnego"/>
        </w:rPr>
        <w:footnoteReference w:id="54"/>
      </w:r>
      <w:r>
        <w:t xml:space="preserve"> </w:t>
      </w:r>
    </w:p>
    <w:p w14:paraId="7D8400C7" w14:textId="6F096025" w:rsidR="00667C60" w:rsidRDefault="00667C60" w:rsidP="00854200">
      <w:r w:rsidRPr="00E944AF">
        <w:t>Po spełnieniu wymagań rozporządzenia LULUCF II</w:t>
      </w:r>
      <w:r>
        <w:t xml:space="preserve">, </w:t>
      </w:r>
      <w:r w:rsidRPr="00E944AF">
        <w:t xml:space="preserve">Polska potencjalnie będzie mogła także skorzystać z mechanizmu </w:t>
      </w:r>
      <w:r w:rsidRPr="001B3C2E">
        <w:rPr>
          <w:b/>
          <w:bCs/>
        </w:rPr>
        <w:t xml:space="preserve">elastyczności </w:t>
      </w:r>
      <w:r w:rsidR="00964D22">
        <w:rPr>
          <w:b/>
          <w:bCs/>
        </w:rPr>
        <w:t>LULUCF</w:t>
      </w:r>
      <w:r w:rsidR="00964D22">
        <w:rPr>
          <w:rStyle w:val="Odwoanieprzypisudolnego"/>
          <w:b/>
          <w:bCs/>
        </w:rPr>
        <w:footnoteReference w:id="55"/>
      </w:r>
      <w:r w:rsidR="00964D22">
        <w:rPr>
          <w:b/>
          <w:bCs/>
        </w:rPr>
        <w:t xml:space="preserve"> </w:t>
      </w:r>
      <w:r w:rsidRPr="00E944AF">
        <w:t>(kompensacji)</w:t>
      </w:r>
      <w:r w:rsidR="001B3C2E">
        <w:t>. P</w:t>
      </w:r>
      <w:r w:rsidRPr="00E944AF">
        <w:t>ole</w:t>
      </w:r>
      <w:r w:rsidR="001B3C2E">
        <w:t>ga to</w:t>
      </w:r>
      <w:r w:rsidRPr="00E944AF">
        <w:t xml:space="preserve"> na transferze </w:t>
      </w:r>
      <w:r w:rsidR="0079136B">
        <w:t xml:space="preserve">ewentualnych </w:t>
      </w:r>
      <w:r w:rsidRPr="00E944AF">
        <w:t xml:space="preserve">nadwyżek pochłaniania </w:t>
      </w:r>
      <w:r w:rsidR="00964D22">
        <w:t>z</w:t>
      </w:r>
      <w:r w:rsidR="006126F9">
        <w:t> </w:t>
      </w:r>
      <w:r w:rsidR="00964D22">
        <w:t xml:space="preserve">LULUCF do rozliczenia emisji </w:t>
      </w:r>
      <w:r w:rsidRPr="00E944AF">
        <w:t>z sektorów non-ETS w oparciu o rozporządzenie ESR</w:t>
      </w:r>
      <w:r w:rsidR="002E5435">
        <w:t xml:space="preserve"> (art. 12)</w:t>
      </w:r>
      <w:r w:rsidRPr="00E944AF">
        <w:t xml:space="preserve">, </w:t>
      </w:r>
      <w:r w:rsidR="002E5435">
        <w:t>wyłączeniu emisji związanych</w:t>
      </w:r>
      <w:r w:rsidR="002E5435" w:rsidRPr="00E944AF">
        <w:t xml:space="preserve"> </w:t>
      </w:r>
      <w:r w:rsidR="000E0C6B">
        <w:t xml:space="preserve">z </w:t>
      </w:r>
      <w:r w:rsidR="002E5435" w:rsidRPr="00E944AF">
        <w:t>katastrof</w:t>
      </w:r>
      <w:r w:rsidR="002E5435">
        <w:t>ami</w:t>
      </w:r>
      <w:r w:rsidR="002E5435" w:rsidRPr="00E944AF">
        <w:t xml:space="preserve"> naturalny</w:t>
      </w:r>
      <w:r w:rsidR="002E5435">
        <w:t>mi (art. 10)</w:t>
      </w:r>
      <w:r w:rsidR="002E5435" w:rsidRPr="00E944AF">
        <w:t xml:space="preserve">, a także elastyczności </w:t>
      </w:r>
      <w:r w:rsidR="002E5435">
        <w:lastRenderedPageBreak/>
        <w:t>dla</w:t>
      </w:r>
      <w:r w:rsidR="002E5435" w:rsidRPr="00E944AF">
        <w:t> zarządzany</w:t>
      </w:r>
      <w:r w:rsidR="002E5435">
        <w:t>ch</w:t>
      </w:r>
      <w:r w:rsidR="002E5435" w:rsidRPr="00E944AF">
        <w:t xml:space="preserve"> grunt</w:t>
      </w:r>
      <w:r w:rsidR="002E5435">
        <w:t>ów</w:t>
      </w:r>
      <w:r w:rsidR="002E5435" w:rsidRPr="00E944AF">
        <w:t xml:space="preserve"> leśny</w:t>
      </w:r>
      <w:r w:rsidR="002E5435">
        <w:t>ch</w:t>
      </w:r>
      <w:r w:rsidRPr="00E944AF">
        <w:t xml:space="preserve"> na lata 2026-2029</w:t>
      </w:r>
      <w:r w:rsidR="00D53436">
        <w:t>.</w:t>
      </w:r>
      <w:r w:rsidRPr="00E944AF">
        <w:t xml:space="preserve"> </w:t>
      </w:r>
      <w:r w:rsidR="00D53436">
        <w:t>M</w:t>
      </w:r>
      <w:r w:rsidRPr="00E944AF">
        <w:t xml:space="preserve">aksymalna wartość tych dwóch ostatnich elastyczności wynosi 22,5 </w:t>
      </w:r>
      <w:r w:rsidR="00964D22">
        <w:t>mln</w:t>
      </w:r>
      <w:r w:rsidRPr="00E944AF">
        <w:t xml:space="preserve"> ekw. CO</w:t>
      </w:r>
      <w:r w:rsidRPr="00E944AF">
        <w:rPr>
          <w:vertAlign w:val="subscript"/>
        </w:rPr>
        <w:t xml:space="preserve">2 </w:t>
      </w:r>
      <w:r w:rsidRPr="00E944AF">
        <w:t xml:space="preserve">w </w:t>
      </w:r>
      <w:r w:rsidR="008165C8">
        <w:t xml:space="preserve">równym </w:t>
      </w:r>
      <w:r w:rsidRPr="00E944AF">
        <w:t>podziale na oba okresy rozliczeniowe.</w:t>
      </w:r>
      <w:r w:rsidR="00D53436">
        <w:t xml:space="preserve"> </w:t>
      </w:r>
    </w:p>
    <w:p w14:paraId="1FAE7C7C" w14:textId="55BA643A" w:rsidR="00D52113" w:rsidRDefault="00D52113" w:rsidP="00D52113">
      <w:pPr>
        <w:spacing w:after="80"/>
      </w:pPr>
      <w:r>
        <w:t>W</w:t>
      </w:r>
      <w:r w:rsidRPr="00E944AF">
        <w:t xml:space="preserve"> Polsce największym pochłaniaczem </w:t>
      </w:r>
      <w:r>
        <w:t>emisji CO</w:t>
      </w:r>
      <w:r w:rsidRPr="005338B6">
        <w:rPr>
          <w:vertAlign w:val="subscript"/>
        </w:rPr>
        <w:t>2</w:t>
      </w:r>
      <w:r>
        <w:t xml:space="preserve"> </w:t>
      </w:r>
      <w:r w:rsidRPr="00E944AF">
        <w:t xml:space="preserve">są </w:t>
      </w:r>
      <w:r w:rsidRPr="00467313">
        <w:rPr>
          <w:b/>
          <w:bCs/>
        </w:rPr>
        <w:t>lasy (grunty leśne)</w:t>
      </w:r>
      <w:r w:rsidR="00D219FE">
        <w:rPr>
          <w:b/>
          <w:bCs/>
        </w:rPr>
        <w:t xml:space="preserve"> </w:t>
      </w:r>
      <w:r w:rsidR="00D219FE">
        <w:t xml:space="preserve">obok </w:t>
      </w:r>
      <w:r w:rsidR="00EE276F">
        <w:t xml:space="preserve">gruntów uprawnych, </w:t>
      </w:r>
      <w:r w:rsidR="00C41813">
        <w:t xml:space="preserve">gruntów trawiastych, </w:t>
      </w:r>
      <w:r w:rsidR="00991688">
        <w:t>gruntów podmokłych i produktów wytworzonych z pozyskanego drewna</w:t>
      </w:r>
      <w:r w:rsidR="00EE1EC3">
        <w:t xml:space="preserve">. W lasach </w:t>
      </w:r>
      <w:r>
        <w:t>kluczowe znaczenie dla poziomu pochłaniania w danym roku i latach kolejnych mają:</w:t>
      </w:r>
    </w:p>
    <w:p w14:paraId="03EA65AF" w14:textId="384016DC" w:rsidR="00D52113" w:rsidRDefault="00D52113" w:rsidP="00D52113">
      <w:pPr>
        <w:pStyle w:val="Akapitzlist"/>
        <w:numPr>
          <w:ilvl w:val="0"/>
          <w:numId w:val="1"/>
        </w:numPr>
      </w:pPr>
      <w:r>
        <w:t>wiek</w:t>
      </w:r>
      <w:r w:rsidRPr="00E944AF">
        <w:t xml:space="preserve"> drzewostanów </w:t>
      </w:r>
      <w:r>
        <w:t>(</w:t>
      </w:r>
      <w:r w:rsidRPr="00E944AF">
        <w:t>drzewa najwięcej węgla pochłaniają w</w:t>
      </w:r>
      <w:r>
        <w:t xml:space="preserve"> </w:t>
      </w:r>
      <w:r w:rsidRPr="00E944AF">
        <w:t>fazie intensywnego wzrostu i</w:t>
      </w:r>
      <w:r>
        <w:t> </w:t>
      </w:r>
      <w:r w:rsidRPr="00E944AF">
        <w:t>rozwoju, czyli głównie</w:t>
      </w:r>
      <w:r>
        <w:t>,</w:t>
      </w:r>
      <w:r w:rsidRPr="00E944AF">
        <w:t xml:space="preserve"> </w:t>
      </w:r>
      <w:r>
        <w:t>gdy są</w:t>
      </w:r>
      <w:r w:rsidRPr="00E944AF">
        <w:t xml:space="preserve"> </w:t>
      </w:r>
      <w:r>
        <w:t xml:space="preserve">w </w:t>
      </w:r>
      <w:r w:rsidRPr="00E944AF">
        <w:t>młody</w:t>
      </w:r>
      <w:r>
        <w:t>m</w:t>
      </w:r>
      <w:r w:rsidRPr="00E944AF">
        <w:t xml:space="preserve"> i</w:t>
      </w:r>
      <w:r>
        <w:t> </w:t>
      </w:r>
      <w:r w:rsidRPr="00E944AF">
        <w:t>w</w:t>
      </w:r>
      <w:r>
        <w:t> </w:t>
      </w:r>
      <w:r w:rsidRPr="00E944AF">
        <w:t>średnim wieku</w:t>
      </w:r>
      <w:r w:rsidR="00801D64">
        <w:t>, przy czym w 202</w:t>
      </w:r>
      <w:r w:rsidR="00766AB0">
        <w:t>4</w:t>
      </w:r>
      <w:r w:rsidR="00801D64">
        <w:t xml:space="preserve"> r. średnia wieku lasów wynosiła </w:t>
      </w:r>
      <w:r w:rsidR="00D53436">
        <w:t>6</w:t>
      </w:r>
      <w:r w:rsidR="00766AB0">
        <w:t>2</w:t>
      </w:r>
      <w:r w:rsidR="00D53436">
        <w:t xml:space="preserve"> lat</w:t>
      </w:r>
      <w:r w:rsidR="00835078">
        <w:rPr>
          <w:rStyle w:val="Odwoanieprzypisudolnego"/>
        </w:rPr>
        <w:footnoteReference w:id="56"/>
      </w:r>
      <w:r>
        <w:t>),</w:t>
      </w:r>
    </w:p>
    <w:p w14:paraId="524BACBC" w14:textId="77777777" w:rsidR="00D52113" w:rsidRDefault="00D52113" w:rsidP="00D52113">
      <w:pPr>
        <w:pStyle w:val="Akapitzlist"/>
        <w:numPr>
          <w:ilvl w:val="0"/>
          <w:numId w:val="1"/>
        </w:numPr>
      </w:pPr>
      <w:r>
        <w:t>struktura gatunkowa,</w:t>
      </w:r>
    </w:p>
    <w:p w14:paraId="3C2E910C" w14:textId="7876C1CF" w:rsidR="00D52113" w:rsidRDefault="008C2647" w:rsidP="00D52113">
      <w:pPr>
        <w:pStyle w:val="Akapitzlist"/>
        <w:numPr>
          <w:ilvl w:val="0"/>
          <w:numId w:val="1"/>
        </w:numPr>
      </w:pPr>
      <w:r>
        <w:t xml:space="preserve">kondycja </w:t>
      </w:r>
      <w:r w:rsidR="006F65ED">
        <w:t>drzewostanów</w:t>
      </w:r>
      <w:r w:rsidR="00933819">
        <w:t xml:space="preserve"> uwzględniająca </w:t>
      </w:r>
      <w:r w:rsidR="00D52113" w:rsidRPr="00E944AF">
        <w:t xml:space="preserve">zaburzenia </w:t>
      </w:r>
      <w:r w:rsidR="00D52113">
        <w:t>wynikające</w:t>
      </w:r>
      <w:r w:rsidR="005D6849">
        <w:t>,</w:t>
      </w:r>
      <w:r w:rsidR="00D52113">
        <w:t xml:space="preserve"> m.in. ze zmian klimatu </w:t>
      </w:r>
      <w:r w:rsidR="00D52113" w:rsidRPr="00E944AF">
        <w:t>taki</w:t>
      </w:r>
      <w:r w:rsidR="00AB3387">
        <w:t>ch</w:t>
      </w:r>
      <w:r w:rsidR="00D52113" w:rsidRPr="00E944AF">
        <w:t xml:space="preserve"> jak huragany, pożary, gradacje o</w:t>
      </w:r>
      <w:r w:rsidR="00AB3387">
        <w:t>p</w:t>
      </w:r>
      <w:r w:rsidR="00D52113" w:rsidRPr="00E944AF">
        <w:t>adów i susze</w:t>
      </w:r>
      <w:r w:rsidR="00D52113">
        <w:t xml:space="preserve"> (</w:t>
      </w:r>
      <w:r w:rsidR="00D52113" w:rsidRPr="00E944AF">
        <w:t>które powodują zmniejszenie się przyrostu, a nawet zamieranie drzew</w:t>
      </w:r>
      <w:r w:rsidR="00D52113">
        <w:t xml:space="preserve"> i drzewostanów).</w:t>
      </w:r>
    </w:p>
    <w:p w14:paraId="47F9AC37" w14:textId="09B33780" w:rsidR="00F45F8D" w:rsidRDefault="00D52113" w:rsidP="002E5940">
      <w:r w:rsidRPr="00E944AF">
        <w:t>Działania takie jak nawadnianie torfowisk, zalesianie czy</w:t>
      </w:r>
      <w:r>
        <w:t xml:space="preserve"> </w:t>
      </w:r>
      <w:r w:rsidRPr="00E944AF">
        <w:t xml:space="preserve">przebudowa lasów w kierunku bardziej różnorodnych i odpornych </w:t>
      </w:r>
      <w:r w:rsidR="00F6102D">
        <w:t xml:space="preserve">drzewostanów </w:t>
      </w:r>
      <w:r w:rsidRPr="00163CF0">
        <w:rPr>
          <w:b/>
          <w:bCs/>
        </w:rPr>
        <w:t>mogą przynieść pożądane efekty dopiero w dłu</w:t>
      </w:r>
      <w:r w:rsidR="00C927EF">
        <w:rPr>
          <w:b/>
          <w:bCs/>
        </w:rPr>
        <w:t xml:space="preserve">ższej </w:t>
      </w:r>
      <w:r w:rsidRPr="00163CF0">
        <w:rPr>
          <w:b/>
          <w:bCs/>
        </w:rPr>
        <w:t xml:space="preserve"> perspektywie czasu</w:t>
      </w:r>
      <w:r w:rsidR="00C927EF">
        <w:rPr>
          <w:b/>
          <w:bCs/>
        </w:rPr>
        <w:t xml:space="preserve"> (</w:t>
      </w:r>
      <w:r w:rsidR="00A60A40">
        <w:rPr>
          <w:b/>
          <w:bCs/>
        </w:rPr>
        <w:t xml:space="preserve">w szczególności </w:t>
      </w:r>
      <w:r w:rsidR="00C927EF">
        <w:rPr>
          <w:b/>
          <w:bCs/>
        </w:rPr>
        <w:t>zalesianie)</w:t>
      </w:r>
      <w:r w:rsidRPr="00163CF0">
        <w:rPr>
          <w:b/>
          <w:bCs/>
        </w:rPr>
        <w:t>.</w:t>
      </w:r>
      <w:r>
        <w:rPr>
          <w:b/>
          <w:bCs/>
        </w:rPr>
        <w:t xml:space="preserve"> </w:t>
      </w:r>
      <w:r w:rsidRPr="00AD0ADC">
        <w:t>Z</w:t>
      </w:r>
      <w:r>
        <w:t xml:space="preserve"> drugiej strony </w:t>
      </w:r>
      <w:r w:rsidRPr="00667C60">
        <w:t xml:space="preserve">działanie destrukcyjnych lub zaburzających wobec </w:t>
      </w:r>
      <w:r w:rsidR="00C8028E">
        <w:t xml:space="preserve">mokradeł i </w:t>
      </w:r>
      <w:r w:rsidRPr="00667C60">
        <w:t>lasów czynników biotycznych i abiotycznych</w:t>
      </w:r>
      <w:r w:rsidRPr="00EE4AF9">
        <w:t xml:space="preserve"> </w:t>
      </w:r>
      <w:r>
        <w:t>niemal natychmiast powodują obniżenie potencjału</w:t>
      </w:r>
      <w:r w:rsidR="00636B07">
        <w:t xml:space="preserve"> magazynowania i pochłaniania CO</w:t>
      </w:r>
      <w:r w:rsidR="00636B07" w:rsidRPr="003505A9">
        <w:rPr>
          <w:vertAlign w:val="subscript"/>
        </w:rPr>
        <w:t>2</w:t>
      </w:r>
      <w:r w:rsidR="00636B07">
        <w:t xml:space="preserve"> z atmosfery</w:t>
      </w:r>
      <w:r>
        <w:t xml:space="preserve">. </w:t>
      </w:r>
    </w:p>
    <w:p w14:paraId="727706D1" w14:textId="3B64DB7A" w:rsidR="00FB4CE6" w:rsidRDefault="00D52113" w:rsidP="00854200">
      <w:pPr>
        <w:rPr>
          <w:b/>
          <w:bCs/>
        </w:rPr>
      </w:pPr>
      <w:r w:rsidRPr="00D52113">
        <w:rPr>
          <w:b/>
          <w:bCs/>
        </w:rPr>
        <w:t xml:space="preserve">Z tego względu sektor LULUCF jest podatny na </w:t>
      </w:r>
      <w:r w:rsidR="00800282">
        <w:rPr>
          <w:b/>
          <w:bCs/>
        </w:rPr>
        <w:t xml:space="preserve">bardzo </w:t>
      </w:r>
      <w:r w:rsidRPr="00D52113">
        <w:rPr>
          <w:b/>
          <w:bCs/>
        </w:rPr>
        <w:t xml:space="preserve">dużą fluktuację w sekwestracji </w:t>
      </w:r>
      <w:r w:rsidR="003505A9">
        <w:rPr>
          <w:b/>
          <w:bCs/>
        </w:rPr>
        <w:t>CO</w:t>
      </w:r>
      <w:r w:rsidR="003505A9" w:rsidRPr="003505A9">
        <w:rPr>
          <w:b/>
          <w:bCs/>
          <w:vertAlign w:val="subscript"/>
        </w:rPr>
        <w:t>2</w:t>
      </w:r>
      <w:r w:rsidR="00A60381">
        <w:rPr>
          <w:b/>
          <w:bCs/>
        </w:rPr>
        <w:t xml:space="preserve"> (zarówno z</w:t>
      </w:r>
      <w:r w:rsidR="00312A70">
        <w:rPr>
          <w:b/>
          <w:bCs/>
        </w:rPr>
        <w:t> </w:t>
      </w:r>
      <w:r w:rsidR="00A60381">
        <w:rPr>
          <w:b/>
          <w:bCs/>
        </w:rPr>
        <w:t>uwagi na czynniki biotyczne i abiotyczne)</w:t>
      </w:r>
      <w:r w:rsidRPr="00D52113">
        <w:rPr>
          <w:b/>
          <w:bCs/>
        </w:rPr>
        <w:t xml:space="preserve">, co przekłada się na </w:t>
      </w:r>
      <w:r w:rsidR="00950278">
        <w:rPr>
          <w:b/>
          <w:bCs/>
        </w:rPr>
        <w:t xml:space="preserve">brak możliwości zapewniania wysokiej </w:t>
      </w:r>
      <w:r w:rsidRPr="00D52113">
        <w:rPr>
          <w:b/>
          <w:bCs/>
        </w:rPr>
        <w:t>dokładnoś</w:t>
      </w:r>
      <w:r w:rsidR="00950278">
        <w:rPr>
          <w:b/>
          <w:bCs/>
        </w:rPr>
        <w:t>ci</w:t>
      </w:r>
      <w:r w:rsidRPr="00D52113">
        <w:rPr>
          <w:b/>
          <w:bCs/>
        </w:rPr>
        <w:t xml:space="preserve"> prognoz</w:t>
      </w:r>
      <w:r>
        <w:rPr>
          <w:rStyle w:val="Odwoanieprzypisudolnego"/>
        </w:rPr>
        <w:t xml:space="preserve"> </w:t>
      </w:r>
      <w:r w:rsidR="00135E47">
        <w:rPr>
          <w:rStyle w:val="Odwoanieprzypisudolnego"/>
        </w:rPr>
        <w:footnoteReference w:id="57"/>
      </w:r>
      <w:r w:rsidR="00D162CA">
        <w:t>.</w:t>
      </w:r>
      <w:r w:rsidR="00974007">
        <w:t xml:space="preserve"> </w:t>
      </w:r>
      <w:r w:rsidR="00974007" w:rsidRPr="00CD4286">
        <w:t xml:space="preserve"> </w:t>
      </w:r>
    </w:p>
    <w:p w14:paraId="28B26073" w14:textId="721A3D6B" w:rsidR="00EE4AF9" w:rsidRPr="0045081C" w:rsidRDefault="004E749D" w:rsidP="00854200">
      <w:r>
        <w:t>B</w:t>
      </w:r>
      <w:r w:rsidR="0045081C" w:rsidRPr="0045081C">
        <w:t xml:space="preserve">iorąc pod uwagę aktualne wyzwania </w:t>
      </w:r>
      <w:r w:rsidR="00CB2104">
        <w:t xml:space="preserve">– </w:t>
      </w:r>
      <w:r w:rsidR="00747FA8">
        <w:t>związane ze skutkami zmian klimatu i ich wpływ na ekosy</w:t>
      </w:r>
      <w:r w:rsidR="00E74CB0">
        <w:t>stemy leśne</w:t>
      </w:r>
      <w:r w:rsidR="00CB2104">
        <w:t xml:space="preserve"> </w:t>
      </w:r>
      <w:r w:rsidR="0045081C" w:rsidRPr="0045081C">
        <w:t xml:space="preserve">oraz oczekiwania społeczeństwa </w:t>
      </w:r>
      <w:r w:rsidR="0045081C" w:rsidRPr="00CB2104">
        <w:rPr>
          <w:b/>
        </w:rPr>
        <w:t>kluczowym celem procesów transformacyjnych w leśnictwie powinn</w:t>
      </w:r>
      <w:r w:rsidR="00DA0F3F" w:rsidRPr="00CB2104">
        <w:rPr>
          <w:b/>
        </w:rPr>
        <w:t xml:space="preserve">o być zapewnienie trwałości lasów, </w:t>
      </w:r>
      <w:r w:rsidR="00C07DC1" w:rsidRPr="00CB2104">
        <w:rPr>
          <w:b/>
        </w:rPr>
        <w:t xml:space="preserve">w szczególności </w:t>
      </w:r>
      <w:r w:rsidR="00ED0BE0" w:rsidRPr="00CB2104">
        <w:rPr>
          <w:b/>
        </w:rPr>
        <w:t xml:space="preserve">poprzez </w:t>
      </w:r>
      <w:r w:rsidR="0045081C" w:rsidRPr="00CB2104">
        <w:rPr>
          <w:b/>
        </w:rPr>
        <w:t>adaptacj</w:t>
      </w:r>
      <w:r w:rsidR="00ED0BE0" w:rsidRPr="00CB2104">
        <w:rPr>
          <w:b/>
        </w:rPr>
        <w:t>ę</w:t>
      </w:r>
      <w:r w:rsidR="0045081C" w:rsidRPr="00CB2104">
        <w:rPr>
          <w:b/>
        </w:rPr>
        <w:t xml:space="preserve"> lasów do zmiany klimatu</w:t>
      </w:r>
      <w:r w:rsidR="0037464D" w:rsidRPr="00CB2104">
        <w:rPr>
          <w:b/>
        </w:rPr>
        <w:t>,</w:t>
      </w:r>
      <w:r w:rsidR="0045081C" w:rsidRPr="00CB2104">
        <w:rPr>
          <w:b/>
        </w:rPr>
        <w:t xml:space="preserve"> w powiązaniu ze wzmocnieniem funkcji przyrodniczych i społecznych lasów</w:t>
      </w:r>
      <w:r w:rsidR="00ED0BE0">
        <w:t>. Dą</w:t>
      </w:r>
      <w:r w:rsidR="0045081C" w:rsidRPr="0045081C">
        <w:t xml:space="preserve">żenie do osiągnięcia celów </w:t>
      </w:r>
      <w:r w:rsidR="007C2F4F">
        <w:t>w sektorze</w:t>
      </w:r>
      <w:r w:rsidR="0045081C" w:rsidRPr="0045081C">
        <w:t xml:space="preserve"> LULUCF </w:t>
      </w:r>
      <w:r w:rsidR="00ED0BE0">
        <w:t>jest jedn</w:t>
      </w:r>
      <w:r w:rsidR="00FF5928">
        <w:t xml:space="preserve">ą ze składowych </w:t>
      </w:r>
      <w:r w:rsidR="00875AE0">
        <w:t xml:space="preserve">procesów </w:t>
      </w:r>
      <w:r w:rsidR="004D0ACE">
        <w:t>transformacyjnych w leśnictwie</w:t>
      </w:r>
      <w:r w:rsidR="004F7E99">
        <w:t xml:space="preserve">, </w:t>
      </w:r>
      <w:r w:rsidR="00845AC7">
        <w:t xml:space="preserve">co do zasady </w:t>
      </w:r>
      <w:r w:rsidR="004F7E99">
        <w:t xml:space="preserve">zbieżną z celami związanymi </w:t>
      </w:r>
      <w:r w:rsidR="007A3D6E">
        <w:t xml:space="preserve">z </w:t>
      </w:r>
      <w:r w:rsidR="00845AC7">
        <w:t>wzmocnion</w:t>
      </w:r>
      <w:r w:rsidR="007A3D6E">
        <w:t>ą</w:t>
      </w:r>
      <w:r w:rsidR="00845AC7">
        <w:t xml:space="preserve"> </w:t>
      </w:r>
      <w:r w:rsidR="004F7E99">
        <w:t>ochron</w:t>
      </w:r>
      <w:r w:rsidR="007A3D6E">
        <w:t>ą</w:t>
      </w:r>
      <w:r w:rsidR="004F7E99">
        <w:t xml:space="preserve"> przyrody</w:t>
      </w:r>
      <w:r w:rsidR="00E4203D">
        <w:t xml:space="preserve"> i funkcjami społecznymi</w:t>
      </w:r>
      <w:r w:rsidR="004D0ACE">
        <w:t>.</w:t>
      </w:r>
      <w:r w:rsidR="00E478D8">
        <w:t xml:space="preserve"> </w:t>
      </w:r>
    </w:p>
    <w:p w14:paraId="423ED0EF" w14:textId="0390AB4D" w:rsidR="00080BA7" w:rsidRDefault="00747FA8" w:rsidP="00320A0A">
      <w:pPr>
        <w:pStyle w:val="Cele"/>
        <w:spacing w:after="80"/>
      </w:pPr>
      <w:bookmarkStart w:id="199" w:name="_Hlk159554652"/>
      <w:r>
        <w:rPr>
          <w:b/>
          <w:bCs/>
        </w:rPr>
        <w:t>Szacunki</w:t>
      </w:r>
      <w:r w:rsidR="00667C60" w:rsidRPr="00E944AF" w:rsidDel="00BC1FDF">
        <w:rPr>
          <w:b/>
          <w:bCs/>
        </w:rPr>
        <w:t xml:space="preserve"> </w:t>
      </w:r>
      <w:r w:rsidR="00667C60" w:rsidRPr="00E944AF">
        <w:rPr>
          <w:b/>
          <w:bCs/>
        </w:rPr>
        <w:t xml:space="preserve">wskazują, że pochłanianie gazów cieplarnianych </w:t>
      </w:r>
      <w:r w:rsidR="00135E47">
        <w:rPr>
          <w:b/>
          <w:bCs/>
        </w:rPr>
        <w:t>przez sektor LUL</w:t>
      </w:r>
      <w:r w:rsidR="00DC5739">
        <w:rPr>
          <w:b/>
          <w:bCs/>
        </w:rPr>
        <w:t>U</w:t>
      </w:r>
      <w:r w:rsidR="00135E47">
        <w:rPr>
          <w:b/>
          <w:bCs/>
        </w:rPr>
        <w:t xml:space="preserve">CF </w:t>
      </w:r>
      <w:r w:rsidR="00667C60" w:rsidRPr="00E944AF">
        <w:rPr>
          <w:b/>
          <w:bCs/>
        </w:rPr>
        <w:t>w</w:t>
      </w:r>
      <w:r w:rsidR="0043177F">
        <w:rPr>
          <w:b/>
          <w:bCs/>
        </w:rPr>
        <w:t> </w:t>
      </w:r>
      <w:r w:rsidR="00667C60" w:rsidRPr="00E944AF">
        <w:rPr>
          <w:b/>
          <w:bCs/>
        </w:rPr>
        <w:t>2030</w:t>
      </w:r>
      <w:r w:rsidR="0043177F">
        <w:rPr>
          <w:b/>
          <w:bCs/>
        </w:rPr>
        <w:t> </w:t>
      </w:r>
      <w:r w:rsidR="00667C60" w:rsidRPr="00E944AF">
        <w:rPr>
          <w:b/>
          <w:bCs/>
        </w:rPr>
        <w:t>r</w:t>
      </w:r>
      <w:r w:rsidR="00667C60">
        <w:rPr>
          <w:b/>
          <w:bCs/>
        </w:rPr>
        <w:t>.</w:t>
      </w:r>
      <w:r w:rsidR="00667C60" w:rsidRPr="00E944AF">
        <w:rPr>
          <w:b/>
          <w:bCs/>
        </w:rPr>
        <w:t xml:space="preserve"> </w:t>
      </w:r>
      <w:r w:rsidR="00276AF7" w:rsidRPr="00E944AF">
        <w:rPr>
          <w:b/>
          <w:bCs/>
        </w:rPr>
        <w:t>mo</w:t>
      </w:r>
      <w:r w:rsidR="00276AF7">
        <w:rPr>
          <w:b/>
          <w:bCs/>
        </w:rPr>
        <w:t>głoby</w:t>
      </w:r>
      <w:r w:rsidR="00667C60" w:rsidRPr="00E944AF">
        <w:rPr>
          <w:b/>
          <w:bCs/>
        </w:rPr>
        <w:t xml:space="preserve"> wynieść</w:t>
      </w:r>
      <w:r w:rsidR="00667C60">
        <w:rPr>
          <w:b/>
          <w:bCs/>
        </w:rPr>
        <w:t xml:space="preserve"> </w:t>
      </w:r>
      <w:r w:rsidR="0043177F">
        <w:rPr>
          <w:b/>
          <w:bCs/>
        </w:rPr>
        <w:t xml:space="preserve">nawet </w:t>
      </w:r>
      <w:r w:rsidR="008C0F26">
        <w:rPr>
          <w:b/>
          <w:bCs/>
        </w:rPr>
        <w:t>46,5</w:t>
      </w:r>
      <w:r w:rsidR="00667C60">
        <w:rPr>
          <w:b/>
          <w:bCs/>
        </w:rPr>
        <w:t> mln </w:t>
      </w:r>
      <w:r w:rsidR="00667C60" w:rsidRPr="00E944AF">
        <w:rPr>
          <w:b/>
          <w:bCs/>
        </w:rPr>
        <w:t>t</w:t>
      </w:r>
      <w:r w:rsidR="00667C60">
        <w:rPr>
          <w:b/>
          <w:bCs/>
        </w:rPr>
        <w:t> </w:t>
      </w:r>
      <w:r w:rsidR="00667C60" w:rsidRPr="00E944AF">
        <w:rPr>
          <w:b/>
          <w:bCs/>
        </w:rPr>
        <w:t>ekw. CO</w:t>
      </w:r>
      <w:r w:rsidR="00667C60" w:rsidRPr="00E944AF">
        <w:rPr>
          <w:b/>
          <w:bCs/>
          <w:vertAlign w:val="subscript"/>
        </w:rPr>
        <w:t>2</w:t>
      </w:r>
      <w:r w:rsidR="00667C60" w:rsidRPr="00667C60">
        <w:t>.</w:t>
      </w:r>
      <w:r w:rsidR="0043177F">
        <w:t xml:space="preserve"> </w:t>
      </w:r>
      <w:r w:rsidR="005058E1">
        <w:t xml:space="preserve">i ok. </w:t>
      </w:r>
      <w:r w:rsidR="008C0F26">
        <w:t xml:space="preserve">35,3 </w:t>
      </w:r>
      <w:r w:rsidR="00320A0A">
        <w:t>mln t ekw. CO</w:t>
      </w:r>
      <w:r w:rsidR="00320A0A" w:rsidRPr="00320A0A">
        <w:rPr>
          <w:vertAlign w:val="subscript"/>
        </w:rPr>
        <w:t>2</w:t>
      </w:r>
      <w:r w:rsidR="00320A0A">
        <w:t xml:space="preserve"> w</w:t>
      </w:r>
      <w:r w:rsidR="00224416">
        <w:t> </w:t>
      </w:r>
      <w:r w:rsidR="00320A0A">
        <w:t xml:space="preserve">2040 r. </w:t>
      </w:r>
      <w:r w:rsidR="00D52113">
        <w:rPr>
          <w:rStyle w:val="Odwoanieprzypisudolnego"/>
        </w:rPr>
        <w:footnoteReference w:id="58"/>
      </w:r>
      <w:bookmarkEnd w:id="199"/>
    </w:p>
    <w:p w14:paraId="7EE2417A" w14:textId="6E3041B7" w:rsidR="00080BA7" w:rsidRDefault="00080BA7" w:rsidP="00080BA7">
      <w:pPr>
        <w:spacing w:before="240" w:after="80"/>
        <w:rPr>
          <w:rFonts w:ascii="Bahnschrift" w:hAnsi="Bahnschrift"/>
        </w:rPr>
      </w:pPr>
      <w:r w:rsidRPr="00C46DAA">
        <w:rPr>
          <w:rFonts w:ascii="Bahnschrift" w:hAnsi="Bahnschrift"/>
          <w:b/>
          <w:bCs/>
          <w:sz w:val="32"/>
          <w:szCs w:val="32"/>
        </w:rPr>
        <w:t>POLITYKA</w:t>
      </w:r>
    </w:p>
    <w:p w14:paraId="71F60151" w14:textId="77777777" w:rsidR="008D41B7" w:rsidRPr="004C2D99" w:rsidRDefault="00624987" w:rsidP="00624987">
      <w:pPr>
        <w:spacing w:before="240"/>
        <w:rPr>
          <w:b/>
          <w:bCs/>
        </w:rPr>
      </w:pPr>
      <w:r w:rsidRPr="004C2D99">
        <w:rPr>
          <w:b/>
          <w:bCs/>
        </w:rPr>
        <w:t>Pochłanianie emisji przez leśnictwo</w:t>
      </w:r>
    </w:p>
    <w:p w14:paraId="3997E206" w14:textId="67395248" w:rsidR="00801D64" w:rsidRDefault="00E13158" w:rsidP="00080BA7">
      <w:r w:rsidRPr="00E944AF">
        <w:t xml:space="preserve">Do realizacji celów </w:t>
      </w:r>
      <w:r>
        <w:t xml:space="preserve">związanych z pochłanianiem i ograniczaniem </w:t>
      </w:r>
      <w:r w:rsidRPr="00E944AF">
        <w:t xml:space="preserve">emisji w sektorze LULUCF </w:t>
      </w:r>
      <w:r>
        <w:t>będ</w:t>
      </w:r>
      <w:r w:rsidR="00BD5E6E">
        <w:t>ą</w:t>
      </w:r>
      <w:r>
        <w:t xml:space="preserve"> </w:t>
      </w:r>
      <w:r w:rsidRPr="00E944AF">
        <w:t xml:space="preserve">przyczyniać się </w:t>
      </w:r>
      <w:r w:rsidR="00BD5E6E">
        <w:t xml:space="preserve">przede wszystkim działania w obszarze </w:t>
      </w:r>
      <w:r w:rsidRPr="00380E2E">
        <w:rPr>
          <w:b/>
          <w:bCs/>
        </w:rPr>
        <w:t>zalesieni</w:t>
      </w:r>
      <w:r w:rsidR="00BD5E6E">
        <w:rPr>
          <w:b/>
          <w:bCs/>
        </w:rPr>
        <w:t>a</w:t>
      </w:r>
      <w:r w:rsidRPr="00380E2E">
        <w:rPr>
          <w:b/>
          <w:bCs/>
        </w:rPr>
        <w:t xml:space="preserve"> gruntów</w:t>
      </w:r>
      <w:r w:rsidR="00DC5739" w:rsidRPr="00DC5739">
        <w:t xml:space="preserve">, przy czym w </w:t>
      </w:r>
      <w:r w:rsidR="00DC5739">
        <w:t>perspektywie 2050 r. planuje się zwiększenie lesistości kraju do 33% (29</w:t>
      </w:r>
      <w:r w:rsidR="000E6C24">
        <w:t>,7</w:t>
      </w:r>
      <w:r w:rsidR="00DC5739">
        <w:t>% w 202</w:t>
      </w:r>
      <w:r w:rsidR="000E6C24">
        <w:t>2</w:t>
      </w:r>
      <w:r w:rsidR="00DC5739">
        <w:t xml:space="preserve"> r.</w:t>
      </w:r>
      <w:r w:rsidR="000E6C24">
        <w:rPr>
          <w:rStyle w:val="Odwoanieprzypisudolnego"/>
        </w:rPr>
        <w:footnoteReference w:id="59"/>
      </w:r>
      <w:r w:rsidR="00DC5739">
        <w:t>).</w:t>
      </w:r>
      <w:r w:rsidR="00622BD5">
        <w:t xml:space="preserve"> </w:t>
      </w:r>
      <w:r w:rsidR="00DC5739">
        <w:rPr>
          <w:b/>
          <w:bCs/>
        </w:rPr>
        <w:t>Działania będą nastawione na</w:t>
      </w:r>
      <w:r w:rsidRPr="00380E2E">
        <w:rPr>
          <w:b/>
          <w:bCs/>
        </w:rPr>
        <w:t xml:space="preserve"> rozproszenie ryzyka w hodowli lasu</w:t>
      </w:r>
      <w:r w:rsidRPr="00E944AF">
        <w:t xml:space="preserve"> na możliwie dużą liczbę gatunków drzew dostosowanych do warunków siedliskowych</w:t>
      </w:r>
      <w:r>
        <w:t xml:space="preserve"> –</w:t>
      </w:r>
      <w:r w:rsidRPr="00E944AF">
        <w:t xml:space="preserve"> co pozwoli na zminimalizowanie ryzyka zamierania drzewostanów</w:t>
      </w:r>
      <w:r w:rsidR="00801D64">
        <w:t xml:space="preserve">. </w:t>
      </w:r>
      <w:r w:rsidRPr="00E944AF">
        <w:lastRenderedPageBreak/>
        <w:t xml:space="preserve">Drzewostany zubożone gatunkowo i uproszczone strukturalnie będą przebudowywane w kierunku bardziej różnorodnych. </w:t>
      </w:r>
      <w:r w:rsidR="009D7B3C">
        <w:t>Wpłynie to również na zapewnienie</w:t>
      </w:r>
      <w:r w:rsidR="009D7B3C" w:rsidRPr="00E944AF">
        <w:t xml:space="preserve"> właściwej </w:t>
      </w:r>
      <w:r w:rsidR="009D7B3C">
        <w:t xml:space="preserve">– czyli zróżnicowanej </w:t>
      </w:r>
      <w:r w:rsidR="009D7B3C" w:rsidRPr="00E944AF">
        <w:t>struktury wiekowej</w:t>
      </w:r>
      <w:r w:rsidR="009D7B3C">
        <w:t xml:space="preserve"> drzewostanów</w:t>
      </w:r>
      <w:r w:rsidR="009D7B3C" w:rsidRPr="00E944AF">
        <w:t>.</w:t>
      </w:r>
    </w:p>
    <w:p w14:paraId="6F590730" w14:textId="60084FDC" w:rsidR="00CB6B30" w:rsidRDefault="00E13158" w:rsidP="000E6C24">
      <w:r w:rsidRPr="00380E2E">
        <w:rPr>
          <w:b/>
          <w:bCs/>
        </w:rPr>
        <w:t>Naturalne odnowienie lasu</w:t>
      </w:r>
      <w:r w:rsidRPr="00E944AF">
        <w:t xml:space="preserve"> będzie inicjowane wszędzie tam, gdzie jest to możliwe i uzasadnione, z</w:t>
      </w:r>
      <w:r w:rsidR="00801D64">
        <w:t> </w:t>
      </w:r>
      <w:r w:rsidRPr="00E944AF">
        <w:t xml:space="preserve">wykorzystaniem już istniejących odnowień naturalnych, a na terenach trudnych do odnowienia będzie wykorzystywana również </w:t>
      </w:r>
      <w:r w:rsidRPr="00380E2E">
        <w:rPr>
          <w:b/>
          <w:bCs/>
        </w:rPr>
        <w:t>sukcesja naturalna</w:t>
      </w:r>
      <w:r w:rsidRPr="00E944AF">
        <w:t xml:space="preserve">. </w:t>
      </w:r>
      <w:r w:rsidR="00074315">
        <w:t xml:space="preserve">Przyspieszy to proces </w:t>
      </w:r>
      <w:r w:rsidR="00074315" w:rsidRPr="00074315">
        <w:rPr>
          <w:b/>
          <w:bCs/>
        </w:rPr>
        <w:t>odbudowy trwałych lasów</w:t>
      </w:r>
      <w:r w:rsidR="00074315">
        <w:t xml:space="preserve"> i</w:t>
      </w:r>
      <w:r w:rsidR="00C20789">
        <w:t> </w:t>
      </w:r>
      <w:r w:rsidR="00074315">
        <w:t xml:space="preserve">przyczyni się do wiązania węgla w biomasie. </w:t>
      </w:r>
      <w:r w:rsidRPr="00E944AF">
        <w:t>Planuje się także wykorzystywanie jak najmniej inwazyjnych sposobów przygotowania gleby pod odnowienie lasu, a</w:t>
      </w:r>
      <w:r w:rsidR="00380E2E">
        <w:t xml:space="preserve"> </w:t>
      </w:r>
      <w:r w:rsidRPr="00E944AF">
        <w:t>w</w:t>
      </w:r>
      <w:r w:rsidR="00380E2E">
        <w:t xml:space="preserve"> </w:t>
      </w:r>
      <w:r w:rsidRPr="00E944AF">
        <w:t xml:space="preserve">sprzyjających warunkach odnowienie lasu bez przygotowania gleby, w celu ograniczenia emisji z tym związanych. </w:t>
      </w:r>
      <w:r w:rsidR="000E6C24" w:rsidRPr="009F0481">
        <w:t xml:space="preserve">W tym kontekście ważnym jest </w:t>
      </w:r>
      <w:r w:rsidR="004F6173" w:rsidRPr="004F6173">
        <w:t>rozwój technik węglochłonnych w gospodarce leśnej</w:t>
      </w:r>
      <w:r w:rsidR="004F6173">
        <w:t xml:space="preserve">, </w:t>
      </w:r>
      <w:r w:rsidR="000E6C24">
        <w:t xml:space="preserve">m.in. </w:t>
      </w:r>
      <w:r w:rsidR="000E6C24" w:rsidRPr="009F0481">
        <w:t>poprzez wprowadzanie nowego pokolenia pod osłoną starych drzew</w:t>
      </w:r>
      <w:r w:rsidR="00766AB0">
        <w:t>,</w:t>
      </w:r>
      <w:r w:rsidR="000E6C24" w:rsidRPr="009F0481">
        <w:t xml:space="preserve"> </w:t>
      </w:r>
      <w:r w:rsidR="00400BF3">
        <w:t>co</w:t>
      </w:r>
      <w:r w:rsidR="000E6C24" w:rsidRPr="009F0481">
        <w:t xml:space="preserve"> wpłynie na zwiększenie naturalnej zdolności pochłaniana CO</w:t>
      </w:r>
      <w:r w:rsidR="000E6C24" w:rsidRPr="009F0481">
        <w:rPr>
          <w:vertAlign w:val="subscript"/>
        </w:rPr>
        <w:t>2</w:t>
      </w:r>
      <w:r w:rsidR="000E6C24" w:rsidRPr="009F0481">
        <w:t>.</w:t>
      </w:r>
      <w:r w:rsidR="00CB6B30">
        <w:t xml:space="preserve"> Wykorzystując unijne ramy certyfikacji CO</w:t>
      </w:r>
      <w:r w:rsidR="00CB6B30" w:rsidRPr="00DB0948">
        <w:rPr>
          <w:vertAlign w:val="subscript"/>
        </w:rPr>
        <w:t>2</w:t>
      </w:r>
      <w:r w:rsidR="00CB6B30">
        <w:rPr>
          <w:rStyle w:val="Odwoanieprzypisudolnego"/>
        </w:rPr>
        <w:footnoteReference w:id="60"/>
      </w:r>
      <w:r w:rsidR="00CB6B30">
        <w:t xml:space="preserve">, planuje się </w:t>
      </w:r>
      <w:r w:rsidR="00CB6B30" w:rsidRPr="00CB6B30">
        <w:t xml:space="preserve">sprzedaż </w:t>
      </w:r>
      <w:r w:rsidR="00CB6B30">
        <w:t xml:space="preserve">dodatkowo pochłoniętych </w:t>
      </w:r>
      <w:r w:rsidR="00CB6B30" w:rsidRPr="00CB6B30">
        <w:t>jednostek pochłaniania CO</w:t>
      </w:r>
      <w:r w:rsidR="00CB6B30" w:rsidRPr="00DB0948">
        <w:rPr>
          <w:vertAlign w:val="subscript"/>
        </w:rPr>
        <w:t>2</w:t>
      </w:r>
      <w:r w:rsidR="00CB6B30" w:rsidRPr="00CB6B30">
        <w:t>, co</w:t>
      </w:r>
      <w:r w:rsidR="00312A70">
        <w:t> </w:t>
      </w:r>
      <w:r w:rsidR="00CB6B30" w:rsidRPr="00CB6B30">
        <w:t xml:space="preserve">może </w:t>
      </w:r>
      <w:r w:rsidR="00DB0948">
        <w:t>stanowić nowy strumień</w:t>
      </w:r>
      <w:r w:rsidR="00CB6B30" w:rsidRPr="00CB6B30">
        <w:t xml:space="preserve"> przychod</w:t>
      </w:r>
      <w:r w:rsidR="00DB0948">
        <w:t>ów</w:t>
      </w:r>
      <w:r w:rsidR="00CB6B30" w:rsidRPr="00CB6B30">
        <w:t xml:space="preserve"> dla sektora leśnego i gospodarki</w:t>
      </w:r>
      <w:r w:rsidR="00CB6B30">
        <w:t>.</w:t>
      </w:r>
    </w:p>
    <w:p w14:paraId="5D203C43" w14:textId="39EC8F2D" w:rsidR="00590F25" w:rsidRDefault="00E13158" w:rsidP="00080BA7">
      <w:r w:rsidRPr="00E944AF">
        <w:t xml:space="preserve">Gospodarka leśna będzie wspierać procesy naturalne, które sprzyjają </w:t>
      </w:r>
      <w:r w:rsidRPr="00380E2E">
        <w:rPr>
          <w:b/>
          <w:bCs/>
        </w:rPr>
        <w:t>zwiększaniu różnorodności biologicznej w lasach</w:t>
      </w:r>
      <w:r w:rsidRPr="00E944AF">
        <w:t>, a</w:t>
      </w:r>
      <w:r>
        <w:t> </w:t>
      </w:r>
      <w:r w:rsidRPr="00E944AF">
        <w:t>określony typ drzewostanu będzie miał charakter dynamiczny – zmienny w</w:t>
      </w:r>
      <w:r w:rsidR="002871BF">
        <w:t> </w:t>
      </w:r>
      <w:r w:rsidRPr="00E944AF">
        <w:t>czasie</w:t>
      </w:r>
      <w:r w:rsidR="00074315">
        <w:t>. P</w:t>
      </w:r>
      <w:r w:rsidRPr="00E944AF">
        <w:t xml:space="preserve">ozwoli </w:t>
      </w:r>
      <w:r w:rsidR="00074315">
        <w:t xml:space="preserve">to </w:t>
      </w:r>
      <w:r w:rsidRPr="00E944AF">
        <w:t xml:space="preserve">na uwzględnienie cech biologicznych i wymagań ekologicznych poszczególnych gatunków drzew i </w:t>
      </w:r>
      <w:r>
        <w:t xml:space="preserve">także </w:t>
      </w:r>
      <w:r w:rsidRPr="00E944AF">
        <w:t>pozwoli na przystosowanie drzewostanów do nowych warunków</w:t>
      </w:r>
      <w:r w:rsidR="000A4ADB">
        <w:t xml:space="preserve"> klimatycznych</w:t>
      </w:r>
      <w:r w:rsidRPr="00E944AF">
        <w:t xml:space="preserve">. </w:t>
      </w:r>
      <w:r w:rsidRPr="00F12C9E">
        <w:rPr>
          <w:b/>
          <w:bCs/>
        </w:rPr>
        <w:t>Cięcia pielęgnacyjne drzewostanów</w:t>
      </w:r>
      <w:r w:rsidRPr="00E944AF">
        <w:t xml:space="preserve"> zostaną ukierunkowanie na stabilność, żywotność i trwałość lasów, na poprawę jakości produkcji oraz preferowanie gatunków i osobników drzew mających zdolności adaptacyjne do zmieniających się warunków środowiska i klimatu. </w:t>
      </w:r>
      <w:r w:rsidR="000A4ADB">
        <w:t>W</w:t>
      </w:r>
      <w:r w:rsidRPr="00E944AF">
        <w:t xml:space="preserve">ykorzystane </w:t>
      </w:r>
      <w:r w:rsidR="000A4ADB">
        <w:t xml:space="preserve">zostaną </w:t>
      </w:r>
      <w:r w:rsidRPr="00E944AF">
        <w:t xml:space="preserve">także najnowsze osiągnięcia w </w:t>
      </w:r>
      <w:r w:rsidRPr="00F12C9E">
        <w:rPr>
          <w:b/>
          <w:bCs/>
        </w:rPr>
        <w:t>selekcyjnej hodowli drzew leśnych</w:t>
      </w:r>
      <w:r w:rsidRPr="00E944AF">
        <w:t xml:space="preserve">. </w:t>
      </w:r>
      <w:r w:rsidR="00852292">
        <w:t xml:space="preserve">Wskazane </w:t>
      </w:r>
      <w:r w:rsidR="00852292" w:rsidRPr="00402BA3">
        <w:t xml:space="preserve">działania będą </w:t>
      </w:r>
      <w:r w:rsidR="0060329C" w:rsidRPr="00402BA3">
        <w:rPr>
          <w:b/>
          <w:bCs/>
        </w:rPr>
        <w:t>służyć przeciwdziałaniu zamierania lasów</w:t>
      </w:r>
      <w:r w:rsidR="00402BA3" w:rsidRPr="00402BA3">
        <w:t xml:space="preserve"> </w:t>
      </w:r>
      <w:r w:rsidR="00402BA3" w:rsidRPr="00402BA3">
        <w:rPr>
          <w:b/>
          <w:bCs/>
        </w:rPr>
        <w:t>w kontekście zmian klimatu</w:t>
      </w:r>
      <w:r w:rsidR="00402BA3" w:rsidRPr="00402BA3">
        <w:t>, a</w:t>
      </w:r>
      <w:r w:rsidR="0060329C" w:rsidRPr="00402BA3">
        <w:t xml:space="preserve"> p</w:t>
      </w:r>
      <w:r w:rsidR="00852292" w:rsidRPr="00402BA3">
        <w:t xml:space="preserve">odejmowane </w:t>
      </w:r>
      <w:r w:rsidR="0060329C" w:rsidRPr="00402BA3">
        <w:t xml:space="preserve">będą </w:t>
      </w:r>
      <w:r w:rsidR="00766AB0">
        <w:t>przede wszystkim</w:t>
      </w:r>
      <w:r w:rsidR="0060329C" w:rsidRPr="00402BA3">
        <w:t xml:space="preserve"> </w:t>
      </w:r>
      <w:r w:rsidR="00852292" w:rsidRPr="00402BA3">
        <w:t xml:space="preserve">na terenie </w:t>
      </w:r>
      <w:r w:rsidR="00030E13" w:rsidRPr="00402BA3">
        <w:t xml:space="preserve">Państwowego Gospodarstwa </w:t>
      </w:r>
      <w:r w:rsidR="00852292" w:rsidRPr="00402BA3">
        <w:t>Las</w:t>
      </w:r>
      <w:r w:rsidR="00030E13" w:rsidRPr="00402BA3">
        <w:t>y</w:t>
      </w:r>
      <w:r w:rsidR="00852292" w:rsidRPr="00402BA3">
        <w:t xml:space="preserve"> Państwow</w:t>
      </w:r>
      <w:r w:rsidR="00030E13" w:rsidRPr="00402BA3">
        <w:t>e (</w:t>
      </w:r>
      <w:r w:rsidR="009D7B3C">
        <w:t>PGL LP</w:t>
      </w:r>
      <w:r w:rsidR="00030E13" w:rsidRPr="00402BA3">
        <w:t>)</w:t>
      </w:r>
      <w:r w:rsidR="00852292" w:rsidRPr="00402BA3">
        <w:t xml:space="preserve"> zgodnie z </w:t>
      </w:r>
      <w:r w:rsidR="00852292" w:rsidRPr="00402BA3">
        <w:rPr>
          <w:i/>
          <w:iCs/>
        </w:rPr>
        <w:t>Instr</w:t>
      </w:r>
      <w:r w:rsidR="00852292" w:rsidRPr="00115EB7">
        <w:rPr>
          <w:i/>
          <w:iCs/>
        </w:rPr>
        <w:t xml:space="preserve">ukcją </w:t>
      </w:r>
      <w:r w:rsidR="00852292">
        <w:rPr>
          <w:i/>
          <w:iCs/>
        </w:rPr>
        <w:t>U</w:t>
      </w:r>
      <w:r w:rsidR="00852292" w:rsidRPr="00115EB7">
        <w:rPr>
          <w:i/>
          <w:iCs/>
        </w:rPr>
        <w:t xml:space="preserve">rządzania </w:t>
      </w:r>
      <w:r w:rsidR="00852292">
        <w:rPr>
          <w:i/>
          <w:iCs/>
        </w:rPr>
        <w:t>L</w:t>
      </w:r>
      <w:r w:rsidR="00852292" w:rsidRPr="00115EB7">
        <w:rPr>
          <w:i/>
          <w:iCs/>
        </w:rPr>
        <w:t>asu</w:t>
      </w:r>
      <w:r w:rsidR="00852292">
        <w:t xml:space="preserve"> oraz innymi dokumentami wewnętrznymi </w:t>
      </w:r>
      <w:r w:rsidR="009D7B3C" w:rsidRPr="00402BA3">
        <w:t xml:space="preserve">Leśnego </w:t>
      </w:r>
      <w:r w:rsidR="009D7B3C">
        <w:t>PGL LP</w:t>
      </w:r>
      <w:r w:rsidR="00852292">
        <w:t>.</w:t>
      </w:r>
    </w:p>
    <w:p w14:paraId="44A1C27A" w14:textId="7152013B" w:rsidR="00080BA7" w:rsidRDefault="009D7B3C" w:rsidP="00080BA7">
      <w:r>
        <w:t>N</w:t>
      </w:r>
      <w:r w:rsidR="00590F25">
        <w:t>a terenie Las</w:t>
      </w:r>
      <w:r w:rsidR="00030E13">
        <w:t>ów</w:t>
      </w:r>
      <w:r w:rsidR="00590F25">
        <w:t xml:space="preserve"> Państwow</w:t>
      </w:r>
      <w:r w:rsidR="00030E13">
        <w:t>ych</w:t>
      </w:r>
      <w:r w:rsidR="00E13158" w:rsidRPr="00E944AF">
        <w:t xml:space="preserve"> zostaną wykorzystane kryteria paneuropejskie do planowania zrównoważonej gospodarki leśnej, które będą oznaczać </w:t>
      </w:r>
      <w:r w:rsidR="00400BF3">
        <w:t>dążenie do</w:t>
      </w:r>
      <w:r w:rsidR="00400BF3" w:rsidRPr="00E944AF">
        <w:t xml:space="preserve"> </w:t>
      </w:r>
      <w:r w:rsidR="00E13158" w:rsidRPr="00E944AF">
        <w:t xml:space="preserve">zachowania i wzmacniania zasobów leśnych, utrzymanie zdrowia i witalności lasów, utrzymanie produkcyjnych funkcji lasów, zachowania różnorodności biologicznej lasów, zachowania funkcji ochronnych oraz utrzymania uwarunkowań społeczno-ekonomicznych lasów. </w:t>
      </w:r>
      <w:r w:rsidR="00A42840">
        <w:t xml:space="preserve">Dzięki tym działaniom zostanie odpowiednio </w:t>
      </w:r>
      <w:r w:rsidR="00A42840" w:rsidRPr="00A42840">
        <w:t xml:space="preserve">uwzględniony </w:t>
      </w:r>
      <w:r w:rsidR="00365B44">
        <w:t xml:space="preserve">stosunek </w:t>
      </w:r>
      <w:r w:rsidR="00A42840" w:rsidRPr="00A42840">
        <w:t>użytkowania do przyrostu</w:t>
      </w:r>
      <w:r w:rsidR="00A42840">
        <w:t xml:space="preserve">, </w:t>
      </w:r>
      <w:r w:rsidR="006568D1">
        <w:t>pozwalający</w:t>
      </w:r>
      <w:r w:rsidR="00A42840" w:rsidRPr="00A42840">
        <w:t xml:space="preserve"> na zwiększenie zasobów leśnych</w:t>
      </w:r>
      <w:r w:rsidR="00A42840">
        <w:t xml:space="preserve">. </w:t>
      </w:r>
      <w:r w:rsidR="00E13158" w:rsidRPr="00E944AF">
        <w:t>Działania zwiększające możliwości sekwestracyjne w lasach mają jednak</w:t>
      </w:r>
      <w:r w:rsidR="00974007">
        <w:t xml:space="preserve">  </w:t>
      </w:r>
      <w:r w:rsidR="00E13158" w:rsidRPr="00E944AF">
        <w:t>ograniczenia wynikające z</w:t>
      </w:r>
      <w:r w:rsidR="00F12C9E">
        <w:t xml:space="preserve"> </w:t>
      </w:r>
      <w:r w:rsidR="00E13158" w:rsidRPr="00E944AF">
        <w:t>długości życia drzew</w:t>
      </w:r>
      <w:r w:rsidR="00A42840">
        <w:t xml:space="preserve">, dlatego </w:t>
      </w:r>
      <w:r w:rsidR="00A42840" w:rsidRPr="00A42840">
        <w:t>rezultaty powinny być rozpatrywane w stosunku do lasów w</w:t>
      </w:r>
      <w:r w:rsidR="00A42840">
        <w:t> </w:t>
      </w:r>
      <w:r w:rsidR="00A42840" w:rsidRPr="00A42840">
        <w:t>perspektywie znacznie wykraczającej poza 2030</w:t>
      </w:r>
      <w:r w:rsidR="00A42840">
        <w:t xml:space="preserve"> r</w:t>
      </w:r>
      <w:r w:rsidR="00E13158" w:rsidRPr="00E944AF">
        <w:t>.</w:t>
      </w:r>
    </w:p>
    <w:p w14:paraId="60D0AB2C" w14:textId="2FE30CEE" w:rsidR="00CB6B30" w:rsidRDefault="00A42840" w:rsidP="006568D1">
      <w:r w:rsidRPr="00A42840">
        <w:t>Planowan</w:t>
      </w:r>
      <w:r w:rsidR="00AE0194">
        <w:t>e</w:t>
      </w:r>
      <w:r w:rsidRPr="00A42840">
        <w:t xml:space="preserve"> </w:t>
      </w:r>
      <w:r w:rsidRPr="00C674A1">
        <w:t xml:space="preserve">jest </w:t>
      </w:r>
      <w:r w:rsidR="00D65F80" w:rsidRPr="00C674A1">
        <w:rPr>
          <w:b/>
          <w:bCs/>
        </w:rPr>
        <w:t xml:space="preserve">trwałe ograniczenie </w:t>
      </w:r>
      <w:r w:rsidR="00F51648" w:rsidRPr="00C674A1">
        <w:rPr>
          <w:b/>
          <w:bCs/>
        </w:rPr>
        <w:t>użytkowania gospodarczego</w:t>
      </w:r>
      <w:r w:rsidR="00F51648" w:rsidRPr="00C674A1">
        <w:t xml:space="preserve"> </w:t>
      </w:r>
      <w:r w:rsidR="00DB33A7" w:rsidRPr="007B1EF7">
        <w:rPr>
          <w:b/>
        </w:rPr>
        <w:t>celem</w:t>
      </w:r>
      <w:r w:rsidR="00F23752">
        <w:t xml:space="preserve"> </w:t>
      </w:r>
      <w:r w:rsidR="00AE0194">
        <w:rPr>
          <w:b/>
          <w:bCs/>
        </w:rPr>
        <w:t>wzmocnieni</w:t>
      </w:r>
      <w:r w:rsidR="00DB33A7">
        <w:rPr>
          <w:b/>
          <w:bCs/>
        </w:rPr>
        <w:t>a</w:t>
      </w:r>
      <w:r w:rsidR="00AE0194">
        <w:rPr>
          <w:b/>
          <w:bCs/>
        </w:rPr>
        <w:t xml:space="preserve"> funkcji przyrodniczych i społecznych na</w:t>
      </w:r>
      <w:r w:rsidR="00402BA3" w:rsidRPr="00C674A1">
        <w:rPr>
          <w:b/>
        </w:rPr>
        <w:t xml:space="preserve"> powierzchni ok. </w:t>
      </w:r>
      <w:r w:rsidRPr="00C674A1">
        <w:rPr>
          <w:b/>
        </w:rPr>
        <w:t>20</w:t>
      </w:r>
      <w:r w:rsidR="00365B44" w:rsidRPr="00C674A1">
        <w:rPr>
          <w:b/>
        </w:rPr>
        <w:t>%</w:t>
      </w:r>
      <w:r w:rsidRPr="00C674A1">
        <w:rPr>
          <w:b/>
        </w:rPr>
        <w:t xml:space="preserve"> polskich </w:t>
      </w:r>
      <w:r w:rsidR="00AE0194">
        <w:rPr>
          <w:b/>
        </w:rPr>
        <w:t>lasów na gruntach Skarbu Państwa zarządzanych przez Lasy Państwowe</w:t>
      </w:r>
      <w:r w:rsidR="00402BA3" w:rsidRPr="00C674A1">
        <w:t xml:space="preserve">, m.in. </w:t>
      </w:r>
      <w:r w:rsidR="00FF1BAD" w:rsidRPr="00C674A1">
        <w:t>poprzez ustanowienie lasów społecznych oraz ochronę lasów cennych przyrodniczo</w:t>
      </w:r>
      <w:r w:rsidR="00F51648">
        <w:t xml:space="preserve"> </w:t>
      </w:r>
      <w:r w:rsidR="00D65F80" w:rsidRPr="00D65F80">
        <w:t>o wysokiej wartości przyrodniczej oraz wysokim potencjale w zakresie trwałego magazynowania węgla</w:t>
      </w:r>
      <w:r w:rsidR="00AC00DA">
        <w:t>,</w:t>
      </w:r>
      <w:r w:rsidR="00AC00DA" w:rsidRPr="00AC00DA">
        <w:t xml:space="preserve"> w tym obszarów wytypowanych w ramach Ogólnopolskiej Narady o Lasach</w:t>
      </w:r>
      <w:r w:rsidR="00AC00DA">
        <w:t xml:space="preserve">. </w:t>
      </w:r>
    </w:p>
    <w:p w14:paraId="5323FF7A" w14:textId="73F17A44" w:rsidR="006568D1" w:rsidRDefault="00D6734D" w:rsidP="006568D1">
      <w:r>
        <w:t xml:space="preserve">Planuje się również </w:t>
      </w:r>
      <w:bookmarkStart w:id="200" w:name="_Hlk175310876"/>
      <w:r w:rsidRPr="00DB57B1">
        <w:rPr>
          <w:b/>
          <w:bCs/>
        </w:rPr>
        <w:t>zwiększenie zasobów wodnych w lasach</w:t>
      </w:r>
      <w:r>
        <w:t>, co ułatwi adaptację lasów do prognozowanych zmian klima</w:t>
      </w:r>
      <w:bookmarkEnd w:id="200"/>
      <w:r>
        <w:t xml:space="preserve">tu, m.in. poprzez </w:t>
      </w:r>
      <w:r w:rsidRPr="00D22833">
        <w:t xml:space="preserve">budowanie i modernizację obiektów małej retencji (przyczyniającej się do zatrzymania wody w lasach) czy odtworzenie siedlisk hydrogenicznych </w:t>
      </w:r>
      <w:r w:rsidR="009949CF">
        <w:t xml:space="preserve">będących </w:t>
      </w:r>
      <w:r w:rsidR="00F407A7">
        <w:t>szczególnie zasobnym magazynem węgla</w:t>
      </w:r>
      <w:r w:rsidRPr="00D22833">
        <w:t xml:space="preserve"> (bagna, torfowiska i tereny podmokłe)</w:t>
      </w:r>
      <w:r w:rsidR="0049497D">
        <w:t xml:space="preserve">, </w:t>
      </w:r>
      <w:r w:rsidR="00F407A7">
        <w:t xml:space="preserve">w tym </w:t>
      </w:r>
      <w:r w:rsidR="00E8683D" w:rsidRPr="00E8683D">
        <w:t>wyłączenie lasów na siedliskach bagiennych i zalewowych</w:t>
      </w:r>
      <w:r w:rsidR="00CC1D54" w:rsidRPr="00CC1D54">
        <w:t xml:space="preserve"> </w:t>
      </w:r>
      <w:r w:rsidR="00CC1D54" w:rsidRPr="00E8683D">
        <w:t>z gospodarki leśnej</w:t>
      </w:r>
      <w:r w:rsidR="00CC1D54">
        <w:t>.</w:t>
      </w:r>
    </w:p>
    <w:p w14:paraId="4B3CD199" w14:textId="433D8C89" w:rsidR="00A42840" w:rsidRDefault="009D7B3C" w:rsidP="00080BA7">
      <w:r>
        <w:t xml:space="preserve">Zarówno z punktu widzenia pochłaniania emisji </w:t>
      </w:r>
      <w:r w:rsidR="00AD0FB0">
        <w:t>GHG</w:t>
      </w:r>
      <w:r>
        <w:t>, jak i adaptacji do zmian klimatu niezbędne są działania w obszarze przeciwpożarowym. Z tego względu u</w:t>
      </w:r>
      <w:r w:rsidRPr="00E944AF">
        <w:t>trzym</w:t>
      </w:r>
      <w:r>
        <w:t>yw</w:t>
      </w:r>
      <w:r w:rsidRPr="00E944AF">
        <w:t>ana i</w:t>
      </w:r>
      <w:r>
        <w:t xml:space="preserve"> </w:t>
      </w:r>
      <w:r w:rsidRPr="00E944AF">
        <w:t>rozbudow</w:t>
      </w:r>
      <w:r>
        <w:t>yw</w:t>
      </w:r>
      <w:r w:rsidRPr="00E944AF">
        <w:t xml:space="preserve">ana </w:t>
      </w:r>
      <w:r>
        <w:t>będzie</w:t>
      </w:r>
      <w:r w:rsidRPr="00E944AF">
        <w:t xml:space="preserve"> </w:t>
      </w:r>
      <w:r w:rsidRPr="00F12C9E">
        <w:rPr>
          <w:b/>
          <w:bCs/>
        </w:rPr>
        <w:lastRenderedPageBreak/>
        <w:t>infrastruktura przeciwpożarowa</w:t>
      </w:r>
      <w:r w:rsidRPr="00590F25">
        <w:t xml:space="preserve"> w ponad </w:t>
      </w:r>
      <w:r>
        <w:t>200 nadleśnictwach, co przełoży się na ograniczenie emisji z</w:t>
      </w:r>
      <w:r w:rsidR="001F506E">
        <w:t> </w:t>
      </w:r>
      <w:r>
        <w:t>pożarów lasów które prowadzą do uwalniania dużych ilości CO</w:t>
      </w:r>
      <w:r w:rsidRPr="00F6570E">
        <w:rPr>
          <w:vertAlign w:val="subscript"/>
        </w:rPr>
        <w:t>2</w:t>
      </w:r>
      <w:r>
        <w:t xml:space="preserve"> zakumulowanych w drzewach</w:t>
      </w:r>
      <w:r w:rsidRPr="00E944AF">
        <w:t xml:space="preserve">. </w:t>
      </w:r>
    </w:p>
    <w:p w14:paraId="2818B889" w14:textId="5E0E8DF3" w:rsidR="002404A7" w:rsidRDefault="00F13A6D" w:rsidP="00080BA7">
      <w:r>
        <w:t xml:space="preserve">W trakcie jest </w:t>
      </w:r>
      <w:r w:rsidR="002404A7" w:rsidRPr="00F13A6D">
        <w:rPr>
          <w:b/>
          <w:bCs/>
        </w:rPr>
        <w:t>opracowani</w:t>
      </w:r>
      <w:r w:rsidR="00400BF3">
        <w:rPr>
          <w:b/>
          <w:bCs/>
        </w:rPr>
        <w:t>e</w:t>
      </w:r>
      <w:r w:rsidR="002404A7" w:rsidRPr="00F13A6D">
        <w:rPr>
          <w:b/>
          <w:bCs/>
        </w:rPr>
        <w:t xml:space="preserve"> Narodowego Programu Leśnego</w:t>
      </w:r>
      <w:r w:rsidR="002404A7" w:rsidRPr="002404A7">
        <w:t>, który będzie stanowił kompleksową, długoterminową strategię rozwoju i transformacji leśnictwa</w:t>
      </w:r>
      <w:r>
        <w:t>.</w:t>
      </w:r>
      <w:r w:rsidR="006E2C67" w:rsidRPr="006E2C67">
        <w:t xml:space="preserve"> Będzie on uwzględniać wielowymiarowość zarządzania zasobami </w:t>
      </w:r>
      <w:r w:rsidR="00766AB0">
        <w:t>leśnymi</w:t>
      </w:r>
      <w:r w:rsidR="00766AB0" w:rsidRPr="006E2C67">
        <w:t xml:space="preserve"> </w:t>
      </w:r>
      <w:r w:rsidR="006E2C67" w:rsidRPr="006E2C67">
        <w:t>w kontekście potrzeb ochrony przyrody, adaptacji do zmian klimatu, sekwestracji węgla, wykorzystania materiałowego i energetycznego drewna oraz funkcji społecznych lasów. Weźmie ona pod uwagę potrzebę zrównoważenia różnych funkcji pełnionych przez polskie lasy</w:t>
      </w:r>
      <w:r w:rsidR="001E301F">
        <w:t>.</w:t>
      </w:r>
    </w:p>
    <w:p w14:paraId="5F5E5E3C" w14:textId="1ECBFE3F" w:rsidR="004C2D99" w:rsidRDefault="00624987" w:rsidP="00E769EB">
      <w:pPr>
        <w:spacing w:before="360"/>
      </w:pPr>
      <w:r w:rsidRPr="004C2D99">
        <w:rPr>
          <w:b/>
          <w:bCs/>
        </w:rPr>
        <w:t xml:space="preserve">Pochłanianie emisji </w:t>
      </w:r>
      <w:r w:rsidR="00AD0FB0">
        <w:rPr>
          <w:b/>
          <w:bCs/>
        </w:rPr>
        <w:t>GHG</w:t>
      </w:r>
      <w:r>
        <w:rPr>
          <w:b/>
          <w:bCs/>
        </w:rPr>
        <w:t xml:space="preserve"> </w:t>
      </w:r>
      <w:r w:rsidRPr="004C2D99">
        <w:rPr>
          <w:b/>
          <w:bCs/>
        </w:rPr>
        <w:t>przez</w:t>
      </w:r>
      <w:r>
        <w:rPr>
          <w:b/>
          <w:bCs/>
        </w:rPr>
        <w:t xml:space="preserve"> rolnictwo</w:t>
      </w:r>
    </w:p>
    <w:p w14:paraId="55C19DF8" w14:textId="6FF2E652" w:rsidR="002A4D48" w:rsidRDefault="008D032C" w:rsidP="00DE7A4A">
      <w:pPr>
        <w:spacing w:after="80"/>
      </w:pPr>
      <w:r>
        <w:t xml:space="preserve">Choć znacznie mniejszym stopniu niż grunty leśne, do </w:t>
      </w:r>
      <w:r w:rsidR="002F444D" w:rsidRPr="002F444D">
        <w:t xml:space="preserve">zwiększenia zasobów węgla w glebie i ograniczenia jego uwalniania do atmosfery będą przyczyniać się </w:t>
      </w:r>
      <w:r w:rsidR="002F444D">
        <w:t xml:space="preserve">również </w:t>
      </w:r>
      <w:r w:rsidR="002F444D" w:rsidRPr="002F444D">
        <w:t xml:space="preserve">działania podejmowane </w:t>
      </w:r>
      <w:r w:rsidR="002F444D" w:rsidRPr="002A4D48">
        <w:rPr>
          <w:b/>
          <w:bCs/>
        </w:rPr>
        <w:t>w rolnictwie</w:t>
      </w:r>
      <w:r w:rsidR="002F444D" w:rsidRPr="002F444D">
        <w:t xml:space="preserve">. Trzeba jednak podkreślić, </w:t>
      </w:r>
      <w:r w:rsidR="00852EDC">
        <w:t>ż</w:t>
      </w:r>
      <w:r w:rsidR="002F444D" w:rsidRPr="002F444D">
        <w:t>e potencjał pochłaniania w</w:t>
      </w:r>
      <w:r w:rsidR="002F444D">
        <w:t> </w:t>
      </w:r>
      <w:r w:rsidR="002F444D" w:rsidRPr="002F444D">
        <w:t>tym sektorze jest stosunkowo niewielki</w:t>
      </w:r>
      <w:r>
        <w:t>,</w:t>
      </w:r>
      <w:r w:rsidR="002F444D" w:rsidRPr="002F444D">
        <w:t xml:space="preserve"> a jego </w:t>
      </w:r>
      <w:r w:rsidR="0031039F">
        <w:t xml:space="preserve">realizacja musi mieć na uwadze </w:t>
      </w:r>
      <w:r w:rsidR="00272ABE">
        <w:t>zapewnienie bezpieczeństwa żywnościowego</w:t>
      </w:r>
      <w:r w:rsidR="002F444D" w:rsidRPr="002F444D">
        <w:t xml:space="preserve">. Działania na rzecz zwiększenia pochłaniania węgla w rolnictwie </w:t>
      </w:r>
      <w:r w:rsidR="00852EDC">
        <w:t xml:space="preserve">są </w:t>
      </w:r>
      <w:r w:rsidR="002F444D" w:rsidRPr="002F444D">
        <w:t xml:space="preserve">realizowane </w:t>
      </w:r>
      <w:r w:rsidR="002A4D48">
        <w:t xml:space="preserve">w ramach </w:t>
      </w:r>
      <w:r w:rsidR="002A4D48" w:rsidRPr="00971DC1">
        <w:rPr>
          <w:i/>
          <w:iCs/>
        </w:rPr>
        <w:t>Planu Strategicznego W</w:t>
      </w:r>
      <w:r w:rsidR="005C6B46" w:rsidRPr="00971DC1">
        <w:rPr>
          <w:i/>
          <w:iCs/>
        </w:rPr>
        <w:t xml:space="preserve">spólnej </w:t>
      </w:r>
      <w:r w:rsidR="002A4D48" w:rsidRPr="00971DC1">
        <w:rPr>
          <w:i/>
          <w:iCs/>
        </w:rPr>
        <w:t>P</w:t>
      </w:r>
      <w:r w:rsidR="005C6B46" w:rsidRPr="00971DC1">
        <w:rPr>
          <w:i/>
          <w:iCs/>
        </w:rPr>
        <w:t xml:space="preserve">olityki </w:t>
      </w:r>
      <w:r w:rsidR="002A4D48" w:rsidRPr="00971DC1">
        <w:rPr>
          <w:i/>
          <w:iCs/>
        </w:rPr>
        <w:t>R</w:t>
      </w:r>
      <w:r w:rsidR="005C6B46" w:rsidRPr="00971DC1">
        <w:rPr>
          <w:i/>
          <w:iCs/>
        </w:rPr>
        <w:t>olnej</w:t>
      </w:r>
      <w:r w:rsidR="002A4D48" w:rsidRPr="00971DC1">
        <w:rPr>
          <w:i/>
          <w:iCs/>
        </w:rPr>
        <w:t xml:space="preserve"> na lata 2023-2027</w:t>
      </w:r>
      <w:r w:rsidR="002A4D48">
        <w:t xml:space="preserve"> </w:t>
      </w:r>
      <w:r w:rsidR="002F444D" w:rsidRPr="002F444D">
        <w:t xml:space="preserve">przez </w:t>
      </w:r>
      <w:r w:rsidR="002F444D" w:rsidRPr="002A4D48">
        <w:rPr>
          <w:b/>
          <w:bCs/>
        </w:rPr>
        <w:t>normy warunkowości</w:t>
      </w:r>
      <w:r w:rsidR="002F444D" w:rsidRPr="002F444D">
        <w:t xml:space="preserve">: </w:t>
      </w:r>
    </w:p>
    <w:p w14:paraId="34B2583B" w14:textId="11EC6649" w:rsidR="002A4D48" w:rsidRDefault="002F444D" w:rsidP="002A4D48">
      <w:pPr>
        <w:pStyle w:val="Akapitzlist"/>
        <w:numPr>
          <w:ilvl w:val="0"/>
          <w:numId w:val="1"/>
        </w:numPr>
      </w:pPr>
      <w:r w:rsidRPr="002F444D">
        <w:t>ograniczanie przekształcania trwałych użytków zielonych oraz torfowisk i</w:t>
      </w:r>
      <w:r w:rsidR="00852EDC">
        <w:t> </w:t>
      </w:r>
      <w:r w:rsidRPr="002F444D">
        <w:t xml:space="preserve">terenów podmokłych na grunty orne, </w:t>
      </w:r>
    </w:p>
    <w:p w14:paraId="1C812FD9" w14:textId="351CC16E" w:rsidR="00242187" w:rsidRDefault="002F444D" w:rsidP="002A4D48">
      <w:pPr>
        <w:pStyle w:val="Akapitzlist"/>
        <w:numPr>
          <w:ilvl w:val="0"/>
          <w:numId w:val="1"/>
        </w:numPr>
      </w:pPr>
      <w:r w:rsidRPr="002F444D">
        <w:t>wymóg utrzymywania minimalnej pokrywy glebowej</w:t>
      </w:r>
      <w:r w:rsidR="00242187">
        <w:t>,</w:t>
      </w:r>
    </w:p>
    <w:p w14:paraId="777E7FD7" w14:textId="45214663" w:rsidR="002A4D48" w:rsidRDefault="00FF587A" w:rsidP="002A4D48">
      <w:pPr>
        <w:pStyle w:val="Akapitzlist"/>
        <w:numPr>
          <w:ilvl w:val="0"/>
          <w:numId w:val="1"/>
        </w:numPr>
      </w:pPr>
      <w:r>
        <w:t xml:space="preserve">specjalne wymogi dla </w:t>
      </w:r>
      <w:r w:rsidR="00242187">
        <w:t>używani</w:t>
      </w:r>
      <w:r>
        <w:t>a</w:t>
      </w:r>
      <w:r w:rsidR="00242187">
        <w:t xml:space="preserve"> gleb organicznych</w:t>
      </w:r>
      <w:r w:rsidR="002F444D" w:rsidRPr="002F444D">
        <w:t>.</w:t>
      </w:r>
    </w:p>
    <w:p w14:paraId="5C1B81AE" w14:textId="0BAD7D79" w:rsidR="002A4D48" w:rsidRDefault="002A4D48" w:rsidP="00DE7A4A">
      <w:pPr>
        <w:spacing w:after="80"/>
      </w:pPr>
      <w:r>
        <w:t>Również w ramach Planu w</w:t>
      </w:r>
      <w:r w:rsidR="002F444D" w:rsidRPr="002F444D">
        <w:t xml:space="preserve">spierane będą </w:t>
      </w:r>
      <w:r w:rsidR="002F444D" w:rsidRPr="00D10361">
        <w:rPr>
          <w:b/>
          <w:bCs/>
        </w:rPr>
        <w:t>inwestycje związane z leśnictwem i zadrzewieniami na gruntach ornych oraz praktyki rolnicze</w:t>
      </w:r>
      <w:r w:rsidR="002F444D" w:rsidRPr="002F444D">
        <w:t>, które prowadzą do zwiększenia zasobów węgla w glebie i</w:t>
      </w:r>
      <w:r w:rsidR="00D10361">
        <w:t> </w:t>
      </w:r>
      <w:r w:rsidR="002F444D" w:rsidRPr="002F444D">
        <w:t xml:space="preserve">ograniczają jego uwalnianie do atmosfery. </w:t>
      </w:r>
      <w:r>
        <w:t xml:space="preserve">Dla zwiększenia możliwości sekwestracji węgla w zakresie działań leśnych i zadrzewieniowych największe znaczenie mają trzy interwencje: </w:t>
      </w:r>
    </w:p>
    <w:p w14:paraId="54287AF1" w14:textId="5F00D2A0" w:rsidR="00D10361" w:rsidRDefault="002A4D48" w:rsidP="00D10361">
      <w:pPr>
        <w:pStyle w:val="Akapitzlist"/>
        <w:numPr>
          <w:ilvl w:val="0"/>
          <w:numId w:val="1"/>
        </w:numPr>
      </w:pPr>
      <w:r>
        <w:t>zalesianie gruntów rolnych,</w:t>
      </w:r>
    </w:p>
    <w:p w14:paraId="2595937C" w14:textId="3D9D2B27" w:rsidR="00D10361" w:rsidRDefault="002A4D48" w:rsidP="00D10361">
      <w:pPr>
        <w:pStyle w:val="Akapitzlist"/>
        <w:numPr>
          <w:ilvl w:val="0"/>
          <w:numId w:val="1"/>
        </w:numPr>
      </w:pPr>
      <w:r>
        <w:t xml:space="preserve">tworzenie zadrzewień śródpolnych oraz </w:t>
      </w:r>
    </w:p>
    <w:p w14:paraId="52CA5A89" w14:textId="6F689431" w:rsidR="002A4D48" w:rsidRDefault="002A4D48" w:rsidP="00D10361">
      <w:pPr>
        <w:pStyle w:val="Akapitzlist"/>
        <w:numPr>
          <w:ilvl w:val="0"/>
          <w:numId w:val="1"/>
        </w:numPr>
      </w:pPr>
      <w:r>
        <w:t>zakładanie systemów rolno-leśnych.</w:t>
      </w:r>
      <w:r w:rsidR="003E2DE5">
        <w:t xml:space="preserve"> </w:t>
      </w:r>
    </w:p>
    <w:p w14:paraId="57B1D016" w14:textId="2B357AAB" w:rsidR="005C6B46" w:rsidRDefault="00433BFC" w:rsidP="00DE7A4A">
      <w:pPr>
        <w:spacing w:after="80"/>
      </w:pPr>
      <w:r>
        <w:t>W</w:t>
      </w:r>
      <w:r w:rsidR="00D10361">
        <w:t xml:space="preserve"> ramach I filaru </w:t>
      </w:r>
      <w:r w:rsidR="005C6B46">
        <w:t>WPR</w:t>
      </w:r>
      <w:r>
        <w:t>,</w:t>
      </w:r>
      <w:r w:rsidR="00D10361">
        <w:t xml:space="preserve"> specjalnie na potrzeby zwiększania zasobów węgla w glebie </w:t>
      </w:r>
      <w:r>
        <w:t xml:space="preserve">zaprojektowano </w:t>
      </w:r>
      <w:r w:rsidR="00D10361" w:rsidRPr="005C6B46">
        <w:rPr>
          <w:b/>
          <w:bCs/>
        </w:rPr>
        <w:t>ekoschemat: rolnictwo węglowe i zarzadzanie składnikami odżywczymi</w:t>
      </w:r>
      <w:r w:rsidR="00D10361">
        <w:t>. W ramach te</w:t>
      </w:r>
      <w:r w:rsidR="00047932">
        <w:t xml:space="preserve">go </w:t>
      </w:r>
      <w:r w:rsidR="00D10361">
        <w:t xml:space="preserve">ekoschematu wspierane jest </w:t>
      </w:r>
      <w:r>
        <w:t>osiem</w:t>
      </w:r>
      <w:r w:rsidR="00D10361">
        <w:t xml:space="preserve"> praktyk rolniczych</w:t>
      </w:r>
      <w:r>
        <w:t xml:space="preserve">, które sprzyjają sekwestracji węgla w glebie, budowaniu jej żyzności i ograniczaniu utraty składników nawozowych, </w:t>
      </w:r>
      <w:r w:rsidR="00047932">
        <w:t xml:space="preserve">co </w:t>
      </w:r>
      <w:r>
        <w:t>ma wpływ na ograniczenie emisji</w:t>
      </w:r>
      <w:r w:rsidR="006B4B0A">
        <w:t>.</w:t>
      </w:r>
      <w:r w:rsidR="00D10361">
        <w:t xml:space="preserve"> </w:t>
      </w:r>
      <w:r w:rsidR="00E04BBF">
        <w:t xml:space="preserve">W tym zakresie szczególnie ważne </w:t>
      </w:r>
      <w:r w:rsidR="00BC34ED">
        <w:t xml:space="preserve">będzie </w:t>
      </w:r>
      <w:r w:rsidR="00E04BBF">
        <w:t xml:space="preserve">zapewnienie stabilności </w:t>
      </w:r>
      <w:r w:rsidR="00BC34ED">
        <w:t xml:space="preserve">i kontynuacji wsparcia </w:t>
      </w:r>
      <w:r w:rsidR="00B57BB9">
        <w:t xml:space="preserve">dla </w:t>
      </w:r>
      <w:r w:rsidR="004414AD">
        <w:t>tych</w:t>
      </w:r>
      <w:r w:rsidR="00B57BB9">
        <w:t xml:space="preserve"> działań</w:t>
      </w:r>
      <w:r w:rsidR="00687642">
        <w:t xml:space="preserve">, </w:t>
      </w:r>
      <w:r w:rsidR="00BC34ED">
        <w:t xml:space="preserve">także w nowej perspektywie finansowej wspólnej polityki rolnej, </w:t>
      </w:r>
      <w:r w:rsidR="00687642">
        <w:t>by osiągnięte efekty wiązania węgla w glebie były trwałe.</w:t>
      </w:r>
      <w:r w:rsidR="00D10361">
        <w:t xml:space="preserve"> </w:t>
      </w:r>
    </w:p>
    <w:p w14:paraId="0AB479E6" w14:textId="6616F8B1" w:rsidR="002F444D" w:rsidRDefault="002F444D" w:rsidP="00080BA7">
      <w:r w:rsidRPr="002F444D">
        <w:t xml:space="preserve">Do zwiększenia pochłaniania węgla </w:t>
      </w:r>
      <w:r w:rsidR="009D7B3C">
        <w:t xml:space="preserve">w sektorze LULUCF </w:t>
      </w:r>
      <w:r w:rsidRPr="002F444D">
        <w:t xml:space="preserve">może przyczynić się projektowany </w:t>
      </w:r>
      <w:bookmarkStart w:id="201" w:name="_Hlk171003599"/>
      <w:r w:rsidRPr="002F444D">
        <w:t>system certyfikacji praktyk powodujących wiązanie węgla m.in. w sektorze rolnym</w:t>
      </w:r>
      <w:bookmarkEnd w:id="201"/>
      <w:r>
        <w:t>.</w:t>
      </w:r>
    </w:p>
    <w:p w14:paraId="4BDAD1B7" w14:textId="47EB6DDA" w:rsidR="00B661CA" w:rsidRPr="000E240E" w:rsidRDefault="00B661CA" w:rsidP="00080BA7"/>
    <w:p w14:paraId="0CAE933F" w14:textId="3772C201" w:rsidR="00080BA7" w:rsidRDefault="00080BA7" w:rsidP="00080BA7">
      <w:pPr>
        <w:spacing w:before="240" w:after="80"/>
        <w:rPr>
          <w:rFonts w:ascii="Bahnschrift" w:hAnsi="Bahnschrift"/>
          <w:b/>
          <w:bCs/>
          <w:sz w:val="32"/>
          <w:szCs w:val="32"/>
        </w:rPr>
      </w:pPr>
      <w:r w:rsidRPr="00C46DAA">
        <w:rPr>
          <w:rFonts w:ascii="Bahnschrift" w:hAnsi="Bahnschrift"/>
          <w:b/>
          <w:bCs/>
          <w:sz w:val="32"/>
          <w:szCs w:val="32"/>
        </w:rPr>
        <w:t>DZIAŁANIA</w:t>
      </w:r>
    </w:p>
    <w:p w14:paraId="59B58F38" w14:textId="104C0325" w:rsidR="00D10361" w:rsidRDefault="005736D7" w:rsidP="005C6B46">
      <w:pPr>
        <w:spacing w:before="240"/>
        <w:rPr>
          <w:b/>
          <w:bCs/>
        </w:rPr>
      </w:pPr>
      <w:r w:rsidRPr="005736D7">
        <w:rPr>
          <w:b/>
          <w:bCs/>
        </w:rPr>
        <w:t xml:space="preserve">W zakresie </w:t>
      </w:r>
      <w:r>
        <w:rPr>
          <w:b/>
          <w:bCs/>
        </w:rPr>
        <w:t xml:space="preserve">pochłaniania emisji przez sektor </w:t>
      </w:r>
      <w:r w:rsidRPr="005736D7">
        <w:rPr>
          <w:b/>
          <w:bCs/>
        </w:rPr>
        <w:t>leśnictwa</w:t>
      </w:r>
    </w:p>
    <w:p w14:paraId="5E3B319E" w14:textId="510A82E9" w:rsidR="00841E13" w:rsidRDefault="00FF163C" w:rsidP="003530A9">
      <w:pPr>
        <w:pStyle w:val="Akapitzlist"/>
        <w:numPr>
          <w:ilvl w:val="0"/>
          <w:numId w:val="3"/>
        </w:numPr>
        <w:rPr>
          <w:szCs w:val="20"/>
        </w:rPr>
      </w:pPr>
      <w:r>
        <w:rPr>
          <w:szCs w:val="20"/>
        </w:rPr>
        <w:fldChar w:fldCharType="begin"/>
      </w:r>
      <w:r>
        <w:rPr>
          <w:szCs w:val="20"/>
        </w:rPr>
        <w:instrText xml:space="preserve"> REF _Ref195886297 \h </w:instrText>
      </w:r>
      <w:r>
        <w:rPr>
          <w:szCs w:val="20"/>
        </w:rPr>
      </w:r>
      <w:r>
        <w:rPr>
          <w:szCs w:val="20"/>
        </w:rPr>
        <w:fldChar w:fldCharType="separate"/>
      </w:r>
      <w:r w:rsidR="00871DD5">
        <w:t xml:space="preserve">Działanie </w:t>
      </w:r>
      <w:r w:rsidR="00871DD5">
        <w:rPr>
          <w:noProof/>
        </w:rPr>
        <w:t>74</w:t>
      </w:r>
      <w:r w:rsidR="00871DD5">
        <w:t xml:space="preserve">. </w:t>
      </w:r>
      <w:r w:rsidR="00871DD5" w:rsidRPr="00DC085B">
        <w:t>Przygotowanie planów gospodarowania zasobami wodnymi w lasach</w:t>
      </w:r>
      <w:r>
        <w:rPr>
          <w:szCs w:val="20"/>
        </w:rPr>
        <w:fldChar w:fldCharType="end"/>
      </w:r>
    </w:p>
    <w:p w14:paraId="7990AD68" w14:textId="18B28698" w:rsidR="00FF163C" w:rsidRDefault="00FF163C" w:rsidP="003530A9">
      <w:pPr>
        <w:pStyle w:val="Akapitzlist"/>
        <w:numPr>
          <w:ilvl w:val="0"/>
          <w:numId w:val="3"/>
        </w:numPr>
        <w:rPr>
          <w:szCs w:val="20"/>
        </w:rPr>
      </w:pPr>
      <w:r>
        <w:rPr>
          <w:szCs w:val="20"/>
        </w:rPr>
        <w:fldChar w:fldCharType="begin"/>
      </w:r>
      <w:r>
        <w:rPr>
          <w:szCs w:val="20"/>
        </w:rPr>
        <w:instrText xml:space="preserve"> REF _Ref195886304 \h </w:instrText>
      </w:r>
      <w:r>
        <w:rPr>
          <w:szCs w:val="20"/>
        </w:rPr>
      </w:r>
      <w:r>
        <w:rPr>
          <w:szCs w:val="20"/>
        </w:rPr>
        <w:fldChar w:fldCharType="separate"/>
      </w:r>
      <w:r w:rsidR="00871DD5">
        <w:t xml:space="preserve">Działanie </w:t>
      </w:r>
      <w:r w:rsidR="00871DD5">
        <w:rPr>
          <w:noProof/>
        </w:rPr>
        <w:t>75</w:t>
      </w:r>
      <w:r w:rsidR="00871DD5">
        <w:t xml:space="preserve">. </w:t>
      </w:r>
      <w:r w:rsidR="00871DD5" w:rsidRPr="00E823DF">
        <w:t>Określanie celów i zasad prowadzenia trwale zrównoważonej gospodarki leśnej</w:t>
      </w:r>
      <w:r>
        <w:rPr>
          <w:szCs w:val="20"/>
        </w:rPr>
        <w:fldChar w:fldCharType="end"/>
      </w:r>
    </w:p>
    <w:p w14:paraId="69602B5F" w14:textId="081703AC" w:rsidR="00FF163C" w:rsidRDefault="00FF163C" w:rsidP="003530A9">
      <w:pPr>
        <w:pStyle w:val="Akapitzlist"/>
        <w:numPr>
          <w:ilvl w:val="0"/>
          <w:numId w:val="3"/>
        </w:numPr>
        <w:rPr>
          <w:szCs w:val="20"/>
        </w:rPr>
      </w:pPr>
      <w:r>
        <w:rPr>
          <w:szCs w:val="20"/>
        </w:rPr>
        <w:fldChar w:fldCharType="begin"/>
      </w:r>
      <w:r>
        <w:rPr>
          <w:szCs w:val="20"/>
        </w:rPr>
        <w:instrText xml:space="preserve"> REF _Ref195886308 \h </w:instrText>
      </w:r>
      <w:r>
        <w:rPr>
          <w:szCs w:val="20"/>
        </w:rPr>
      </w:r>
      <w:r>
        <w:rPr>
          <w:szCs w:val="20"/>
        </w:rPr>
        <w:fldChar w:fldCharType="separate"/>
      </w:r>
      <w:r w:rsidR="00871DD5">
        <w:t xml:space="preserve">Działanie </w:t>
      </w:r>
      <w:r w:rsidR="00871DD5">
        <w:rPr>
          <w:noProof/>
        </w:rPr>
        <w:t>76</w:t>
      </w:r>
      <w:r w:rsidR="00871DD5">
        <w:t xml:space="preserve">. </w:t>
      </w:r>
      <w:r w:rsidR="00871DD5" w:rsidRPr="007660E4">
        <w:t>Prowadzenie gospodarki nasiennej w leśnictwie</w:t>
      </w:r>
      <w:r>
        <w:rPr>
          <w:szCs w:val="20"/>
        </w:rPr>
        <w:fldChar w:fldCharType="end"/>
      </w:r>
    </w:p>
    <w:p w14:paraId="192F1B85" w14:textId="3C26C9E6" w:rsidR="00FF163C" w:rsidRDefault="00FF163C" w:rsidP="003530A9">
      <w:pPr>
        <w:pStyle w:val="Akapitzlist"/>
        <w:numPr>
          <w:ilvl w:val="0"/>
          <w:numId w:val="3"/>
        </w:numPr>
        <w:rPr>
          <w:szCs w:val="20"/>
        </w:rPr>
      </w:pPr>
      <w:r>
        <w:rPr>
          <w:szCs w:val="20"/>
        </w:rPr>
        <w:fldChar w:fldCharType="begin"/>
      </w:r>
      <w:r>
        <w:rPr>
          <w:szCs w:val="20"/>
        </w:rPr>
        <w:instrText xml:space="preserve"> REF _Ref195886313 \h </w:instrText>
      </w:r>
      <w:r>
        <w:rPr>
          <w:szCs w:val="20"/>
        </w:rPr>
      </w:r>
      <w:r>
        <w:rPr>
          <w:szCs w:val="20"/>
        </w:rPr>
        <w:fldChar w:fldCharType="separate"/>
      </w:r>
      <w:r w:rsidR="00871DD5">
        <w:t xml:space="preserve">Działanie </w:t>
      </w:r>
      <w:r w:rsidR="00871DD5">
        <w:rPr>
          <w:noProof/>
        </w:rPr>
        <w:t>77</w:t>
      </w:r>
      <w:r w:rsidR="00871DD5">
        <w:t xml:space="preserve">. </w:t>
      </w:r>
      <w:r w:rsidR="00871DD5" w:rsidRPr="006222F7">
        <w:t>Zwiększenie pochłaniania i magazynowania CO</w:t>
      </w:r>
      <w:r w:rsidR="00871DD5" w:rsidRPr="00901FEA">
        <w:rPr>
          <w:vertAlign w:val="subscript"/>
        </w:rPr>
        <w:t>2</w:t>
      </w:r>
      <w:r w:rsidR="00871DD5" w:rsidRPr="006222F7">
        <w:t xml:space="preserve"> w lasach</w:t>
      </w:r>
      <w:r>
        <w:rPr>
          <w:szCs w:val="20"/>
        </w:rPr>
        <w:fldChar w:fldCharType="end"/>
      </w:r>
    </w:p>
    <w:p w14:paraId="5FF8002B" w14:textId="1F83FEEA" w:rsidR="00FF163C" w:rsidRDefault="00FF163C" w:rsidP="003530A9">
      <w:pPr>
        <w:pStyle w:val="Akapitzlist"/>
        <w:numPr>
          <w:ilvl w:val="0"/>
          <w:numId w:val="3"/>
        </w:numPr>
        <w:rPr>
          <w:szCs w:val="20"/>
        </w:rPr>
      </w:pPr>
      <w:r>
        <w:rPr>
          <w:szCs w:val="20"/>
        </w:rPr>
        <w:fldChar w:fldCharType="begin"/>
      </w:r>
      <w:r>
        <w:rPr>
          <w:szCs w:val="20"/>
        </w:rPr>
        <w:instrText xml:space="preserve"> REF _Ref195886318 \h </w:instrText>
      </w:r>
      <w:r>
        <w:rPr>
          <w:szCs w:val="20"/>
        </w:rPr>
      </w:r>
      <w:r>
        <w:rPr>
          <w:szCs w:val="20"/>
        </w:rPr>
        <w:fldChar w:fldCharType="separate"/>
      </w:r>
      <w:r w:rsidR="00871DD5">
        <w:t xml:space="preserve">Działanie </w:t>
      </w:r>
      <w:r w:rsidR="00871DD5">
        <w:rPr>
          <w:noProof/>
        </w:rPr>
        <w:t>78</w:t>
      </w:r>
      <w:r w:rsidR="00871DD5">
        <w:t xml:space="preserve">. </w:t>
      </w:r>
      <w:r w:rsidR="00871DD5" w:rsidRPr="00B5761A">
        <w:t>Certyfikacja i handel jednostkami CO</w:t>
      </w:r>
      <w:r w:rsidR="00871DD5" w:rsidRPr="0086787C">
        <w:rPr>
          <w:vertAlign w:val="subscript"/>
        </w:rPr>
        <w:t>2</w:t>
      </w:r>
      <w:r w:rsidR="00871DD5" w:rsidRPr="00B5761A">
        <w:t xml:space="preserve"> w sektorze leśnym</w:t>
      </w:r>
      <w:r>
        <w:rPr>
          <w:szCs w:val="20"/>
        </w:rPr>
        <w:fldChar w:fldCharType="end"/>
      </w:r>
    </w:p>
    <w:p w14:paraId="50452DD1" w14:textId="6D78248B" w:rsidR="00FF163C" w:rsidRDefault="00FF163C" w:rsidP="003530A9">
      <w:pPr>
        <w:pStyle w:val="Akapitzlist"/>
        <w:numPr>
          <w:ilvl w:val="0"/>
          <w:numId w:val="3"/>
        </w:numPr>
        <w:rPr>
          <w:szCs w:val="20"/>
        </w:rPr>
      </w:pPr>
      <w:r>
        <w:rPr>
          <w:szCs w:val="20"/>
        </w:rPr>
        <w:fldChar w:fldCharType="begin"/>
      </w:r>
      <w:r>
        <w:rPr>
          <w:szCs w:val="20"/>
        </w:rPr>
        <w:instrText xml:space="preserve"> REF _Ref195886330 \h </w:instrText>
      </w:r>
      <w:r>
        <w:rPr>
          <w:szCs w:val="20"/>
        </w:rPr>
      </w:r>
      <w:r>
        <w:rPr>
          <w:szCs w:val="20"/>
        </w:rPr>
        <w:fldChar w:fldCharType="separate"/>
      </w:r>
      <w:r w:rsidR="00871DD5">
        <w:t xml:space="preserve">Działanie </w:t>
      </w:r>
      <w:r w:rsidR="00871DD5">
        <w:rPr>
          <w:noProof/>
        </w:rPr>
        <w:t>79</w:t>
      </w:r>
      <w:r w:rsidR="00871DD5">
        <w:t xml:space="preserve">. </w:t>
      </w:r>
      <w:r w:rsidR="00871DD5" w:rsidRPr="001D061A">
        <w:t>Przeciwdziałanie zamieraniu lasów</w:t>
      </w:r>
      <w:r>
        <w:rPr>
          <w:szCs w:val="20"/>
        </w:rPr>
        <w:fldChar w:fldCharType="end"/>
      </w:r>
    </w:p>
    <w:p w14:paraId="1BE41A18" w14:textId="47743E97" w:rsidR="00FF163C" w:rsidRDefault="004049DE" w:rsidP="003530A9">
      <w:pPr>
        <w:pStyle w:val="Akapitzlist"/>
        <w:numPr>
          <w:ilvl w:val="0"/>
          <w:numId w:val="3"/>
        </w:numPr>
        <w:rPr>
          <w:szCs w:val="20"/>
        </w:rPr>
      </w:pPr>
      <w:r>
        <w:rPr>
          <w:szCs w:val="20"/>
        </w:rPr>
        <w:fldChar w:fldCharType="begin"/>
      </w:r>
      <w:r>
        <w:rPr>
          <w:szCs w:val="20"/>
        </w:rPr>
        <w:instrText xml:space="preserve"> REF _Ref195886340 \h </w:instrText>
      </w:r>
      <w:r>
        <w:rPr>
          <w:szCs w:val="20"/>
        </w:rPr>
      </w:r>
      <w:r>
        <w:rPr>
          <w:szCs w:val="20"/>
        </w:rPr>
        <w:fldChar w:fldCharType="separate"/>
      </w:r>
      <w:r w:rsidR="00871DD5">
        <w:t xml:space="preserve">Działanie </w:t>
      </w:r>
      <w:r w:rsidR="00871DD5">
        <w:rPr>
          <w:noProof/>
        </w:rPr>
        <w:t>80</w:t>
      </w:r>
      <w:r w:rsidR="00871DD5">
        <w:t xml:space="preserve">. </w:t>
      </w:r>
      <w:r w:rsidR="00871DD5" w:rsidRPr="007A566E">
        <w:t>Określenie kierunkowych zadań z zakresu ochrony przeciwpożarowej lasu</w:t>
      </w:r>
      <w:r>
        <w:rPr>
          <w:szCs w:val="20"/>
        </w:rPr>
        <w:fldChar w:fldCharType="end"/>
      </w:r>
    </w:p>
    <w:p w14:paraId="2051DDE8" w14:textId="63BABCCE" w:rsidR="004049DE" w:rsidRDefault="004049DE" w:rsidP="003530A9">
      <w:pPr>
        <w:pStyle w:val="Akapitzlist"/>
        <w:numPr>
          <w:ilvl w:val="0"/>
          <w:numId w:val="3"/>
        </w:numPr>
        <w:rPr>
          <w:szCs w:val="20"/>
        </w:rPr>
      </w:pPr>
      <w:r>
        <w:rPr>
          <w:szCs w:val="20"/>
        </w:rPr>
        <w:lastRenderedPageBreak/>
        <w:fldChar w:fldCharType="begin"/>
      </w:r>
      <w:r>
        <w:rPr>
          <w:szCs w:val="20"/>
        </w:rPr>
        <w:instrText xml:space="preserve"> REF _Ref195886346 \h </w:instrText>
      </w:r>
      <w:r>
        <w:rPr>
          <w:szCs w:val="20"/>
        </w:rPr>
      </w:r>
      <w:r>
        <w:rPr>
          <w:szCs w:val="20"/>
        </w:rPr>
        <w:fldChar w:fldCharType="separate"/>
      </w:r>
      <w:r w:rsidR="00871DD5">
        <w:t xml:space="preserve">Działanie </w:t>
      </w:r>
      <w:r w:rsidR="00871DD5">
        <w:rPr>
          <w:noProof/>
        </w:rPr>
        <w:t>81</w:t>
      </w:r>
      <w:r w:rsidR="00871DD5">
        <w:t xml:space="preserve">. </w:t>
      </w:r>
      <w:r w:rsidR="00871DD5" w:rsidRPr="00F10E39">
        <w:t>Odtworzenie oraz zachowanie obszarów bagiennych, torfowisk i terenów podmokłych</w:t>
      </w:r>
      <w:r>
        <w:rPr>
          <w:szCs w:val="20"/>
        </w:rPr>
        <w:fldChar w:fldCharType="end"/>
      </w:r>
    </w:p>
    <w:p w14:paraId="5A041E30" w14:textId="176A1BC2" w:rsidR="004049DE" w:rsidRDefault="004049DE" w:rsidP="003530A9">
      <w:pPr>
        <w:pStyle w:val="Akapitzlist"/>
        <w:numPr>
          <w:ilvl w:val="0"/>
          <w:numId w:val="3"/>
        </w:numPr>
        <w:rPr>
          <w:szCs w:val="20"/>
        </w:rPr>
      </w:pPr>
      <w:r>
        <w:rPr>
          <w:szCs w:val="20"/>
        </w:rPr>
        <w:fldChar w:fldCharType="begin"/>
      </w:r>
      <w:r>
        <w:rPr>
          <w:szCs w:val="20"/>
        </w:rPr>
        <w:instrText xml:space="preserve"> REF _Ref195886367 \h </w:instrText>
      </w:r>
      <w:r>
        <w:rPr>
          <w:szCs w:val="20"/>
        </w:rPr>
      </w:r>
      <w:r>
        <w:rPr>
          <w:szCs w:val="20"/>
        </w:rPr>
        <w:fldChar w:fldCharType="separate"/>
      </w:r>
      <w:r w:rsidR="00871DD5">
        <w:t xml:space="preserve">Działanie </w:t>
      </w:r>
      <w:r w:rsidR="00871DD5">
        <w:rPr>
          <w:noProof/>
        </w:rPr>
        <w:t>82</w:t>
      </w:r>
      <w:r w:rsidR="00871DD5">
        <w:t xml:space="preserve">. </w:t>
      </w:r>
      <w:r w:rsidR="00871DD5" w:rsidRPr="00186118">
        <w:t>Rozwój małej retencji wodnej</w:t>
      </w:r>
      <w:r>
        <w:rPr>
          <w:szCs w:val="20"/>
        </w:rPr>
        <w:fldChar w:fldCharType="end"/>
      </w:r>
    </w:p>
    <w:p w14:paraId="2BEA30C4" w14:textId="182B3C7E" w:rsidR="0034200E" w:rsidRDefault="000A6046" w:rsidP="003530A9">
      <w:pPr>
        <w:pStyle w:val="Akapitzlist"/>
        <w:numPr>
          <w:ilvl w:val="0"/>
          <w:numId w:val="3"/>
        </w:numPr>
        <w:rPr>
          <w:szCs w:val="20"/>
        </w:rPr>
      </w:pPr>
      <w:r>
        <w:rPr>
          <w:szCs w:val="20"/>
        </w:rPr>
        <w:fldChar w:fldCharType="begin"/>
      </w:r>
      <w:r>
        <w:rPr>
          <w:szCs w:val="20"/>
        </w:rPr>
        <w:instrText xml:space="preserve"> REF _Ref203399741 \h </w:instrText>
      </w:r>
      <w:r>
        <w:rPr>
          <w:szCs w:val="20"/>
        </w:rPr>
      </w:r>
      <w:r>
        <w:rPr>
          <w:szCs w:val="20"/>
        </w:rPr>
        <w:fldChar w:fldCharType="separate"/>
      </w:r>
      <w:r w:rsidR="00871DD5">
        <w:t xml:space="preserve">Działanie </w:t>
      </w:r>
      <w:r w:rsidR="00871DD5">
        <w:rPr>
          <w:noProof/>
        </w:rPr>
        <w:t>84</w:t>
      </w:r>
      <w:r w:rsidR="00871DD5">
        <w:t>. Opracowanie s</w:t>
      </w:r>
      <w:r w:rsidR="00871DD5" w:rsidRPr="00F05952">
        <w:t>trategi</w:t>
      </w:r>
      <w:r w:rsidR="00871DD5">
        <w:t>i</w:t>
      </w:r>
      <w:r w:rsidR="00871DD5" w:rsidRPr="00F05952">
        <w:t xml:space="preserve"> biogospodarki</w:t>
      </w:r>
      <w:r>
        <w:rPr>
          <w:szCs w:val="20"/>
        </w:rPr>
        <w:fldChar w:fldCharType="end"/>
      </w:r>
    </w:p>
    <w:p w14:paraId="7FF5C1CE" w14:textId="573701FB" w:rsidR="00FA078A" w:rsidRDefault="00FA078A" w:rsidP="003530A9">
      <w:pPr>
        <w:pStyle w:val="Akapitzlist"/>
        <w:numPr>
          <w:ilvl w:val="0"/>
          <w:numId w:val="3"/>
        </w:numPr>
        <w:rPr>
          <w:szCs w:val="20"/>
        </w:rPr>
      </w:pPr>
      <w:r>
        <w:rPr>
          <w:szCs w:val="20"/>
        </w:rPr>
        <w:fldChar w:fldCharType="begin"/>
      </w:r>
      <w:r>
        <w:rPr>
          <w:szCs w:val="20"/>
        </w:rPr>
        <w:instrText xml:space="preserve"> REF _Ref195886443 \h </w:instrText>
      </w:r>
      <w:r>
        <w:rPr>
          <w:szCs w:val="20"/>
        </w:rPr>
      </w:r>
      <w:r>
        <w:rPr>
          <w:szCs w:val="20"/>
        </w:rPr>
        <w:fldChar w:fldCharType="separate"/>
      </w:r>
      <w:r w:rsidR="00871DD5" w:rsidRPr="00251609">
        <w:t xml:space="preserve">Działanie </w:t>
      </w:r>
      <w:r w:rsidR="00871DD5">
        <w:rPr>
          <w:noProof/>
        </w:rPr>
        <w:t>85</w:t>
      </w:r>
      <w:r w:rsidR="00871DD5" w:rsidRPr="00251609">
        <w:t>. Opracowanie Narodowego Programu Leśnego</w:t>
      </w:r>
      <w:r>
        <w:rPr>
          <w:szCs w:val="20"/>
        </w:rPr>
        <w:fldChar w:fldCharType="end"/>
      </w:r>
    </w:p>
    <w:p w14:paraId="03C25FE1" w14:textId="77777777" w:rsidR="00D732C7" w:rsidRPr="00D732C7" w:rsidRDefault="00D732C7" w:rsidP="00D732C7">
      <w:pPr>
        <w:pStyle w:val="Akapitzlist"/>
        <w:numPr>
          <w:ilvl w:val="0"/>
          <w:numId w:val="3"/>
        </w:numPr>
        <w:rPr>
          <w:szCs w:val="20"/>
        </w:rPr>
      </w:pPr>
      <w:r w:rsidRPr="00D732C7">
        <w:rPr>
          <w:szCs w:val="20"/>
        </w:rPr>
        <w:t>Działanie 91. Prowadzenie monitoringu gleb</w:t>
      </w:r>
    </w:p>
    <w:p w14:paraId="337ECECB" w14:textId="6E652C9A" w:rsidR="00D14B61" w:rsidRPr="00D14B61" w:rsidRDefault="00D14B61" w:rsidP="003530A9">
      <w:pPr>
        <w:pStyle w:val="Akapitzlist"/>
        <w:numPr>
          <w:ilvl w:val="0"/>
          <w:numId w:val="3"/>
        </w:numPr>
        <w:rPr>
          <w:szCs w:val="20"/>
        </w:rPr>
      </w:pPr>
      <w:r w:rsidRPr="00D14B61">
        <w:rPr>
          <w:szCs w:val="20"/>
        </w:rPr>
        <w:fldChar w:fldCharType="begin"/>
      </w:r>
      <w:r w:rsidRPr="00D14B61">
        <w:rPr>
          <w:szCs w:val="20"/>
        </w:rPr>
        <w:instrText xml:space="preserve"> REF _Ref195895033 \h </w:instrText>
      </w:r>
      <w:r>
        <w:rPr>
          <w:szCs w:val="20"/>
        </w:rPr>
        <w:instrText xml:space="preserve"> \* MERGEFORMAT </w:instrText>
      </w:r>
      <w:r w:rsidRPr="00D14B61">
        <w:rPr>
          <w:szCs w:val="20"/>
        </w:rPr>
      </w:r>
      <w:r w:rsidRPr="00D14B61">
        <w:rPr>
          <w:szCs w:val="20"/>
        </w:rPr>
        <w:fldChar w:fldCharType="separate"/>
      </w:r>
      <w:r w:rsidR="00871DD5" w:rsidRPr="00871DD5">
        <w:rPr>
          <w:rStyle w:val="Nagwek6Znak"/>
          <w:rFonts w:ascii="Lato" w:hAnsi="Lato"/>
          <w:b w:val="0"/>
        </w:rPr>
        <w:t xml:space="preserve">Działanie </w:t>
      </w:r>
      <w:r w:rsidR="00871DD5" w:rsidRPr="00871DD5">
        <w:t xml:space="preserve">156. </w:t>
      </w:r>
      <w:r w:rsidR="00871DD5" w:rsidRPr="00BA4DD1">
        <w:t>Badania i projekty naukowe oraz edukacyjne w zakresie racjonalnej i niskoemisyjnej produkcji rolnej</w:t>
      </w:r>
      <w:r w:rsidRPr="00D14B61">
        <w:rPr>
          <w:szCs w:val="20"/>
        </w:rPr>
        <w:fldChar w:fldCharType="end"/>
      </w:r>
    </w:p>
    <w:p w14:paraId="392D5982" w14:textId="2F754972" w:rsidR="005736D7" w:rsidRPr="005736D7" w:rsidRDefault="005736D7" w:rsidP="005C6B46">
      <w:pPr>
        <w:spacing w:before="360"/>
        <w:rPr>
          <w:b/>
          <w:bCs/>
        </w:rPr>
      </w:pPr>
      <w:r w:rsidRPr="005736D7">
        <w:rPr>
          <w:b/>
          <w:bCs/>
        </w:rPr>
        <w:t xml:space="preserve">W zakresie </w:t>
      </w:r>
      <w:r>
        <w:rPr>
          <w:b/>
          <w:bCs/>
        </w:rPr>
        <w:t>pochłaniania emisji przez sektor rolnictwa</w:t>
      </w:r>
    </w:p>
    <w:p w14:paraId="53CD66B0" w14:textId="6F72904D" w:rsidR="0050330A" w:rsidRDefault="00FC4C4D" w:rsidP="003530A9">
      <w:pPr>
        <w:pStyle w:val="Akapitzlist"/>
        <w:numPr>
          <w:ilvl w:val="0"/>
          <w:numId w:val="3"/>
        </w:numPr>
        <w:rPr>
          <w:szCs w:val="20"/>
        </w:rPr>
      </w:pPr>
      <w:r>
        <w:rPr>
          <w:szCs w:val="20"/>
        </w:rPr>
        <w:fldChar w:fldCharType="begin"/>
      </w:r>
      <w:r>
        <w:rPr>
          <w:szCs w:val="20"/>
        </w:rPr>
        <w:instrText xml:space="preserve"> REF _Ref195886480 \h </w:instrText>
      </w:r>
      <w:r>
        <w:rPr>
          <w:szCs w:val="20"/>
        </w:rPr>
      </w:r>
      <w:r>
        <w:rPr>
          <w:szCs w:val="20"/>
        </w:rPr>
        <w:fldChar w:fldCharType="separate"/>
      </w:r>
      <w:r w:rsidR="00871DD5">
        <w:t xml:space="preserve">Działanie </w:t>
      </w:r>
      <w:r w:rsidR="00871DD5">
        <w:rPr>
          <w:noProof/>
        </w:rPr>
        <w:t>63</w:t>
      </w:r>
      <w:r w:rsidR="00871DD5">
        <w:t xml:space="preserve">. </w:t>
      </w:r>
      <w:r w:rsidR="00871DD5" w:rsidRPr="004040E0">
        <w:t>Stosowanie warunkowości (środowiskowej) w ramach WPR</w:t>
      </w:r>
      <w:r>
        <w:rPr>
          <w:szCs w:val="20"/>
        </w:rPr>
        <w:fldChar w:fldCharType="end"/>
      </w:r>
    </w:p>
    <w:p w14:paraId="2B83C751" w14:textId="6465F7EB" w:rsidR="00FC4C4D" w:rsidRDefault="00FC4C4D" w:rsidP="003530A9">
      <w:pPr>
        <w:pStyle w:val="Akapitzlist"/>
        <w:numPr>
          <w:ilvl w:val="0"/>
          <w:numId w:val="3"/>
        </w:numPr>
        <w:rPr>
          <w:szCs w:val="20"/>
        </w:rPr>
      </w:pPr>
      <w:r>
        <w:rPr>
          <w:szCs w:val="20"/>
        </w:rPr>
        <w:fldChar w:fldCharType="begin"/>
      </w:r>
      <w:r>
        <w:rPr>
          <w:szCs w:val="20"/>
        </w:rPr>
        <w:instrText xml:space="preserve"> REF _Ref195886487 \h </w:instrText>
      </w:r>
      <w:r>
        <w:rPr>
          <w:szCs w:val="20"/>
        </w:rPr>
      </w:r>
      <w:r>
        <w:rPr>
          <w:szCs w:val="20"/>
        </w:rPr>
        <w:fldChar w:fldCharType="separate"/>
      </w:r>
      <w:r w:rsidR="00871DD5">
        <w:t xml:space="preserve">Działanie </w:t>
      </w:r>
      <w:r w:rsidR="00871DD5">
        <w:rPr>
          <w:noProof/>
        </w:rPr>
        <w:t>64</w:t>
      </w:r>
      <w:r w:rsidR="00871DD5">
        <w:t xml:space="preserve">. </w:t>
      </w:r>
      <w:r w:rsidR="00871DD5" w:rsidRPr="000C3864">
        <w:t>Stosowanie ekoschematów w ramach WPR</w:t>
      </w:r>
      <w:r>
        <w:rPr>
          <w:szCs w:val="20"/>
        </w:rPr>
        <w:fldChar w:fldCharType="end"/>
      </w:r>
    </w:p>
    <w:p w14:paraId="0768FF21" w14:textId="6955FBE9" w:rsidR="00FC4C4D" w:rsidRDefault="00FC4C4D" w:rsidP="003530A9">
      <w:pPr>
        <w:pStyle w:val="Akapitzlist"/>
        <w:numPr>
          <w:ilvl w:val="0"/>
          <w:numId w:val="3"/>
        </w:numPr>
        <w:rPr>
          <w:szCs w:val="20"/>
        </w:rPr>
      </w:pPr>
      <w:r>
        <w:rPr>
          <w:szCs w:val="20"/>
        </w:rPr>
        <w:fldChar w:fldCharType="begin"/>
      </w:r>
      <w:r>
        <w:rPr>
          <w:szCs w:val="20"/>
        </w:rPr>
        <w:instrText xml:space="preserve"> REF _Ref195886492 \h </w:instrText>
      </w:r>
      <w:r>
        <w:rPr>
          <w:szCs w:val="20"/>
        </w:rPr>
      </w:r>
      <w:r>
        <w:rPr>
          <w:szCs w:val="20"/>
        </w:rPr>
        <w:fldChar w:fldCharType="separate"/>
      </w:r>
      <w:r w:rsidR="00871DD5">
        <w:t xml:space="preserve">Działanie </w:t>
      </w:r>
      <w:r w:rsidR="00871DD5">
        <w:rPr>
          <w:noProof/>
        </w:rPr>
        <w:t>65</w:t>
      </w:r>
      <w:r w:rsidR="00871DD5">
        <w:t xml:space="preserve">. </w:t>
      </w:r>
      <w:r w:rsidR="00871DD5" w:rsidRPr="003B4C4B">
        <w:t>Działania rolno-środowiskowo-klimatyczne w ramach WPR</w:t>
      </w:r>
      <w:r>
        <w:rPr>
          <w:szCs w:val="20"/>
        </w:rPr>
        <w:fldChar w:fldCharType="end"/>
      </w:r>
    </w:p>
    <w:p w14:paraId="0BB73917" w14:textId="2FD94BB1" w:rsidR="00FC4C4D" w:rsidRDefault="00FC4C4D" w:rsidP="003530A9">
      <w:pPr>
        <w:pStyle w:val="Akapitzlist"/>
        <w:numPr>
          <w:ilvl w:val="0"/>
          <w:numId w:val="3"/>
        </w:numPr>
        <w:rPr>
          <w:szCs w:val="20"/>
        </w:rPr>
      </w:pPr>
      <w:r>
        <w:rPr>
          <w:szCs w:val="20"/>
        </w:rPr>
        <w:fldChar w:fldCharType="begin"/>
      </w:r>
      <w:r>
        <w:rPr>
          <w:szCs w:val="20"/>
        </w:rPr>
        <w:instrText xml:space="preserve"> REF _Ref195886497 \h </w:instrText>
      </w:r>
      <w:r>
        <w:rPr>
          <w:szCs w:val="20"/>
        </w:rPr>
      </w:r>
      <w:r>
        <w:rPr>
          <w:szCs w:val="20"/>
        </w:rPr>
        <w:fldChar w:fldCharType="separate"/>
      </w:r>
      <w:r w:rsidR="00871DD5">
        <w:t xml:space="preserve">Działanie </w:t>
      </w:r>
      <w:r w:rsidR="00871DD5">
        <w:rPr>
          <w:noProof/>
        </w:rPr>
        <w:t>66</w:t>
      </w:r>
      <w:r w:rsidR="00871DD5">
        <w:t xml:space="preserve">. </w:t>
      </w:r>
      <w:r w:rsidR="00871DD5" w:rsidRPr="001462C7">
        <w:t>Wsparcie w zakresie rolnictwa ekologicznego w ramach WPR</w:t>
      </w:r>
      <w:r>
        <w:rPr>
          <w:szCs w:val="20"/>
        </w:rPr>
        <w:fldChar w:fldCharType="end"/>
      </w:r>
    </w:p>
    <w:p w14:paraId="19A9FF99" w14:textId="52789C62" w:rsidR="00A32085" w:rsidRPr="00150C2D" w:rsidRDefault="00ED10E5" w:rsidP="00150C2D">
      <w:pPr>
        <w:pStyle w:val="Akapitzlist"/>
        <w:numPr>
          <w:ilvl w:val="0"/>
          <w:numId w:val="3"/>
        </w:numPr>
        <w:rPr>
          <w:szCs w:val="20"/>
        </w:rPr>
      </w:pPr>
      <w:r>
        <w:rPr>
          <w:szCs w:val="20"/>
        </w:rPr>
        <w:fldChar w:fldCharType="begin"/>
      </w:r>
      <w:r>
        <w:rPr>
          <w:szCs w:val="20"/>
        </w:rPr>
        <w:instrText xml:space="preserve"> REF _Ref195886511 \h </w:instrText>
      </w:r>
      <w:r>
        <w:rPr>
          <w:szCs w:val="20"/>
        </w:rPr>
      </w:r>
      <w:r>
        <w:rPr>
          <w:szCs w:val="20"/>
        </w:rPr>
        <w:fldChar w:fldCharType="separate"/>
      </w:r>
      <w:r w:rsidR="00871DD5">
        <w:t xml:space="preserve">Działanie </w:t>
      </w:r>
      <w:r w:rsidR="00871DD5">
        <w:rPr>
          <w:noProof/>
        </w:rPr>
        <w:t>67</w:t>
      </w:r>
      <w:r w:rsidR="00871DD5">
        <w:t xml:space="preserve">. </w:t>
      </w:r>
      <w:r w:rsidR="00871DD5" w:rsidRPr="00101B21">
        <w:t>Interwencje leśne i zadrzewieniowe w ramach WPR</w:t>
      </w:r>
      <w:r>
        <w:rPr>
          <w:szCs w:val="20"/>
        </w:rPr>
        <w:fldChar w:fldCharType="end"/>
      </w:r>
    </w:p>
    <w:p w14:paraId="2918B5E3" w14:textId="199038E8" w:rsidR="00ED10E5" w:rsidRPr="004E4A0D" w:rsidRDefault="00ED10E5" w:rsidP="003530A9">
      <w:pPr>
        <w:pStyle w:val="Akapitzlist"/>
        <w:numPr>
          <w:ilvl w:val="0"/>
          <w:numId w:val="3"/>
        </w:numPr>
        <w:rPr>
          <w:szCs w:val="20"/>
        </w:rPr>
      </w:pPr>
      <w:r>
        <w:rPr>
          <w:szCs w:val="20"/>
        </w:rPr>
        <w:fldChar w:fldCharType="begin"/>
      </w:r>
      <w:r>
        <w:rPr>
          <w:szCs w:val="20"/>
        </w:rPr>
        <w:instrText xml:space="preserve"> REF _Ref195886534 \h </w:instrText>
      </w:r>
      <w:r>
        <w:rPr>
          <w:szCs w:val="20"/>
        </w:rPr>
      </w:r>
      <w:r>
        <w:rPr>
          <w:szCs w:val="20"/>
        </w:rPr>
        <w:fldChar w:fldCharType="separate"/>
      </w:r>
      <w:r w:rsidR="00871DD5">
        <w:t xml:space="preserve">Działanie </w:t>
      </w:r>
      <w:r w:rsidR="00871DD5">
        <w:rPr>
          <w:noProof/>
        </w:rPr>
        <w:t>72</w:t>
      </w:r>
      <w:r w:rsidR="00871DD5">
        <w:t xml:space="preserve">. </w:t>
      </w:r>
      <w:r w:rsidR="00871DD5" w:rsidRPr="004F305B">
        <w:t>Wprowadzenie systemu certyfikacji pochłaniania dwutlenku węgla i redukcji emisji z gleb użytkowanych rolniczo</w:t>
      </w:r>
      <w:r>
        <w:rPr>
          <w:szCs w:val="20"/>
        </w:rPr>
        <w:fldChar w:fldCharType="end"/>
      </w:r>
    </w:p>
    <w:p w14:paraId="730F8570" w14:textId="54C5FF72" w:rsidR="00612679" w:rsidRDefault="004E000C" w:rsidP="005F4621">
      <w:pPr>
        <w:pStyle w:val="Nagwek3"/>
        <w:rPr>
          <w:color w:val="70AD47" w:themeColor="accent6"/>
        </w:rPr>
      </w:pPr>
      <w:bookmarkStart w:id="202" w:name="_Toc195897222"/>
      <w:bookmarkStart w:id="203" w:name="_Toc195899467"/>
      <w:bookmarkStart w:id="204" w:name="_Toc195897223"/>
      <w:bookmarkStart w:id="205" w:name="_Toc195899468"/>
      <w:bookmarkStart w:id="206" w:name="_Toc195897224"/>
      <w:bookmarkStart w:id="207" w:name="_Toc195899469"/>
      <w:bookmarkStart w:id="208" w:name="_Toc195897225"/>
      <w:bookmarkStart w:id="209" w:name="_Toc195899470"/>
      <w:bookmarkStart w:id="210" w:name="_Toc195897226"/>
      <w:bookmarkStart w:id="211" w:name="_Toc195899471"/>
      <w:bookmarkStart w:id="212" w:name="_Toc195897227"/>
      <w:bookmarkStart w:id="213" w:name="_Toc195899472"/>
      <w:bookmarkStart w:id="214" w:name="_Toc159598296"/>
      <w:bookmarkStart w:id="215" w:name="_Toc195897228"/>
      <w:bookmarkStart w:id="216" w:name="_Toc205203168"/>
      <w:bookmarkEnd w:id="189"/>
      <w:bookmarkEnd w:id="202"/>
      <w:bookmarkEnd w:id="203"/>
      <w:bookmarkEnd w:id="204"/>
      <w:bookmarkEnd w:id="205"/>
      <w:bookmarkEnd w:id="206"/>
      <w:bookmarkEnd w:id="207"/>
      <w:bookmarkEnd w:id="208"/>
      <w:bookmarkEnd w:id="209"/>
      <w:bookmarkEnd w:id="210"/>
      <w:bookmarkEnd w:id="211"/>
      <w:bookmarkEnd w:id="212"/>
      <w:bookmarkEnd w:id="213"/>
      <w:r>
        <w:rPr>
          <w:color w:val="70AD47" w:themeColor="accent6"/>
        </w:rPr>
        <w:t>Poprawa j</w:t>
      </w:r>
      <w:r w:rsidR="00612679">
        <w:rPr>
          <w:color w:val="70AD47" w:themeColor="accent6"/>
        </w:rPr>
        <w:t>akoś</w:t>
      </w:r>
      <w:r>
        <w:rPr>
          <w:color w:val="70AD47" w:themeColor="accent6"/>
        </w:rPr>
        <w:t>ci</w:t>
      </w:r>
      <w:r w:rsidR="00612679">
        <w:rPr>
          <w:color w:val="70AD47" w:themeColor="accent6"/>
        </w:rPr>
        <w:t xml:space="preserve"> środowiska</w:t>
      </w:r>
      <w:bookmarkEnd w:id="214"/>
      <w:bookmarkEnd w:id="215"/>
      <w:bookmarkEnd w:id="216"/>
    </w:p>
    <w:p w14:paraId="42D91F83" w14:textId="681DBB8A" w:rsidR="00534863" w:rsidRDefault="00DE0CED" w:rsidP="00332CFC">
      <w:r>
        <w:rPr>
          <w:noProof/>
          <w:lang w:eastAsia="pl-PL"/>
        </w:rPr>
        <mc:AlternateContent>
          <mc:Choice Requires="wps">
            <w:drawing>
              <wp:anchor distT="0" distB="0" distL="114300" distR="114300" simplePos="0" relativeHeight="251510272" behindDoc="1" locked="0" layoutInCell="1" allowOverlap="1" wp14:anchorId="0AE0E0F1" wp14:editId="08FCF292">
                <wp:simplePos x="0" y="0"/>
                <wp:positionH relativeFrom="margin">
                  <wp:align>right</wp:align>
                </wp:positionH>
                <wp:positionV relativeFrom="paragraph">
                  <wp:posOffset>74295</wp:posOffset>
                </wp:positionV>
                <wp:extent cx="2969895" cy="1341755"/>
                <wp:effectExtent l="19050" t="57150" r="97155" b="66040"/>
                <wp:wrapSquare wrapText="bothSides"/>
                <wp:docPr id="188445096" name="Prostokąt: zaokrąglone rogi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895" cy="134175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6F29131" w14:textId="77777777" w:rsidR="00C36C5C" w:rsidRPr="004E21CF" w:rsidRDefault="00C36C5C" w:rsidP="00534863">
                            <w:pPr>
                              <w:pStyle w:val="Ramka"/>
                            </w:pPr>
                            <w:r>
                              <w:t>Poprawa jakości środowiska to proces wprowadzania działań i środków mających na celu ochronę, odtworzenie lub podniesienie ogólnej jakości otaczającego nas środowiska. Obejmuje to różnorodne obszary, takie jak jakość powietrza, wody, gleby, bioróżnorodność oraz ogólnie pojętą zrównoważoną gospodarkę zasobami naturalnymi.</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AE0E0F1" id="Prostokąt: zaokrąglone rogi 63" o:spid="_x0000_s1096" style="position:absolute;left:0;text-align:left;margin-left:182.65pt;margin-top:5.85pt;width:233.85pt;height:105.65pt;z-index:-251806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" fillcolor="white [3212]" strokecolor="#70ad47 [3209]">
                <v:stroke joinstyle="miter"/>
                <v:shadow on="t" color="black" opacity="26214f" origin="-.5" offset="3pt,0"/>
                <v:path arrowok="t"/>
                <v:textbox style="mso-fit-shape-to-text:t" inset="2mm,2.5mm,2mm,0">
                  <w:txbxContent>
                    <w:p w14:paraId="56F29131" w14:textId="77777777" w:rsidR="00C36C5C" w:rsidRPr="004E21CF" w:rsidRDefault="00C36C5C" w:rsidP="00534863">
                      <w:pPr>
                        <w:pStyle w:val="Ramka"/>
                      </w:pPr>
                      <w:r>
                        <w:t>Poprawa jakości środowiska to proces wprowadzania działań i środków mających na celu ochronę, odtworzenie lub podniesienie ogólnej jakości otaczającego nas środowiska. Obejmuje to różnorodne obszary, takie jak jakość powietrza, wody, gleby, bioróżnorodność oraz ogólnie pojętą zrównoważoną gospodarkę zasobami naturalnymi.</w:t>
                      </w:r>
                    </w:p>
                  </w:txbxContent>
                </v:textbox>
                <w10:wrap type="square" anchorx="margin"/>
              </v:roundrect>
            </w:pict>
          </mc:Fallback>
        </mc:AlternateContent>
      </w:r>
      <w:r w:rsidR="00332CFC">
        <w:t>Środowisko to kompleksowy system składający się z elementów przyrodniczych i</w:t>
      </w:r>
      <w:r w:rsidR="00B02643">
        <w:t> </w:t>
      </w:r>
      <w:r w:rsidR="00332CFC">
        <w:t>antropogenicznych, które współistnieją i</w:t>
      </w:r>
      <w:r w:rsidR="00B02643">
        <w:t> </w:t>
      </w:r>
      <w:r w:rsidR="00332CFC">
        <w:t xml:space="preserve">oddziałują ze sobą. </w:t>
      </w:r>
      <w:r w:rsidR="00C80168" w:rsidRPr="00C80168">
        <w:t>Obejmuje atmosferę, hydrosferę, litosferę, a także biosferę, ludzi i</w:t>
      </w:r>
      <w:r w:rsidR="0021601D">
        <w:t> </w:t>
      </w:r>
      <w:r w:rsidR="00C80168" w:rsidRPr="00C80168">
        <w:t>ich działania.</w:t>
      </w:r>
      <w:r w:rsidR="00C80168">
        <w:t xml:space="preserve"> </w:t>
      </w:r>
      <w:r w:rsidR="00332CFC">
        <w:t>Ochrona środowiska skupia się na zrównoważonym gospodarowaniu zasobami naturalnymi, minimalizowaniu negatywnego wpływu działalności człowieka na ekosystemy oraz promowaniu harmonijnej współpracy między społecznością, a naturą. Współczesne wyzwania środowiskowe wymagają podejścia globalnego i</w:t>
      </w:r>
      <w:r w:rsidR="005614FF">
        <w:t> </w:t>
      </w:r>
      <w:r w:rsidR="00332CFC">
        <w:t xml:space="preserve">działań skoncentrowanych na ochronie bioróżnorodności oraz zrównoważonym rozwoju. </w:t>
      </w:r>
    </w:p>
    <w:p w14:paraId="143EB810" w14:textId="6C7DA1D0" w:rsidR="00782942" w:rsidRPr="00782942" w:rsidRDefault="00332CFC" w:rsidP="00782942">
      <w:r>
        <w:t>W tej części wskazano cele dotyczące poprawy jakości środowiska w zakresie stanu powietrza, stanu wód</w:t>
      </w:r>
      <w:r w:rsidR="004E3962">
        <w:t>, stanu gleb</w:t>
      </w:r>
      <w:r w:rsidR="007C5A5F">
        <w:t>y</w:t>
      </w:r>
      <w:r w:rsidR="00974007">
        <w:t xml:space="preserve">  </w:t>
      </w:r>
      <w:r w:rsidR="004948D8">
        <w:t xml:space="preserve">oraz </w:t>
      </w:r>
      <w:r w:rsidR="00163CB4">
        <w:t>gospodarki odpadami</w:t>
      </w:r>
      <w:r>
        <w:t>.</w:t>
      </w:r>
      <w:r w:rsidR="00C17F60">
        <w:t xml:space="preserve"> </w:t>
      </w:r>
      <w:r w:rsidR="00284B4D" w:rsidRPr="00284B4D">
        <w:t>Ze względu na fakt, iż komponenty te są wrażliwe na zmiany klimatyczne lub pozostają powiązane z efektami realizacji polityk klimatycznych i energetycznych, ich</w:t>
      </w:r>
      <w:r w:rsidR="001D0B49">
        <w:t> </w:t>
      </w:r>
      <w:r w:rsidR="00284B4D" w:rsidRPr="00284B4D">
        <w:t xml:space="preserve">uwzględnienie w </w:t>
      </w:r>
      <w:r w:rsidR="006D564D">
        <w:t>a</w:t>
      </w:r>
      <w:r w:rsidR="00284B4D" w:rsidRPr="00284B4D">
        <w:t>KPEiK ma na celu zapewnienie spójności międzysektorowych działań oraz maksymalizację synergii pomiędzy poszczególnymi politykami publicznymi.</w:t>
      </w:r>
    </w:p>
    <w:p w14:paraId="7F756AD6" w14:textId="2FBB52C7" w:rsidR="00C140A9" w:rsidRDefault="00C140A9" w:rsidP="00C140A9">
      <w:pPr>
        <w:pStyle w:val="Nagwek4"/>
        <w:rPr>
          <w:color w:val="70AD47" w:themeColor="accent6"/>
        </w:rPr>
      </w:pPr>
      <w:bookmarkStart w:id="217" w:name="_Toc159598297"/>
      <w:bookmarkStart w:id="218" w:name="_Toc195897229"/>
      <w:bookmarkStart w:id="219" w:name="_Toc205203169"/>
      <w:r>
        <w:rPr>
          <w:color w:val="70AD47" w:themeColor="accent6"/>
        </w:rPr>
        <w:t>Cel w zakresie jakości powietrza</w:t>
      </w:r>
      <w:bookmarkEnd w:id="217"/>
      <w:bookmarkEnd w:id="218"/>
      <w:bookmarkEnd w:id="219"/>
      <w:r>
        <w:rPr>
          <w:color w:val="70AD47" w:themeColor="accent6"/>
        </w:rPr>
        <w:t xml:space="preserve"> </w:t>
      </w:r>
    </w:p>
    <w:p w14:paraId="0B44B828" w14:textId="1EC5D08D" w:rsidR="00731619" w:rsidRDefault="00DE0CED" w:rsidP="00731619">
      <w:r>
        <w:rPr>
          <w:noProof/>
          <w:lang w:eastAsia="pl-PL"/>
        </w:rPr>
        <mc:AlternateContent>
          <mc:Choice Requires="wps">
            <w:drawing>
              <wp:anchor distT="0" distB="0" distL="114300" distR="114300" simplePos="0" relativeHeight="251505152" behindDoc="1" locked="0" layoutInCell="1" allowOverlap="1" wp14:anchorId="23476568" wp14:editId="01D7750C">
                <wp:simplePos x="0" y="0"/>
                <wp:positionH relativeFrom="margin">
                  <wp:posOffset>2956560</wp:posOffset>
                </wp:positionH>
                <wp:positionV relativeFrom="paragraph">
                  <wp:posOffset>69850</wp:posOffset>
                </wp:positionV>
                <wp:extent cx="2700020" cy="977265"/>
                <wp:effectExtent l="19050" t="57150" r="100330" b="63500"/>
                <wp:wrapSquare wrapText="bothSides"/>
                <wp:docPr id="434040878" name="Prostokąt: zaokrąglone rogi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0020" cy="97726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6C5B2F7" w14:textId="1254ADC5" w:rsidR="00C36C5C" w:rsidRPr="004E21CF" w:rsidRDefault="00C36C5C" w:rsidP="007864F4">
                            <w:pPr>
                              <w:pStyle w:val="Ramka"/>
                            </w:pPr>
                            <w:r>
                              <w:t>Na jakość powietrza wpływa szereg różnorodnych czynników w tym m.in.: emisje zanieczyszczeń, warunki meteorologiczne, topografia, używanie paliw kopalnych, aktywność ludzka czy sezonowe zmiany.</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23476568" id="Prostokąt: zaokrąglone rogi 62" o:spid="_x0000_s1097" style="position:absolute;left:0;text-align:left;margin-left:232.8pt;margin-top:5.5pt;width:212.6pt;height:76.95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" fillcolor="white [3212]" strokecolor="#70ad47 [3209]">
                <v:stroke joinstyle="miter"/>
                <v:shadow on="t" color="black" opacity="26214f" origin="-.5" offset="3pt,0"/>
                <v:path arrowok="t"/>
                <v:textbox style="mso-fit-shape-to-text:t" inset="2mm,2.5mm,2mm,0">
                  <w:txbxContent>
                    <w:p w14:paraId="36C5B2F7" w14:textId="1254ADC5" w:rsidR="00C36C5C" w:rsidRPr="004E21CF" w:rsidRDefault="00C36C5C" w:rsidP="007864F4">
                      <w:pPr>
                        <w:pStyle w:val="Ramka"/>
                      </w:pPr>
                      <w:r>
                        <w:t>Na jakość powietrza wpływa szereg różnorodnych czynników w tym m.in.: emisje zanieczyszczeń, warunki meteorologiczne, topografia, używanie paliw kopalnych, aktywność ludzka czy sezonowe zmiany.</w:t>
                      </w:r>
                    </w:p>
                  </w:txbxContent>
                </v:textbox>
                <w10:wrap type="square" anchorx="margin"/>
              </v:roundrect>
            </w:pict>
          </mc:Fallback>
        </mc:AlternateContent>
      </w:r>
      <w:r w:rsidR="00731619">
        <w:t xml:space="preserve">Emisje zanieczyszczeń </w:t>
      </w:r>
      <w:r w:rsidR="00731619" w:rsidRPr="00936B2E">
        <w:t>powietrza wpływają negatywnie na środowisko przyrodnicze</w:t>
      </w:r>
      <w:r w:rsidR="00731619">
        <w:t>, w tym zdrowie człowieka</w:t>
      </w:r>
      <w:r w:rsidR="00731619" w:rsidRPr="00936B2E">
        <w:t>. Ich najgroźniejszymi skutkami są kwaśne opady, nasilenie efektu cieplarnianego, dziura ozonowa,</w:t>
      </w:r>
      <w:r w:rsidR="003E2DE5">
        <w:t xml:space="preserve"> </w:t>
      </w:r>
      <w:r w:rsidR="0069659D">
        <w:t>przekroczenia norm jakości powietrza</w:t>
      </w:r>
      <w:r w:rsidR="0069659D" w:rsidRPr="00936B2E">
        <w:t xml:space="preserve">, </w:t>
      </w:r>
      <w:r w:rsidR="0069659D">
        <w:t>powstawanie zjawiska smogu</w:t>
      </w:r>
      <w:r w:rsidR="00731619" w:rsidRPr="00936B2E">
        <w:t>, zanieczyszczenie gleby i wody</w:t>
      </w:r>
      <w:r w:rsidR="00731619">
        <w:t xml:space="preserve"> – dlatego działania związane z ich redukcją są silnie pożądane. </w:t>
      </w:r>
    </w:p>
    <w:p w14:paraId="20CFBBA1" w14:textId="430D87DA" w:rsidR="00210C6D" w:rsidRDefault="00111FE7" w:rsidP="00AB5ED2">
      <w:r>
        <w:lastRenderedPageBreak/>
        <w:t>R</w:t>
      </w:r>
      <w:r w:rsidR="00EA7C65" w:rsidRPr="000A5863">
        <w:t>am</w:t>
      </w:r>
      <w:r>
        <w:t>y</w:t>
      </w:r>
      <w:r w:rsidR="00EA7C65" w:rsidRPr="000A5863">
        <w:t xml:space="preserve"> polityki UE </w:t>
      </w:r>
      <w:r w:rsidR="0020132E">
        <w:t>w</w:t>
      </w:r>
      <w:r>
        <w:t xml:space="preserve"> </w:t>
      </w:r>
      <w:r w:rsidR="0020132E">
        <w:t>zakresie</w:t>
      </w:r>
      <w:r w:rsidR="00EA7C65" w:rsidRPr="000A5863">
        <w:t xml:space="preserve"> czystego powietrza opierają się na trzech filarach. </w:t>
      </w:r>
      <w:r w:rsidR="00EA7C65" w:rsidRPr="1D1393D4">
        <w:rPr>
          <w:i/>
        </w:rPr>
        <w:t>Pierwszy filar</w:t>
      </w:r>
      <w:r w:rsidR="00EA7C65" w:rsidRPr="1D1393D4">
        <w:t xml:space="preserve"> obejmuje dyrektywy </w:t>
      </w:r>
      <w:r w:rsidR="00406F12" w:rsidRPr="00406F12">
        <w:rPr>
          <w:szCs w:val="20"/>
        </w:rPr>
        <w:t>(</w:t>
      </w:r>
      <w:r w:rsidR="00406F12" w:rsidRPr="1D1393D4">
        <w:t>2004/107/WE oraz 2008/50/WE)</w:t>
      </w:r>
      <w:r w:rsidR="00406F12" w:rsidRPr="000A5863">
        <w:t xml:space="preserve"> </w:t>
      </w:r>
      <w:r w:rsidR="00EA7C65" w:rsidRPr="000A5863">
        <w:t>w</w:t>
      </w:r>
      <w:r w:rsidR="009E6189">
        <w:t> </w:t>
      </w:r>
      <w:r w:rsidR="00EA7C65" w:rsidRPr="000A5863">
        <w:t>sprawie jakości powietrza i określono w nim normy jakości powietrza w odniesieniu do poziomów stężenia 12 zanieczyszczeń powietrza</w:t>
      </w:r>
      <w:r w:rsidR="007A693E">
        <w:rPr>
          <w:rStyle w:val="Odwoanieprzypisudolnego"/>
        </w:rPr>
        <w:footnoteReference w:id="61"/>
      </w:r>
      <w:r w:rsidR="00406F12">
        <w:t>.</w:t>
      </w:r>
      <w:r w:rsidR="00EA7C65" w:rsidRPr="000A5863">
        <w:t xml:space="preserve"> </w:t>
      </w:r>
      <w:r w:rsidR="00AB5ED2">
        <w:t xml:space="preserve">W dniu 11 grudnia 2024 r. weszła w życie nowa dyrektywa </w:t>
      </w:r>
      <w:r w:rsidR="0089149D">
        <w:t>PE</w:t>
      </w:r>
      <w:r w:rsidR="00AB5ED2">
        <w:t xml:space="preserve"> i Rady (UE) 2024/2881 w sprawie jakości powietrza i czystszego powietrza dla Europy, która nie tylko skonsolidowała wcześniejsze ww. dyrektywy w sprawie jakości powietrza, ale wprowadziła także znaczące zmiany w systemie oceny i zarządzania jakością powietrza, w tym nowe, ambitne poziomy dopuszczalne dla wybranych substancji w powietrzu, które będą musiały być osiągnięte do 2030 r.</w:t>
      </w:r>
      <w:r w:rsidR="00011ED3">
        <w:t xml:space="preserve"> </w:t>
      </w:r>
      <w:r w:rsidR="00EA7C65" w:rsidRPr="009E6189">
        <w:rPr>
          <w:i/>
          <w:iCs/>
        </w:rPr>
        <w:t>Drugi filar</w:t>
      </w:r>
      <w:r w:rsidR="00EA7C65" w:rsidRPr="000A5863">
        <w:t xml:space="preserve"> stanowi dyrektywa </w:t>
      </w:r>
      <w:r w:rsidR="00D43141">
        <w:t>2016/228</w:t>
      </w:r>
      <w:r w:rsidR="00847821">
        <w:t xml:space="preserve">4/UE </w:t>
      </w:r>
      <w:r w:rsidR="00EA7C65" w:rsidRPr="000A5863">
        <w:t>w</w:t>
      </w:r>
      <w:r w:rsidR="00847821">
        <w:t> </w:t>
      </w:r>
      <w:r w:rsidR="00EA7C65" w:rsidRPr="0057670B">
        <w:rPr>
          <w:i/>
          <w:iCs/>
        </w:rPr>
        <w:t>sprawie redukcji krajowych emisji</w:t>
      </w:r>
      <w:r w:rsidR="0057670B">
        <w:t xml:space="preserve"> (dyrektywa NEC)</w:t>
      </w:r>
      <w:r w:rsidR="00EA7C65" w:rsidRPr="000A5863">
        <w:t>, w której określono zobowiązania poszczególnych państw członkowskich w zakresie redukcji emisji głównych zanieczyszczeń powietrza i ich prekursorów i w odniesieniu do podjęcia działań w ramach UE na rzecz osiągnięcia wspólnej redukcji zanieczyszczenia transgranicznego. Trzeci filar obejmuje przepisy określające normy emisji dla istotnych źródeł zanieczyszczenia powietrza, takich jak: pojazdy transportu drogowego, domowe instalacje grzewcze i instalacje przemysłowe</w:t>
      </w:r>
      <w:r w:rsidR="0020132E">
        <w:t>.</w:t>
      </w:r>
    </w:p>
    <w:p w14:paraId="3FE1D05B" w14:textId="77777777" w:rsidR="00731619" w:rsidRDefault="00731619" w:rsidP="00731619">
      <w:r>
        <w:t xml:space="preserve">Dyrektywa 2016/2284/UE w sprawie redukcji krajowych emisji niektórych rodzajów zanieczyszczeń atmosferycznych (dyrektywa NEC) ustanowiła </w:t>
      </w:r>
      <w:r w:rsidRPr="00136584">
        <w:t>zobowiązania dla państw UE w</w:t>
      </w:r>
      <w:r>
        <w:t> </w:t>
      </w:r>
      <w:r w:rsidRPr="00136584">
        <w:t>zakresie redukcji emisji antropogenicznych zanieczyszczeń do atmosfery</w:t>
      </w:r>
      <w:r>
        <w:rPr>
          <w:rStyle w:val="Odwoanieprzypisudolnego"/>
        </w:rPr>
        <w:footnoteReference w:id="62"/>
      </w:r>
      <w:r>
        <w:t xml:space="preserve">. </w:t>
      </w:r>
    </w:p>
    <w:p w14:paraId="4F9B1CCB" w14:textId="5656B1A7" w:rsidR="00845A87" w:rsidRDefault="00731619" w:rsidP="007864F4">
      <w:r>
        <w:t xml:space="preserve">Polska została zobowiązana do osiągnięcia celów redukcji zanieczyszczeń antropogenicznych do atmosfery w dwóch okresach, które obejmują lata od 2020 r. do 2029 r. i od 2030 r. (względem referencyjnego 2005 r.) według schematu poniżej. </w:t>
      </w:r>
    </w:p>
    <w:p w14:paraId="4CB00241" w14:textId="2E7A5B2F" w:rsidR="00DF141A" w:rsidRDefault="00DF141A" w:rsidP="00DF141A">
      <w:pPr>
        <w:pStyle w:val="Legenda"/>
        <w:keepNext/>
      </w:pPr>
      <w:bookmarkStart w:id="220" w:name="_Toc205204368"/>
      <w:r>
        <w:t xml:space="preserve">Tabela </w:t>
      </w:r>
      <w:fldSimple w:instr=" SEQ Tabela \* ARABIC ">
        <w:r w:rsidR="00871DD5">
          <w:rPr>
            <w:noProof/>
          </w:rPr>
          <w:t>2</w:t>
        </w:r>
      </w:fldSimple>
      <w:r>
        <w:t xml:space="preserve">. Porównanie </w:t>
      </w:r>
      <w:r w:rsidR="0095724F">
        <w:t xml:space="preserve">celów i prognoz dot. </w:t>
      </w:r>
      <w:r>
        <w:t>redukcji emisji zanieczyszczeń do 2030 r.</w:t>
      </w:r>
      <w:bookmarkEnd w:id="220"/>
    </w:p>
    <w:tbl>
      <w:tblPr>
        <w:tblStyle w:val="Tabela-Siatka"/>
        <w:tblW w:w="8952" w:type="dxa"/>
        <w:tblBorders>
          <w:top w:val="single" w:sz="48" w:space="0" w:color="EDEDED" w:themeColor="accent3" w:themeTint="33"/>
          <w:left w:val="single" w:sz="48" w:space="0" w:color="EDEDED" w:themeColor="accent3" w:themeTint="33"/>
          <w:bottom w:val="single" w:sz="48" w:space="0" w:color="EDEDED" w:themeColor="accent3" w:themeTint="33"/>
          <w:right w:val="single" w:sz="48" w:space="0" w:color="EDEDED" w:themeColor="accent3" w:themeTint="33"/>
          <w:insideH w:val="none" w:sz="0" w:space="0" w:color="auto"/>
          <w:insideV w:val="none" w:sz="0" w:space="0" w:color="auto"/>
        </w:tblBorders>
        <w:tblLook w:val="04A0" w:firstRow="1" w:lastRow="0" w:firstColumn="1" w:lastColumn="0" w:noHBand="0" w:noVBand="1"/>
      </w:tblPr>
      <w:tblGrid>
        <w:gridCol w:w="1783"/>
        <w:gridCol w:w="1462"/>
        <w:gridCol w:w="1977"/>
        <w:gridCol w:w="1978"/>
        <w:gridCol w:w="1752"/>
      </w:tblGrid>
      <w:tr w:rsidR="006C78E5" w14:paraId="624402D1" w14:textId="529F3F03" w:rsidTr="003E2A17">
        <w:tc>
          <w:tcPr>
            <w:tcW w:w="1783" w:type="dxa"/>
            <w:vMerge w:val="restart"/>
            <w:tcBorders>
              <w:right w:val="single" w:sz="12" w:space="0" w:color="C9C9C9" w:themeColor="accent3" w:themeTint="99"/>
            </w:tcBorders>
            <w:shd w:val="clear" w:color="auto" w:fill="EDEDED" w:themeFill="accent3" w:themeFillTint="33"/>
            <w:vAlign w:val="center"/>
          </w:tcPr>
          <w:p w14:paraId="2EB8250C" w14:textId="77777777" w:rsidR="009D7B3C" w:rsidRDefault="009D7B3C" w:rsidP="000608EA">
            <w:pPr>
              <w:jc w:val="left"/>
              <w:rPr>
                <w:b/>
                <w:bCs/>
              </w:rPr>
            </w:pPr>
          </w:p>
          <w:p w14:paraId="11E8593B" w14:textId="5644AFFA" w:rsidR="006C78E5" w:rsidRPr="00F707C8" w:rsidRDefault="006C78E5" w:rsidP="000608EA">
            <w:pPr>
              <w:jc w:val="left"/>
              <w:rPr>
                <w:b/>
                <w:bCs/>
              </w:rPr>
            </w:pPr>
            <w:r w:rsidRPr="00F707C8">
              <w:rPr>
                <w:b/>
                <w:bCs/>
              </w:rPr>
              <w:t xml:space="preserve">Cele ograniczenia zanieczyszczeń </w:t>
            </w:r>
            <w:r w:rsidRPr="00F707C8">
              <w:t>względem 2005 r.</w:t>
            </w:r>
          </w:p>
        </w:tc>
        <w:tc>
          <w:tcPr>
            <w:tcW w:w="1462" w:type="dxa"/>
            <w:tcBorders>
              <w:left w:val="single" w:sz="12" w:space="0" w:color="C9C9C9" w:themeColor="accent3" w:themeTint="99"/>
              <w:bottom w:val="nil"/>
            </w:tcBorders>
            <w:shd w:val="clear" w:color="auto" w:fill="EDEDED" w:themeFill="accent3" w:themeFillTint="33"/>
            <w:vAlign w:val="center"/>
          </w:tcPr>
          <w:p w14:paraId="19B3F771" w14:textId="77777777" w:rsidR="006C78E5" w:rsidRDefault="006C78E5" w:rsidP="000608EA">
            <w:pPr>
              <w:jc w:val="center"/>
            </w:pPr>
          </w:p>
        </w:tc>
        <w:tc>
          <w:tcPr>
            <w:tcW w:w="1977" w:type="dxa"/>
            <w:tcBorders>
              <w:bottom w:val="nil"/>
            </w:tcBorders>
            <w:shd w:val="clear" w:color="auto" w:fill="EDEDED" w:themeFill="accent3" w:themeFillTint="33"/>
            <w:vAlign w:val="center"/>
          </w:tcPr>
          <w:p w14:paraId="282856B6" w14:textId="39996964" w:rsidR="006C78E5" w:rsidRPr="00F707C8" w:rsidRDefault="006C78E5" w:rsidP="000608EA">
            <w:pPr>
              <w:jc w:val="center"/>
              <w:rPr>
                <w:i/>
                <w:iCs/>
                <w:szCs w:val="20"/>
              </w:rPr>
            </w:pPr>
            <w:r>
              <w:rPr>
                <w:i/>
                <w:iCs/>
                <w:szCs w:val="20"/>
              </w:rPr>
              <w:t xml:space="preserve">w </w:t>
            </w:r>
            <w:r w:rsidRPr="00F707C8">
              <w:rPr>
                <w:i/>
                <w:iCs/>
                <w:szCs w:val="20"/>
              </w:rPr>
              <w:t>każdy</w:t>
            </w:r>
            <w:r>
              <w:rPr>
                <w:i/>
                <w:iCs/>
                <w:szCs w:val="20"/>
              </w:rPr>
              <w:t>m</w:t>
            </w:r>
            <w:r w:rsidRPr="00F707C8">
              <w:rPr>
                <w:i/>
                <w:iCs/>
                <w:szCs w:val="20"/>
              </w:rPr>
              <w:t xml:space="preserve"> rok</w:t>
            </w:r>
            <w:r>
              <w:rPr>
                <w:i/>
                <w:iCs/>
                <w:szCs w:val="20"/>
              </w:rPr>
              <w:t>u</w:t>
            </w:r>
            <w:r w:rsidRPr="00F707C8">
              <w:rPr>
                <w:i/>
                <w:iCs/>
                <w:szCs w:val="20"/>
              </w:rPr>
              <w:t xml:space="preserve"> </w:t>
            </w:r>
            <w:r>
              <w:rPr>
                <w:i/>
                <w:iCs/>
                <w:szCs w:val="20"/>
              </w:rPr>
              <w:t xml:space="preserve">w okresie </w:t>
            </w:r>
            <w:r w:rsidRPr="00F707C8">
              <w:rPr>
                <w:i/>
                <w:iCs/>
                <w:szCs w:val="20"/>
              </w:rPr>
              <w:t>2020–2029</w:t>
            </w:r>
          </w:p>
        </w:tc>
        <w:tc>
          <w:tcPr>
            <w:tcW w:w="1978" w:type="dxa"/>
            <w:tcBorders>
              <w:bottom w:val="nil"/>
              <w:right w:val="single" w:sz="4" w:space="0" w:color="D9D9D9" w:themeColor="background1" w:themeShade="D9"/>
            </w:tcBorders>
            <w:shd w:val="clear" w:color="auto" w:fill="EDEDED" w:themeFill="accent3" w:themeFillTint="33"/>
            <w:vAlign w:val="center"/>
          </w:tcPr>
          <w:p w14:paraId="2E93417C" w14:textId="117599C1" w:rsidR="006C78E5" w:rsidRPr="00F707C8" w:rsidRDefault="006C78E5" w:rsidP="000608EA">
            <w:pPr>
              <w:jc w:val="center"/>
              <w:rPr>
                <w:i/>
                <w:iCs/>
                <w:szCs w:val="20"/>
              </w:rPr>
            </w:pPr>
            <w:r>
              <w:rPr>
                <w:i/>
                <w:iCs/>
                <w:szCs w:val="20"/>
              </w:rPr>
              <w:t xml:space="preserve">w </w:t>
            </w:r>
            <w:r w:rsidRPr="00F707C8">
              <w:rPr>
                <w:i/>
                <w:iCs/>
                <w:szCs w:val="20"/>
              </w:rPr>
              <w:t>każdy</w:t>
            </w:r>
            <w:r>
              <w:rPr>
                <w:i/>
                <w:iCs/>
                <w:szCs w:val="20"/>
              </w:rPr>
              <w:t>m</w:t>
            </w:r>
            <w:r w:rsidRPr="00F707C8">
              <w:rPr>
                <w:i/>
                <w:iCs/>
                <w:szCs w:val="20"/>
              </w:rPr>
              <w:t xml:space="preserve"> rok</w:t>
            </w:r>
            <w:r>
              <w:rPr>
                <w:i/>
                <w:iCs/>
                <w:szCs w:val="20"/>
              </w:rPr>
              <w:t>u</w:t>
            </w:r>
            <w:r w:rsidRPr="00F707C8">
              <w:rPr>
                <w:i/>
                <w:iCs/>
                <w:szCs w:val="20"/>
              </w:rPr>
              <w:t xml:space="preserve"> od</w:t>
            </w:r>
            <w:r w:rsidR="00F47A2C">
              <w:rPr>
                <w:i/>
                <w:iCs/>
                <w:szCs w:val="20"/>
              </w:rPr>
              <w:t> </w:t>
            </w:r>
            <w:r w:rsidRPr="00F707C8">
              <w:rPr>
                <w:i/>
                <w:iCs/>
                <w:szCs w:val="20"/>
              </w:rPr>
              <w:t>2030 r.</w:t>
            </w:r>
          </w:p>
        </w:tc>
        <w:tc>
          <w:tcPr>
            <w:tcW w:w="1752" w:type="dxa"/>
            <w:tcBorders>
              <w:left w:val="single" w:sz="4" w:space="0" w:color="D9D9D9" w:themeColor="background1" w:themeShade="D9"/>
              <w:bottom w:val="nil"/>
            </w:tcBorders>
            <w:shd w:val="clear" w:color="auto" w:fill="EDEDED" w:themeFill="accent3" w:themeFillTint="33"/>
          </w:tcPr>
          <w:p w14:paraId="42414057" w14:textId="2906BF46" w:rsidR="006C78E5" w:rsidRDefault="006C78E5" w:rsidP="000608EA">
            <w:pPr>
              <w:jc w:val="center"/>
              <w:rPr>
                <w:i/>
                <w:iCs/>
                <w:szCs w:val="20"/>
              </w:rPr>
            </w:pPr>
            <w:r>
              <w:rPr>
                <w:i/>
                <w:iCs/>
                <w:szCs w:val="20"/>
              </w:rPr>
              <w:t>wyniki prognoz na</w:t>
            </w:r>
            <w:r w:rsidR="00F47A2C">
              <w:rPr>
                <w:i/>
                <w:iCs/>
                <w:szCs w:val="20"/>
              </w:rPr>
              <w:t> </w:t>
            </w:r>
            <w:r>
              <w:rPr>
                <w:i/>
                <w:iCs/>
                <w:szCs w:val="20"/>
              </w:rPr>
              <w:t>2030 r.**</w:t>
            </w:r>
          </w:p>
        </w:tc>
      </w:tr>
      <w:tr w:rsidR="006C78E5" w14:paraId="4E0A0A7A" w14:textId="5C4E12CF" w:rsidTr="003E2A17">
        <w:tc>
          <w:tcPr>
            <w:tcW w:w="1783" w:type="dxa"/>
            <w:vMerge/>
            <w:tcBorders>
              <w:right w:val="single" w:sz="12" w:space="0" w:color="C9C9C9" w:themeColor="accent3" w:themeTint="99"/>
            </w:tcBorders>
            <w:shd w:val="clear" w:color="auto" w:fill="EDEDED" w:themeFill="accent3" w:themeFillTint="33"/>
          </w:tcPr>
          <w:p w14:paraId="662D04C8" w14:textId="77777777" w:rsidR="006C78E5" w:rsidRPr="00F707C8" w:rsidRDefault="006C78E5" w:rsidP="000608EA">
            <w:pPr>
              <w:jc w:val="center"/>
              <w:rPr>
                <w:b/>
                <w:bCs/>
              </w:rPr>
            </w:pPr>
          </w:p>
        </w:tc>
        <w:tc>
          <w:tcPr>
            <w:tcW w:w="1462" w:type="dxa"/>
            <w:tcBorders>
              <w:top w:val="nil"/>
              <w:left w:val="single" w:sz="12" w:space="0" w:color="C9C9C9" w:themeColor="accent3" w:themeTint="99"/>
              <w:bottom w:val="nil"/>
              <w:right w:val="nil"/>
            </w:tcBorders>
            <w:shd w:val="clear" w:color="auto" w:fill="EDEDED" w:themeFill="accent3" w:themeFillTint="33"/>
            <w:vAlign w:val="center"/>
          </w:tcPr>
          <w:p w14:paraId="681D6C55" w14:textId="77777777" w:rsidR="006C78E5" w:rsidRPr="00F707C8" w:rsidRDefault="006C78E5" w:rsidP="000608EA">
            <w:pPr>
              <w:jc w:val="center"/>
              <w:rPr>
                <w:b/>
                <w:bCs/>
              </w:rPr>
            </w:pPr>
            <w:r w:rsidRPr="00F707C8">
              <w:rPr>
                <w:b/>
                <w:bCs/>
              </w:rPr>
              <w:t>SO</w:t>
            </w:r>
            <w:r w:rsidRPr="00F707C8">
              <w:rPr>
                <w:b/>
                <w:bCs/>
                <w:vertAlign w:val="subscript"/>
              </w:rPr>
              <w:t>2</w:t>
            </w:r>
          </w:p>
        </w:tc>
        <w:tc>
          <w:tcPr>
            <w:tcW w:w="1977" w:type="dxa"/>
            <w:tcBorders>
              <w:top w:val="nil"/>
              <w:left w:val="nil"/>
              <w:bottom w:val="nil"/>
              <w:right w:val="nil"/>
            </w:tcBorders>
            <w:shd w:val="clear" w:color="auto" w:fill="EDEDED" w:themeFill="accent3" w:themeFillTint="33"/>
            <w:vAlign w:val="center"/>
          </w:tcPr>
          <w:p w14:paraId="4BD1E680" w14:textId="77777777" w:rsidR="006C78E5" w:rsidRDefault="006C78E5" w:rsidP="000608EA">
            <w:pPr>
              <w:jc w:val="center"/>
            </w:pPr>
            <w:r>
              <w:t>59%</w:t>
            </w:r>
          </w:p>
        </w:tc>
        <w:tc>
          <w:tcPr>
            <w:tcW w:w="1978" w:type="dxa"/>
            <w:tcBorders>
              <w:top w:val="nil"/>
              <w:left w:val="nil"/>
              <w:bottom w:val="nil"/>
              <w:right w:val="single" w:sz="4" w:space="0" w:color="D9D9D9" w:themeColor="background1" w:themeShade="D9"/>
            </w:tcBorders>
            <w:shd w:val="clear" w:color="auto" w:fill="EDEDED" w:themeFill="accent3" w:themeFillTint="33"/>
            <w:vAlign w:val="center"/>
          </w:tcPr>
          <w:p w14:paraId="4E848C5F" w14:textId="77777777" w:rsidR="006C78E5" w:rsidRDefault="006C78E5" w:rsidP="000608EA">
            <w:pPr>
              <w:jc w:val="center"/>
            </w:pPr>
            <w:r>
              <w:t>70%</w:t>
            </w:r>
          </w:p>
        </w:tc>
        <w:tc>
          <w:tcPr>
            <w:tcW w:w="1752" w:type="dxa"/>
            <w:tcBorders>
              <w:top w:val="nil"/>
              <w:left w:val="single" w:sz="4" w:space="0" w:color="D9D9D9" w:themeColor="background1" w:themeShade="D9"/>
              <w:bottom w:val="nil"/>
            </w:tcBorders>
            <w:shd w:val="clear" w:color="auto" w:fill="EDEDED" w:themeFill="accent3" w:themeFillTint="33"/>
          </w:tcPr>
          <w:p w14:paraId="3A347ACC" w14:textId="00CC72E7" w:rsidR="006C78E5" w:rsidRDefault="006C78E5" w:rsidP="000608EA">
            <w:pPr>
              <w:jc w:val="center"/>
            </w:pPr>
            <w:r>
              <w:t>87,</w:t>
            </w:r>
            <w:r w:rsidR="00EC16D9">
              <w:t>8</w:t>
            </w:r>
            <w:r>
              <w:t>%</w:t>
            </w:r>
          </w:p>
        </w:tc>
      </w:tr>
      <w:tr w:rsidR="006C78E5" w14:paraId="7C9DFC16" w14:textId="0A57B7A8" w:rsidTr="003E2A17">
        <w:tc>
          <w:tcPr>
            <w:tcW w:w="1783" w:type="dxa"/>
            <w:vMerge/>
            <w:tcBorders>
              <w:right w:val="single" w:sz="12" w:space="0" w:color="C9C9C9" w:themeColor="accent3" w:themeTint="99"/>
            </w:tcBorders>
            <w:shd w:val="clear" w:color="auto" w:fill="EDEDED" w:themeFill="accent3" w:themeFillTint="33"/>
          </w:tcPr>
          <w:p w14:paraId="7240CEB9" w14:textId="77777777" w:rsidR="006C78E5" w:rsidRPr="00F707C8" w:rsidRDefault="006C78E5" w:rsidP="000608EA">
            <w:pPr>
              <w:jc w:val="center"/>
              <w:rPr>
                <w:b/>
                <w:bCs/>
              </w:rPr>
            </w:pPr>
          </w:p>
        </w:tc>
        <w:tc>
          <w:tcPr>
            <w:tcW w:w="1462" w:type="dxa"/>
            <w:tcBorders>
              <w:top w:val="nil"/>
              <w:left w:val="single" w:sz="12" w:space="0" w:color="C9C9C9" w:themeColor="accent3" w:themeTint="99"/>
              <w:bottom w:val="nil"/>
              <w:right w:val="nil"/>
            </w:tcBorders>
            <w:shd w:val="clear" w:color="auto" w:fill="EDEDED" w:themeFill="accent3" w:themeFillTint="33"/>
            <w:vAlign w:val="center"/>
          </w:tcPr>
          <w:p w14:paraId="3B477855" w14:textId="77777777" w:rsidR="006C78E5" w:rsidRPr="00F707C8" w:rsidRDefault="006C78E5" w:rsidP="000608EA">
            <w:pPr>
              <w:jc w:val="center"/>
              <w:rPr>
                <w:b/>
                <w:bCs/>
              </w:rPr>
            </w:pPr>
            <w:r w:rsidRPr="00F707C8">
              <w:rPr>
                <w:b/>
                <w:bCs/>
              </w:rPr>
              <w:t>NO</w:t>
            </w:r>
            <w:r w:rsidRPr="00F707C8">
              <w:rPr>
                <w:b/>
                <w:bCs/>
                <w:vertAlign w:val="subscript"/>
              </w:rPr>
              <w:t>x</w:t>
            </w:r>
          </w:p>
        </w:tc>
        <w:tc>
          <w:tcPr>
            <w:tcW w:w="1977" w:type="dxa"/>
            <w:tcBorders>
              <w:top w:val="nil"/>
              <w:left w:val="nil"/>
              <w:bottom w:val="nil"/>
              <w:right w:val="nil"/>
            </w:tcBorders>
            <w:shd w:val="clear" w:color="auto" w:fill="EDEDED" w:themeFill="accent3" w:themeFillTint="33"/>
            <w:vAlign w:val="center"/>
          </w:tcPr>
          <w:p w14:paraId="3FE028B9" w14:textId="77777777" w:rsidR="006C78E5" w:rsidRDefault="006C78E5" w:rsidP="000608EA">
            <w:pPr>
              <w:jc w:val="center"/>
            </w:pPr>
            <w:r>
              <w:t>30%</w:t>
            </w:r>
          </w:p>
        </w:tc>
        <w:tc>
          <w:tcPr>
            <w:tcW w:w="1978" w:type="dxa"/>
            <w:tcBorders>
              <w:top w:val="nil"/>
              <w:left w:val="nil"/>
              <w:bottom w:val="nil"/>
              <w:right w:val="single" w:sz="4" w:space="0" w:color="D9D9D9" w:themeColor="background1" w:themeShade="D9"/>
            </w:tcBorders>
            <w:shd w:val="clear" w:color="auto" w:fill="EDEDED" w:themeFill="accent3" w:themeFillTint="33"/>
            <w:vAlign w:val="center"/>
          </w:tcPr>
          <w:p w14:paraId="158724DD" w14:textId="3F39C191" w:rsidR="006C78E5" w:rsidRDefault="006C78E5" w:rsidP="000608EA">
            <w:pPr>
              <w:jc w:val="center"/>
            </w:pPr>
            <w:r>
              <w:t>39%</w:t>
            </w:r>
          </w:p>
        </w:tc>
        <w:tc>
          <w:tcPr>
            <w:tcW w:w="1752" w:type="dxa"/>
            <w:tcBorders>
              <w:top w:val="nil"/>
              <w:left w:val="single" w:sz="4" w:space="0" w:color="D9D9D9" w:themeColor="background1" w:themeShade="D9"/>
              <w:bottom w:val="nil"/>
            </w:tcBorders>
            <w:shd w:val="clear" w:color="auto" w:fill="EDEDED" w:themeFill="accent3" w:themeFillTint="33"/>
          </w:tcPr>
          <w:p w14:paraId="622D6FD0" w14:textId="66CAD98B" w:rsidR="006C78E5" w:rsidRDefault="00EC16D9" w:rsidP="000608EA">
            <w:pPr>
              <w:jc w:val="center"/>
            </w:pPr>
            <w:r>
              <w:t>55,6%</w:t>
            </w:r>
          </w:p>
        </w:tc>
      </w:tr>
      <w:tr w:rsidR="006C78E5" w14:paraId="24D8C0BA" w14:textId="042758DB" w:rsidTr="003E2A17">
        <w:tc>
          <w:tcPr>
            <w:tcW w:w="1783" w:type="dxa"/>
            <w:vMerge/>
            <w:tcBorders>
              <w:right w:val="single" w:sz="12" w:space="0" w:color="C9C9C9" w:themeColor="accent3" w:themeTint="99"/>
            </w:tcBorders>
            <w:shd w:val="clear" w:color="auto" w:fill="EDEDED" w:themeFill="accent3" w:themeFillTint="33"/>
          </w:tcPr>
          <w:p w14:paraId="53DCD4F9" w14:textId="77777777" w:rsidR="006C78E5" w:rsidRPr="00F707C8" w:rsidRDefault="006C78E5" w:rsidP="000608EA">
            <w:pPr>
              <w:jc w:val="center"/>
              <w:rPr>
                <w:b/>
                <w:bCs/>
              </w:rPr>
            </w:pPr>
          </w:p>
        </w:tc>
        <w:tc>
          <w:tcPr>
            <w:tcW w:w="1462" w:type="dxa"/>
            <w:tcBorders>
              <w:top w:val="nil"/>
              <w:left w:val="single" w:sz="12" w:space="0" w:color="C9C9C9" w:themeColor="accent3" w:themeTint="99"/>
              <w:bottom w:val="nil"/>
              <w:right w:val="nil"/>
            </w:tcBorders>
            <w:shd w:val="clear" w:color="auto" w:fill="EDEDED" w:themeFill="accent3" w:themeFillTint="33"/>
            <w:vAlign w:val="center"/>
          </w:tcPr>
          <w:p w14:paraId="59E32D65" w14:textId="76636791" w:rsidR="006C78E5" w:rsidRPr="00F707C8" w:rsidRDefault="006C78E5" w:rsidP="000608EA">
            <w:pPr>
              <w:jc w:val="center"/>
              <w:rPr>
                <w:b/>
                <w:bCs/>
              </w:rPr>
            </w:pPr>
            <w:r w:rsidRPr="00F707C8">
              <w:rPr>
                <w:b/>
                <w:bCs/>
              </w:rPr>
              <w:t>NMLZO</w:t>
            </w:r>
          </w:p>
        </w:tc>
        <w:tc>
          <w:tcPr>
            <w:tcW w:w="1977" w:type="dxa"/>
            <w:tcBorders>
              <w:top w:val="nil"/>
              <w:left w:val="nil"/>
              <w:bottom w:val="nil"/>
              <w:right w:val="nil"/>
            </w:tcBorders>
            <w:shd w:val="clear" w:color="auto" w:fill="EDEDED" w:themeFill="accent3" w:themeFillTint="33"/>
            <w:vAlign w:val="center"/>
          </w:tcPr>
          <w:p w14:paraId="7B516CD4" w14:textId="77777777" w:rsidR="006C78E5" w:rsidRDefault="006C78E5" w:rsidP="000608EA">
            <w:pPr>
              <w:jc w:val="center"/>
            </w:pPr>
            <w:r>
              <w:t>25%</w:t>
            </w:r>
          </w:p>
        </w:tc>
        <w:tc>
          <w:tcPr>
            <w:tcW w:w="1978" w:type="dxa"/>
            <w:tcBorders>
              <w:top w:val="nil"/>
              <w:left w:val="nil"/>
              <w:bottom w:val="nil"/>
              <w:right w:val="single" w:sz="4" w:space="0" w:color="D9D9D9" w:themeColor="background1" w:themeShade="D9"/>
            </w:tcBorders>
            <w:shd w:val="clear" w:color="auto" w:fill="EDEDED" w:themeFill="accent3" w:themeFillTint="33"/>
            <w:vAlign w:val="center"/>
          </w:tcPr>
          <w:p w14:paraId="7DC90BDB" w14:textId="77777777" w:rsidR="006C78E5" w:rsidRDefault="006C78E5" w:rsidP="000608EA">
            <w:pPr>
              <w:jc w:val="center"/>
            </w:pPr>
            <w:r>
              <w:t>26%</w:t>
            </w:r>
          </w:p>
        </w:tc>
        <w:tc>
          <w:tcPr>
            <w:tcW w:w="1752" w:type="dxa"/>
            <w:tcBorders>
              <w:top w:val="nil"/>
              <w:left w:val="single" w:sz="4" w:space="0" w:color="D9D9D9" w:themeColor="background1" w:themeShade="D9"/>
              <w:bottom w:val="nil"/>
            </w:tcBorders>
            <w:shd w:val="clear" w:color="auto" w:fill="EDEDED" w:themeFill="accent3" w:themeFillTint="33"/>
          </w:tcPr>
          <w:p w14:paraId="74887850" w14:textId="0200C8AC" w:rsidR="006C78E5" w:rsidRDefault="00EC16D9" w:rsidP="000608EA">
            <w:pPr>
              <w:jc w:val="center"/>
            </w:pPr>
            <w:r>
              <w:t>47,0%</w:t>
            </w:r>
          </w:p>
        </w:tc>
      </w:tr>
      <w:tr w:rsidR="006C78E5" w14:paraId="1C1356ED" w14:textId="327C7C17" w:rsidTr="003E2A17">
        <w:tc>
          <w:tcPr>
            <w:tcW w:w="1783" w:type="dxa"/>
            <w:vMerge/>
            <w:tcBorders>
              <w:right w:val="single" w:sz="12" w:space="0" w:color="C9C9C9" w:themeColor="accent3" w:themeTint="99"/>
            </w:tcBorders>
            <w:shd w:val="clear" w:color="auto" w:fill="EDEDED" w:themeFill="accent3" w:themeFillTint="33"/>
            <w:vAlign w:val="center"/>
          </w:tcPr>
          <w:p w14:paraId="2A667644" w14:textId="77777777" w:rsidR="006C78E5" w:rsidRPr="00F707C8" w:rsidRDefault="006C78E5" w:rsidP="000608EA">
            <w:pPr>
              <w:jc w:val="left"/>
              <w:rPr>
                <w:b/>
                <w:bCs/>
              </w:rPr>
            </w:pPr>
          </w:p>
        </w:tc>
        <w:tc>
          <w:tcPr>
            <w:tcW w:w="1462" w:type="dxa"/>
            <w:tcBorders>
              <w:top w:val="nil"/>
              <w:left w:val="single" w:sz="12" w:space="0" w:color="C9C9C9" w:themeColor="accent3" w:themeTint="99"/>
              <w:bottom w:val="nil"/>
              <w:right w:val="nil"/>
            </w:tcBorders>
            <w:shd w:val="clear" w:color="auto" w:fill="EDEDED" w:themeFill="accent3" w:themeFillTint="33"/>
            <w:vAlign w:val="center"/>
          </w:tcPr>
          <w:p w14:paraId="37D3C840" w14:textId="77777777" w:rsidR="006C78E5" w:rsidRPr="00F707C8" w:rsidRDefault="006C78E5" w:rsidP="000608EA">
            <w:pPr>
              <w:jc w:val="center"/>
              <w:rPr>
                <w:b/>
                <w:bCs/>
              </w:rPr>
            </w:pPr>
            <w:r w:rsidRPr="00F707C8">
              <w:rPr>
                <w:b/>
                <w:bCs/>
              </w:rPr>
              <w:t>NH</w:t>
            </w:r>
            <w:r w:rsidRPr="00F707C8">
              <w:rPr>
                <w:b/>
                <w:bCs/>
                <w:vertAlign w:val="subscript"/>
              </w:rPr>
              <w:t>3</w:t>
            </w:r>
          </w:p>
        </w:tc>
        <w:tc>
          <w:tcPr>
            <w:tcW w:w="1977" w:type="dxa"/>
            <w:tcBorders>
              <w:top w:val="nil"/>
              <w:left w:val="nil"/>
              <w:bottom w:val="nil"/>
              <w:right w:val="nil"/>
            </w:tcBorders>
            <w:shd w:val="clear" w:color="auto" w:fill="EDEDED" w:themeFill="accent3" w:themeFillTint="33"/>
            <w:vAlign w:val="center"/>
          </w:tcPr>
          <w:p w14:paraId="52B605E8" w14:textId="77777777" w:rsidR="006C78E5" w:rsidRDefault="006C78E5" w:rsidP="000608EA">
            <w:pPr>
              <w:jc w:val="center"/>
            </w:pPr>
            <w:r>
              <w:t>1%</w:t>
            </w:r>
          </w:p>
        </w:tc>
        <w:tc>
          <w:tcPr>
            <w:tcW w:w="1978" w:type="dxa"/>
            <w:tcBorders>
              <w:top w:val="nil"/>
              <w:left w:val="nil"/>
              <w:bottom w:val="nil"/>
              <w:right w:val="single" w:sz="4" w:space="0" w:color="D9D9D9" w:themeColor="background1" w:themeShade="D9"/>
            </w:tcBorders>
            <w:shd w:val="clear" w:color="auto" w:fill="EDEDED" w:themeFill="accent3" w:themeFillTint="33"/>
            <w:vAlign w:val="center"/>
          </w:tcPr>
          <w:p w14:paraId="2C0D7A23" w14:textId="77777777" w:rsidR="006C78E5" w:rsidRDefault="006C78E5" w:rsidP="000608EA">
            <w:pPr>
              <w:jc w:val="center"/>
            </w:pPr>
            <w:r>
              <w:t>17%</w:t>
            </w:r>
          </w:p>
        </w:tc>
        <w:tc>
          <w:tcPr>
            <w:tcW w:w="1752" w:type="dxa"/>
            <w:tcBorders>
              <w:top w:val="nil"/>
              <w:left w:val="single" w:sz="4" w:space="0" w:color="D9D9D9" w:themeColor="background1" w:themeShade="D9"/>
              <w:bottom w:val="nil"/>
            </w:tcBorders>
            <w:shd w:val="clear" w:color="auto" w:fill="EDEDED" w:themeFill="accent3" w:themeFillTint="33"/>
          </w:tcPr>
          <w:p w14:paraId="6CB14EE7" w14:textId="54554DD9" w:rsidR="006C78E5" w:rsidRDefault="00EC16D9" w:rsidP="000608EA">
            <w:pPr>
              <w:jc w:val="center"/>
            </w:pPr>
            <w:r>
              <w:t>17,3%</w:t>
            </w:r>
          </w:p>
        </w:tc>
      </w:tr>
      <w:tr w:rsidR="006C78E5" w14:paraId="7F7168F9" w14:textId="692CD7DF" w:rsidTr="003E2A17">
        <w:tc>
          <w:tcPr>
            <w:tcW w:w="1783" w:type="dxa"/>
            <w:vMerge/>
            <w:tcBorders>
              <w:right w:val="single" w:sz="12" w:space="0" w:color="C9C9C9" w:themeColor="accent3" w:themeTint="99"/>
            </w:tcBorders>
            <w:shd w:val="clear" w:color="auto" w:fill="EDEDED" w:themeFill="accent3" w:themeFillTint="33"/>
          </w:tcPr>
          <w:p w14:paraId="2CFA7D25" w14:textId="77777777" w:rsidR="006C78E5" w:rsidRDefault="006C78E5" w:rsidP="000608EA">
            <w:pPr>
              <w:jc w:val="center"/>
              <w:rPr>
                <w:b/>
                <w:bCs/>
              </w:rPr>
            </w:pPr>
          </w:p>
        </w:tc>
        <w:tc>
          <w:tcPr>
            <w:tcW w:w="1462" w:type="dxa"/>
            <w:tcBorders>
              <w:top w:val="nil"/>
              <w:left w:val="single" w:sz="12" w:space="0" w:color="C9C9C9" w:themeColor="accent3" w:themeTint="99"/>
              <w:bottom w:val="single" w:sz="48" w:space="0" w:color="EDEDED" w:themeColor="accent3" w:themeTint="33"/>
              <w:right w:val="nil"/>
            </w:tcBorders>
            <w:shd w:val="clear" w:color="auto" w:fill="EDEDED" w:themeFill="accent3" w:themeFillTint="33"/>
            <w:vAlign w:val="center"/>
          </w:tcPr>
          <w:p w14:paraId="209FAD04" w14:textId="77777777" w:rsidR="006C78E5" w:rsidRPr="00F707C8" w:rsidRDefault="006C78E5" w:rsidP="000608EA">
            <w:pPr>
              <w:jc w:val="center"/>
              <w:rPr>
                <w:b/>
                <w:bCs/>
              </w:rPr>
            </w:pPr>
            <w:r>
              <w:rPr>
                <w:b/>
                <w:bCs/>
              </w:rPr>
              <w:t>PM2,5 (pyły)</w:t>
            </w:r>
          </w:p>
        </w:tc>
        <w:tc>
          <w:tcPr>
            <w:tcW w:w="1977" w:type="dxa"/>
            <w:tcBorders>
              <w:top w:val="nil"/>
              <w:left w:val="nil"/>
              <w:bottom w:val="single" w:sz="48" w:space="0" w:color="EDEDED" w:themeColor="accent3" w:themeTint="33"/>
              <w:right w:val="nil"/>
            </w:tcBorders>
            <w:shd w:val="clear" w:color="auto" w:fill="EDEDED" w:themeFill="accent3" w:themeFillTint="33"/>
            <w:vAlign w:val="center"/>
          </w:tcPr>
          <w:p w14:paraId="28BD2B40" w14:textId="77777777" w:rsidR="006C78E5" w:rsidRDefault="006C78E5" w:rsidP="000608EA">
            <w:pPr>
              <w:jc w:val="center"/>
            </w:pPr>
            <w:r>
              <w:t>16%</w:t>
            </w:r>
          </w:p>
        </w:tc>
        <w:tc>
          <w:tcPr>
            <w:tcW w:w="1978" w:type="dxa"/>
            <w:tcBorders>
              <w:top w:val="nil"/>
              <w:left w:val="nil"/>
              <w:bottom w:val="single" w:sz="48" w:space="0" w:color="EDEDED" w:themeColor="accent3" w:themeTint="33"/>
              <w:right w:val="single" w:sz="4" w:space="0" w:color="D9D9D9" w:themeColor="background1" w:themeShade="D9"/>
            </w:tcBorders>
            <w:shd w:val="clear" w:color="auto" w:fill="EDEDED" w:themeFill="accent3" w:themeFillTint="33"/>
            <w:vAlign w:val="center"/>
          </w:tcPr>
          <w:p w14:paraId="7C3103F3" w14:textId="77777777" w:rsidR="006C78E5" w:rsidRDefault="006C78E5" w:rsidP="000608EA">
            <w:pPr>
              <w:jc w:val="center"/>
            </w:pPr>
            <w:r>
              <w:t>58%</w:t>
            </w:r>
          </w:p>
        </w:tc>
        <w:tc>
          <w:tcPr>
            <w:tcW w:w="1752" w:type="dxa"/>
            <w:tcBorders>
              <w:top w:val="nil"/>
              <w:left w:val="single" w:sz="4" w:space="0" w:color="D9D9D9" w:themeColor="background1" w:themeShade="D9"/>
              <w:bottom w:val="single" w:sz="48" w:space="0" w:color="EDEDED" w:themeColor="accent3" w:themeTint="33"/>
            </w:tcBorders>
            <w:shd w:val="clear" w:color="auto" w:fill="EDEDED" w:themeFill="accent3" w:themeFillTint="33"/>
          </w:tcPr>
          <w:p w14:paraId="78626BD6" w14:textId="4CEB1642" w:rsidR="006C78E5" w:rsidRDefault="003E2A17" w:rsidP="000608EA">
            <w:pPr>
              <w:jc w:val="center"/>
            </w:pPr>
            <w:r>
              <w:t>66,</w:t>
            </w:r>
            <w:r w:rsidR="00EC16D9">
              <w:t>3</w:t>
            </w:r>
            <w:r>
              <w:t>%</w:t>
            </w:r>
          </w:p>
        </w:tc>
      </w:tr>
    </w:tbl>
    <w:p w14:paraId="281A53E3" w14:textId="77DF2EB9" w:rsidR="006C78E5" w:rsidRDefault="006C78E5" w:rsidP="006C78E5">
      <w:pPr>
        <w:jc w:val="left"/>
      </w:pPr>
      <w:r>
        <w:t>*</w:t>
      </w:r>
      <w:r w:rsidRPr="006C78E5">
        <w:rPr>
          <w:sz w:val="18"/>
          <w:szCs w:val="18"/>
        </w:rPr>
        <w:t xml:space="preserve"> </w:t>
      </w:r>
      <w:r w:rsidRPr="00DA67E6">
        <w:rPr>
          <w:sz w:val="18"/>
          <w:szCs w:val="18"/>
        </w:rPr>
        <w:t>NLZMO – niemetalowe lotne związki organiczne</w:t>
      </w:r>
      <w:r>
        <w:rPr>
          <w:sz w:val="18"/>
          <w:szCs w:val="18"/>
        </w:rPr>
        <w:br/>
        <w:t>**Prognozy nie mają charakteru celu.</w:t>
      </w:r>
    </w:p>
    <w:p w14:paraId="5A140B6A" w14:textId="7E4B6C1E" w:rsidR="007864F4" w:rsidRDefault="00125A37" w:rsidP="00B762DE">
      <w:r w:rsidRPr="00125A37">
        <w:t xml:space="preserve">Największe problemy z nieodpowiednią jakością powietrza dotyczą obszarów miejskich </w:t>
      </w:r>
      <w:r w:rsidR="008E2CFD">
        <w:t xml:space="preserve">będących </w:t>
      </w:r>
      <w:r w:rsidR="008E2CFD" w:rsidRPr="00125A37">
        <w:t>duży</w:t>
      </w:r>
      <w:r w:rsidR="008E2CFD">
        <w:t>mi</w:t>
      </w:r>
      <w:r w:rsidR="008E2CFD" w:rsidRPr="00125A37">
        <w:t xml:space="preserve"> skupisk</w:t>
      </w:r>
      <w:r w:rsidR="008E2CFD">
        <w:t>ami</w:t>
      </w:r>
      <w:r w:rsidR="008E2CFD" w:rsidRPr="00125A37">
        <w:t xml:space="preserve"> ludności oraz regionów intensywnej działalności przemysłowej.</w:t>
      </w:r>
      <w:r w:rsidR="003E2DE5">
        <w:t xml:space="preserve"> </w:t>
      </w:r>
      <w:r w:rsidR="008E2CFD" w:rsidRPr="00125A37">
        <w:t>Istotnym problemem pozostają przekroczenia poziomów dopuszczalnych dla pyłu zawieszonego PM10 i PM2,5 oraz poziomu docelowego benzo(a)pirenu, szczególnie w okresie zimowym. Dodatkowo w aglomeracjach miejskich występuje problem przekroczeń poziomu dopuszczalnego dla dwutlenku azotu</w:t>
      </w:r>
      <w:r w:rsidR="008E2CFD">
        <w:t xml:space="preserve"> (NO</w:t>
      </w:r>
      <w:r w:rsidR="008E2CFD" w:rsidRPr="008E2CFD">
        <w:rPr>
          <w:vertAlign w:val="subscript"/>
        </w:rPr>
        <w:t>2</w:t>
      </w:r>
      <w:r w:rsidR="008E2CFD">
        <w:t>) wynikający z dużego natężenia ruchu pojazdów</w:t>
      </w:r>
      <w:r w:rsidR="008E2CFD" w:rsidRPr="00125A37">
        <w:t xml:space="preserve">. </w:t>
      </w:r>
      <w:r w:rsidRPr="00125A37">
        <w:t>Emisje z</w:t>
      </w:r>
      <w:r w:rsidR="008E2CFD">
        <w:t>e</w:t>
      </w:r>
      <w:r w:rsidRPr="00125A37">
        <w:t xml:space="preserve"> spalania paliw kopalnych</w:t>
      </w:r>
      <w:r w:rsidR="00CD5293">
        <w:t xml:space="preserve"> i biomas</w:t>
      </w:r>
      <w:r w:rsidR="00E52BCF">
        <w:t>owych</w:t>
      </w:r>
      <w:r w:rsidR="524ADAF3">
        <w:t xml:space="preserve"> w </w:t>
      </w:r>
      <w:r w:rsidR="39238F00">
        <w:t>sektorze bytowo-</w:t>
      </w:r>
      <w:r w:rsidR="350414A3">
        <w:t>komunalnym</w:t>
      </w:r>
      <w:r w:rsidRPr="00125A37">
        <w:t>, transportu drogowego, przemysłowych procesów produkcyjnych i energetyki są głównymi źródłami emisji zanieczyszczeń do powietrza. Skoncentrowane tereny zabudowy mieszkaniowej wyposażonej w indywidualne źródła ciepła wykorzystujące paliwa kopalne a także, stałe paliwa biomasowe oraz obszary miast o dużym natężeniu ruchu pojazdów często borykają się z przekroczeniami norm jakości powietrza, dlatego wymagają szczególnej koncentracji działań</w:t>
      </w:r>
      <w:r w:rsidR="00C62D5D">
        <w:t>.</w:t>
      </w:r>
      <w:r w:rsidR="007864F4">
        <w:t xml:space="preserve"> </w:t>
      </w:r>
      <w:r w:rsidR="00B762DE">
        <w:t>Natomiast, g</w:t>
      </w:r>
      <w:r w:rsidR="00B762DE" w:rsidRPr="00B762DE">
        <w:t>łównym źródłem emisji amoniaku</w:t>
      </w:r>
      <w:r w:rsidR="008E2CFD">
        <w:t xml:space="preserve"> (NH</w:t>
      </w:r>
      <w:r w:rsidR="008E2CFD" w:rsidRPr="008E2CFD">
        <w:rPr>
          <w:vertAlign w:val="subscript"/>
        </w:rPr>
        <w:t>3</w:t>
      </w:r>
      <w:r w:rsidR="008E2CFD">
        <w:t>)</w:t>
      </w:r>
      <w:r w:rsidR="00B762DE" w:rsidRPr="00B762DE">
        <w:t xml:space="preserve"> w</w:t>
      </w:r>
      <w:r w:rsidR="008E2CFD">
        <w:t> </w:t>
      </w:r>
      <w:r w:rsidR="00B762DE" w:rsidRPr="00B762DE">
        <w:t>Polsce jest rolnictwo. Sektor ten odpowiada za</w:t>
      </w:r>
      <w:r w:rsidR="00B762DE">
        <w:t> </w:t>
      </w:r>
      <w:r w:rsidR="00B762DE" w:rsidRPr="00B762DE">
        <w:t>blisko 96% całkowitej emisji tego zanieczyszczenia. Dominują tu dwa źródła: odchody zwierząt gospodarskich</w:t>
      </w:r>
      <w:r w:rsidR="00B762DE">
        <w:t xml:space="preserve"> </w:t>
      </w:r>
      <w:r w:rsidR="00B762DE" w:rsidRPr="00B762DE">
        <w:t>oraz stosowanie nawozów naturalnych i</w:t>
      </w:r>
      <w:r w:rsidR="008E2CFD">
        <w:t> </w:t>
      </w:r>
      <w:r w:rsidR="00B762DE" w:rsidRPr="00B762DE">
        <w:t>mineralnych na gleby rolne.</w:t>
      </w:r>
      <w:r w:rsidR="00E2727C">
        <w:t xml:space="preserve"> </w:t>
      </w:r>
    </w:p>
    <w:p w14:paraId="5688C5B2" w14:textId="37912288" w:rsidR="00E45668" w:rsidRPr="007864F4" w:rsidRDefault="007864F4" w:rsidP="00E45668">
      <w:pPr>
        <w:pStyle w:val="Cele"/>
        <w:rPr>
          <w:b/>
          <w:bCs/>
        </w:rPr>
      </w:pPr>
      <w:r w:rsidRPr="007864F4">
        <w:rPr>
          <w:b/>
          <w:bCs/>
        </w:rPr>
        <w:lastRenderedPageBreak/>
        <w:t xml:space="preserve">Polska deklaruje </w:t>
      </w:r>
      <w:r w:rsidR="00125A37">
        <w:rPr>
          <w:b/>
          <w:bCs/>
        </w:rPr>
        <w:t xml:space="preserve">dążenie do </w:t>
      </w:r>
      <w:r w:rsidRPr="007864F4">
        <w:rPr>
          <w:b/>
          <w:bCs/>
        </w:rPr>
        <w:t>ograniczanie zanieczyszczeń atmosferycznych zgodnie z celami określonymi w dyrektywie NEC</w:t>
      </w:r>
      <w:r w:rsidR="00125A37" w:rsidRPr="00125A37">
        <w:t>.</w:t>
      </w:r>
    </w:p>
    <w:p w14:paraId="78F4C204" w14:textId="55E698C4" w:rsidR="00C4566A" w:rsidRDefault="00171BB2" w:rsidP="00313DE1">
      <w:pPr>
        <w:pStyle w:val="PaMs"/>
        <w:rPr>
          <w:rFonts w:ascii="Lato" w:hAnsi="Lato"/>
          <w:b w:val="0"/>
          <w:bCs w:val="0"/>
          <w:sz w:val="20"/>
          <w:szCs w:val="22"/>
        </w:rPr>
      </w:pPr>
      <w:r w:rsidRPr="00C4566A">
        <w:rPr>
          <w:rFonts w:ascii="Lato" w:hAnsi="Lato"/>
          <w:b w:val="0"/>
          <w:sz w:val="20"/>
          <w:szCs w:val="22"/>
        </w:rPr>
        <w:t xml:space="preserve">Wykorzystanie węgla </w:t>
      </w:r>
      <w:r w:rsidR="00125A37" w:rsidRPr="00C4566A">
        <w:rPr>
          <w:rFonts w:ascii="Lato" w:hAnsi="Lato"/>
          <w:b w:val="0"/>
          <w:sz w:val="20"/>
          <w:szCs w:val="22"/>
        </w:rPr>
        <w:t xml:space="preserve">kamiennego </w:t>
      </w:r>
      <w:r w:rsidRPr="00C4566A">
        <w:rPr>
          <w:rFonts w:ascii="Lato" w:hAnsi="Lato"/>
          <w:b w:val="0"/>
          <w:sz w:val="20"/>
          <w:szCs w:val="22"/>
        </w:rPr>
        <w:t xml:space="preserve">w gospodarstwach domowych </w:t>
      </w:r>
      <w:r w:rsidR="00125A37" w:rsidRPr="00C4566A">
        <w:rPr>
          <w:rFonts w:ascii="Lato" w:hAnsi="Lato"/>
          <w:b w:val="0"/>
          <w:sz w:val="20"/>
          <w:szCs w:val="22"/>
        </w:rPr>
        <w:t>do celów grzewczych ma bezpośredni wpływ na jakość powietrza, ale także oddziałuje na potrzeby importu węgla kamiennego oraz wpływa niekorzystanie na efektywność energetyczną gospodarki. Redukcja zużycia węgla kamiennego w kotłach indywidualnych jest zatem najważniejszym działaniem na rzecz poprawy jakości powietrza w Polsce.</w:t>
      </w:r>
    </w:p>
    <w:p w14:paraId="585EC346" w14:textId="0A7F7D7C" w:rsidR="00731619" w:rsidRDefault="00731619" w:rsidP="00313DE1">
      <w:pPr>
        <w:pStyle w:val="PaMs"/>
      </w:pPr>
      <w:r w:rsidRPr="00C46DAA">
        <w:t>POLITYKA</w:t>
      </w:r>
    </w:p>
    <w:p w14:paraId="22C5FF6E" w14:textId="62101250" w:rsidR="0098199F" w:rsidRDefault="00FD6F40" w:rsidP="0098199F">
      <w:r>
        <w:t>Ramy z</w:t>
      </w:r>
      <w:r w:rsidR="009940A0">
        <w:t>arządzani</w:t>
      </w:r>
      <w:r>
        <w:t>a</w:t>
      </w:r>
      <w:r w:rsidR="009940A0">
        <w:t xml:space="preserve"> jakością powietrza </w:t>
      </w:r>
      <w:r w:rsidR="00AB1CF2">
        <w:t xml:space="preserve">w Polsce </w:t>
      </w:r>
      <w:r w:rsidR="008B2999">
        <w:t>określone</w:t>
      </w:r>
      <w:r w:rsidR="00692133">
        <w:t xml:space="preserve"> </w:t>
      </w:r>
      <w:r>
        <w:t xml:space="preserve">są </w:t>
      </w:r>
      <w:r w:rsidR="00692133">
        <w:t xml:space="preserve">w </w:t>
      </w:r>
      <w:r w:rsidR="009940A0">
        <w:t>ustaw</w:t>
      </w:r>
      <w:r w:rsidR="00692133">
        <w:t>ie</w:t>
      </w:r>
      <w:r w:rsidR="009940A0">
        <w:t xml:space="preserve"> – </w:t>
      </w:r>
      <w:r w:rsidR="009940A0" w:rsidRPr="009940A0">
        <w:rPr>
          <w:i/>
          <w:iCs/>
        </w:rPr>
        <w:t>Prawo ochrony środowiska</w:t>
      </w:r>
      <w:r w:rsidR="009940A0">
        <w:t xml:space="preserve"> oraz akt</w:t>
      </w:r>
      <w:r w:rsidR="00895E3E">
        <w:t>ach</w:t>
      </w:r>
      <w:r w:rsidR="009940A0">
        <w:t xml:space="preserve"> wykonawcz</w:t>
      </w:r>
      <w:r w:rsidR="00895E3E">
        <w:t>ych</w:t>
      </w:r>
      <w:r w:rsidR="00B14859">
        <w:t xml:space="preserve">. Ważnym dokumentem w tym obszarze jest </w:t>
      </w:r>
      <w:r w:rsidR="00B14859" w:rsidRPr="00C11E82">
        <w:rPr>
          <w:b/>
          <w:i/>
        </w:rPr>
        <w:t>Krajowy Program Ograniczania Zanieczyszczeń Powietrza</w:t>
      </w:r>
      <w:r w:rsidR="00C11E82">
        <w:rPr>
          <w:b/>
          <w:bCs/>
          <w:i/>
          <w:iCs/>
        </w:rPr>
        <w:t xml:space="preserve"> </w:t>
      </w:r>
      <w:r w:rsidR="00C11E82" w:rsidRPr="00C11E82">
        <w:t>(</w:t>
      </w:r>
      <w:hyperlink r:id="rId66" w:history="1">
        <w:r w:rsidR="00C11E82" w:rsidRPr="004E19BD">
          <w:rPr>
            <w:rStyle w:val="Hipercze"/>
          </w:rPr>
          <w:t>link</w:t>
        </w:r>
      </w:hyperlink>
      <w:r w:rsidR="00C11E82" w:rsidRPr="00C11E82">
        <w:t>)</w:t>
      </w:r>
      <w:r w:rsidR="00B14859">
        <w:t>, który ustanawia środki służące realizacji celów dyrektywy NEC. N</w:t>
      </w:r>
      <w:r w:rsidR="00CE5955">
        <w:t xml:space="preserve">iezwykle ważną rolę mają </w:t>
      </w:r>
      <w:r w:rsidR="003D40D9">
        <w:t>także</w:t>
      </w:r>
      <w:r w:rsidR="00CE5955">
        <w:t xml:space="preserve"> działania samorządów terytorialnych</w:t>
      </w:r>
      <w:r w:rsidR="00EA2280">
        <w:t>,</w:t>
      </w:r>
      <w:r w:rsidR="00CE5955">
        <w:t xml:space="preserve"> które przygotowują i wdrażają </w:t>
      </w:r>
      <w:r w:rsidR="00CE5955" w:rsidRPr="00D31897">
        <w:rPr>
          <w:b/>
          <w:bCs/>
        </w:rPr>
        <w:t>program</w:t>
      </w:r>
      <w:r w:rsidR="00CE5955">
        <w:rPr>
          <w:b/>
          <w:bCs/>
        </w:rPr>
        <w:t>y</w:t>
      </w:r>
      <w:r w:rsidR="00CE5955" w:rsidRPr="00D31897">
        <w:rPr>
          <w:b/>
          <w:bCs/>
        </w:rPr>
        <w:t xml:space="preserve"> ochrony powietrza wraz z planami działań krótkoterminowych oraz uchwał antysmogowych</w:t>
      </w:r>
      <w:r w:rsidR="00CE5955">
        <w:rPr>
          <w:b/>
          <w:bCs/>
        </w:rPr>
        <w:t>.</w:t>
      </w:r>
      <w:r w:rsidR="00CE5955">
        <w:t xml:space="preserve"> Programy i uchwały stanowią akty prawa miejscowego</w:t>
      </w:r>
      <w:r w:rsidR="009846B0">
        <w:rPr>
          <w:rStyle w:val="Odwoanieprzypisudolnego"/>
        </w:rPr>
        <w:footnoteReference w:id="63"/>
      </w:r>
      <w:r w:rsidR="00CE5955">
        <w:t xml:space="preserve"> w odniesieniu do standardów urządzeń</w:t>
      </w:r>
      <w:r w:rsidR="00A222C7">
        <w:t xml:space="preserve"> grzewczych oraz rodzaju i jakości paliw dopuszczonych do spalania</w:t>
      </w:r>
      <w:r w:rsidR="00B4066C">
        <w:t xml:space="preserve"> – mogą one określać </w:t>
      </w:r>
      <w:r w:rsidR="00D2008B">
        <w:t xml:space="preserve">i </w:t>
      </w:r>
      <w:r w:rsidR="0098199F">
        <w:t>wprowadzić ograniczenia lub zakazy w zakresie eksploatacji instalacji, w których następuje spalanie paliw.</w:t>
      </w:r>
    </w:p>
    <w:p w14:paraId="0ABD45F8" w14:textId="6F76B322" w:rsidR="00125A37" w:rsidRDefault="002E2988" w:rsidP="00702846">
      <w:r w:rsidRPr="00534863">
        <w:t xml:space="preserve">Do realizacji celu </w:t>
      </w:r>
      <w:r>
        <w:t xml:space="preserve">w zakresie poprawy jakości powietrza </w:t>
      </w:r>
      <w:r w:rsidRPr="00534863">
        <w:t xml:space="preserve">przyczyniać się będzie podejmowanie działań związanych </w:t>
      </w:r>
      <w:r>
        <w:t xml:space="preserve">z </w:t>
      </w:r>
      <w:r w:rsidRPr="00534863">
        <w:t>redukcj</w:t>
      </w:r>
      <w:r>
        <w:t>ą</w:t>
      </w:r>
      <w:r w:rsidRPr="00534863">
        <w:t xml:space="preserve"> </w:t>
      </w:r>
      <w:r w:rsidRPr="003A3DD4">
        <w:rPr>
          <w:b/>
          <w:bCs/>
        </w:rPr>
        <w:t>emisji zanieczyszczeń powietrza z sektora ogrzewnictwa indywidualnego gospodarstw domowych</w:t>
      </w:r>
      <w:r w:rsidRPr="00B73410">
        <w:t xml:space="preserve">, w szczególności poprzez rozwój OZE i zwiększanie efektywności energetycznej, </w:t>
      </w:r>
      <w:r w:rsidRPr="00534863">
        <w:t>transportu</w:t>
      </w:r>
      <w:r>
        <w:t xml:space="preserve"> drogowego,</w:t>
      </w:r>
      <w:r w:rsidRPr="00534863">
        <w:t xml:space="preserve"> </w:t>
      </w:r>
      <w:r w:rsidRPr="00B73410">
        <w:t>dostosowywania norm jakości paliw i instalacji spalania</w:t>
      </w:r>
      <w:r>
        <w:t>, oraz zwiększanie świadomości ekologicznej i edukację społeczeństwa</w:t>
      </w:r>
      <w:r w:rsidR="00125A37" w:rsidRPr="00534863">
        <w:t>.</w:t>
      </w:r>
    </w:p>
    <w:p w14:paraId="03505A5C" w14:textId="19550AD9" w:rsidR="00702846" w:rsidRDefault="00125A37" w:rsidP="00702846">
      <w:pPr>
        <w:rPr>
          <w:b/>
          <w:bCs/>
        </w:rPr>
      </w:pPr>
      <w:r>
        <w:t>D</w:t>
      </w:r>
      <w:r w:rsidRPr="00534863">
        <w:t xml:space="preserve">ziałania </w:t>
      </w:r>
      <w:r>
        <w:t xml:space="preserve">będą ukierunkowane w szczególności </w:t>
      </w:r>
      <w:r w:rsidRPr="00534863">
        <w:t>na strefy</w:t>
      </w:r>
      <w:r>
        <w:t>, w których</w:t>
      </w:r>
      <w:r w:rsidRPr="00534863">
        <w:t xml:space="preserve"> przekr</w:t>
      </w:r>
      <w:r>
        <w:t>a</w:t>
      </w:r>
      <w:r w:rsidRPr="00534863">
        <w:t>c</w:t>
      </w:r>
      <w:r>
        <w:t xml:space="preserve">zane są poziomy dopuszczalne </w:t>
      </w:r>
      <w:r w:rsidRPr="00534863">
        <w:t>pyłu</w:t>
      </w:r>
      <w:r w:rsidRPr="00B73410">
        <w:t xml:space="preserve"> zawieszonego PM10 i PM2,5 oraz dwutlenku azotu</w:t>
      </w:r>
      <w:r w:rsidR="00E07348">
        <w:t xml:space="preserve"> </w:t>
      </w:r>
      <w:r w:rsidR="00E07348" w:rsidRPr="00C841D2">
        <w:t>(NO</w:t>
      </w:r>
      <w:r w:rsidR="00E07348" w:rsidRPr="00E97E99">
        <w:rPr>
          <w:vertAlign w:val="subscript"/>
        </w:rPr>
        <w:t>2</w:t>
      </w:r>
      <w:r w:rsidR="00E07348" w:rsidRPr="00C841D2">
        <w:t>)</w:t>
      </w:r>
      <w:r>
        <w:t xml:space="preserve">, </w:t>
      </w:r>
      <w:r w:rsidRPr="00B73410">
        <w:t>poziomu docelowego benzo(a)pirenu</w:t>
      </w:r>
      <w:r>
        <w:t xml:space="preserve">. </w:t>
      </w:r>
      <w:r w:rsidR="00287516">
        <w:t xml:space="preserve">Natomiast działania określone w </w:t>
      </w:r>
      <w:r w:rsidRPr="000D173D">
        <w:rPr>
          <w:b/>
          <w:i/>
        </w:rPr>
        <w:t>Aktualizacj</w:t>
      </w:r>
      <w:r w:rsidR="00287516" w:rsidRPr="000D173D">
        <w:rPr>
          <w:b/>
          <w:i/>
        </w:rPr>
        <w:t>i</w:t>
      </w:r>
      <w:r w:rsidRPr="000D173D">
        <w:rPr>
          <w:b/>
          <w:i/>
        </w:rPr>
        <w:t xml:space="preserve"> Krajowego Programu Ochrony Powietrza do 2025 r. (z perspektywą do 2030</w:t>
      </w:r>
      <w:r w:rsidR="00287516" w:rsidRPr="000D173D">
        <w:rPr>
          <w:b/>
          <w:i/>
        </w:rPr>
        <w:t> </w:t>
      </w:r>
      <w:r w:rsidRPr="000D173D">
        <w:rPr>
          <w:b/>
          <w:i/>
        </w:rPr>
        <w:t>r. oraz do 2040 r.)</w:t>
      </w:r>
      <w:r w:rsidR="00EB380D">
        <w:rPr>
          <w:i/>
          <w:iCs/>
        </w:rPr>
        <w:t xml:space="preserve"> </w:t>
      </w:r>
      <w:r w:rsidR="00EB380D">
        <w:t>(</w:t>
      </w:r>
      <w:hyperlink r:id="rId67" w:history="1">
        <w:r w:rsidR="002F68FD" w:rsidRPr="002F68FD">
          <w:rPr>
            <w:rStyle w:val="Hipercze"/>
          </w:rPr>
          <w:t>link</w:t>
        </w:r>
      </w:hyperlink>
      <w:r w:rsidR="00EB380D">
        <w:t>)</w:t>
      </w:r>
      <w:r>
        <w:t xml:space="preserve"> </w:t>
      </w:r>
      <w:r w:rsidR="00287516">
        <w:t xml:space="preserve">mają prowadzić do tego, aby </w:t>
      </w:r>
      <w:r w:rsidRPr="00287516">
        <w:rPr>
          <w:b/>
          <w:bCs/>
        </w:rPr>
        <w:t>w 2030 r. w Polsce nie b</w:t>
      </w:r>
      <w:r w:rsidR="00287516" w:rsidRPr="00287516">
        <w:rPr>
          <w:b/>
          <w:bCs/>
        </w:rPr>
        <w:t>yło</w:t>
      </w:r>
      <w:r w:rsidRPr="00287516">
        <w:rPr>
          <w:b/>
          <w:bCs/>
        </w:rPr>
        <w:t xml:space="preserve"> stref, w których występują obszary narażenia ludności na negatywne skutki zanieczyszczenia powietrza</w:t>
      </w:r>
      <w:r>
        <w:t xml:space="preserve"> </w:t>
      </w:r>
      <w:r w:rsidRPr="00287516">
        <w:rPr>
          <w:b/>
          <w:bCs/>
        </w:rPr>
        <w:t>spowodowan</w:t>
      </w:r>
      <w:r w:rsidR="007F24C7">
        <w:rPr>
          <w:b/>
          <w:bCs/>
        </w:rPr>
        <w:t>e</w:t>
      </w:r>
      <w:r w:rsidRPr="00287516">
        <w:rPr>
          <w:b/>
          <w:bCs/>
        </w:rPr>
        <w:t xml:space="preserve"> przekroczeniami norm jakości powietrza pyłem PM10 i</w:t>
      </w:r>
      <w:r w:rsidR="002F68FD">
        <w:rPr>
          <w:b/>
          <w:bCs/>
        </w:rPr>
        <w:t> </w:t>
      </w:r>
      <w:r w:rsidRPr="00287516">
        <w:rPr>
          <w:b/>
          <w:bCs/>
        </w:rPr>
        <w:t>PM2,5.</w:t>
      </w:r>
    </w:p>
    <w:p w14:paraId="5914E440" w14:textId="6E991BCD" w:rsidR="00AE7940" w:rsidRDefault="00C841D2" w:rsidP="00702846">
      <w:r>
        <w:t>Ogromną rolę w poprawie jakości powietrza odgr</w:t>
      </w:r>
      <w:r w:rsidR="008E45C8">
        <w:t>yw</w:t>
      </w:r>
      <w:r>
        <w:t>a</w:t>
      </w:r>
      <w:r w:rsidR="00EC30E6">
        <w:t xml:space="preserve">ją działania </w:t>
      </w:r>
      <w:r w:rsidR="0011214B">
        <w:t xml:space="preserve">związane z </w:t>
      </w:r>
      <w:r w:rsidR="00543D46">
        <w:t>ograniczaniem s</w:t>
      </w:r>
      <w:r w:rsidR="003722C6">
        <w:t xml:space="preserve">palania paliw w celach grzewczych. Działania są </w:t>
      </w:r>
      <w:r w:rsidR="00EC30E6">
        <w:t xml:space="preserve">skupione </w:t>
      </w:r>
      <w:r w:rsidR="00EC30E6" w:rsidRPr="00C37D36">
        <w:rPr>
          <w:b/>
          <w:bCs/>
        </w:rPr>
        <w:t xml:space="preserve">na wymianie przestarzałych pieców </w:t>
      </w:r>
      <w:r w:rsidR="003D708D">
        <w:rPr>
          <w:b/>
          <w:bCs/>
        </w:rPr>
        <w:t>na paliwa stałe</w:t>
      </w:r>
      <w:r w:rsidR="003D708D" w:rsidRPr="00C37D36">
        <w:rPr>
          <w:b/>
          <w:bCs/>
        </w:rPr>
        <w:t xml:space="preserve"> </w:t>
      </w:r>
      <w:r w:rsidR="00EC30E6" w:rsidRPr="00C37D36">
        <w:rPr>
          <w:b/>
          <w:bCs/>
        </w:rPr>
        <w:t>i</w:t>
      </w:r>
      <w:r w:rsidR="009B1E3B">
        <w:rPr>
          <w:b/>
          <w:bCs/>
        </w:rPr>
        <w:t> </w:t>
      </w:r>
      <w:r w:rsidR="00EC30E6" w:rsidRPr="00C37D36">
        <w:rPr>
          <w:b/>
          <w:bCs/>
        </w:rPr>
        <w:t>termomodernizacji budynków</w:t>
      </w:r>
      <w:r w:rsidR="00EC30E6">
        <w:t xml:space="preserve">, </w:t>
      </w:r>
      <w:r w:rsidR="00054ED0">
        <w:t>a także na dekarbonizacji systemów ciepłowniczych</w:t>
      </w:r>
      <w:r w:rsidR="00CA0572">
        <w:t>,</w:t>
      </w:r>
      <w:r w:rsidR="00054ED0">
        <w:t xml:space="preserve"> </w:t>
      </w:r>
      <w:r w:rsidR="00EC30E6">
        <w:t xml:space="preserve">które mają priorytetowe znaczenie w ramach programów wsparcia finansowego realizowanego przez Narodowy Fundusz </w:t>
      </w:r>
      <w:r w:rsidR="00325DCE">
        <w:t>Ochrony</w:t>
      </w:r>
      <w:r w:rsidR="00EC30E6">
        <w:t xml:space="preserve"> Środowiska i Gospodarki Wodnej, w szczególności – Czyste Powietrze, Moje ciepło, itp.</w:t>
      </w:r>
      <w:r w:rsidR="004F25D3">
        <w:t xml:space="preserve"> </w:t>
      </w:r>
      <w:r w:rsidR="001F5312">
        <w:t>Istniejące i nowe p</w:t>
      </w:r>
      <w:r w:rsidR="00854BB1">
        <w:t xml:space="preserve">rogramy wsparcia </w:t>
      </w:r>
      <w:r w:rsidR="00F7690A">
        <w:t xml:space="preserve">powinny być rozwijane w kierunku </w:t>
      </w:r>
      <w:r w:rsidR="001F5312">
        <w:t>c</w:t>
      </w:r>
      <w:r w:rsidR="001F5312" w:rsidRPr="001F5312">
        <w:t>yfryzacji procesu realizacji wsparcia</w:t>
      </w:r>
      <w:r w:rsidR="001F5312">
        <w:t>,</w:t>
      </w:r>
      <w:r w:rsidR="005F73EC">
        <w:t xml:space="preserve"> p</w:t>
      </w:r>
      <w:r w:rsidR="005F73EC" w:rsidRPr="005F73EC">
        <w:t>odnoszenia oczekiwanego finalnego stanu budynku</w:t>
      </w:r>
      <w:r w:rsidR="005F73EC">
        <w:t>, zwiększania wymagań jakościowych i</w:t>
      </w:r>
      <w:r w:rsidR="00117197">
        <w:t> </w:t>
      </w:r>
      <w:r w:rsidR="005F73EC">
        <w:t xml:space="preserve">środowiskowych dla urządzeń grzewczych oraz wprowadzania alternatyw dla </w:t>
      </w:r>
      <w:r w:rsidR="00390898">
        <w:t>modernizacji</w:t>
      </w:r>
      <w:r w:rsidR="005F73EC">
        <w:t xml:space="preserve"> budynków o bardzo złym stanie technicznym</w:t>
      </w:r>
      <w:r w:rsidR="00390898">
        <w:t>.</w:t>
      </w:r>
      <w:r w:rsidR="001F5312">
        <w:t xml:space="preserve"> </w:t>
      </w:r>
      <w:r w:rsidR="004F25D3">
        <w:t xml:space="preserve">Warto podkreślić, że </w:t>
      </w:r>
      <w:r w:rsidR="00761D11">
        <w:t>wsparcie finansowe nie może obejmować instalacji na węgiel</w:t>
      </w:r>
      <w:r w:rsidR="00B329B8">
        <w:t xml:space="preserve">, a dofinansowanie </w:t>
      </w:r>
      <w:r w:rsidR="001D2458">
        <w:t xml:space="preserve">instalacji na gaz ziemny </w:t>
      </w:r>
      <w:r w:rsidR="00000B56">
        <w:t>powinno</w:t>
      </w:r>
      <w:r w:rsidR="001D2458" w:rsidRPr="00D337D9">
        <w:t xml:space="preserve"> </w:t>
      </w:r>
      <w:r w:rsidR="00AE7940" w:rsidRPr="00D337D9">
        <w:t xml:space="preserve">odbywać się tylko w przypadku </w:t>
      </w:r>
      <w:r w:rsidR="00BC1C3E" w:rsidRPr="00D337D9">
        <w:t>instalacji hybrydowych systemów grzewczych</w:t>
      </w:r>
      <w:r w:rsidR="00093500">
        <w:t xml:space="preserve"> </w:t>
      </w:r>
      <w:r w:rsidR="00424E26">
        <w:t>tj</w:t>
      </w:r>
      <w:r w:rsidR="000C45BB">
        <w:t xml:space="preserve">. </w:t>
      </w:r>
      <w:r w:rsidR="009566F6">
        <w:t xml:space="preserve">z jednoczesnym wykorzystaniem </w:t>
      </w:r>
      <w:r w:rsidR="00194CF4">
        <w:t>źródła OZE</w:t>
      </w:r>
      <w:r w:rsidR="00350269">
        <w:rPr>
          <w:rStyle w:val="Odwoanieprzypisudolnego"/>
        </w:rPr>
        <w:footnoteReference w:id="64"/>
      </w:r>
      <w:r w:rsidR="00AE7940">
        <w:t>.</w:t>
      </w:r>
      <w:r w:rsidR="009B1E3B">
        <w:t xml:space="preserve"> </w:t>
      </w:r>
    </w:p>
    <w:p w14:paraId="3F468ABD" w14:textId="6E8DDAD5" w:rsidR="00C841D2" w:rsidRDefault="00B314FC" w:rsidP="00702846">
      <w:r>
        <w:t>Bez wątpienia pozytywny wpływ na poprawę jakości powietrza m</w:t>
      </w:r>
      <w:r w:rsidR="007F5CCF">
        <w:t>a</w:t>
      </w:r>
      <w:r>
        <w:t xml:space="preserve"> też konieczność spełniania</w:t>
      </w:r>
      <w:r w:rsidR="00946477">
        <w:t xml:space="preserve"> </w:t>
      </w:r>
      <w:r w:rsidR="00E879D7">
        <w:t>zmienionych</w:t>
      </w:r>
      <w:r w:rsidR="00774FBC">
        <w:t xml:space="preserve"> </w:t>
      </w:r>
      <w:r>
        <w:t xml:space="preserve">wymogów </w:t>
      </w:r>
      <w:r w:rsidR="001F1902">
        <w:t>efektywności energetycznej dla nowych budynków</w:t>
      </w:r>
      <w:r w:rsidR="006F1B7E">
        <w:t xml:space="preserve"> funkcj</w:t>
      </w:r>
      <w:r w:rsidR="00B45F7A">
        <w:t>onujące</w:t>
      </w:r>
      <w:r w:rsidR="001F1902">
        <w:t xml:space="preserve"> </w:t>
      </w:r>
      <w:r w:rsidR="007F5CCF">
        <w:t xml:space="preserve">od 2021 r. </w:t>
      </w:r>
      <w:r w:rsidR="00C379C5">
        <w:t xml:space="preserve">oraz </w:t>
      </w:r>
      <w:r w:rsidR="00960CB5">
        <w:t xml:space="preserve">zapewnienie </w:t>
      </w:r>
      <w:r w:rsidR="0094672C">
        <w:t>budownictwa zeroemisyjnego</w:t>
      </w:r>
      <w:r w:rsidR="001F0618">
        <w:t xml:space="preserve"> od 2030 r</w:t>
      </w:r>
      <w:r w:rsidR="0094672C">
        <w:t>.</w:t>
      </w:r>
      <w:r w:rsidR="00981C69">
        <w:t xml:space="preserve"> </w:t>
      </w:r>
      <w:r w:rsidR="002721E2">
        <w:t>Taki</w:t>
      </w:r>
      <w:r w:rsidR="009922D1">
        <w:t>e</w:t>
      </w:r>
      <w:r w:rsidR="002721E2">
        <w:t xml:space="preserve"> budynki </w:t>
      </w:r>
      <w:r w:rsidR="00C446DF">
        <w:t xml:space="preserve">muszą cechować się m.in. </w:t>
      </w:r>
      <w:r w:rsidR="00C446DF" w:rsidRPr="00C446DF">
        <w:lastRenderedPageBreak/>
        <w:t>niewytwarza</w:t>
      </w:r>
      <w:r w:rsidR="00C446DF">
        <w:t>niem</w:t>
      </w:r>
      <w:r w:rsidR="00C446DF" w:rsidRPr="00C446DF">
        <w:t xml:space="preserve"> na miejscu emisji </w:t>
      </w:r>
      <w:r w:rsidR="00C446DF">
        <w:t>CO</w:t>
      </w:r>
      <w:r w:rsidR="00C446DF" w:rsidRPr="00C446DF">
        <w:rPr>
          <w:vertAlign w:val="subscript"/>
        </w:rPr>
        <w:t>2</w:t>
      </w:r>
      <w:r w:rsidR="00C446DF">
        <w:t xml:space="preserve"> </w:t>
      </w:r>
      <w:r w:rsidR="00C446DF" w:rsidRPr="00C446DF">
        <w:t>z paliw kopalnych i </w:t>
      </w:r>
      <w:r w:rsidR="0069376B">
        <w:t xml:space="preserve">gazów cieplarnianych (lub </w:t>
      </w:r>
      <w:r w:rsidR="00C446DF" w:rsidRPr="00C446DF">
        <w:t xml:space="preserve">wytwarzający bardzo małe ilości emisji </w:t>
      </w:r>
      <w:r w:rsidR="00AD0FB0">
        <w:t>GHG</w:t>
      </w:r>
      <w:r w:rsidR="0069376B">
        <w:t>).</w:t>
      </w:r>
    </w:p>
    <w:p w14:paraId="74B240A1" w14:textId="526B7963" w:rsidR="00636F95" w:rsidRDefault="00636F95" w:rsidP="00636F95">
      <w:r>
        <w:t>Ważnym</w:t>
      </w:r>
      <w:r w:rsidRPr="00A71946">
        <w:t xml:space="preserve"> narzędziem w systemie zarządzania jakością powietrza w Polsce na poziomie krajowym, wojewódzkim i gminnym jest </w:t>
      </w:r>
      <w:r w:rsidRPr="00916755">
        <w:rPr>
          <w:b/>
          <w:bCs/>
        </w:rPr>
        <w:t>Centralna Ewidencja Emisyjności Budynków</w:t>
      </w:r>
      <w:r>
        <w:t xml:space="preserve"> (CEEB)</w:t>
      </w:r>
      <w:r w:rsidRPr="00A71946">
        <w:t xml:space="preserve">. Szczególnie istotne jest wykorzystanie </w:t>
      </w:r>
      <w:r>
        <w:t>CEEB</w:t>
      </w:r>
      <w:r w:rsidRPr="00A71946">
        <w:t xml:space="preserve"> w celu monitorowania postępów we wdrażaniu programów ochrony powietrza i uchwał antysmogowych </w:t>
      </w:r>
      <w:r>
        <w:t xml:space="preserve">oraz </w:t>
      </w:r>
      <w:r w:rsidRPr="00482737">
        <w:t xml:space="preserve">skuteczności działań wynikających z </w:t>
      </w:r>
      <w:r>
        <w:t>programów centralnych</w:t>
      </w:r>
      <w:r w:rsidR="00251498">
        <w:t xml:space="preserve"> – w tym kierunku będą prowadzone prace rozwojowe</w:t>
      </w:r>
      <w:r>
        <w:t>.</w:t>
      </w:r>
      <w:r w:rsidR="00251498">
        <w:t xml:space="preserve"> </w:t>
      </w:r>
    </w:p>
    <w:p w14:paraId="53DFDB6E" w14:textId="57FDAF33" w:rsidR="00C841D2" w:rsidRPr="00C841D2" w:rsidRDefault="006712E5" w:rsidP="00636F95">
      <w:pPr>
        <w:spacing w:before="360"/>
      </w:pPr>
      <w:r w:rsidRPr="006712E5">
        <w:t xml:space="preserve">W odniesieniu do redukcji emisji zanieczyszczeń </w:t>
      </w:r>
      <w:r w:rsidRPr="00C37D36">
        <w:rPr>
          <w:b/>
          <w:bCs/>
        </w:rPr>
        <w:t>powietrza z transportu</w:t>
      </w:r>
      <w:r w:rsidRPr="006712E5">
        <w:t xml:space="preserve">, oprócz </w:t>
      </w:r>
      <w:r w:rsidRPr="00C37D36">
        <w:rPr>
          <w:b/>
          <w:bCs/>
        </w:rPr>
        <w:t>wspierania rozwoju publicznego transportu zbiorowego i elektryfikacji pojazdów drogowych</w:t>
      </w:r>
      <w:r w:rsidR="00C841D2" w:rsidRPr="00C841D2">
        <w:t xml:space="preserve"> zostanie wprowadzony obowiązek tworzenia </w:t>
      </w:r>
      <w:r w:rsidR="00C841D2">
        <w:rPr>
          <w:i/>
          <w:iCs/>
        </w:rPr>
        <w:t>s</w:t>
      </w:r>
      <w:r w:rsidR="00C841D2" w:rsidRPr="00C841D2">
        <w:rPr>
          <w:i/>
          <w:iCs/>
        </w:rPr>
        <w:t xml:space="preserve">tref </w:t>
      </w:r>
      <w:r w:rsidR="00C841D2">
        <w:rPr>
          <w:i/>
          <w:iCs/>
        </w:rPr>
        <w:t>c</w:t>
      </w:r>
      <w:r w:rsidR="00C841D2" w:rsidRPr="00C841D2">
        <w:rPr>
          <w:i/>
          <w:iCs/>
        </w:rPr>
        <w:t xml:space="preserve">zystego </w:t>
      </w:r>
      <w:r w:rsidR="00C841D2">
        <w:rPr>
          <w:i/>
          <w:iCs/>
        </w:rPr>
        <w:t>t</w:t>
      </w:r>
      <w:r w:rsidR="00C841D2" w:rsidRPr="00C841D2">
        <w:rPr>
          <w:i/>
          <w:iCs/>
        </w:rPr>
        <w:t>ransportu</w:t>
      </w:r>
      <w:r w:rsidR="00C841D2" w:rsidRPr="00C841D2">
        <w:t xml:space="preserve"> w miastach powyżej 100 tys. mieszkańców, w których zgodnie z danymi </w:t>
      </w:r>
      <w:r w:rsidR="00C841D2">
        <w:t>Głównego Inspektoratu Ochrony Środowiska</w:t>
      </w:r>
      <w:r w:rsidR="00C841D2" w:rsidRPr="00C841D2">
        <w:t xml:space="preserve"> </w:t>
      </w:r>
      <w:r w:rsidR="00F57C22">
        <w:t>(</w:t>
      </w:r>
      <w:r w:rsidR="00C841D2" w:rsidRPr="00C841D2">
        <w:t>GIOŚ</w:t>
      </w:r>
      <w:r w:rsidR="00F57C22">
        <w:t>)</w:t>
      </w:r>
      <w:r w:rsidR="00C841D2" w:rsidRPr="00C841D2">
        <w:t xml:space="preserve"> odnotowano przekroczenie dopuszczalnego średniorocznego poziomu dwutlenku azotu (NO</w:t>
      </w:r>
      <w:r w:rsidR="00C841D2" w:rsidRPr="00E97E99">
        <w:rPr>
          <w:vertAlign w:val="subscript"/>
        </w:rPr>
        <w:t>2</w:t>
      </w:r>
      <w:r w:rsidR="00C841D2" w:rsidRPr="00C841D2">
        <w:t>). Działanie to przyczyni się do poprawy jakości powietrza poprzez redukcję emisji pochodzących z transportu. Należy podkreślić, że redukcja poziomu zanieczyszczeń pyłu zawieszonego PM2</w:t>
      </w:r>
      <w:r w:rsidR="00D743AF">
        <w:t>,</w:t>
      </w:r>
      <w:r w:rsidR="00C841D2" w:rsidRPr="00C841D2">
        <w:t>5 oraz dwutlenku azotu ma istotne znaczenie dla poprawy zdrowia publicznego i jakości życia w miastach. Dodatkowo w wyniku wprowadzenia stref ograniczony zostanie negatywny wpływ hałasu emitowanego przez silniki spalinowe, który jest szczególnie uciążliwy na obszarach gęstej zabudowy miejskiej.</w:t>
      </w:r>
    </w:p>
    <w:p w14:paraId="5ABFC959" w14:textId="4ACAA0AF" w:rsidR="008C777C" w:rsidRDefault="00FB2431" w:rsidP="00FB2431">
      <w:r>
        <w:t xml:space="preserve">Dodatkowo w związku z wejściem w życie nowej dyrektywy 2024/2881 </w:t>
      </w:r>
      <w:r w:rsidRPr="00FB2431">
        <w:rPr>
          <w:i/>
          <w:iCs/>
        </w:rPr>
        <w:t>w sprawie jakości powietrza i czystszego powietrza dla Europy</w:t>
      </w:r>
      <w:r>
        <w:t>, koniecznym będzie zintensyfikowanie wysiłków w celu przygotowania nowych, dodatkowych rozwiązań, które przyspieszą tempo poprawy jakości powietrza w Polsce, tak aby możliwe było osiągnięcie celów dyrektywy do 2030 r. Dyrektywa w sprawie jakości powietrza będzie generowała bardzo dużo zadań do realizacji nie tylko przez administrację rządową, służby GIOŚ, ale też różne rodzaje jednostki samorządu terytorialnego szczebla wojewódzkiego, powiatowego i gminnego</w:t>
      </w:r>
      <w:r w:rsidR="00F76826">
        <w:t>.</w:t>
      </w:r>
    </w:p>
    <w:p w14:paraId="0485CC15" w14:textId="0671E736" w:rsidR="008C777C" w:rsidRDefault="008C777C" w:rsidP="00287516">
      <w:r w:rsidRPr="00287516">
        <w:rPr>
          <w:b/>
          <w:bCs/>
        </w:rPr>
        <w:t>Największy wpływ na realne osiągnięcie nowych celów w zakresie jakości powietrza będą mieć jednak obywatele</w:t>
      </w:r>
      <w:r>
        <w:t>, ponieważ to od ich zachowań i działań w obszarze sektora ogrzewania mieszkalnictwa oraz transportu drogowego będzie zależeć, czy Polska sprosta do 2030 r. wyzwaniom stawianym w nowej dyrektywie. Szczególną zachętą dla obywateli będą istniejące i modyfikowane finansowe programy wsparcia, a obok regulacji dużą rolę odegra również edukacja.</w:t>
      </w:r>
    </w:p>
    <w:p w14:paraId="41B8E4FA" w14:textId="06DDBA4F" w:rsidR="00B75AE4" w:rsidRDefault="00B75AE4" w:rsidP="00287516">
      <w:r w:rsidRPr="0082729E">
        <w:t xml:space="preserve">W </w:t>
      </w:r>
      <w:r>
        <w:t xml:space="preserve">odniesieniu do emisji </w:t>
      </w:r>
      <w:r w:rsidR="00A44BE4">
        <w:t xml:space="preserve">amoniaku </w:t>
      </w:r>
      <w:r>
        <w:t>z sektora rolnictwa</w:t>
      </w:r>
      <w:r w:rsidR="009416E7">
        <w:t>,</w:t>
      </w:r>
      <w:r w:rsidR="00D96F5F">
        <w:t xml:space="preserve"> zgodnie z </w:t>
      </w:r>
      <w:r w:rsidR="00C75413">
        <w:t xml:space="preserve">aktualizacją </w:t>
      </w:r>
      <w:r w:rsidR="00D96F5F" w:rsidRPr="002F68FD">
        <w:rPr>
          <w:i/>
          <w:iCs/>
        </w:rPr>
        <w:t>Krajow</w:t>
      </w:r>
      <w:r w:rsidR="00C75413">
        <w:rPr>
          <w:i/>
          <w:iCs/>
        </w:rPr>
        <w:t>ego</w:t>
      </w:r>
      <w:r w:rsidR="00D96F5F" w:rsidRPr="002F68FD">
        <w:rPr>
          <w:i/>
          <w:iCs/>
        </w:rPr>
        <w:t xml:space="preserve"> Program</w:t>
      </w:r>
      <w:r w:rsidR="00C75413">
        <w:rPr>
          <w:i/>
          <w:iCs/>
        </w:rPr>
        <w:t>amu</w:t>
      </w:r>
      <w:r w:rsidR="00B370EE" w:rsidRPr="002F68FD">
        <w:rPr>
          <w:i/>
        </w:rPr>
        <w:t xml:space="preserve"> Ograniczania Zanieczyszczeń Powietrza</w:t>
      </w:r>
      <w:r w:rsidR="00B370EE" w:rsidRPr="00B370EE">
        <w:t xml:space="preserve"> </w:t>
      </w:r>
      <w:r w:rsidR="002371A3">
        <w:t>niezbędny</w:t>
      </w:r>
      <w:r w:rsidR="00F21F1D">
        <w:t xml:space="preserve"> jest </w:t>
      </w:r>
      <w:r>
        <w:t>rozwój</w:t>
      </w:r>
      <w:r w:rsidRPr="00555001">
        <w:t xml:space="preserve"> niskoemisyjnych technik rozprowadzania i przechowywania nawozów</w:t>
      </w:r>
      <w:r>
        <w:t xml:space="preserve">, </w:t>
      </w:r>
      <w:r w:rsidRPr="00555001">
        <w:t>systemów utrzymywania i żywienia zwierząt</w:t>
      </w:r>
      <w:r w:rsidR="002371A3">
        <w:t>,</w:t>
      </w:r>
      <w:r>
        <w:t xml:space="preserve"> a także </w:t>
      </w:r>
      <w:r w:rsidRPr="00EB25F6">
        <w:t>racjonalizacj</w:t>
      </w:r>
      <w:r w:rsidR="002371A3">
        <w:t>a</w:t>
      </w:r>
      <w:r w:rsidRPr="00EB25F6">
        <w:t xml:space="preserve"> nawożenia azotowego</w:t>
      </w:r>
      <w:r>
        <w:t xml:space="preserve"> i </w:t>
      </w:r>
      <w:r w:rsidR="002371A3">
        <w:t xml:space="preserve">szerokie </w:t>
      </w:r>
      <w:r>
        <w:t>rozpowszechniani</w:t>
      </w:r>
      <w:r w:rsidR="002371A3">
        <w:t>e</w:t>
      </w:r>
      <w:r>
        <w:t xml:space="preserve"> dobrych praktyk rolniczych.</w:t>
      </w:r>
    </w:p>
    <w:p w14:paraId="42CAD158" w14:textId="14B51E19" w:rsidR="00731619" w:rsidRPr="00C46DAA" w:rsidRDefault="00731619" w:rsidP="00313DE1">
      <w:pPr>
        <w:pStyle w:val="PaMs"/>
      </w:pPr>
      <w:r w:rsidRPr="00C46DAA">
        <w:t>DZIAŁANIA:</w:t>
      </w:r>
    </w:p>
    <w:p w14:paraId="1921E678" w14:textId="5658E84A" w:rsidR="00EF4FA2" w:rsidRPr="000559D5" w:rsidRDefault="005D2674" w:rsidP="003530A9">
      <w:pPr>
        <w:pStyle w:val="Akapitzlist"/>
        <w:numPr>
          <w:ilvl w:val="0"/>
          <w:numId w:val="3"/>
        </w:numPr>
      </w:pPr>
      <w:r w:rsidRPr="000559D5">
        <w:fldChar w:fldCharType="begin"/>
      </w:r>
      <w:r w:rsidRPr="000559D5">
        <w:instrText xml:space="preserve"> REF _Ref195886830 \h </w:instrText>
      </w:r>
      <w:r w:rsidR="00D067A8" w:rsidRPr="000559D5">
        <w:instrText xml:space="preserve"> \* MERGEFORMAT </w:instrText>
      </w:r>
      <w:r w:rsidRPr="000559D5">
        <w:fldChar w:fldCharType="separate"/>
      </w:r>
      <w:r w:rsidR="00871DD5" w:rsidRPr="00871DD5">
        <w:t>Działanie 3. Ograniczanie</w:t>
      </w:r>
      <w:r w:rsidR="00871DD5" w:rsidRPr="008A084B">
        <w:t xml:space="preserve"> stosowani</w:t>
      </w:r>
      <w:r w:rsidR="00871DD5">
        <w:t>a</w:t>
      </w:r>
      <w:r w:rsidR="00871DD5" w:rsidRPr="008A084B">
        <w:t xml:space="preserve"> fluorowanych gazów cieplarnianych.</w:t>
      </w:r>
      <w:r w:rsidRPr="000559D5">
        <w:fldChar w:fldCharType="end"/>
      </w:r>
    </w:p>
    <w:p w14:paraId="4E5DEBA2" w14:textId="5E79B169" w:rsidR="00EB616C" w:rsidRPr="000559D5" w:rsidRDefault="00C125BE" w:rsidP="00194D5D">
      <w:pPr>
        <w:pStyle w:val="Akapitzlist"/>
        <w:numPr>
          <w:ilvl w:val="0"/>
          <w:numId w:val="3"/>
        </w:numPr>
      </w:pPr>
      <w:r>
        <w:fldChar w:fldCharType="begin"/>
      </w:r>
      <w:r w:rsidRPr="000559D5">
        <w:instrText xml:space="preserve"> REF _Ref200465346 \h </w:instrText>
      </w:r>
      <w:r w:rsidR="000559D5">
        <w:instrText xml:space="preserve"> \* MERGEFORMAT </w:instrText>
      </w:r>
      <w:r>
        <w:fldChar w:fldCharType="separate"/>
      </w:r>
      <w:r w:rsidR="00871DD5">
        <w:t xml:space="preserve">Działanie 9. </w:t>
      </w:r>
      <w:r w:rsidR="00871DD5" w:rsidRPr="0053520E">
        <w:t>Przyspieszenie rozwoju lądowej energetyki wiatrowej</w:t>
      </w:r>
      <w:r>
        <w:fldChar w:fldCharType="end"/>
      </w:r>
      <w:r>
        <w:t xml:space="preserve"> </w:t>
      </w:r>
    </w:p>
    <w:p w14:paraId="573A3145" w14:textId="7C1E7628" w:rsidR="00194D5D" w:rsidRPr="000559D5" w:rsidRDefault="004E17C6" w:rsidP="00194D5D">
      <w:pPr>
        <w:pStyle w:val="Akapitzlist"/>
        <w:numPr>
          <w:ilvl w:val="0"/>
          <w:numId w:val="3"/>
        </w:numPr>
      </w:pPr>
      <w:r w:rsidRPr="000559D5">
        <w:fldChar w:fldCharType="begin"/>
      </w:r>
      <w:r w:rsidRPr="000559D5">
        <w:instrText xml:space="preserve"> REF _Ref200465443 \h </w:instrText>
      </w:r>
      <w:r w:rsidR="000559D5">
        <w:instrText xml:space="preserve"> \* MERGEFORMAT </w:instrText>
      </w:r>
      <w:r w:rsidRPr="000559D5">
        <w:fldChar w:fldCharType="separate"/>
      </w:r>
      <w:r w:rsidR="00871DD5">
        <w:t xml:space="preserve">Działanie 10. </w:t>
      </w:r>
      <w:r w:rsidR="00871DD5" w:rsidRPr="00796696">
        <w:t>Przyspieszenie rozwoju fotowoltaik</w:t>
      </w:r>
      <w:r w:rsidR="00871DD5">
        <w:t>i</w:t>
      </w:r>
      <w:r w:rsidRPr="000559D5">
        <w:fldChar w:fldCharType="end"/>
      </w:r>
      <w:r w:rsidR="00194D5D" w:rsidRPr="000559D5">
        <w:t xml:space="preserve"> </w:t>
      </w:r>
    </w:p>
    <w:p w14:paraId="0E8F4C97" w14:textId="6C3DE4CE" w:rsidR="00E7172D" w:rsidRPr="000559D5" w:rsidRDefault="004E17C6" w:rsidP="003530A9">
      <w:pPr>
        <w:pStyle w:val="Akapitzlist"/>
        <w:numPr>
          <w:ilvl w:val="0"/>
          <w:numId w:val="3"/>
        </w:numPr>
      </w:pPr>
      <w:r w:rsidRPr="000559D5">
        <w:fldChar w:fldCharType="begin"/>
      </w:r>
      <w:r w:rsidRPr="000559D5">
        <w:instrText xml:space="preserve"> REF _Ref200465464 \h </w:instrText>
      </w:r>
      <w:r w:rsidR="000559D5">
        <w:instrText xml:space="preserve"> \* MERGEFORMAT </w:instrText>
      </w:r>
      <w:r w:rsidRPr="000559D5">
        <w:fldChar w:fldCharType="separate"/>
      </w:r>
      <w:r w:rsidR="00871DD5">
        <w:t xml:space="preserve">Działanie 14. </w:t>
      </w:r>
      <w:r w:rsidR="00871DD5" w:rsidRPr="00FC0840">
        <w:t>Instrument finansowy – Program Priorytetowy NFOŚiGW – „Mój Prąd”</w:t>
      </w:r>
      <w:r w:rsidRPr="000559D5">
        <w:fldChar w:fldCharType="end"/>
      </w:r>
    </w:p>
    <w:p w14:paraId="726580ED" w14:textId="5D6F054D" w:rsidR="005D2674" w:rsidRPr="000559D5" w:rsidRDefault="002B0C7B" w:rsidP="003530A9">
      <w:pPr>
        <w:pStyle w:val="Akapitzlist"/>
        <w:numPr>
          <w:ilvl w:val="0"/>
          <w:numId w:val="3"/>
        </w:numPr>
      </w:pPr>
      <w:r w:rsidRPr="000559D5">
        <w:fldChar w:fldCharType="begin"/>
      </w:r>
      <w:r w:rsidRPr="000559D5">
        <w:instrText xml:space="preserve"> REF _Ref195886890 \h </w:instrText>
      </w:r>
      <w:r w:rsidR="000559D5">
        <w:instrText xml:space="preserve"> \* MERGEFORMAT </w:instrText>
      </w:r>
      <w:r w:rsidRPr="000559D5">
        <w:fldChar w:fldCharType="separate"/>
      </w:r>
      <w:r w:rsidR="00871DD5">
        <w:t xml:space="preserve">Działanie 15. </w:t>
      </w:r>
      <w:r w:rsidR="00871DD5" w:rsidRPr="00FD671B">
        <w:t>Instrument finansowy – Program Priorytetowy NFOŚiGW – „Energia Plus”</w:t>
      </w:r>
      <w:r w:rsidRPr="000559D5">
        <w:fldChar w:fldCharType="end"/>
      </w:r>
    </w:p>
    <w:p w14:paraId="4F9FE886" w14:textId="519355F6" w:rsidR="006D7B68" w:rsidRPr="000559D5" w:rsidRDefault="004E17C6" w:rsidP="006D7B68">
      <w:pPr>
        <w:pStyle w:val="Akapitzlist"/>
        <w:numPr>
          <w:ilvl w:val="0"/>
          <w:numId w:val="3"/>
        </w:numPr>
      </w:pPr>
      <w:r w:rsidRPr="000559D5">
        <w:fldChar w:fldCharType="begin"/>
      </w:r>
      <w:r w:rsidRPr="000559D5">
        <w:instrText xml:space="preserve"> REF _Ref200465508 \h </w:instrText>
      </w:r>
      <w:r w:rsidR="000559D5">
        <w:instrText xml:space="preserve"> \* MERGEFORMAT </w:instrText>
      </w:r>
      <w:r w:rsidRPr="000559D5">
        <w:fldChar w:fldCharType="separate"/>
      </w:r>
      <w:r w:rsidR="00871DD5">
        <w:t xml:space="preserve">Działanie 16. </w:t>
      </w:r>
      <w:r w:rsidR="00871DD5" w:rsidRPr="00E1469C">
        <w:t>Instrument finansowy – Program Priorytetowy NFOŚiGW – „Polska Geotermia Plus”</w:t>
      </w:r>
      <w:r w:rsidRPr="000559D5">
        <w:fldChar w:fldCharType="end"/>
      </w:r>
    </w:p>
    <w:p w14:paraId="170B6D9A" w14:textId="0A9B0FBB" w:rsidR="007C3CAA" w:rsidRPr="000559D5" w:rsidRDefault="00E31B58" w:rsidP="007C3CAA">
      <w:pPr>
        <w:pStyle w:val="Akapitzlist"/>
        <w:numPr>
          <w:ilvl w:val="0"/>
          <w:numId w:val="3"/>
        </w:numPr>
      </w:pPr>
      <w:r w:rsidRPr="008B1E78">
        <w:fldChar w:fldCharType="begin"/>
      </w:r>
      <w:r w:rsidRPr="008B1E78">
        <w:instrText xml:space="preserve"> REF _Ref200465528 \h </w:instrText>
      </w:r>
      <w:r w:rsidR="008B1E78">
        <w:instrText xml:space="preserve"> \* MERGEFORMAT </w:instrText>
      </w:r>
      <w:r w:rsidRPr="008B1E78">
        <w:fldChar w:fldCharType="separate"/>
      </w:r>
      <w:r w:rsidR="00871DD5">
        <w:t>Działanie 17.</w:t>
      </w:r>
      <w:r w:rsidR="00871DD5" w:rsidRPr="00077D7F">
        <w:t xml:space="preserve"> Rozwój rynku </w:t>
      </w:r>
      <w:r w:rsidR="00871DD5" w:rsidRPr="00731E3F">
        <w:t>magazynów</w:t>
      </w:r>
      <w:r w:rsidR="00871DD5" w:rsidRPr="00077D7F">
        <w:t xml:space="preserve"> energii elektrycznej oraz magazynów ciepła</w:t>
      </w:r>
      <w:r w:rsidRPr="008B1E78">
        <w:fldChar w:fldCharType="end"/>
      </w:r>
    </w:p>
    <w:p w14:paraId="54CB0874" w14:textId="161E5CBA" w:rsidR="00B86593" w:rsidRPr="000559D5" w:rsidRDefault="00B86593" w:rsidP="00B86593">
      <w:pPr>
        <w:pStyle w:val="Akapitzlist"/>
        <w:numPr>
          <w:ilvl w:val="0"/>
          <w:numId w:val="3"/>
        </w:numPr>
      </w:pPr>
      <w:r w:rsidRPr="008B1E78">
        <w:fldChar w:fldCharType="begin"/>
      </w:r>
      <w:r w:rsidRPr="008B1E78">
        <w:instrText xml:space="preserve"> REF _Ref203397568 \h </w:instrText>
      </w:r>
      <w:r w:rsidR="008B1E78">
        <w:instrText xml:space="preserve"> \* MERGEFORMAT </w:instrText>
      </w:r>
      <w:r w:rsidRPr="008B1E78">
        <w:fldChar w:fldCharType="separate"/>
      </w:r>
      <w:r w:rsidR="00871DD5" w:rsidRPr="00871DD5">
        <w:t xml:space="preserve">Działanie </w:t>
      </w:r>
      <w:r w:rsidR="00871DD5">
        <w:t>28</w:t>
      </w:r>
      <w:r w:rsidR="00871DD5" w:rsidRPr="00871DD5">
        <w:t>. Rozwój rynku pomp ciepła w Polsce</w:t>
      </w:r>
      <w:r w:rsidRPr="008B1E78">
        <w:fldChar w:fldCharType="end"/>
      </w:r>
    </w:p>
    <w:p w14:paraId="00454BB5" w14:textId="34B8B74E" w:rsidR="00657B9C" w:rsidRPr="000559D5" w:rsidRDefault="00657B9C" w:rsidP="003530A9">
      <w:pPr>
        <w:pStyle w:val="Akapitzlist"/>
        <w:numPr>
          <w:ilvl w:val="0"/>
          <w:numId w:val="3"/>
        </w:numPr>
      </w:pPr>
      <w:r w:rsidRPr="008B1E78">
        <w:fldChar w:fldCharType="begin"/>
      </w:r>
      <w:r w:rsidRPr="008B1E78">
        <w:instrText xml:space="preserve"> REF _Ref195886969 \h </w:instrText>
      </w:r>
      <w:r w:rsidR="008B1E78">
        <w:instrText xml:space="preserve"> \* MERGEFORMAT </w:instrText>
      </w:r>
      <w:r w:rsidRPr="008B1E78">
        <w:fldChar w:fldCharType="separate"/>
      </w:r>
      <w:r w:rsidR="00871DD5">
        <w:t xml:space="preserve">Działanie 35. </w:t>
      </w:r>
      <w:r w:rsidR="00871DD5" w:rsidRPr="00A546CC">
        <w:t>Rozwój zeroemisyjnego transportu publicznego w miastach</w:t>
      </w:r>
      <w:r w:rsidRPr="008B1E78">
        <w:fldChar w:fldCharType="end"/>
      </w:r>
      <w:r w:rsidRPr="008B1E78">
        <w:fldChar w:fldCharType="begin"/>
      </w:r>
      <w:r w:rsidRPr="008B1E78">
        <w:instrText xml:space="preserve"> REF _Ref195886978 \h </w:instrText>
      </w:r>
      <w:r w:rsidR="008B1E78">
        <w:instrText xml:space="preserve"> \* MERGEFORMAT </w:instrText>
      </w:r>
      <w:r w:rsidRPr="008B1E78">
        <w:fldChar w:fldCharType="separate"/>
      </w:r>
      <w:r w:rsidR="00871DD5">
        <w:t xml:space="preserve">Działanie 36. </w:t>
      </w:r>
      <w:r w:rsidR="00871DD5" w:rsidRPr="00685E5C">
        <w:t>Utworzenie stref czystego transport</w:t>
      </w:r>
      <w:r w:rsidR="00871DD5">
        <w:t>u</w:t>
      </w:r>
      <w:r w:rsidRPr="008B1E78">
        <w:fldChar w:fldCharType="end"/>
      </w:r>
    </w:p>
    <w:p w14:paraId="494AC238" w14:textId="4C3E344C" w:rsidR="00657B9C" w:rsidRPr="000559D5" w:rsidRDefault="00657B9C" w:rsidP="003530A9">
      <w:pPr>
        <w:pStyle w:val="Akapitzlist"/>
        <w:numPr>
          <w:ilvl w:val="0"/>
          <w:numId w:val="3"/>
        </w:numPr>
      </w:pPr>
      <w:r w:rsidRPr="008B1E78">
        <w:fldChar w:fldCharType="begin"/>
      </w:r>
      <w:r w:rsidRPr="008B1E78">
        <w:instrText xml:space="preserve"> REF _Ref195880442 \h </w:instrText>
      </w:r>
      <w:r w:rsidR="008B1E78">
        <w:instrText xml:space="preserve"> \* MERGEFORMAT </w:instrText>
      </w:r>
      <w:r w:rsidRPr="008B1E78">
        <w:fldChar w:fldCharType="separate"/>
      </w:r>
      <w:r w:rsidR="00871DD5" w:rsidRPr="00871DD5">
        <w:t>Działa</w:t>
      </w:r>
      <w:r w:rsidR="00871DD5">
        <w:t xml:space="preserve">nie 37. </w:t>
      </w:r>
      <w:r w:rsidR="00871DD5" w:rsidRPr="00C65E73">
        <w:t>Instrumenty finansowego wsparcia elektromobilności</w:t>
      </w:r>
      <w:r w:rsidRPr="008B1E78">
        <w:fldChar w:fldCharType="end"/>
      </w:r>
    </w:p>
    <w:p w14:paraId="13338E79" w14:textId="4C3B0F17" w:rsidR="00657B9C" w:rsidRPr="000559D5" w:rsidRDefault="00657B9C" w:rsidP="003530A9">
      <w:pPr>
        <w:pStyle w:val="Akapitzlist"/>
        <w:numPr>
          <w:ilvl w:val="0"/>
          <w:numId w:val="3"/>
        </w:numPr>
      </w:pPr>
      <w:r w:rsidRPr="008B1E78">
        <w:fldChar w:fldCharType="begin"/>
      </w:r>
      <w:r w:rsidRPr="008B1E78">
        <w:instrText xml:space="preserve"> REF _Ref195886995 \h </w:instrText>
      </w:r>
      <w:r w:rsidR="008B1E78">
        <w:instrText xml:space="preserve"> \* MERGEFORMAT </w:instrText>
      </w:r>
      <w:r w:rsidRPr="008B1E78">
        <w:fldChar w:fldCharType="separate"/>
      </w:r>
      <w:r w:rsidR="00871DD5">
        <w:t xml:space="preserve">Działanie 38. </w:t>
      </w:r>
      <w:r w:rsidR="00871DD5" w:rsidRPr="00F03C30">
        <w:t>Instrumenty pozafinansowego wsparcia elektromobilności</w:t>
      </w:r>
      <w:r w:rsidRPr="008B1E78">
        <w:fldChar w:fldCharType="end"/>
      </w:r>
    </w:p>
    <w:p w14:paraId="166CC1D7" w14:textId="711466D9" w:rsidR="00657B9C" w:rsidRPr="000559D5" w:rsidRDefault="00657B9C" w:rsidP="003530A9">
      <w:pPr>
        <w:pStyle w:val="Akapitzlist"/>
        <w:numPr>
          <w:ilvl w:val="0"/>
          <w:numId w:val="3"/>
        </w:numPr>
      </w:pPr>
      <w:r w:rsidRPr="008B1E78">
        <w:fldChar w:fldCharType="begin"/>
      </w:r>
      <w:r w:rsidRPr="008B1E78">
        <w:instrText xml:space="preserve"> REF _Ref195887024 \h </w:instrText>
      </w:r>
      <w:r w:rsidR="008B1E78">
        <w:instrText xml:space="preserve"> \* MERGEFORMAT </w:instrText>
      </w:r>
      <w:r w:rsidRPr="008B1E78">
        <w:fldChar w:fldCharType="separate"/>
      </w:r>
      <w:r w:rsidR="00871DD5">
        <w:t xml:space="preserve">Działanie 49. </w:t>
      </w:r>
      <w:r w:rsidR="00871DD5" w:rsidRPr="00BA6B20">
        <w:t>Zwiększanie wymagań w zakresie emisyjności pojazdów</w:t>
      </w:r>
      <w:r w:rsidRPr="008B1E78">
        <w:fldChar w:fldCharType="end"/>
      </w:r>
    </w:p>
    <w:p w14:paraId="08A47BD1" w14:textId="54C019D8" w:rsidR="00657B9C" w:rsidRPr="000559D5" w:rsidRDefault="00657B9C" w:rsidP="003530A9">
      <w:pPr>
        <w:pStyle w:val="Akapitzlist"/>
        <w:numPr>
          <w:ilvl w:val="0"/>
          <w:numId w:val="3"/>
        </w:numPr>
      </w:pPr>
      <w:r w:rsidRPr="008B1E78">
        <w:lastRenderedPageBreak/>
        <w:fldChar w:fldCharType="begin"/>
      </w:r>
      <w:r w:rsidRPr="008B1E78">
        <w:instrText xml:space="preserve"> REF _Ref195887029 \h </w:instrText>
      </w:r>
      <w:r w:rsidR="008B1E78">
        <w:instrText xml:space="preserve"> \* MERGEFORMAT </w:instrText>
      </w:r>
      <w:r w:rsidRPr="008B1E78">
        <w:fldChar w:fldCharType="separate"/>
      </w:r>
      <w:r w:rsidR="00871DD5">
        <w:t xml:space="preserve">Działanie 50. </w:t>
      </w:r>
      <w:r w:rsidR="00871DD5" w:rsidRPr="00A40AD9">
        <w:t>Opłata emisyjna</w:t>
      </w:r>
      <w:r w:rsidRPr="008B1E78">
        <w:fldChar w:fldCharType="end"/>
      </w:r>
    </w:p>
    <w:p w14:paraId="1D2D87AE" w14:textId="42BA56B5" w:rsidR="00657B9C" w:rsidRPr="000559D5" w:rsidRDefault="00715803" w:rsidP="003530A9">
      <w:pPr>
        <w:pStyle w:val="Akapitzlist"/>
        <w:numPr>
          <w:ilvl w:val="0"/>
          <w:numId w:val="3"/>
        </w:numPr>
      </w:pPr>
      <w:r w:rsidRPr="008B1E78">
        <w:fldChar w:fldCharType="begin"/>
      </w:r>
      <w:r w:rsidRPr="008B1E78">
        <w:instrText xml:space="preserve"> REF _Ref195887057 \h </w:instrText>
      </w:r>
      <w:r w:rsidR="008B1E78">
        <w:instrText xml:space="preserve"> \* MERGEFORMAT </w:instrText>
      </w:r>
      <w:r w:rsidRPr="008B1E78">
        <w:fldChar w:fldCharType="separate"/>
      </w:r>
      <w:r w:rsidR="00871DD5">
        <w:t xml:space="preserve">Działanie 63. </w:t>
      </w:r>
      <w:r w:rsidR="00871DD5" w:rsidRPr="004040E0">
        <w:t>Stosowanie warunkowości (środowiskowej) w ramach WPR</w:t>
      </w:r>
      <w:r w:rsidRPr="008B1E78">
        <w:fldChar w:fldCharType="end"/>
      </w:r>
    </w:p>
    <w:p w14:paraId="3AF16EEA" w14:textId="6DF12D3B" w:rsidR="00715803" w:rsidRPr="000559D5" w:rsidRDefault="00715803" w:rsidP="003530A9">
      <w:pPr>
        <w:pStyle w:val="Akapitzlist"/>
        <w:numPr>
          <w:ilvl w:val="0"/>
          <w:numId w:val="3"/>
        </w:numPr>
      </w:pPr>
      <w:r w:rsidRPr="008B1E78">
        <w:fldChar w:fldCharType="begin"/>
      </w:r>
      <w:r w:rsidRPr="008B1E78">
        <w:instrText xml:space="preserve"> REF _Ref195887064 \h </w:instrText>
      </w:r>
      <w:r w:rsidR="008B1E78">
        <w:instrText xml:space="preserve"> \* MERGEFORMAT </w:instrText>
      </w:r>
      <w:r w:rsidRPr="008B1E78">
        <w:fldChar w:fldCharType="separate"/>
      </w:r>
      <w:r w:rsidR="00871DD5">
        <w:t xml:space="preserve">Działanie 64. </w:t>
      </w:r>
      <w:r w:rsidR="00871DD5" w:rsidRPr="000C3864">
        <w:t>Stosowanie ekoschematów w ramach WPR</w:t>
      </w:r>
      <w:r w:rsidRPr="008B1E78">
        <w:fldChar w:fldCharType="end"/>
      </w:r>
    </w:p>
    <w:p w14:paraId="1322B456" w14:textId="6AD6FE70" w:rsidR="00715803" w:rsidRPr="000559D5" w:rsidRDefault="00DA500A" w:rsidP="003530A9">
      <w:pPr>
        <w:pStyle w:val="Akapitzlist"/>
        <w:numPr>
          <w:ilvl w:val="0"/>
          <w:numId w:val="3"/>
        </w:numPr>
      </w:pPr>
      <w:r w:rsidRPr="008B1E78">
        <w:fldChar w:fldCharType="begin"/>
      </w:r>
      <w:r w:rsidRPr="008B1E78">
        <w:instrText xml:space="preserve"> REF _Ref195887086 \h </w:instrText>
      </w:r>
      <w:r w:rsidR="008B1E78">
        <w:instrText xml:space="preserve"> \* MERGEFORMAT </w:instrText>
      </w:r>
      <w:r w:rsidRPr="008B1E78">
        <w:fldChar w:fldCharType="separate"/>
      </w:r>
      <w:r w:rsidR="00871DD5">
        <w:t xml:space="preserve">Działanie 67. </w:t>
      </w:r>
      <w:r w:rsidR="00871DD5" w:rsidRPr="00101B21">
        <w:t>Interwencje leśne i zadrzewieniowe w ramach WPR</w:t>
      </w:r>
      <w:r w:rsidRPr="008B1E78">
        <w:fldChar w:fldCharType="end"/>
      </w:r>
    </w:p>
    <w:p w14:paraId="0C97BD3B" w14:textId="66911D2A" w:rsidR="00460672" w:rsidRPr="000559D5" w:rsidRDefault="00E31B58" w:rsidP="003530A9">
      <w:pPr>
        <w:pStyle w:val="Akapitzlist"/>
        <w:numPr>
          <w:ilvl w:val="0"/>
          <w:numId w:val="3"/>
        </w:numPr>
      </w:pPr>
      <w:r w:rsidRPr="008B1E78">
        <w:fldChar w:fldCharType="begin"/>
      </w:r>
      <w:r w:rsidRPr="008B1E78">
        <w:instrText xml:space="preserve"> REF _Ref200465564 \h </w:instrText>
      </w:r>
      <w:r w:rsidR="008B1E78">
        <w:instrText xml:space="preserve"> \* MERGEFORMAT </w:instrText>
      </w:r>
      <w:r w:rsidRPr="008B1E78">
        <w:fldChar w:fldCharType="separate"/>
      </w:r>
      <w:r w:rsidR="00871DD5">
        <w:t xml:space="preserve">Działanie 73. </w:t>
      </w:r>
      <w:r w:rsidR="00871DD5" w:rsidRPr="00E20A77">
        <w:t>Racjonalizacja nawożenia</w:t>
      </w:r>
      <w:r w:rsidRPr="008B1E78">
        <w:fldChar w:fldCharType="end"/>
      </w:r>
    </w:p>
    <w:p w14:paraId="17C6C3FA" w14:textId="16F0EFEC" w:rsidR="00442C23" w:rsidRPr="000559D5" w:rsidRDefault="005C2EC7" w:rsidP="00442C23">
      <w:pPr>
        <w:pStyle w:val="Akapitzlist"/>
        <w:numPr>
          <w:ilvl w:val="0"/>
          <w:numId w:val="3"/>
        </w:numPr>
      </w:pPr>
      <w:r w:rsidRPr="000559D5">
        <w:fldChar w:fldCharType="begin"/>
      </w:r>
      <w:r w:rsidRPr="000559D5">
        <w:instrText xml:space="preserve"> REF _Ref198288378 \h </w:instrText>
      </w:r>
      <w:r w:rsidR="00442C23" w:rsidRPr="000559D5">
        <w:instrText xml:space="preserve"> \* MERGEFORMAT </w:instrText>
      </w:r>
      <w:r w:rsidRPr="000559D5">
        <w:fldChar w:fldCharType="separate"/>
      </w:r>
      <w:r w:rsidR="00871DD5">
        <w:t xml:space="preserve">Działanie 102. </w:t>
      </w:r>
      <w:r w:rsidR="00871DD5" w:rsidRPr="00077D7F">
        <w:t>Wprowadzenie wymogów w zakresie wykorzystania energii słonecznej w</w:t>
      </w:r>
      <w:r w:rsidR="00871DD5">
        <w:t> </w:t>
      </w:r>
      <w:r w:rsidR="00871DD5" w:rsidRPr="00077D7F">
        <w:t>budynkach</w:t>
      </w:r>
      <w:r w:rsidRPr="000559D5">
        <w:fldChar w:fldCharType="end"/>
      </w:r>
    </w:p>
    <w:p w14:paraId="02EC005E" w14:textId="6026AECC" w:rsidR="00442C23" w:rsidRPr="000559D5" w:rsidRDefault="00442C23" w:rsidP="00442C23">
      <w:pPr>
        <w:pStyle w:val="Akapitzlist"/>
        <w:numPr>
          <w:ilvl w:val="0"/>
          <w:numId w:val="3"/>
        </w:numPr>
      </w:pPr>
      <w:r w:rsidRPr="000559D5">
        <w:fldChar w:fldCharType="begin"/>
      </w:r>
      <w:r w:rsidRPr="000559D5">
        <w:instrText xml:space="preserve"> REF _Ref202526576 \h  \* MERGEFORMAT </w:instrText>
      </w:r>
      <w:r w:rsidRPr="000559D5">
        <w:fldChar w:fldCharType="separate"/>
      </w:r>
      <w:r w:rsidR="00871DD5">
        <w:t xml:space="preserve">Działanie </w:t>
      </w:r>
      <w:r w:rsidR="00871DD5" w:rsidRPr="00871DD5">
        <w:t>103</w:t>
      </w:r>
      <w:r w:rsidR="00871DD5">
        <w:t xml:space="preserve">. </w:t>
      </w:r>
      <w:r w:rsidR="00871DD5" w:rsidRPr="00077D7F">
        <w:t>Instrument finansowy – Program Priorytetowy NFOŚiGW – „Moje ciepło”</w:t>
      </w:r>
      <w:r w:rsidRPr="000559D5">
        <w:fldChar w:fldCharType="end"/>
      </w:r>
    </w:p>
    <w:p w14:paraId="3778EFC5" w14:textId="511B3F8F" w:rsidR="00C57647" w:rsidRPr="008B1E78" w:rsidRDefault="00E31B58" w:rsidP="003530A9">
      <w:pPr>
        <w:pStyle w:val="Akapitzlist"/>
        <w:numPr>
          <w:ilvl w:val="0"/>
          <w:numId w:val="3"/>
        </w:numPr>
      </w:pPr>
      <w:r w:rsidRPr="008B1E78">
        <w:fldChar w:fldCharType="begin"/>
      </w:r>
      <w:r w:rsidRPr="000559D5">
        <w:instrText xml:space="preserve"> REF _Ref200465602 \h </w:instrText>
      </w:r>
      <w:r w:rsidR="005C2EC7" w:rsidRPr="008B1E78">
        <w:instrText xml:space="preserve"> \* MERGEFORMAT </w:instrText>
      </w:r>
      <w:r w:rsidRPr="008B1E78">
        <w:fldChar w:fldCharType="separate"/>
      </w:r>
      <w:r w:rsidR="00871DD5">
        <w:t xml:space="preserve">Działanie </w:t>
      </w:r>
      <w:r w:rsidR="00871DD5" w:rsidRPr="00871DD5">
        <w:t>104</w:t>
      </w:r>
      <w:r w:rsidR="00871DD5">
        <w:t xml:space="preserve">. </w:t>
      </w:r>
      <w:r w:rsidR="00871DD5" w:rsidRPr="00077D7F">
        <w:t>Instrument finansowy – Program Priorytetowy NFOŚiGW – „Czyste Powietrze”</w:t>
      </w:r>
      <w:r w:rsidRPr="008B1E78">
        <w:fldChar w:fldCharType="end"/>
      </w:r>
    </w:p>
    <w:p w14:paraId="6FCAC58C" w14:textId="577C3E02" w:rsidR="00E7172D" w:rsidRPr="000559D5" w:rsidRDefault="00E7172D" w:rsidP="00E7172D">
      <w:pPr>
        <w:pStyle w:val="Akapitzlist"/>
        <w:numPr>
          <w:ilvl w:val="0"/>
          <w:numId w:val="3"/>
        </w:numPr>
      </w:pPr>
      <w:r w:rsidRPr="008B1E78">
        <w:fldChar w:fldCharType="begin"/>
      </w:r>
      <w:r w:rsidRPr="008B1E78">
        <w:instrText xml:space="preserve"> REF _Ref203395364 \h </w:instrText>
      </w:r>
      <w:r w:rsidR="008B1E78">
        <w:instrText xml:space="preserve"> \* MERGEFORMAT </w:instrText>
      </w:r>
      <w:r w:rsidRPr="008B1E78">
        <w:fldChar w:fldCharType="separate"/>
      </w:r>
      <w:r w:rsidR="00871DD5">
        <w:t xml:space="preserve">Działanie </w:t>
      </w:r>
      <w:r w:rsidR="00871DD5" w:rsidRPr="00871DD5">
        <w:t>105</w:t>
      </w:r>
      <w:r w:rsidR="00871DD5">
        <w:t xml:space="preserve">. </w:t>
      </w:r>
      <w:r w:rsidR="00871DD5" w:rsidRPr="00077D7F">
        <w:t>Instrument finansowy – Ulga podatkowa dotycząca wydatków poniesionych na termomodernizację jednorodzinnych budynków mieszkalnych (ulga termomodernizacyjna)</w:t>
      </w:r>
      <w:r w:rsidRPr="008B1E78">
        <w:fldChar w:fldCharType="end"/>
      </w:r>
      <w:r w:rsidRPr="008B1E78">
        <w:t xml:space="preserve"> </w:t>
      </w:r>
    </w:p>
    <w:p w14:paraId="6D25A083" w14:textId="0DED47A6" w:rsidR="00E7172D" w:rsidRPr="000559D5" w:rsidRDefault="00E7172D" w:rsidP="003530A9">
      <w:pPr>
        <w:pStyle w:val="Akapitzlist"/>
        <w:numPr>
          <w:ilvl w:val="0"/>
          <w:numId w:val="3"/>
        </w:numPr>
      </w:pPr>
      <w:r w:rsidRPr="008B1E78">
        <w:fldChar w:fldCharType="begin"/>
      </w:r>
      <w:r w:rsidRPr="008B1E78">
        <w:instrText xml:space="preserve"> REF _Ref203395370 \h </w:instrText>
      </w:r>
      <w:r w:rsidR="008B1E78">
        <w:instrText xml:space="preserve"> \* MERGEFORMAT </w:instrText>
      </w:r>
      <w:r w:rsidRPr="008B1E78">
        <w:fldChar w:fldCharType="separate"/>
      </w:r>
      <w:r w:rsidR="00871DD5">
        <w:t xml:space="preserve">Działanie </w:t>
      </w:r>
      <w:r w:rsidR="00871DD5" w:rsidRPr="00871DD5">
        <w:t>106</w:t>
      </w:r>
      <w:r w:rsidR="00871DD5">
        <w:t xml:space="preserve">. </w:t>
      </w:r>
      <w:r w:rsidR="00871DD5" w:rsidRPr="00B86593">
        <w:t>Instrument finansowy – Program TERMO, wsparcie poprawy efektywności energetycznej w budynkach wielorodzinnych</w:t>
      </w:r>
      <w:r w:rsidRPr="008B1E78">
        <w:fldChar w:fldCharType="end"/>
      </w:r>
    </w:p>
    <w:p w14:paraId="79D4520E" w14:textId="6ADDBE18" w:rsidR="00E7172D" w:rsidRPr="000559D5" w:rsidRDefault="00E7172D" w:rsidP="003530A9">
      <w:pPr>
        <w:pStyle w:val="Akapitzlist"/>
        <w:numPr>
          <w:ilvl w:val="0"/>
          <w:numId w:val="3"/>
        </w:numPr>
      </w:pPr>
      <w:r w:rsidRPr="008B1E78">
        <w:fldChar w:fldCharType="begin"/>
      </w:r>
      <w:r w:rsidRPr="008B1E78">
        <w:instrText xml:space="preserve"> REF _Ref203395389 \h </w:instrText>
      </w:r>
      <w:r w:rsidR="008B1E78">
        <w:instrText xml:space="preserve"> \* MERGEFORMAT </w:instrText>
      </w:r>
      <w:r w:rsidRPr="008B1E78">
        <w:fldChar w:fldCharType="separate"/>
      </w:r>
      <w:r w:rsidR="00871DD5">
        <w:t xml:space="preserve">Działanie </w:t>
      </w:r>
      <w:r w:rsidR="00871DD5" w:rsidRPr="00871DD5">
        <w:t>107</w:t>
      </w:r>
      <w:r w:rsidR="00871DD5">
        <w:t xml:space="preserve">. </w:t>
      </w:r>
      <w:r w:rsidR="00871DD5" w:rsidRPr="00645B8D">
        <w:t>Instrument finansowy – Program Priorytetowy NFOŚiGW – „Modernizacja szkół”</w:t>
      </w:r>
      <w:r w:rsidRPr="008B1E78">
        <w:fldChar w:fldCharType="end"/>
      </w:r>
    </w:p>
    <w:p w14:paraId="1DE297A7" w14:textId="5FB8E19E" w:rsidR="00E7172D" w:rsidRPr="000559D5" w:rsidRDefault="00E7172D" w:rsidP="003530A9">
      <w:pPr>
        <w:pStyle w:val="Akapitzlist"/>
        <w:numPr>
          <w:ilvl w:val="0"/>
          <w:numId w:val="3"/>
        </w:numPr>
      </w:pPr>
      <w:r w:rsidRPr="008B1E78">
        <w:fldChar w:fldCharType="begin"/>
      </w:r>
      <w:r w:rsidRPr="008B1E78">
        <w:instrText xml:space="preserve"> REF _Ref203395405 \h </w:instrText>
      </w:r>
      <w:r w:rsidR="008B1E78">
        <w:instrText xml:space="preserve"> \* MERGEFORMAT </w:instrText>
      </w:r>
      <w:r w:rsidRPr="008B1E78">
        <w:fldChar w:fldCharType="separate"/>
      </w:r>
      <w:r w:rsidR="00871DD5">
        <w:t xml:space="preserve">Działanie </w:t>
      </w:r>
      <w:r w:rsidR="00871DD5" w:rsidRPr="00871DD5">
        <w:t>108</w:t>
      </w:r>
      <w:r w:rsidR="00871DD5">
        <w:t xml:space="preserve">. </w:t>
      </w:r>
      <w:r w:rsidR="00871DD5" w:rsidRPr="00077D7F">
        <w:t>Instrument finansowy – Program Priorytetowy NFOŚiGW – „Modernizacja budynk</w:t>
      </w:r>
      <w:r w:rsidR="00871DD5">
        <w:t>ów</w:t>
      </w:r>
      <w:r w:rsidR="00871DD5" w:rsidRPr="00077D7F">
        <w:t xml:space="preserve"> użyteczności publicznej”</w:t>
      </w:r>
      <w:r w:rsidRPr="008B1E78">
        <w:fldChar w:fldCharType="end"/>
      </w:r>
    </w:p>
    <w:p w14:paraId="30248AE1" w14:textId="5761B511" w:rsidR="00F24593" w:rsidRPr="000559D5" w:rsidRDefault="00E7172D" w:rsidP="003530A9">
      <w:pPr>
        <w:pStyle w:val="Akapitzlist"/>
        <w:numPr>
          <w:ilvl w:val="0"/>
          <w:numId w:val="3"/>
        </w:numPr>
      </w:pPr>
      <w:r w:rsidRPr="008B1E78">
        <w:fldChar w:fldCharType="begin"/>
      </w:r>
      <w:r w:rsidRPr="008B1E78">
        <w:instrText xml:space="preserve"> REF _Ref203395424 \h </w:instrText>
      </w:r>
      <w:r w:rsidR="008B1E78">
        <w:instrText xml:space="preserve"> \* MERGEFORMAT </w:instrText>
      </w:r>
      <w:r w:rsidRPr="008B1E78">
        <w:fldChar w:fldCharType="separate"/>
      </w:r>
      <w:r w:rsidR="00871DD5">
        <w:t xml:space="preserve">Działanie </w:t>
      </w:r>
      <w:r w:rsidR="00871DD5" w:rsidRPr="00871DD5">
        <w:t>109</w:t>
      </w:r>
      <w:r w:rsidR="00871DD5">
        <w:t xml:space="preserve">. </w:t>
      </w:r>
      <w:r w:rsidR="00871DD5" w:rsidRPr="00077D7F">
        <w:t>Program wsparcia mikroprzedsiębiorstw – efektywność energetyczna budynków</w:t>
      </w:r>
      <w:r w:rsidRPr="008B1E78">
        <w:fldChar w:fldCharType="end"/>
      </w:r>
    </w:p>
    <w:p w14:paraId="3D1E232A" w14:textId="3AAB53AE" w:rsidR="007E3778" w:rsidRPr="000559D5" w:rsidRDefault="007E3778" w:rsidP="003530A9">
      <w:pPr>
        <w:pStyle w:val="Akapitzlist"/>
        <w:numPr>
          <w:ilvl w:val="0"/>
          <w:numId w:val="3"/>
        </w:numPr>
      </w:pPr>
      <w:r w:rsidRPr="008B1E78">
        <w:fldChar w:fldCharType="begin"/>
      </w:r>
      <w:r w:rsidRPr="008B1E78">
        <w:instrText xml:space="preserve"> REF _Ref203397711 \h </w:instrText>
      </w:r>
      <w:r w:rsidR="008B1E78">
        <w:instrText xml:space="preserve"> \* MERGEFORMAT </w:instrText>
      </w:r>
      <w:r w:rsidRPr="008B1E78">
        <w:fldChar w:fldCharType="separate"/>
      </w:r>
      <w:r w:rsidR="00871DD5">
        <w:t xml:space="preserve">Działanie </w:t>
      </w:r>
      <w:r w:rsidR="00871DD5" w:rsidRPr="00871DD5">
        <w:t>110</w:t>
      </w:r>
      <w:r w:rsidR="00871DD5">
        <w:t xml:space="preserve">. </w:t>
      </w:r>
      <w:r w:rsidR="00871DD5" w:rsidRPr="00871DD5">
        <w:t>Efektywny energetycznie sektor publiczny</w:t>
      </w:r>
      <w:r w:rsidRPr="008B1E78">
        <w:fldChar w:fldCharType="end"/>
      </w:r>
      <w:r w:rsidRPr="008B1E78">
        <w:t xml:space="preserve"> </w:t>
      </w:r>
    </w:p>
    <w:p w14:paraId="09CC7F4A" w14:textId="445631CA" w:rsidR="00563316" w:rsidRPr="000559D5" w:rsidRDefault="00563316" w:rsidP="003530A9">
      <w:pPr>
        <w:pStyle w:val="Akapitzlist"/>
        <w:numPr>
          <w:ilvl w:val="0"/>
          <w:numId w:val="3"/>
        </w:numPr>
      </w:pPr>
      <w:r w:rsidRPr="008B1E78">
        <w:fldChar w:fldCharType="begin"/>
      </w:r>
      <w:r w:rsidRPr="008B1E78">
        <w:instrText xml:space="preserve"> REF _Ref203397813 \h </w:instrText>
      </w:r>
      <w:r w:rsidR="008B1E78">
        <w:instrText xml:space="preserve"> \* MERGEFORMAT </w:instrText>
      </w:r>
      <w:r w:rsidRPr="008B1E78">
        <w:fldChar w:fldCharType="separate"/>
      </w:r>
      <w:r w:rsidR="00871DD5">
        <w:t xml:space="preserve">Działanie </w:t>
      </w:r>
      <w:r w:rsidR="00871DD5" w:rsidRPr="00871DD5">
        <w:t>111</w:t>
      </w:r>
      <w:r w:rsidR="00871DD5">
        <w:t xml:space="preserve">. </w:t>
      </w:r>
      <w:r w:rsidR="00871DD5" w:rsidRPr="00351096">
        <w:t>Wprowadzenie modelu oceny ofert w przetargach na budowę budynków użyteczności publicznych w oparciu o całkowity koszt cyklu życia (</w:t>
      </w:r>
      <w:r w:rsidR="00871DD5">
        <w:t>LCC</w:t>
      </w:r>
      <w:r w:rsidR="00871DD5" w:rsidRPr="00351096">
        <w:t>)</w:t>
      </w:r>
      <w:r w:rsidRPr="008B1E78">
        <w:fldChar w:fldCharType="end"/>
      </w:r>
    </w:p>
    <w:p w14:paraId="6C9BC85D" w14:textId="0D42E088" w:rsidR="00936E3A" w:rsidRPr="000559D5" w:rsidRDefault="00936E3A" w:rsidP="003530A9">
      <w:pPr>
        <w:pStyle w:val="Akapitzlist"/>
        <w:numPr>
          <w:ilvl w:val="0"/>
          <w:numId w:val="3"/>
        </w:numPr>
      </w:pPr>
      <w:r w:rsidRPr="008B1E78">
        <w:fldChar w:fldCharType="begin"/>
      </w:r>
      <w:r w:rsidRPr="008B1E78">
        <w:instrText xml:space="preserve"> REF _Ref203397696 \h </w:instrText>
      </w:r>
      <w:r w:rsidR="008B1E78">
        <w:instrText xml:space="preserve"> \* MERGEFORMAT </w:instrText>
      </w:r>
      <w:r w:rsidRPr="008B1E78">
        <w:fldChar w:fldCharType="separate"/>
      </w:r>
      <w:r w:rsidR="00871DD5">
        <w:t xml:space="preserve">Działanie </w:t>
      </w:r>
      <w:r w:rsidR="00871DD5" w:rsidRPr="00871DD5">
        <w:t>112</w:t>
      </w:r>
      <w:r w:rsidR="00871DD5">
        <w:t xml:space="preserve">. </w:t>
      </w:r>
      <w:r w:rsidR="00871DD5" w:rsidRPr="00077D7F">
        <w:t>Wdrażanie nowych standardów energetycznych stawianych nowym budynkom oraz budynkom podlegającym ważniejszym renowacjom</w:t>
      </w:r>
      <w:r w:rsidRPr="008B1E78">
        <w:fldChar w:fldCharType="end"/>
      </w:r>
    </w:p>
    <w:p w14:paraId="3F88E4F6" w14:textId="3D73DAB9" w:rsidR="00F24593" w:rsidRPr="000559D5" w:rsidRDefault="00F24593" w:rsidP="003530A9">
      <w:pPr>
        <w:pStyle w:val="Akapitzlist"/>
        <w:numPr>
          <w:ilvl w:val="0"/>
          <w:numId w:val="3"/>
        </w:numPr>
      </w:pPr>
      <w:r w:rsidRPr="000559D5">
        <w:fldChar w:fldCharType="begin"/>
      </w:r>
      <w:r w:rsidRPr="000559D5">
        <w:instrText xml:space="preserve"> REF _Ref203395457 \h </w:instrText>
      </w:r>
      <w:r w:rsidR="000559D5">
        <w:instrText xml:space="preserve"> \* MERGEFORMAT </w:instrText>
      </w:r>
      <w:r w:rsidRPr="000559D5">
        <w:fldChar w:fldCharType="separate"/>
      </w:r>
      <w:r w:rsidR="00871DD5">
        <w:t xml:space="preserve">Działanie </w:t>
      </w:r>
      <w:r w:rsidR="00871DD5" w:rsidRPr="00871DD5">
        <w:t>113</w:t>
      </w:r>
      <w:r w:rsidR="00871DD5">
        <w:t xml:space="preserve">. </w:t>
      </w:r>
      <w:r w:rsidR="00871DD5" w:rsidRPr="00077D7F">
        <w:t>System oceny energetycznej budynków i systemów technicznych budynków</w:t>
      </w:r>
      <w:r w:rsidRPr="000559D5">
        <w:fldChar w:fldCharType="end"/>
      </w:r>
    </w:p>
    <w:p w14:paraId="6A7F9F45" w14:textId="2C313A57" w:rsidR="00E7172D" w:rsidRDefault="00F24593" w:rsidP="003530A9">
      <w:pPr>
        <w:pStyle w:val="Akapitzlist"/>
        <w:numPr>
          <w:ilvl w:val="0"/>
          <w:numId w:val="3"/>
        </w:numPr>
        <w:rPr>
          <w:szCs w:val="20"/>
        </w:rPr>
      </w:pPr>
      <w:r w:rsidRPr="000559D5">
        <w:fldChar w:fldCharType="begin"/>
      </w:r>
      <w:r w:rsidRPr="000559D5">
        <w:instrText xml:space="preserve"> REF _Ref198287730 \h </w:instrText>
      </w:r>
      <w:r w:rsidR="000559D5">
        <w:instrText xml:space="preserve"> \* MERGEFORMAT </w:instrText>
      </w:r>
      <w:r w:rsidRPr="000559D5">
        <w:fldChar w:fldCharType="separate"/>
      </w:r>
      <w:r w:rsidR="00871DD5">
        <w:t xml:space="preserve">Działanie </w:t>
      </w:r>
      <w:r w:rsidR="00871DD5" w:rsidRPr="00871DD5">
        <w:t>114</w:t>
      </w:r>
      <w:r w:rsidR="00871DD5">
        <w:t xml:space="preserve">. </w:t>
      </w:r>
      <w:r w:rsidR="00871DD5" w:rsidRPr="0094341E">
        <w:t>Efektywność energetyczna w budownictwie społecznym uwzględniającym potrzeby grup wrażliwych</w:t>
      </w:r>
      <w:r w:rsidRPr="000559D5">
        <w:fldChar w:fldCharType="end"/>
      </w:r>
    </w:p>
    <w:p w14:paraId="50B6857D" w14:textId="13C8013B" w:rsidR="00C140A9" w:rsidRDefault="00C140A9" w:rsidP="00C140A9">
      <w:pPr>
        <w:pStyle w:val="Nagwek4"/>
        <w:rPr>
          <w:color w:val="70AD47" w:themeColor="accent6"/>
        </w:rPr>
      </w:pPr>
      <w:bookmarkStart w:id="221" w:name="_Toc195897230"/>
      <w:bookmarkStart w:id="222" w:name="_Toc195899475"/>
      <w:bookmarkStart w:id="223" w:name="_Toc195897231"/>
      <w:bookmarkStart w:id="224" w:name="_Toc195899476"/>
      <w:bookmarkStart w:id="225" w:name="_Toc195897232"/>
      <w:bookmarkStart w:id="226" w:name="_Toc195899477"/>
      <w:bookmarkStart w:id="227" w:name="_Toc195897233"/>
      <w:bookmarkStart w:id="228" w:name="_Toc195899478"/>
      <w:bookmarkStart w:id="229" w:name="_Toc195897234"/>
      <w:bookmarkStart w:id="230" w:name="_Toc195899479"/>
      <w:bookmarkStart w:id="231" w:name="_Toc195897235"/>
      <w:bookmarkStart w:id="232" w:name="_Toc195899480"/>
      <w:bookmarkStart w:id="233" w:name="_Toc195897236"/>
      <w:bookmarkStart w:id="234" w:name="_Toc195899481"/>
      <w:bookmarkStart w:id="235" w:name="_Toc195897237"/>
      <w:bookmarkStart w:id="236" w:name="_Toc195899482"/>
      <w:bookmarkStart w:id="237" w:name="_Toc195897238"/>
      <w:bookmarkStart w:id="238" w:name="_Toc195899483"/>
      <w:bookmarkStart w:id="239" w:name="_Toc195897239"/>
      <w:bookmarkStart w:id="240" w:name="_Toc195899484"/>
      <w:bookmarkStart w:id="241" w:name="_Toc195897240"/>
      <w:bookmarkStart w:id="242" w:name="_Toc195899485"/>
      <w:bookmarkStart w:id="243" w:name="_Toc195897241"/>
      <w:bookmarkStart w:id="244" w:name="_Toc195899486"/>
      <w:bookmarkStart w:id="245" w:name="_Toc195897242"/>
      <w:bookmarkStart w:id="246" w:name="_Toc195899487"/>
      <w:bookmarkStart w:id="247" w:name="_Toc195897243"/>
      <w:bookmarkStart w:id="248" w:name="_Toc195899488"/>
      <w:bookmarkStart w:id="249" w:name="_Toc195897244"/>
      <w:bookmarkStart w:id="250" w:name="_Toc195899489"/>
      <w:bookmarkStart w:id="251" w:name="_Toc195897245"/>
      <w:bookmarkStart w:id="252" w:name="_Toc195899490"/>
      <w:bookmarkStart w:id="253" w:name="_Toc195897246"/>
      <w:bookmarkStart w:id="254" w:name="_Toc195899491"/>
      <w:bookmarkStart w:id="255" w:name="_Toc195897247"/>
      <w:bookmarkStart w:id="256" w:name="_Toc195899492"/>
      <w:bookmarkStart w:id="257" w:name="_Toc175321028"/>
      <w:bookmarkStart w:id="258" w:name="_Toc175479049"/>
      <w:bookmarkStart w:id="259" w:name="_Toc175494526"/>
      <w:bookmarkStart w:id="260" w:name="_Toc175518133"/>
      <w:bookmarkStart w:id="261" w:name="_Toc159598298"/>
      <w:bookmarkStart w:id="262" w:name="_Toc195897248"/>
      <w:bookmarkStart w:id="263" w:name="_Toc20520317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C140A9">
        <w:rPr>
          <w:color w:val="70AD47" w:themeColor="accent6"/>
        </w:rPr>
        <w:t>Cel w zakresie stanu wód</w:t>
      </w:r>
      <w:bookmarkEnd w:id="261"/>
      <w:bookmarkEnd w:id="262"/>
      <w:bookmarkEnd w:id="263"/>
    </w:p>
    <w:p w14:paraId="46515E8B" w14:textId="5047F8A3" w:rsidR="002A76F0" w:rsidRPr="002A76F0" w:rsidRDefault="00DE0CED" w:rsidP="002A76F0">
      <w:r>
        <w:rPr>
          <w:noProof/>
          <w:lang w:eastAsia="pl-PL"/>
        </w:rPr>
        <mc:AlternateContent>
          <mc:Choice Requires="wps">
            <w:drawing>
              <wp:anchor distT="0" distB="0" distL="114300" distR="114300" simplePos="0" relativeHeight="251516416" behindDoc="1" locked="0" layoutInCell="1" allowOverlap="1" wp14:anchorId="555B7F0F" wp14:editId="6AF270BA">
                <wp:simplePos x="0" y="0"/>
                <wp:positionH relativeFrom="margin">
                  <wp:posOffset>2819400</wp:posOffset>
                </wp:positionH>
                <wp:positionV relativeFrom="paragraph">
                  <wp:posOffset>85090</wp:posOffset>
                </wp:positionV>
                <wp:extent cx="2969895" cy="1148080"/>
                <wp:effectExtent l="19050" t="57150" r="97155" b="56515"/>
                <wp:wrapSquare wrapText="bothSides"/>
                <wp:docPr id="966363494" name="Prostokąt: zaokrąglone rogi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895" cy="1148080"/>
                        </a:xfrm>
                        <a:prstGeom prst="roundRect">
                          <a:avLst>
                            <a:gd name="adj" fmla="val 11857"/>
                          </a:avLst>
                        </a:prstGeom>
                        <a:solidFill>
                          <a:sysClr val="window" lastClr="FFFFFF"/>
                        </a:solidFill>
                        <a:ln w="9525" cap="flat" cmpd="sng" algn="ctr">
                          <a:solidFill>
                            <a:srgbClr val="70AD47"/>
                          </a:solidFill>
                          <a:prstDash val="solid"/>
                          <a:miter lim="800000"/>
                        </a:ln>
                        <a:effectLst>
                          <a:outerShdw blurRad="50800" dist="38100" algn="l" rotWithShape="0">
                            <a:prstClr val="black">
                              <a:alpha val="40000"/>
                            </a:prstClr>
                          </a:outerShdw>
                        </a:effectLst>
                      </wps:spPr>
                      <wps:txbx>
                        <w:txbxContent>
                          <w:p w14:paraId="354A24EA" w14:textId="32BE6966" w:rsidR="00C36C5C" w:rsidRPr="004E21CF" w:rsidRDefault="00C36C5C" w:rsidP="003E6660">
                            <w:pPr>
                              <w:pStyle w:val="Ramka"/>
                            </w:pPr>
                            <w:r w:rsidRPr="008607EB">
                              <w:t>Zanieczyszczenie wód może być wynikiem różnorodnych czynników, obejmujących</w:t>
                            </w:r>
                            <w:r>
                              <w:t xml:space="preserve"> m.in.</w:t>
                            </w:r>
                            <w:r w:rsidRPr="008607EB">
                              <w:t>:</w:t>
                            </w:r>
                            <w:r>
                              <w:t xml:space="preserve">  </w:t>
                            </w:r>
                            <w:r w:rsidRPr="008607EB">
                              <w:t>ś</w:t>
                            </w:r>
                            <w:r w:rsidRPr="0090288E">
                              <w:t>cieki komunalne i przemysłowe, nawozy i pestycydy z rolnictwa, zanieczyszczenia z obszarów zurbanizowanych</w:t>
                            </w:r>
                            <w:r>
                              <w:t xml:space="preserve"> </w:t>
                            </w:r>
                            <w:r w:rsidRPr="0090288E">
                              <w:t>i odpady, wylewy substancji chemicznych</w:t>
                            </w:r>
                            <w:r>
                              <w:t xml:space="preserve"> czy</w:t>
                            </w:r>
                            <w:r w:rsidRPr="0090288E">
                              <w:t xml:space="preserve"> degradację brzegów rzek.</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55B7F0F" id="Prostokąt: zaokrąglone rogi 60" o:spid="_x0000_s1098" style="position:absolute;left:0;text-align:left;margin-left:222pt;margin-top:6.7pt;width:233.85pt;height:90.4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" fillcolor="window" strokecolor="#70ad47">
                <v:stroke joinstyle="miter"/>
                <v:shadow on="t" color="black" opacity="26214f" origin="-.5" offset="3pt,0"/>
                <v:path arrowok="t"/>
                <v:textbox style="mso-fit-shape-to-text:t" inset="2mm,2.5mm,2mm,0">
                  <w:txbxContent>
                    <w:p w14:paraId="354A24EA" w14:textId="32BE6966" w:rsidR="00C36C5C" w:rsidRPr="004E21CF" w:rsidRDefault="00C36C5C" w:rsidP="003E6660">
                      <w:pPr>
                        <w:pStyle w:val="Ramka"/>
                      </w:pPr>
                      <w:r w:rsidRPr="008607EB">
                        <w:t>Zanieczyszczenie wód może być wynikiem różnorodnych czynników, obejmujących</w:t>
                      </w:r>
                      <w:r>
                        <w:t xml:space="preserve"> m.in.</w:t>
                      </w:r>
                      <w:r w:rsidRPr="008607EB">
                        <w:t>:</w:t>
                      </w:r>
                      <w:r>
                        <w:t xml:space="preserve">  </w:t>
                      </w:r>
                      <w:r w:rsidRPr="008607EB">
                        <w:t>ś</w:t>
                      </w:r>
                      <w:r w:rsidRPr="0090288E">
                        <w:t>cieki komunalne i przemysłowe, nawozy i pestycydy z rolnictwa, zanieczyszczenia z obszarów zurbanizowanych</w:t>
                      </w:r>
                      <w:r>
                        <w:t xml:space="preserve"> </w:t>
                      </w:r>
                      <w:r w:rsidRPr="0090288E">
                        <w:t>i odpady, wylewy substancji chemicznych</w:t>
                      </w:r>
                      <w:r>
                        <w:t xml:space="preserve"> czy</w:t>
                      </w:r>
                      <w:r w:rsidRPr="0090288E">
                        <w:t xml:space="preserve"> degradację brzegów rzek.</w:t>
                      </w:r>
                    </w:p>
                  </w:txbxContent>
                </v:textbox>
                <w10:wrap type="square" anchorx="margin"/>
              </v:roundrect>
            </w:pict>
          </mc:Fallback>
        </mc:AlternateContent>
      </w:r>
      <w:r w:rsidR="003E6660" w:rsidRPr="008607EB">
        <w:t>Zanieczyszczenie wód</w:t>
      </w:r>
      <w:r w:rsidR="003E6660">
        <w:t xml:space="preserve"> t</w:t>
      </w:r>
      <w:r w:rsidR="003E6660" w:rsidRPr="008607EB">
        <w:t>o kompleksowy problem, wynikający z różnorodnych działań ludzkich, takich jak przemysł, rolnictwo, gospodarka komunalna. Substancje chemiczne, mikroorganizmy patogenne, a także inne zanieczyszczenia wprowadzane do wód mają potencjał naruszania równowagi ekosystemów oraz stanowią zagrożenie dla jakości wód pitnych.</w:t>
      </w:r>
      <w:r w:rsidR="002A76F0">
        <w:t xml:space="preserve"> </w:t>
      </w:r>
      <w:r w:rsidR="002A76F0" w:rsidRPr="002A76F0">
        <w:t>Należy podkreślić, że ingerencje człowieka obejmują nie tylko bezpośrednie zanieczyszczenie wód, lecz również przekształcanie koryt rzek oraz ich dolin, m.in. poprzez przerwanie szlaków migracyjnych ryb czy zmianę naturalnego reżimu przepływu wód w wyniku postępującego uszczelniania zlewni.</w:t>
      </w:r>
    </w:p>
    <w:p w14:paraId="32ED14F6" w14:textId="1882B26C" w:rsidR="00666C5D" w:rsidRDefault="002A76F0" w:rsidP="00037B6F">
      <w:r w:rsidRPr="002A76F0">
        <w:t xml:space="preserve">Z drugiej strony, </w:t>
      </w:r>
      <w:r w:rsidRPr="002A76F0">
        <w:rPr>
          <w:b/>
          <w:bCs/>
        </w:rPr>
        <w:t>najskuteczniejszą formą zwiększenia odporności ekosystemów wodnych na skutki zmian klimatycznych</w:t>
      </w:r>
      <w:r w:rsidRPr="002A76F0">
        <w:t xml:space="preserve"> pozostaje zachowanie lub przywrócenie ich naturalnego charakteru. Renaturyzacja cieków wodnych nie tylko sprzyja odbudowie równowagi ekologicznej, lecz także może przyczyniać się do spowolnienia odpływu wód, ograniczając tym samym proces odwodnienia użytków rolnych. Działania takie są szczególnie istotne z perspektywy ochrony klimatu – m.in. poprzez utrzymanie nawodnienia gleb torfowych, co przeciwdziała emisji dwutlenku węgla z procesów murszenia torfów.</w:t>
      </w:r>
    </w:p>
    <w:p w14:paraId="55AFB806" w14:textId="6C64D177" w:rsidR="007E7036" w:rsidRDefault="007E7036" w:rsidP="008D3F63">
      <w:r w:rsidRPr="006E2A5E">
        <w:t xml:space="preserve">Dyrektywa 2000/60/WE ustanawiająca ramy wspólnotowego działania w dziedzinie polityki wodnej </w:t>
      </w:r>
      <w:r>
        <w:t>–</w:t>
      </w:r>
      <w:r w:rsidRPr="006E2A5E">
        <w:t xml:space="preserve">tzw. </w:t>
      </w:r>
      <w:r>
        <w:t>r</w:t>
      </w:r>
      <w:r w:rsidRPr="006E2A5E">
        <w:t>amow</w:t>
      </w:r>
      <w:r>
        <w:t>a</w:t>
      </w:r>
      <w:r w:rsidRPr="006E2A5E">
        <w:t xml:space="preserve"> </w:t>
      </w:r>
      <w:r>
        <w:t>d</w:t>
      </w:r>
      <w:r w:rsidRPr="006E2A5E">
        <w:t>yrektyw</w:t>
      </w:r>
      <w:r>
        <w:t>a</w:t>
      </w:r>
      <w:r w:rsidRPr="006E2A5E">
        <w:t xml:space="preserve"> </w:t>
      </w:r>
      <w:r>
        <w:t>w</w:t>
      </w:r>
      <w:r w:rsidRPr="006E2A5E">
        <w:t>odn</w:t>
      </w:r>
      <w:r>
        <w:t>a</w:t>
      </w:r>
      <w:r w:rsidRPr="006E2A5E">
        <w:t xml:space="preserve"> (RDW) zobowiązała państwa członkowskie </w:t>
      </w:r>
      <w:r>
        <w:t>UE</w:t>
      </w:r>
      <w:r w:rsidRPr="006E2A5E">
        <w:t xml:space="preserve"> do </w:t>
      </w:r>
      <w:r w:rsidRPr="007E7036">
        <w:rPr>
          <w:b/>
          <w:bCs/>
        </w:rPr>
        <w:t>osiągnięcia dobrego stanu wszystkich wód</w:t>
      </w:r>
      <w:r w:rsidRPr="006E2A5E">
        <w:t xml:space="preserve">, chyba że </w:t>
      </w:r>
      <w:r w:rsidR="00867B59">
        <w:t>zastosowano</w:t>
      </w:r>
      <w:r w:rsidR="00867B59" w:rsidRPr="006E2A5E">
        <w:t xml:space="preserve"> </w:t>
      </w:r>
      <w:r w:rsidRPr="006E2A5E">
        <w:t>odstępstwa od celów środowiskowych w postaci przedłużenia terminu osiągnięcia celów (odstępstwo z tytułu art. 4 ust. 4. RDW) bądź ustalenia mniej rygorystycznych celów (odstępstwo z tytułu art. 4 ust. 5 RDW).</w:t>
      </w:r>
      <w:r w:rsidR="008D3F63">
        <w:rPr>
          <w:rFonts w:ascii="Segoe UI" w:eastAsia="Times New Roman" w:hAnsi="Segoe UI" w:cs="Segoe UI"/>
          <w:color w:val="424242"/>
          <w:kern w:val="0"/>
          <w:sz w:val="24"/>
          <w:szCs w:val="24"/>
          <w:shd w:val="clear" w:color="auto" w:fill="FAFAFA"/>
          <w:lang w:eastAsia="pl-PL"/>
          <w14:ligatures w14:val="none"/>
        </w:rPr>
        <w:t xml:space="preserve"> </w:t>
      </w:r>
      <w:r w:rsidR="008D3F63">
        <w:t>Dyr</w:t>
      </w:r>
      <w:r w:rsidR="008D3F63" w:rsidRPr="008D3F63">
        <w:t xml:space="preserve">ektywa podkreśla, że woda nie jest </w:t>
      </w:r>
      <w:r w:rsidR="008D3F63" w:rsidRPr="008D3F63">
        <w:lastRenderedPageBreak/>
        <w:t>produktem handlowym takim jak każdy inny, ale raczej dziedzictwem, które musi być chronione i</w:t>
      </w:r>
      <w:r w:rsidR="00C30495">
        <w:t> </w:t>
      </w:r>
      <w:bookmarkStart w:id="264" w:name="_Hlk195859572"/>
      <w:r w:rsidR="008D3F63" w:rsidRPr="008D3F63">
        <w:t>bronione</w:t>
      </w:r>
      <w:r w:rsidR="00A375A3">
        <w:t>.</w:t>
      </w:r>
      <w:r w:rsidR="008D3F63" w:rsidRPr="008D3F63">
        <w:t> Wdrażanie RDW w Polsce obejmuje przegląd i aktualizację planów gospodarowania wodami na obszarach dorzeczy, które są podstawą podejmowania decyzji dotyczących zarządzania zasobami wodnymi</w:t>
      </w:r>
      <w:r w:rsidR="008D3F63">
        <w:t xml:space="preserve">. </w:t>
      </w:r>
      <w:bookmarkEnd w:id="264"/>
    </w:p>
    <w:p w14:paraId="79244B1C" w14:textId="77777777" w:rsidR="00A4677E" w:rsidRDefault="00A4677E" w:rsidP="00901FEA">
      <w:pPr>
        <w:pStyle w:val="PaMs"/>
        <w:spacing w:before="0"/>
        <w:rPr>
          <w:rFonts w:ascii="Lato" w:hAnsi="Lato"/>
          <w:b w:val="0"/>
          <w:bCs w:val="0"/>
          <w:sz w:val="20"/>
          <w:szCs w:val="22"/>
        </w:rPr>
      </w:pPr>
      <w:r w:rsidRPr="00641FEC">
        <w:rPr>
          <w:rFonts w:ascii="Lato" w:hAnsi="Lato"/>
          <w:b w:val="0"/>
          <w:bCs w:val="0"/>
          <w:sz w:val="20"/>
          <w:szCs w:val="22"/>
        </w:rPr>
        <w:t>Za jakość wód pitnych odpowiada Dyrektywa (UE) 2020/2184. Zobowiązała ona państwa członkowskie UE do zapewnienia, że woda przeznaczona do spożycia przez ludzi jest wolna od mikroorganizmów, pasożytów oraz substancji szkodliwych dla zdrowia. W tym celu państwa członkowskie muszą oceniać straty wody przeznaczonej do spożycia przez ludzi, przekazywać wyniki tej oceny Komisji Europejskiej oraz opracowywać plany działania w celu ograniczenia tych strat. Ponadto, państwa członkowskie muszą podjąć środki w celu poprawy dostępu ludności do wody przeznaczonej do spożycia przez ludzi, szczególnie dla wrażliwych i zmarginalizowanych grup.</w:t>
      </w:r>
    </w:p>
    <w:p w14:paraId="2A58922F" w14:textId="2813E263" w:rsidR="00482662" w:rsidRPr="00482662" w:rsidRDefault="00482662" w:rsidP="00482662">
      <w:r w:rsidRPr="00482662">
        <w:t xml:space="preserve">Wody powierzchniowe, </w:t>
      </w:r>
      <w:r>
        <w:t xml:space="preserve">takie jak </w:t>
      </w:r>
      <w:r w:rsidRPr="00482662">
        <w:t>rzeki i jeziora, odgrywają kluczową rolę w ekosystemach, zapewniając siedliska dla różnorodnych gatunków roślin i zwierząt. Rzeki Odra i Wisła</w:t>
      </w:r>
      <w:r w:rsidR="00284308">
        <w:t xml:space="preserve"> – jako jedne</w:t>
      </w:r>
      <w:r w:rsidRPr="00482662">
        <w:t xml:space="preserve"> z największych </w:t>
      </w:r>
      <w:r w:rsidR="00284308">
        <w:t>cieków wodnych</w:t>
      </w:r>
      <w:r w:rsidRPr="00482662">
        <w:t xml:space="preserve"> w Polsce</w:t>
      </w:r>
      <w:r w:rsidR="00284308">
        <w:t xml:space="preserve"> – pełnią również istotne funkcje gospodarcze, będąc źródłem</w:t>
      </w:r>
      <w:r w:rsidRPr="00482662">
        <w:t xml:space="preserve"> wody dla przemysłu i rolnictwa</w:t>
      </w:r>
      <w:r w:rsidR="00284308">
        <w:t>, szlakiem transportowym oraz miejscem wykorzystywanym do celów rekreacyjnych.</w:t>
      </w:r>
      <w:r w:rsidRPr="00482662">
        <w:t xml:space="preserve"> Niestety, działalność przemysłowa, w tym kopalni, prowadzi do wzrostu zasolenia, co</w:t>
      </w:r>
      <w:r w:rsidR="00C30495">
        <w:t> </w:t>
      </w:r>
      <w:r w:rsidRPr="00482662">
        <w:t>negatywnie wpływa na zdrowie ekosystemów wodnych oraz jakość wody.</w:t>
      </w:r>
      <w:r w:rsidR="00014E08" w:rsidRPr="00014E08">
        <w:t xml:space="preserve"> </w:t>
      </w:r>
      <w:r w:rsidR="00014E08" w:rsidRPr="00482662">
        <w:t>Zrzuty wód kopalnianych sprzyjają rozwojowi inwazyjnych gatunków, takich jak złota alga (</w:t>
      </w:r>
      <w:r w:rsidR="00014E08" w:rsidRPr="008A7418">
        <w:rPr>
          <w:i/>
        </w:rPr>
        <w:t>Prymnesium parvum</w:t>
      </w:r>
      <w:r w:rsidR="00014E08" w:rsidRPr="00482662">
        <w:t>), która uwalnia toksyny szkodliwe dla ryb i innych organizmów wodnych. Jej zakwity mogą prowadzić do masowych śnięć ryb, co stanowi poważne zagrożenie dla bioróżnorodności i zdrowia ekosystemów.</w:t>
      </w:r>
    </w:p>
    <w:p w14:paraId="085AD9AA" w14:textId="7F47F855" w:rsidR="003E6660" w:rsidRPr="007E7036" w:rsidRDefault="007E7036" w:rsidP="003E6660">
      <w:pPr>
        <w:pStyle w:val="Cele"/>
        <w:rPr>
          <w:b/>
          <w:bCs/>
        </w:rPr>
      </w:pPr>
      <w:bookmarkStart w:id="265" w:name="_Hlk173506848"/>
      <w:r w:rsidRPr="007E7036">
        <w:t>Polska będzie konsekwentnie</w:t>
      </w:r>
      <w:r w:rsidRPr="007E7036">
        <w:rPr>
          <w:b/>
          <w:bCs/>
        </w:rPr>
        <w:t xml:space="preserve"> dążyć do poprawy stanu wód </w:t>
      </w:r>
      <w:r w:rsidRPr="007E7036">
        <w:t>w szczególności poprzez wdrażanie planów gospodarowania wodami oraz działania w obszarze gospodarki ściekami</w:t>
      </w:r>
      <w:r w:rsidRPr="007E7036">
        <w:rPr>
          <w:b/>
          <w:bCs/>
        </w:rPr>
        <w:t xml:space="preserve">. </w:t>
      </w:r>
    </w:p>
    <w:bookmarkEnd w:id="265"/>
    <w:p w14:paraId="205CF3D9" w14:textId="0D44771E" w:rsidR="003E6660" w:rsidRPr="002C6DC9" w:rsidRDefault="003E6660" w:rsidP="003E6660">
      <w:pPr>
        <w:pStyle w:val="PaMs"/>
      </w:pPr>
      <w:r w:rsidRPr="002C6DC9">
        <w:t>POLITYKA</w:t>
      </w:r>
    </w:p>
    <w:p w14:paraId="58BBF5B6" w14:textId="77777777" w:rsidR="00F715B1" w:rsidRDefault="003E6660" w:rsidP="007E7036">
      <w:r>
        <w:t xml:space="preserve">W </w:t>
      </w:r>
      <w:r w:rsidRPr="00D23A28">
        <w:t xml:space="preserve">celu poprawy </w:t>
      </w:r>
      <w:r w:rsidR="005614FF" w:rsidRPr="00D23A28">
        <w:t>stanu wód</w:t>
      </w:r>
      <w:r w:rsidRPr="00D23A28">
        <w:t>, konieczne</w:t>
      </w:r>
      <w:r w:rsidRPr="008607EB">
        <w:t xml:space="preserve"> jest skupienie się na identyfikacji, monitorowaniu i implementacji środków mających na celu ograniczenie i zapobieganie </w:t>
      </w:r>
      <w:r w:rsidR="007E7036" w:rsidRPr="008607EB">
        <w:t>zanieczyszczeniu wód</w:t>
      </w:r>
      <w:r w:rsidR="007E7036" w:rsidRPr="00C17938">
        <w:t xml:space="preserve"> oraz zwiększeniu odporności gospodarki wodnej na skutki zmian klimatu</w:t>
      </w:r>
      <w:r w:rsidR="007E7036" w:rsidRPr="008607EB">
        <w:t>, aby chronić środowisko naturalne oraz zapewnić dostęp do bezpiecznych zasobów wody dla obecnych i przyszłych pokoleń</w:t>
      </w:r>
      <w:r w:rsidR="007E7036" w:rsidRPr="00C17938">
        <w:t>, w tym zapewnić poprawę powszechnego dostępu do wody przeznaczonej do spożycia przez ludzi</w:t>
      </w:r>
      <w:r w:rsidR="007E7036" w:rsidRPr="008607EB">
        <w:t>.</w:t>
      </w:r>
      <w:r w:rsidR="007E7036" w:rsidRPr="002C6DC9">
        <w:t xml:space="preserve"> </w:t>
      </w:r>
    </w:p>
    <w:p w14:paraId="1C2ADBD4" w14:textId="0C4D74D8" w:rsidR="007E7036" w:rsidRDefault="00F715B1" w:rsidP="007E7036">
      <w:r w:rsidRPr="00F715B1">
        <w:t>Plany gospodarowania wodami na obszarach dorzeczy stanowią podstawę do podejmowania decyzji kształtujących stan zasobów wodnych i określają zasady gospodarowania nimi, w tym odnoszą się do zmian klimatu i uwzględniają sektor energetyki.</w:t>
      </w:r>
      <w:r>
        <w:t xml:space="preserve"> </w:t>
      </w:r>
      <w:r w:rsidR="007E7036">
        <w:t xml:space="preserve">Szczególne znaczenie w </w:t>
      </w:r>
      <w:r w:rsidR="0020609D">
        <w:t>obszarze poprawy stanu wód w</w:t>
      </w:r>
      <w:r>
        <w:t> </w:t>
      </w:r>
      <w:r w:rsidR="0020609D">
        <w:t xml:space="preserve">Polsce ma </w:t>
      </w:r>
      <w:r w:rsidR="007E7036">
        <w:t>realizacja zadań wynikających z</w:t>
      </w:r>
      <w:r w:rsidR="00014635">
        <w:t xml:space="preserve"> </w:t>
      </w:r>
      <w:r w:rsidR="00014635">
        <w:rPr>
          <w:b/>
          <w:bCs/>
        </w:rPr>
        <w:t>drugiej</w:t>
      </w:r>
      <w:r w:rsidR="0020609D" w:rsidRPr="0020609D">
        <w:rPr>
          <w:b/>
          <w:bCs/>
        </w:rPr>
        <w:t> </w:t>
      </w:r>
      <w:r w:rsidR="007E7036" w:rsidRPr="0020609D">
        <w:rPr>
          <w:b/>
          <w:bCs/>
        </w:rPr>
        <w:t>aktualizacji planów gospodarowania wodami na obszarach dorzeczy</w:t>
      </w:r>
      <w:r w:rsidR="0020609D">
        <w:rPr>
          <w:b/>
          <w:bCs/>
        </w:rPr>
        <w:t xml:space="preserve">. </w:t>
      </w:r>
      <w:r w:rsidR="0020609D" w:rsidRPr="0020609D">
        <w:t>W</w:t>
      </w:r>
      <w:r w:rsidR="0020609D">
        <w:rPr>
          <w:b/>
          <w:bCs/>
        </w:rPr>
        <w:t xml:space="preserve"> </w:t>
      </w:r>
      <w:r w:rsidR="007E7036">
        <w:t xml:space="preserve">ramach </w:t>
      </w:r>
      <w:r w:rsidR="0020609D">
        <w:t>tych</w:t>
      </w:r>
      <w:r w:rsidR="007E7036">
        <w:t xml:space="preserve"> aktualizacji, które opublikowano na przełomie 2022 i 2023 r. przewidziano do realizacji 24 690 działań </w:t>
      </w:r>
      <w:r w:rsidR="0020609D">
        <w:t>(</w:t>
      </w:r>
      <w:r w:rsidR="007E7036">
        <w:t>na kwotę prawie 26 mld PLN</w:t>
      </w:r>
      <w:r w:rsidR="0020609D">
        <w:t>)</w:t>
      </w:r>
      <w:r w:rsidR="007E7036">
        <w:t>.</w:t>
      </w:r>
    </w:p>
    <w:p w14:paraId="0A1BA4E4" w14:textId="05A3F671" w:rsidR="007E7036" w:rsidRDefault="0020609D" w:rsidP="007E7036">
      <w:r>
        <w:t xml:space="preserve">Drugim szczególnie istotnym komponentem jest </w:t>
      </w:r>
      <w:r w:rsidR="007E7036">
        <w:t xml:space="preserve">budowa, rozbudowa i modernizacja oczyszczalni ścieków na podstawie </w:t>
      </w:r>
      <w:r w:rsidR="007E7036" w:rsidRPr="0020609D">
        <w:rPr>
          <w:b/>
          <w:bCs/>
        </w:rPr>
        <w:t>zaktualizowanego</w:t>
      </w:r>
      <w:r w:rsidR="007E7036">
        <w:t xml:space="preserve"> </w:t>
      </w:r>
      <w:r w:rsidR="007E7036" w:rsidRPr="0020609D">
        <w:rPr>
          <w:b/>
          <w:bCs/>
          <w:i/>
          <w:iCs/>
        </w:rPr>
        <w:t>Krajowego Programu Oczyszczania Ścieków Komunalnych</w:t>
      </w:r>
      <w:r w:rsidR="007E7036">
        <w:t xml:space="preserve"> (AKPOŚK)</w:t>
      </w:r>
      <w:r w:rsidR="00014635">
        <w:t xml:space="preserve"> (</w:t>
      </w:r>
      <w:hyperlink r:id="rId68" w:history="1">
        <w:r w:rsidR="00014635" w:rsidRPr="00014635">
          <w:rPr>
            <w:rStyle w:val="Hipercze"/>
          </w:rPr>
          <w:t>link</w:t>
        </w:r>
      </w:hyperlink>
      <w:r w:rsidR="00014635">
        <w:t>)</w:t>
      </w:r>
      <w:r>
        <w:t>, który przewiduje</w:t>
      </w:r>
      <w:r w:rsidR="007E7036">
        <w:t xml:space="preserve"> realizacj</w:t>
      </w:r>
      <w:r>
        <w:t>ę</w:t>
      </w:r>
      <w:r w:rsidR="007E7036">
        <w:t xml:space="preserve"> ok. 1 000 inwestycji, w tym budow</w:t>
      </w:r>
      <w:r>
        <w:t>ę</w:t>
      </w:r>
      <w:r w:rsidR="007E7036">
        <w:t xml:space="preserve"> 60 nowych oczyszczalni ścieków.</w:t>
      </w:r>
    </w:p>
    <w:p w14:paraId="2E74FBE4" w14:textId="033BD668" w:rsidR="007E7036" w:rsidRDefault="009D3B1B" w:rsidP="007E7036">
      <w:pPr>
        <w:spacing w:after="80"/>
      </w:pPr>
      <w:r>
        <w:t>Jako priorytet określa się przeprowadzanie</w:t>
      </w:r>
      <w:r w:rsidR="007E7036">
        <w:t xml:space="preserve"> inwentaryzacj</w:t>
      </w:r>
      <w:r w:rsidR="00F715B1">
        <w:t>i</w:t>
      </w:r>
      <w:r w:rsidR="007E7036">
        <w:t xml:space="preserve">, krytyczny przegląd (ewentualna nowelizacja) </w:t>
      </w:r>
      <w:r w:rsidR="00F715B1">
        <w:t>oraz </w:t>
      </w:r>
      <w:r w:rsidR="007E7036">
        <w:t>właściw</w:t>
      </w:r>
      <w:r>
        <w:t>ą</w:t>
      </w:r>
      <w:r w:rsidR="007E7036">
        <w:t xml:space="preserve"> priorytetyzacj</w:t>
      </w:r>
      <w:r w:rsidR="007F24C7">
        <w:t>ę</w:t>
      </w:r>
      <w:r w:rsidR="007E7036">
        <w:t xml:space="preserve"> planów i programów, w tym działań inwestycyjnych i nieinwestycyjnych ze</w:t>
      </w:r>
      <w:r w:rsidR="00F715B1">
        <w:t> </w:t>
      </w:r>
      <w:r w:rsidR="007E7036">
        <w:t>szczególnym uwzględnieniem działań wynikających z:</w:t>
      </w:r>
    </w:p>
    <w:p w14:paraId="58F024D5" w14:textId="77777777" w:rsidR="007E7036" w:rsidRDefault="007E7036" w:rsidP="000625AC">
      <w:pPr>
        <w:pStyle w:val="Akapitzlist"/>
        <w:numPr>
          <w:ilvl w:val="1"/>
          <w:numId w:val="41"/>
        </w:numPr>
        <w:ind w:left="709"/>
      </w:pPr>
      <w:r>
        <w:t>planów gospodarowania wodami na obszarach dorzeczy,</w:t>
      </w:r>
    </w:p>
    <w:p w14:paraId="0FC1D267" w14:textId="77777777" w:rsidR="007E7036" w:rsidRDefault="007E7036" w:rsidP="000625AC">
      <w:pPr>
        <w:pStyle w:val="Akapitzlist"/>
        <w:numPr>
          <w:ilvl w:val="1"/>
          <w:numId w:val="41"/>
        </w:numPr>
        <w:ind w:left="709"/>
      </w:pPr>
      <w:r>
        <w:t>planów zarządzania ryzykiem powodziowym,</w:t>
      </w:r>
    </w:p>
    <w:p w14:paraId="19B176C9" w14:textId="77777777" w:rsidR="007E7036" w:rsidRDefault="007E7036" w:rsidP="000625AC">
      <w:pPr>
        <w:pStyle w:val="Akapitzlist"/>
        <w:numPr>
          <w:ilvl w:val="1"/>
          <w:numId w:val="41"/>
        </w:numPr>
        <w:ind w:left="709"/>
      </w:pPr>
      <w:r>
        <w:t>planu przeciwdziałania skutkom suszy,</w:t>
      </w:r>
    </w:p>
    <w:p w14:paraId="4826CDCB" w14:textId="77777777" w:rsidR="007E7036" w:rsidRDefault="007E7036" w:rsidP="000625AC">
      <w:pPr>
        <w:pStyle w:val="Akapitzlist"/>
        <w:numPr>
          <w:ilvl w:val="1"/>
          <w:numId w:val="41"/>
        </w:numPr>
        <w:ind w:left="709"/>
      </w:pPr>
      <w:r>
        <w:t>planów utrzymania wód,</w:t>
      </w:r>
    </w:p>
    <w:p w14:paraId="0184635F" w14:textId="35A56F57" w:rsidR="00236186" w:rsidRDefault="00236186" w:rsidP="000625AC">
      <w:pPr>
        <w:pStyle w:val="Akapitzlist"/>
        <w:numPr>
          <w:ilvl w:val="1"/>
          <w:numId w:val="41"/>
        </w:numPr>
        <w:ind w:left="709"/>
      </w:pPr>
      <w:r w:rsidRPr="00236186">
        <w:t>program</w:t>
      </w:r>
      <w:r w:rsidR="00D04F55">
        <w:t>u</w:t>
      </w:r>
      <w:r w:rsidRPr="00236186">
        <w:t xml:space="preserve"> ochrony wód morskich</w:t>
      </w:r>
      <w:r>
        <w:t>,</w:t>
      </w:r>
    </w:p>
    <w:p w14:paraId="13B1B73F" w14:textId="35C8E3D0" w:rsidR="007E7036" w:rsidRDefault="007E7036" w:rsidP="000625AC">
      <w:pPr>
        <w:pStyle w:val="Akapitzlist"/>
        <w:numPr>
          <w:ilvl w:val="1"/>
          <w:numId w:val="41"/>
        </w:numPr>
        <w:ind w:left="709"/>
      </w:pPr>
      <w:r>
        <w:lastRenderedPageBreak/>
        <w:t>krajowego programu renaturyzacji wód powierzchn</w:t>
      </w:r>
      <w:r w:rsidR="005E7EAD">
        <w:t>i</w:t>
      </w:r>
      <w:r>
        <w:t>owych</w:t>
      </w:r>
      <w:r w:rsidR="00666C5D">
        <w:t>,</w:t>
      </w:r>
    </w:p>
    <w:p w14:paraId="1207F056" w14:textId="6AF563E8" w:rsidR="004F4DB6" w:rsidRDefault="007E7036" w:rsidP="000625AC">
      <w:pPr>
        <w:pStyle w:val="Akapitzlist"/>
        <w:numPr>
          <w:ilvl w:val="1"/>
          <w:numId w:val="41"/>
        </w:numPr>
        <w:ind w:left="709"/>
      </w:pPr>
      <w:r>
        <w:t>krajowego programu żeglugowego do 2030</w:t>
      </w:r>
      <w:r w:rsidR="00E07C7E">
        <w:t xml:space="preserve"> r.</w:t>
      </w:r>
      <w:r w:rsidR="004F4DB6">
        <w:t>,</w:t>
      </w:r>
    </w:p>
    <w:p w14:paraId="6F0D655C" w14:textId="2BF03A2C" w:rsidR="007E7036" w:rsidRDefault="004F4DB6" w:rsidP="000625AC">
      <w:pPr>
        <w:pStyle w:val="Akapitzlist"/>
        <w:numPr>
          <w:ilvl w:val="1"/>
          <w:numId w:val="41"/>
        </w:numPr>
        <w:ind w:left="709"/>
      </w:pPr>
      <w:r>
        <w:t>p</w:t>
      </w:r>
      <w:r w:rsidRPr="00082A18">
        <w:t>rogram</w:t>
      </w:r>
      <w:r>
        <w:t>u</w:t>
      </w:r>
      <w:r w:rsidRPr="00082A18">
        <w:t xml:space="preserve"> </w:t>
      </w:r>
      <w:r>
        <w:t>p</w:t>
      </w:r>
      <w:r w:rsidRPr="00082A18">
        <w:t xml:space="preserve">rzeciwdziałania </w:t>
      </w:r>
      <w:r>
        <w:t>n</w:t>
      </w:r>
      <w:r w:rsidRPr="00082A18">
        <w:t xml:space="preserve">iedoborowi </w:t>
      </w:r>
      <w:r>
        <w:t>w</w:t>
      </w:r>
      <w:r w:rsidRPr="00082A18">
        <w:t>ody</w:t>
      </w:r>
      <w:r>
        <w:t>.</w:t>
      </w:r>
    </w:p>
    <w:p w14:paraId="46686832" w14:textId="1DE0AB29" w:rsidR="00E35AD9" w:rsidRDefault="00E35AD9" w:rsidP="006516E8">
      <w:r w:rsidRPr="00E35AD9">
        <w:t xml:space="preserve">W Polsce prowadzi się różne rodzaje monitoringu wód, zgodnie z wymogami Ramowej Dyrektywy Wodnej. Monitoring wód </w:t>
      </w:r>
      <w:r>
        <w:t>umożliwia</w:t>
      </w:r>
      <w:r w:rsidRPr="00E35AD9">
        <w:t xml:space="preserve"> pozyskanie informacji o stanie wód powierzchniowych i</w:t>
      </w:r>
      <w:r w:rsidR="00234ACE">
        <w:t> </w:t>
      </w:r>
      <w:r w:rsidRPr="00E35AD9">
        <w:t>podziemnych</w:t>
      </w:r>
      <w:r>
        <w:t xml:space="preserve"> </w:t>
      </w:r>
      <w:r w:rsidRPr="00E35AD9">
        <w:t xml:space="preserve">niezbędne do planowania gospodarowania wodami oraz oceny osiągania celów środowiskowych. Dodatkowo tworzony jest system stałego monitorowania wód powierzchniowych, który będzie wyposażony w system wczesnego reagowania na potencjalne kryzysy, awarie i katastrofy. </w:t>
      </w:r>
      <w:r w:rsidR="00AE5378">
        <w:t>Umożliwi on</w:t>
      </w:r>
      <w:r w:rsidRPr="00E35AD9">
        <w:t xml:space="preserve"> szybsze wykrywanie i reagowanie na zanieczyszczenia, w tym na wzrost zasolenia</w:t>
      </w:r>
      <w:r w:rsidR="007C6449">
        <w:t xml:space="preserve"> wody.</w:t>
      </w:r>
    </w:p>
    <w:p w14:paraId="637C74D9" w14:textId="3986B7C0" w:rsidR="006516E8" w:rsidRDefault="00B76D99" w:rsidP="006516E8">
      <w:r>
        <w:t xml:space="preserve">W </w:t>
      </w:r>
      <w:r w:rsidR="007845C2" w:rsidRPr="007845C2">
        <w:t>zakresie jakości wód</w:t>
      </w:r>
      <w:r w:rsidR="00FB7680">
        <w:t xml:space="preserve"> </w:t>
      </w:r>
      <w:r w:rsidR="00670712">
        <w:t>pitnych</w:t>
      </w:r>
      <w:r w:rsidR="007845C2" w:rsidRPr="007845C2">
        <w:t xml:space="preserve"> w Polsce</w:t>
      </w:r>
      <w:r>
        <w:t>, polityka</w:t>
      </w:r>
      <w:r w:rsidR="007845C2" w:rsidRPr="007845C2">
        <w:t xml:space="preserve"> będzie </w:t>
      </w:r>
      <w:r w:rsidR="00EE2B77" w:rsidRPr="00EE2B77">
        <w:t>koncentrować</w:t>
      </w:r>
      <w:r w:rsidR="007845C2" w:rsidRPr="007845C2">
        <w:t xml:space="preserve"> się na </w:t>
      </w:r>
      <w:r w:rsidR="00EE2B77" w:rsidRPr="00EE2B77">
        <w:t xml:space="preserve">zapewnieniu, że woda przeznaczona do spożycia przez ludzi jest bezpieczna i wolna od szkodliwych substancji. W ramach </w:t>
      </w:r>
      <w:r>
        <w:t>działań</w:t>
      </w:r>
      <w:r w:rsidR="00EE2B77">
        <w:t xml:space="preserve"> będziemy </w:t>
      </w:r>
      <w:r w:rsidR="00EE2B77" w:rsidRPr="00EE2B77">
        <w:t>dąży</w:t>
      </w:r>
      <w:r w:rsidR="00EE2B77">
        <w:t>ć</w:t>
      </w:r>
      <w:r w:rsidR="00EE2B77" w:rsidRPr="00EE2B77">
        <w:t xml:space="preserve"> do pełnego wdrożenia</w:t>
      </w:r>
      <w:r w:rsidR="007845C2" w:rsidRPr="007845C2">
        <w:t xml:space="preserve"> </w:t>
      </w:r>
      <w:r w:rsidR="00ED2F39">
        <w:t>d</w:t>
      </w:r>
      <w:r w:rsidR="00EE2B77" w:rsidRPr="00EE2B77">
        <w:t>yrektywy</w:t>
      </w:r>
      <w:r w:rsidR="007845C2" w:rsidRPr="007845C2">
        <w:t xml:space="preserve"> 2020/2184</w:t>
      </w:r>
      <w:r w:rsidR="00EE2B77" w:rsidRPr="00EE2B77">
        <w:t>, co obej</w:t>
      </w:r>
      <w:r w:rsidR="00D508EF">
        <w:t>mie</w:t>
      </w:r>
      <w:r w:rsidR="00EE2B77" w:rsidRPr="00EE2B77">
        <w:t xml:space="preserve"> przeprowadzenie oceny</w:t>
      </w:r>
      <w:r w:rsidR="007845C2" w:rsidRPr="007845C2">
        <w:t xml:space="preserve"> wielkości wycieków wody pitnej na terytorium kraju</w:t>
      </w:r>
      <w:r w:rsidR="00EE2B77" w:rsidRPr="00EE2B77">
        <w:t xml:space="preserve"> oraz</w:t>
      </w:r>
      <w:r w:rsidR="007845C2" w:rsidRPr="007845C2">
        <w:t xml:space="preserve"> określenie progu wycieków, którego przekroczenie będzie </w:t>
      </w:r>
      <w:r w:rsidR="00EE2B77" w:rsidRPr="00EE2B77">
        <w:t>wymagało</w:t>
      </w:r>
      <w:r w:rsidR="007845C2" w:rsidRPr="007845C2">
        <w:t xml:space="preserve"> opracowania krajowego planu działań mających na celu </w:t>
      </w:r>
      <w:r w:rsidR="00EE2B77" w:rsidRPr="00EE2B77">
        <w:t xml:space="preserve">ich </w:t>
      </w:r>
      <w:r w:rsidR="007845C2" w:rsidRPr="007845C2">
        <w:t>ograniczenie</w:t>
      </w:r>
      <w:r w:rsidR="00EE2B77" w:rsidRPr="00EE2B77">
        <w:t>.</w:t>
      </w:r>
      <w:r w:rsidR="00DB379B">
        <w:t xml:space="preserve"> </w:t>
      </w:r>
      <w:r w:rsidR="00A34410">
        <w:t>C</w:t>
      </w:r>
      <w:r w:rsidR="000623A7" w:rsidRPr="000623A7">
        <w:t>elem jest</w:t>
      </w:r>
      <w:r w:rsidR="00807974">
        <w:t xml:space="preserve"> również</w:t>
      </w:r>
      <w:r w:rsidR="00DB379B">
        <w:t xml:space="preserve"> </w:t>
      </w:r>
      <w:r w:rsidR="000623A7" w:rsidRPr="000623A7">
        <w:t>przeprowadzenie kompleksowej oceny</w:t>
      </w:r>
      <w:r w:rsidR="007845C2" w:rsidRPr="007845C2">
        <w:t xml:space="preserve"> ryzyka i zarządzani</w:t>
      </w:r>
      <w:r w:rsidR="00DB379B">
        <w:t>a</w:t>
      </w:r>
      <w:r w:rsidR="007845C2" w:rsidRPr="007845C2">
        <w:t xml:space="preserve"> ryzykiem w obszarach zasilania ujęcia wody przeznaczonej do spożycia przez ludzi oraz w systemie zaopatrzenia w wodę.</w:t>
      </w:r>
    </w:p>
    <w:p w14:paraId="5C484D3E" w14:textId="4F130A67" w:rsidR="00F01CCA" w:rsidRDefault="00A748B1" w:rsidP="00014635">
      <w:r>
        <w:t xml:space="preserve">Ważnym elementem jest również ochrona wód przed zanieczyszczeniami azotanowymi z rolnictwa. </w:t>
      </w:r>
      <w:r>
        <w:br/>
        <w:t xml:space="preserve">W tym obszarze kluczową rolę odgrywa realizacja działań </w:t>
      </w:r>
      <w:r w:rsidRPr="00014635">
        <w:rPr>
          <w:i/>
          <w:iCs/>
        </w:rPr>
        <w:t>Program</w:t>
      </w:r>
      <w:r>
        <w:rPr>
          <w:i/>
          <w:iCs/>
        </w:rPr>
        <w:t>u</w:t>
      </w:r>
      <w:r w:rsidRPr="00014635">
        <w:rPr>
          <w:i/>
          <w:iCs/>
        </w:rPr>
        <w:t xml:space="preserve"> działań mających na celu zmniejszenie zanieczyszczenia wód azotanami pochodzącymi ze źródeł rolniczych oraz zapobieganie dalszemu zanieczyszczeniu</w:t>
      </w:r>
      <w:r w:rsidRPr="00014635">
        <w:t>, tzw. program azotanowy</w:t>
      </w:r>
      <w:r w:rsidR="00F01CCA">
        <w:t>, przyjętego w drodze rozporządzenia (</w:t>
      </w:r>
      <w:hyperlink r:id="rId69" w:history="1">
        <w:r w:rsidR="009B5636" w:rsidRPr="009B5636">
          <w:rPr>
            <w:rStyle w:val="Hipercze"/>
          </w:rPr>
          <w:t>link</w:t>
        </w:r>
      </w:hyperlink>
      <w:r w:rsidR="00F01CCA">
        <w:t>)</w:t>
      </w:r>
      <w:r w:rsidR="00F01CCA" w:rsidRPr="008C777C">
        <w:t xml:space="preserve"> i przepisów ustawy o nawozach i nawożeniu, które regulują zasady stosowania nawozów azotowych. Dobre praktyki rolne w</w:t>
      </w:r>
      <w:r w:rsidR="00234ACE">
        <w:t> </w:t>
      </w:r>
      <w:r w:rsidR="00F01CCA" w:rsidRPr="008C777C">
        <w:t>zakresie nawożenia promowane są poprzez przygotowanie i</w:t>
      </w:r>
      <w:r w:rsidR="00F01CCA">
        <w:t> </w:t>
      </w:r>
      <w:r w:rsidR="00F01CCA" w:rsidRPr="008C777C">
        <w:t>upowszechnianie Kodeksu dobrej praktyki rolniczej. Ponadto, wsparcie praktyk wpływających m.in. na</w:t>
      </w:r>
      <w:r w:rsidR="00F01CCA">
        <w:t> </w:t>
      </w:r>
      <w:r w:rsidR="00F01CCA" w:rsidRPr="008C777C">
        <w:t xml:space="preserve">redukcje emisji zanieczyszczeń powietrza realizowane jest w ramach </w:t>
      </w:r>
      <w:r w:rsidR="00F01CCA" w:rsidRPr="00C77D17">
        <w:rPr>
          <w:i/>
        </w:rPr>
        <w:t>Planu Strategicznego WPR na lata 2023-2027</w:t>
      </w:r>
      <w:r w:rsidR="00F01CCA" w:rsidRPr="008C777C">
        <w:t>.</w:t>
      </w:r>
    </w:p>
    <w:p w14:paraId="3D056844" w14:textId="709E7783" w:rsidR="003E6660" w:rsidRPr="002C6DC9" w:rsidRDefault="00014635" w:rsidP="003E6660">
      <w:pPr>
        <w:pStyle w:val="PaMs"/>
      </w:pPr>
      <w:r>
        <w:t xml:space="preserve"> </w:t>
      </w:r>
      <w:r w:rsidR="003E6660" w:rsidRPr="002C6DC9">
        <w:t>DZIAŁANIA</w:t>
      </w:r>
    </w:p>
    <w:p w14:paraId="09AEB1DA" w14:textId="3B5C925F" w:rsidR="00DA500A" w:rsidRDefault="00DA500A" w:rsidP="003530A9">
      <w:pPr>
        <w:pStyle w:val="Akapitzlist"/>
        <w:numPr>
          <w:ilvl w:val="0"/>
          <w:numId w:val="3"/>
        </w:numPr>
        <w:rPr>
          <w:szCs w:val="20"/>
        </w:rPr>
      </w:pPr>
      <w:r>
        <w:rPr>
          <w:szCs w:val="20"/>
        </w:rPr>
        <w:fldChar w:fldCharType="begin"/>
      </w:r>
      <w:r>
        <w:rPr>
          <w:szCs w:val="20"/>
        </w:rPr>
        <w:instrText xml:space="preserve"> REF _Ref195887131 \h </w:instrText>
      </w:r>
      <w:r>
        <w:rPr>
          <w:szCs w:val="20"/>
        </w:rPr>
      </w:r>
      <w:r>
        <w:rPr>
          <w:szCs w:val="20"/>
        </w:rPr>
        <w:fldChar w:fldCharType="separate"/>
      </w:r>
      <w:r w:rsidR="00871DD5">
        <w:t xml:space="preserve">Działanie </w:t>
      </w:r>
      <w:r w:rsidR="00871DD5">
        <w:rPr>
          <w:noProof/>
        </w:rPr>
        <w:t>81</w:t>
      </w:r>
      <w:r w:rsidR="00871DD5">
        <w:t xml:space="preserve">. </w:t>
      </w:r>
      <w:r w:rsidR="00871DD5" w:rsidRPr="00F10E39">
        <w:t>Odtworzenie oraz zachowanie obszarów bagiennych, torfowisk i terenów podmokłych</w:t>
      </w:r>
      <w:r>
        <w:rPr>
          <w:szCs w:val="20"/>
        </w:rPr>
        <w:fldChar w:fldCharType="end"/>
      </w:r>
    </w:p>
    <w:p w14:paraId="02BD535A" w14:textId="34E7A352" w:rsidR="00DA500A" w:rsidRPr="00793DD7" w:rsidRDefault="00DA500A" w:rsidP="003530A9">
      <w:pPr>
        <w:pStyle w:val="Akapitzlist"/>
        <w:numPr>
          <w:ilvl w:val="0"/>
          <w:numId w:val="3"/>
        </w:numPr>
        <w:rPr>
          <w:szCs w:val="20"/>
        </w:rPr>
      </w:pPr>
      <w:r w:rsidRPr="00793DD7">
        <w:rPr>
          <w:szCs w:val="20"/>
        </w:rPr>
        <w:fldChar w:fldCharType="begin"/>
      </w:r>
      <w:r w:rsidRPr="00793DD7">
        <w:rPr>
          <w:szCs w:val="20"/>
        </w:rPr>
        <w:instrText xml:space="preserve"> REF _Ref195887141 \h </w:instrText>
      </w:r>
      <w:r w:rsidR="00793DD7">
        <w:rPr>
          <w:szCs w:val="20"/>
        </w:rPr>
        <w:instrText xml:space="preserve"> \* MERGEFORMAT </w:instrText>
      </w:r>
      <w:r w:rsidRPr="00793DD7">
        <w:rPr>
          <w:szCs w:val="20"/>
        </w:rPr>
      </w:r>
      <w:r w:rsidRPr="00793DD7">
        <w:rPr>
          <w:szCs w:val="20"/>
        </w:rPr>
        <w:fldChar w:fldCharType="separate"/>
      </w:r>
      <w:r w:rsidR="00871DD5">
        <w:t xml:space="preserve">Działanie </w:t>
      </w:r>
      <w:r w:rsidR="00871DD5">
        <w:rPr>
          <w:noProof/>
        </w:rPr>
        <w:t>82</w:t>
      </w:r>
      <w:r w:rsidR="00871DD5">
        <w:t xml:space="preserve">. </w:t>
      </w:r>
      <w:r w:rsidR="00871DD5" w:rsidRPr="00186118">
        <w:t>Rozwój małej retencji wodnej</w:t>
      </w:r>
      <w:r w:rsidRPr="00793DD7">
        <w:rPr>
          <w:szCs w:val="20"/>
        </w:rPr>
        <w:fldChar w:fldCharType="end"/>
      </w:r>
    </w:p>
    <w:p w14:paraId="5E3E8B74" w14:textId="1E613923" w:rsidR="00DA500A" w:rsidRPr="00793DD7" w:rsidRDefault="00DA500A" w:rsidP="003530A9">
      <w:pPr>
        <w:pStyle w:val="Akapitzlist"/>
        <w:numPr>
          <w:ilvl w:val="0"/>
          <w:numId w:val="3"/>
        </w:numPr>
        <w:rPr>
          <w:szCs w:val="20"/>
        </w:rPr>
      </w:pPr>
      <w:r w:rsidRPr="00793DD7">
        <w:rPr>
          <w:szCs w:val="20"/>
        </w:rPr>
        <w:fldChar w:fldCharType="begin"/>
      </w:r>
      <w:r w:rsidRPr="00793DD7">
        <w:rPr>
          <w:szCs w:val="20"/>
        </w:rPr>
        <w:instrText xml:space="preserve"> REF _Ref195887242 \h </w:instrText>
      </w:r>
      <w:r w:rsidR="00793DD7">
        <w:rPr>
          <w:szCs w:val="20"/>
        </w:rPr>
        <w:instrText xml:space="preserve"> \* MERGEFORMAT </w:instrText>
      </w:r>
      <w:r w:rsidRPr="00793DD7">
        <w:rPr>
          <w:szCs w:val="20"/>
        </w:rPr>
      </w:r>
      <w:r w:rsidRPr="00793DD7">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86</w:t>
      </w:r>
      <w:r w:rsidR="00871DD5" w:rsidRPr="00871DD5">
        <w:rPr>
          <w:rStyle w:val="Nagwek6Znak"/>
          <w:rFonts w:ascii="Lato" w:hAnsi="Lato"/>
          <w:b w:val="0"/>
          <w:bCs/>
        </w:rPr>
        <w:t xml:space="preserve">. </w:t>
      </w:r>
      <w:r w:rsidR="00871DD5" w:rsidRPr="00871DD5">
        <w:rPr>
          <w:lang w:eastAsia="pl-PL"/>
        </w:rPr>
        <w:t xml:space="preserve">Opracowanie i wdrażanie </w:t>
      </w:r>
      <w:r w:rsidR="00871DD5">
        <w:rPr>
          <w:lang w:eastAsia="pl-PL"/>
        </w:rPr>
        <w:t xml:space="preserve">Krajowego Planu Odbudowy Zasobów Przyrodniczych </w:t>
      </w:r>
      <w:r w:rsidRPr="00793DD7">
        <w:rPr>
          <w:szCs w:val="20"/>
        </w:rPr>
        <w:fldChar w:fldCharType="end"/>
      </w:r>
    </w:p>
    <w:p w14:paraId="6A57EA3B" w14:textId="54D41D43" w:rsidR="00DA500A" w:rsidRPr="00793DD7" w:rsidRDefault="00DA500A" w:rsidP="003530A9">
      <w:pPr>
        <w:pStyle w:val="Akapitzlist"/>
        <w:numPr>
          <w:ilvl w:val="0"/>
          <w:numId w:val="3"/>
        </w:numPr>
        <w:rPr>
          <w:szCs w:val="20"/>
        </w:rPr>
      </w:pPr>
      <w:r w:rsidRPr="00793DD7">
        <w:rPr>
          <w:szCs w:val="20"/>
        </w:rPr>
        <w:fldChar w:fldCharType="begin"/>
      </w:r>
      <w:r w:rsidRPr="00793DD7">
        <w:rPr>
          <w:szCs w:val="20"/>
        </w:rPr>
        <w:instrText xml:space="preserve"> REF _Ref195887255 \h </w:instrText>
      </w:r>
      <w:r w:rsidR="00793DD7">
        <w:rPr>
          <w:szCs w:val="20"/>
        </w:rPr>
        <w:instrText xml:space="preserve"> \* MERGEFORMAT </w:instrText>
      </w:r>
      <w:r w:rsidRPr="00793DD7">
        <w:rPr>
          <w:szCs w:val="20"/>
        </w:rPr>
      </w:r>
      <w:r w:rsidRPr="00793DD7">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87</w:t>
      </w:r>
      <w:r w:rsidR="00871DD5" w:rsidRPr="00871DD5">
        <w:rPr>
          <w:rStyle w:val="Nagwek6Znak"/>
          <w:rFonts w:ascii="Lato" w:hAnsi="Lato"/>
          <w:b w:val="0"/>
          <w:bCs/>
        </w:rPr>
        <w:t xml:space="preserve">. </w:t>
      </w:r>
      <w:r w:rsidR="00871DD5" w:rsidRPr="00C602E0">
        <w:rPr>
          <w:lang w:eastAsia="pl-PL"/>
        </w:rPr>
        <w:t>Doprowadzenie jakości wód do stanu dobrego i bardzo dobrego, zgodnie z</w:t>
      </w:r>
      <w:r w:rsidR="00871DD5">
        <w:rPr>
          <w:lang w:eastAsia="pl-PL"/>
        </w:rPr>
        <w:t> </w:t>
      </w:r>
      <w:r w:rsidR="00871DD5" w:rsidRPr="00C602E0">
        <w:rPr>
          <w:lang w:eastAsia="pl-PL"/>
        </w:rPr>
        <w:t>Ramową Dyrektywą Wodną</w:t>
      </w:r>
      <w:r w:rsidRPr="00793DD7">
        <w:rPr>
          <w:szCs w:val="20"/>
        </w:rPr>
        <w:fldChar w:fldCharType="end"/>
      </w:r>
    </w:p>
    <w:p w14:paraId="7A8FF27A" w14:textId="07F94270" w:rsidR="00DA500A" w:rsidRPr="00793DD7" w:rsidRDefault="00DA500A" w:rsidP="003530A9">
      <w:pPr>
        <w:pStyle w:val="Akapitzlist"/>
        <w:numPr>
          <w:ilvl w:val="0"/>
          <w:numId w:val="3"/>
        </w:numPr>
        <w:rPr>
          <w:szCs w:val="20"/>
        </w:rPr>
      </w:pPr>
      <w:r w:rsidRPr="00793DD7">
        <w:rPr>
          <w:szCs w:val="20"/>
        </w:rPr>
        <w:fldChar w:fldCharType="begin"/>
      </w:r>
      <w:r w:rsidRPr="00793DD7">
        <w:rPr>
          <w:szCs w:val="20"/>
        </w:rPr>
        <w:instrText xml:space="preserve"> REF _Ref195887260 \h </w:instrText>
      </w:r>
      <w:r w:rsidR="00793DD7">
        <w:rPr>
          <w:szCs w:val="20"/>
        </w:rPr>
        <w:instrText xml:space="preserve"> \* MERGEFORMAT </w:instrText>
      </w:r>
      <w:r w:rsidRPr="00793DD7">
        <w:rPr>
          <w:szCs w:val="20"/>
        </w:rPr>
      </w:r>
      <w:r w:rsidRPr="00793DD7">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88</w:t>
      </w:r>
      <w:r w:rsidR="00871DD5" w:rsidRPr="00871DD5">
        <w:rPr>
          <w:rStyle w:val="Nagwek6Znak"/>
          <w:rFonts w:ascii="Lato" w:hAnsi="Lato"/>
          <w:b w:val="0"/>
          <w:bCs/>
        </w:rPr>
        <w:t xml:space="preserve">. </w:t>
      </w:r>
      <w:r w:rsidR="00871DD5" w:rsidRPr="00871DD5">
        <w:rPr>
          <w:rFonts w:eastAsia="Times New Roman" w:cs="Times New Roman"/>
          <w:color w:val="000000"/>
          <w:kern w:val="0"/>
          <w:lang w:eastAsia="pl-PL"/>
          <w14:ligatures w14:val="none"/>
        </w:rPr>
        <w:t>Zapewnienie dostępu do czystej wody pitnej</w:t>
      </w:r>
      <w:r w:rsidRPr="00793DD7">
        <w:rPr>
          <w:szCs w:val="20"/>
        </w:rPr>
        <w:fldChar w:fldCharType="end"/>
      </w:r>
    </w:p>
    <w:p w14:paraId="4E6CAABC" w14:textId="336A4B8F" w:rsidR="00B01DAB" w:rsidRPr="0001104D" w:rsidRDefault="00B01DAB" w:rsidP="003530A9">
      <w:pPr>
        <w:pStyle w:val="Akapitzlist"/>
        <w:numPr>
          <w:ilvl w:val="0"/>
          <w:numId w:val="3"/>
        </w:numPr>
        <w:rPr>
          <w:szCs w:val="20"/>
        </w:rPr>
      </w:pPr>
      <w:r w:rsidRPr="0001104D">
        <w:rPr>
          <w:szCs w:val="20"/>
        </w:rPr>
        <w:fldChar w:fldCharType="begin"/>
      </w:r>
      <w:r w:rsidRPr="0001104D">
        <w:rPr>
          <w:szCs w:val="20"/>
        </w:rPr>
        <w:instrText xml:space="preserve"> REF _Ref195887385 \h </w:instrText>
      </w:r>
      <w:r w:rsidR="0001104D">
        <w:rPr>
          <w:szCs w:val="20"/>
        </w:rPr>
        <w:instrText xml:space="preserve"> \* MERGEFORMAT </w:instrText>
      </w:r>
      <w:r w:rsidRPr="0001104D">
        <w:rPr>
          <w:szCs w:val="20"/>
        </w:rPr>
      </w:r>
      <w:r w:rsidRPr="0001104D">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90</w:t>
      </w:r>
      <w:r w:rsidR="00871DD5" w:rsidRPr="00871DD5">
        <w:rPr>
          <w:rStyle w:val="Nagwek6Znak"/>
          <w:rFonts w:ascii="Lato" w:hAnsi="Lato"/>
          <w:b w:val="0"/>
          <w:bCs/>
        </w:rPr>
        <w:t xml:space="preserve">. </w:t>
      </w:r>
      <w:r w:rsidR="00871DD5" w:rsidRPr="00AA38CA">
        <w:rPr>
          <w:color w:val="000000"/>
          <w:lang w:eastAsia="pl-PL"/>
        </w:rPr>
        <w:t>Wsparcie rozwoju gospodarki wodno-ściekowej</w:t>
      </w:r>
      <w:r w:rsidRPr="0001104D">
        <w:rPr>
          <w:szCs w:val="20"/>
        </w:rPr>
        <w:fldChar w:fldCharType="end"/>
      </w:r>
    </w:p>
    <w:p w14:paraId="50FC2446" w14:textId="6539EDF6" w:rsidR="0001104D" w:rsidRPr="0001104D" w:rsidRDefault="0001104D" w:rsidP="003530A9">
      <w:pPr>
        <w:pStyle w:val="Akapitzlist"/>
        <w:numPr>
          <w:ilvl w:val="0"/>
          <w:numId w:val="3"/>
        </w:numPr>
        <w:rPr>
          <w:szCs w:val="20"/>
        </w:rPr>
      </w:pPr>
      <w:r w:rsidRPr="0001104D">
        <w:rPr>
          <w:szCs w:val="20"/>
        </w:rPr>
        <w:fldChar w:fldCharType="begin"/>
      </w:r>
      <w:r w:rsidRPr="0001104D">
        <w:rPr>
          <w:szCs w:val="20"/>
        </w:rPr>
        <w:instrText xml:space="preserve"> REF _Ref195887573 \h </w:instrText>
      </w:r>
      <w:r>
        <w:rPr>
          <w:szCs w:val="20"/>
        </w:rPr>
        <w:instrText xml:space="preserve"> \* MERGEFORMAT </w:instrText>
      </w:r>
      <w:r w:rsidRPr="0001104D">
        <w:rPr>
          <w:szCs w:val="20"/>
        </w:rPr>
      </w:r>
      <w:r w:rsidRPr="0001104D">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98</w:t>
      </w:r>
      <w:r w:rsidR="00871DD5" w:rsidRPr="00871DD5">
        <w:rPr>
          <w:rStyle w:val="Nagwek6Znak"/>
          <w:rFonts w:ascii="Lato" w:hAnsi="Lato"/>
          <w:b w:val="0"/>
          <w:bCs/>
        </w:rPr>
        <w:t>.</w:t>
      </w:r>
      <w:r w:rsidR="00871DD5" w:rsidRPr="00AA38CA">
        <w:rPr>
          <w:lang w:eastAsia="pl-PL"/>
        </w:rPr>
        <w:t xml:space="preserve"> </w:t>
      </w:r>
      <w:r w:rsidR="00871DD5" w:rsidRPr="004D6F82">
        <w:rPr>
          <w:lang w:eastAsia="pl-PL"/>
        </w:rPr>
        <w:t>Instrument finansowy – Programy NFOŚiGW wspierające adaptację do zmian klimatu</w:t>
      </w:r>
      <w:r w:rsidRPr="0001104D">
        <w:rPr>
          <w:szCs w:val="20"/>
        </w:rPr>
        <w:fldChar w:fldCharType="end"/>
      </w:r>
    </w:p>
    <w:p w14:paraId="070BE60B" w14:textId="7F37D177" w:rsidR="00935FD3" w:rsidRDefault="00935FD3" w:rsidP="00935FD3">
      <w:pPr>
        <w:pStyle w:val="Nagwek4"/>
        <w:rPr>
          <w:color w:val="70AD47" w:themeColor="accent6"/>
        </w:rPr>
      </w:pPr>
      <w:bookmarkStart w:id="266" w:name="_Toc195897249"/>
      <w:bookmarkStart w:id="267" w:name="_Toc195899494"/>
      <w:bookmarkStart w:id="268" w:name="_Toc195897250"/>
      <w:bookmarkStart w:id="269" w:name="_Toc195899495"/>
      <w:bookmarkStart w:id="270" w:name="_Toc195897251"/>
      <w:bookmarkStart w:id="271" w:name="_Toc195899496"/>
      <w:bookmarkStart w:id="272" w:name="_Toc195897252"/>
      <w:bookmarkStart w:id="273" w:name="_Toc195899497"/>
      <w:bookmarkStart w:id="274" w:name="_Toc195897253"/>
      <w:bookmarkStart w:id="275" w:name="_Toc195899498"/>
      <w:bookmarkStart w:id="276" w:name="_Toc195897254"/>
      <w:bookmarkStart w:id="277" w:name="_Toc195899499"/>
      <w:bookmarkStart w:id="278" w:name="_Toc195897255"/>
      <w:bookmarkStart w:id="279" w:name="_Toc195899500"/>
      <w:bookmarkStart w:id="280" w:name="_Toc195897256"/>
      <w:bookmarkStart w:id="281" w:name="_Toc195899501"/>
      <w:bookmarkStart w:id="282" w:name="_Toc195897257"/>
      <w:bookmarkStart w:id="283" w:name="_Toc195899502"/>
      <w:bookmarkStart w:id="284" w:name="_Toc195897258"/>
      <w:bookmarkStart w:id="285" w:name="_Toc205203171"/>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935FD3">
        <w:rPr>
          <w:color w:val="70AD47" w:themeColor="accent6"/>
        </w:rPr>
        <w:t>Cel w zakresie stanu gleb</w:t>
      </w:r>
      <w:bookmarkEnd w:id="284"/>
      <w:bookmarkEnd w:id="285"/>
    </w:p>
    <w:p w14:paraId="62A7A7DA" w14:textId="2689A3FE" w:rsidR="007051E8" w:rsidRPr="00951ECB" w:rsidRDefault="007051E8" w:rsidP="007051E8">
      <w:r w:rsidRPr="00951ECB">
        <w:rPr>
          <w:noProof/>
          <w:lang w:eastAsia="pl-PL"/>
        </w:rPr>
        <mc:AlternateContent>
          <mc:Choice Requires="wps">
            <w:drawing>
              <wp:anchor distT="0" distB="0" distL="114300" distR="114300" simplePos="0" relativeHeight="251539968" behindDoc="1" locked="0" layoutInCell="1" allowOverlap="1" wp14:anchorId="1AA668BA" wp14:editId="61DAF8DE">
                <wp:simplePos x="0" y="0"/>
                <wp:positionH relativeFrom="margin">
                  <wp:posOffset>3091180</wp:posOffset>
                </wp:positionH>
                <wp:positionV relativeFrom="paragraph">
                  <wp:posOffset>66040</wp:posOffset>
                </wp:positionV>
                <wp:extent cx="2700020" cy="1296035"/>
                <wp:effectExtent l="19050" t="57150" r="119380" b="75565"/>
                <wp:wrapSquare wrapText="bothSides"/>
                <wp:docPr id="903955286" name="Prostokąt: zaokrąglone rogi 1"/>
                <wp:cNvGraphicFramePr/>
                <a:graphic xmlns:a="http://schemas.openxmlformats.org/drawingml/2006/main">
                  <a:graphicData uri="http://schemas.microsoft.com/office/word/2010/wordprocessingShape">
                    <wps:wsp>
                      <wps:cNvSpPr/>
                      <wps:spPr>
                        <a:xfrm>
                          <a:off x="0" y="0"/>
                          <a:ext cx="2700020" cy="1296035"/>
                        </a:xfrm>
                        <a:prstGeom prst="roundRect">
                          <a:avLst>
                            <a:gd name="adj" fmla="val 11857"/>
                          </a:avLst>
                        </a:prstGeom>
                        <a:solidFill>
                          <a:schemeClr val="bg1"/>
                        </a:solidFill>
                        <a:ln w="9525">
                          <a:solidFill>
                            <a:schemeClr val="accent6"/>
                          </a:solidFill>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6258472" w14:textId="1F480C93" w:rsidR="00C36C5C" w:rsidRPr="004E21CF" w:rsidRDefault="00C36C5C" w:rsidP="007051E8">
                            <w:pPr>
                              <w:pStyle w:val="Ramka"/>
                            </w:pPr>
                            <w:r w:rsidRPr="001378FB">
                              <w:t xml:space="preserve">Do sektorów gospodarki mających wpływ na </w:t>
                            </w:r>
                            <w:r>
                              <w:t>stan</w:t>
                            </w:r>
                            <w:r w:rsidRPr="001378FB">
                              <w:t xml:space="preserve"> gleb</w:t>
                            </w:r>
                            <w:r>
                              <w:t xml:space="preserve"> i ich degradację</w:t>
                            </w:r>
                            <w:r w:rsidRPr="001378FB">
                              <w:t xml:space="preserve"> zalicza się</w:t>
                            </w:r>
                            <w:r>
                              <w:t xml:space="preserve"> </w:t>
                            </w:r>
                            <w:r w:rsidRPr="001378FB">
                              <w:t xml:space="preserve">głównie gospodarkę odpadami, przemysł, transport, energetykę, górnictwo oraz rolnictwo. </w:t>
                            </w:r>
                            <w:r>
                              <w:t>Istotne znaczenie ma także budownictwo, w tym zajmowanie nowych gruntów i ich pokrywanie trwałym, nieprzepuszczalnym materiałem.</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A668BA" id="Prostokąt: zaokrąglone rogi 1" o:spid="_x0000_s1099" style="position:absolute;left:0;text-align:left;margin-left:243.4pt;margin-top:5.2pt;width:212.6pt;height:102.0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" fillcolor="white [3212]" strokecolor="#70ad47 [3209]">
                <v:stroke joinstyle="miter"/>
                <v:shadow on="t" color="black" opacity="26214f" origin="-.5" offset="3pt,0"/>
                <v:textbox inset="2mm,2.5mm,2mm,0">
                  <w:txbxContent>
                    <w:p w14:paraId="06258472" w14:textId="1F480C93" w:rsidR="00C36C5C" w:rsidRPr="004E21CF" w:rsidRDefault="00C36C5C" w:rsidP="007051E8">
                      <w:pPr>
                        <w:pStyle w:val="Ramka"/>
                      </w:pPr>
                      <w:r w:rsidRPr="001378FB">
                        <w:t xml:space="preserve">Do sektorów gospodarki mających wpływ na </w:t>
                      </w:r>
                      <w:r>
                        <w:t>stan</w:t>
                      </w:r>
                      <w:r w:rsidRPr="001378FB">
                        <w:t xml:space="preserve"> gleb</w:t>
                      </w:r>
                      <w:r>
                        <w:t xml:space="preserve"> i ich degradację</w:t>
                      </w:r>
                      <w:r w:rsidRPr="001378FB">
                        <w:t xml:space="preserve"> zalicza się</w:t>
                      </w:r>
                      <w:r>
                        <w:t xml:space="preserve"> </w:t>
                      </w:r>
                      <w:r w:rsidRPr="001378FB">
                        <w:t xml:space="preserve">głównie gospodarkę odpadami, przemysł, transport, energetykę, górnictwo oraz rolnictwo. </w:t>
                      </w:r>
                      <w:r>
                        <w:t>Istotne znaczenie ma także budownictwo, w tym zajmowanie nowych gruntów i ich pokrywanie trwałym, nieprzepuszczalnym materiałem.</w:t>
                      </w:r>
                    </w:p>
                  </w:txbxContent>
                </v:textbox>
                <w10:wrap type="square" anchorx="margin"/>
              </v:roundrect>
            </w:pict>
          </mc:Fallback>
        </mc:AlternateContent>
      </w:r>
      <w:r w:rsidRPr="00951ECB">
        <w:t>Gleba stanowi podstawowy, ograniczony i nieodnawialny zasób naturalny. Jest jednym z głównych elementów środowiska przyrodniczego i siedliskiem ogromnej ilości organizmów żywych. Gleba pełni liczne funkcje środowiskowe, gospodarcze, społeczne i</w:t>
      </w:r>
      <w:r w:rsidR="00843F12">
        <w:t xml:space="preserve"> </w:t>
      </w:r>
      <w:r w:rsidRPr="00951ECB">
        <w:t>kulturowe. Niezwykle istotna jest funkcja produkcyjna w</w:t>
      </w:r>
      <w:r w:rsidR="00843F12">
        <w:t xml:space="preserve"> </w:t>
      </w:r>
      <w:r w:rsidRPr="00951ECB">
        <w:t xml:space="preserve">rolnictwie, zapewniająca nam dostarczanie żywności, biomasy i surowców. </w:t>
      </w:r>
    </w:p>
    <w:p w14:paraId="13C20A41" w14:textId="4FD2DBF5" w:rsidR="00B04D4C" w:rsidRDefault="007051E8" w:rsidP="007051E8">
      <w:r w:rsidRPr="00951ECB">
        <w:lastRenderedPageBreak/>
        <w:t xml:space="preserve">Do procesów degradacji gleb należą zjawiska m.in. takie jak zanieczyszczenie, erozja, spadek zawartości materii organicznej, zagęszczanie, zasolenie, zakwaszenie, zasklepienie. </w:t>
      </w:r>
      <w:r w:rsidR="00FC056B" w:rsidRPr="00FC056B">
        <w:t>Zmiany klimatyczne mają znaczący wpływ na gleby, co może prowadzić do ich degradacji i zmniejszenia żyzności. Zmiany w</w:t>
      </w:r>
      <w:r w:rsidR="00D62653">
        <w:t> </w:t>
      </w:r>
      <w:r w:rsidR="00FC056B" w:rsidRPr="00FC056B">
        <w:t>rozkładzie opadów mogą prowadzić do długotrwałych susz lub intensywnych opadów deszczu. Susze</w:t>
      </w:r>
      <w:r w:rsidR="00D62653">
        <w:t> </w:t>
      </w:r>
      <w:r w:rsidR="00FC056B" w:rsidRPr="00FC056B">
        <w:t>zmniejszają wilgotność gleby, co utrudnia wzrost roślin i prowadzi do erozji wietrznej, podczas gdy intensywne opady mogą powodować erozję wodną, zmywając warstwę próchniczną gleby. Wyższe</w:t>
      </w:r>
      <w:r w:rsidR="00D62653">
        <w:t> </w:t>
      </w:r>
      <w:r w:rsidR="00FC056B" w:rsidRPr="00FC056B">
        <w:t xml:space="preserve">temperatury przyspieszają procesy rozkładu materii organicznej w glebie, co </w:t>
      </w:r>
      <w:r w:rsidR="00430228">
        <w:t>prowadzi</w:t>
      </w:r>
      <w:r w:rsidR="00FC056B" w:rsidRPr="00FC056B">
        <w:t xml:space="preserve"> do zmniejszenia zawartości składników odżywczych, a także zwiększ</w:t>
      </w:r>
      <w:r w:rsidR="00430228">
        <w:t>a</w:t>
      </w:r>
      <w:r w:rsidR="00FC056B" w:rsidRPr="00FC056B">
        <w:t xml:space="preserve"> parowanie wody z gleby, co prowadzi do jej wysuszenia. Zmiany klimatyczne zwiększają również częstotliwość ekstremalnych zjawisk pogodowych, takich jak burze, powodzie i huragany, które </w:t>
      </w:r>
      <w:r w:rsidR="001F58B1">
        <w:t>prowadzą</w:t>
      </w:r>
      <w:r w:rsidR="00FC056B" w:rsidRPr="00FC056B">
        <w:t xml:space="preserve"> do mechanicznego uszkodzenia gleby, zniszczenia jej struktury oraz utraty warstwy próchniczej.</w:t>
      </w:r>
    </w:p>
    <w:p w14:paraId="5DB037F5" w14:textId="394D233D" w:rsidR="003205C5" w:rsidRDefault="007051E8" w:rsidP="007051E8">
      <w:r w:rsidRPr="00951ECB">
        <w:t>Odwrócenie procesu degradacji gleb wpływa korzystnie na realizację celów związanych z osiągnięciem neutralności klimatycznej i</w:t>
      </w:r>
      <w:r w:rsidR="00FC056B" w:rsidRPr="00FC056B">
        <w:t xml:space="preserve"> </w:t>
      </w:r>
      <w:r w:rsidRPr="00951ECB">
        <w:t>adaptacją do zmian klimatu, w tym ekstremalnych zdarzeń pogodowych,</w:t>
      </w:r>
      <w:r w:rsidR="002E2988">
        <w:t xml:space="preserve"> tj.</w:t>
      </w:r>
      <w:r w:rsidR="00D62653">
        <w:t> </w:t>
      </w:r>
      <w:r w:rsidRPr="00951ECB">
        <w:t>suszy i</w:t>
      </w:r>
      <w:r w:rsidR="00843F12">
        <w:t xml:space="preserve"> </w:t>
      </w:r>
      <w:r w:rsidRPr="00951ECB">
        <w:t xml:space="preserve">powodzi, </w:t>
      </w:r>
      <w:r w:rsidR="00FF37AB" w:rsidRPr="00951ECB">
        <w:t>z</w:t>
      </w:r>
      <w:r w:rsidR="00FF37AB">
        <w:t>większaniem</w:t>
      </w:r>
      <w:r w:rsidRPr="00951ECB">
        <w:t xml:space="preserve"> retencji wody, rozwojem czystej gospodarki o obiegu zamkniętym, odwróceniem procesu utraty różnorodności biologicznej, ochronę zdrowia i dobrostan ludzi. </w:t>
      </w:r>
      <w:r w:rsidR="00FC056B" w:rsidRPr="00FC056B">
        <w:t>Stan gleb można uznać za dobry wtedy, gdy żadna z pełnionych przez nie funkcji nie jest znacząco naruszona</w:t>
      </w:r>
      <w:r w:rsidR="003205C5">
        <w:t xml:space="preserve">. </w:t>
      </w:r>
    </w:p>
    <w:p w14:paraId="22A5DC92" w14:textId="52D60F58" w:rsidR="00344F4C" w:rsidRDefault="00344F4C" w:rsidP="007051E8">
      <w:r w:rsidRPr="00344F4C">
        <w:t>Aby chronić gleby przed degradacją i zachować ich funkcje, stosuje się różne metody ochrony. Regularna zmiana upraw na polach, czyli płodozmian, pomaga w utrzymaniu żyzności gleby i zapobiega wyczerpywaniu się składników odżywczych, a także zmniejsza ryzyko erozji gleby. Stosowanie nawozów organicznych, takich jak kompost czy obornik, pomaga w utrzymaniu zawartości materii organicznej w</w:t>
      </w:r>
      <w:r w:rsidR="004E64CD">
        <w:t> </w:t>
      </w:r>
      <w:r w:rsidRPr="00344F4C">
        <w:t>glebie, co poprawia jej strukturę i zdolność do zatrzymywania wody. Zastosowanie odpowiednich technik uprawy, takich jak minimalna uprawa gleby (</w:t>
      </w:r>
      <w:r w:rsidR="004E64CD">
        <w:t xml:space="preserve">ang. </w:t>
      </w:r>
      <w:r w:rsidRPr="004E64CD">
        <w:rPr>
          <w:i/>
        </w:rPr>
        <w:t>no-till farming</w:t>
      </w:r>
      <w:r w:rsidRPr="00344F4C">
        <w:t>), pomaga w ochronie struktury gleby i zmniejsza ryzyko erozji. Sadzenie drzew i krzewów na terenach narażonych na erozję pomaga w</w:t>
      </w:r>
      <w:r w:rsidR="004E64CD">
        <w:t> </w:t>
      </w:r>
      <w:r w:rsidRPr="00344F4C">
        <w:t>stabilizacji gleby i zapobiega jej zmywaniu przez wodę. Przywracanie funkcji zdegradowanym glebom poprzez rekultywację, np. poprzez wprowadzanie roślinności, która poprawia strukturę gleby i zwiększa jej żyzność</w:t>
      </w:r>
      <w:r>
        <w:t>.</w:t>
      </w:r>
    </w:p>
    <w:p w14:paraId="13DA9D12" w14:textId="77777777" w:rsidR="007051E8" w:rsidRPr="00951ECB" w:rsidRDefault="007051E8" w:rsidP="007051E8">
      <w:r w:rsidRPr="00951ECB">
        <w:rPr>
          <w:b/>
          <w:bCs/>
        </w:rPr>
        <w:t>Polska dostrzega kluczową rolę gleb w środowisku przyrodniczym i ochronie klimatu.</w:t>
      </w:r>
      <w:r>
        <w:rPr>
          <w:b/>
          <w:bCs/>
        </w:rPr>
        <w:t xml:space="preserve"> </w:t>
      </w:r>
      <w:r w:rsidRPr="00951ECB">
        <w:t>Pożądanym kierunkiem działania w zakresie ochrony gleb jest zatem zapobieganie degradacji gleb oraz zachowanie ich funkcji, a także przywracanie właściwych funkcji glebom zdegradowanym, biorąc pod uwagę ich aktualne i planowane przeznaczenie. Parametry określania dobrego stanu gleb powinny być zróżnicowane i dobierane z uwzględnieniem sposobu użytkowania, rodzaju spodziewanej degradacji i właściwości gleby.</w:t>
      </w:r>
    </w:p>
    <w:p w14:paraId="44C875AF" w14:textId="77777777" w:rsidR="007051E8" w:rsidRPr="00951ECB" w:rsidRDefault="007051E8" w:rsidP="007051E8">
      <w:pPr>
        <w:pStyle w:val="Cele"/>
        <w:rPr>
          <w:b/>
          <w:bCs/>
        </w:rPr>
      </w:pPr>
      <w:r w:rsidRPr="00951ECB">
        <w:rPr>
          <w:b/>
          <w:bCs/>
        </w:rPr>
        <w:t>Korzystanie z zasobów glebowych powinno odbywać się w taki sposób, aby zapewnić jak najlepszy jej stan dla przyszłych pokoleń.</w:t>
      </w:r>
    </w:p>
    <w:p w14:paraId="5957929D" w14:textId="5F4DBE37" w:rsidR="007051E8" w:rsidRPr="00951ECB" w:rsidRDefault="007051E8" w:rsidP="007051E8">
      <w:pPr>
        <w:rPr>
          <w:rFonts w:cs="Calibri"/>
        </w:rPr>
      </w:pPr>
      <w:r w:rsidRPr="007051E8">
        <w:rPr>
          <w:rFonts w:cs="Calibri"/>
          <w:b/>
          <w:bCs/>
          <w:i/>
          <w:iCs/>
        </w:rPr>
        <w:t>Strategia UE na rzecz ochrony gleb 2030 r. – korzyści ze zdrowych gleb dla ludzi, żywności, przyrody i klimatu</w:t>
      </w:r>
      <w:r w:rsidRPr="00951ECB">
        <w:rPr>
          <w:rFonts w:cs="Calibri"/>
          <w:b/>
          <w:bCs/>
        </w:rPr>
        <w:t xml:space="preserve">, </w:t>
      </w:r>
      <w:r w:rsidRPr="00951ECB">
        <w:rPr>
          <w:rFonts w:cs="Calibri"/>
        </w:rPr>
        <w:t>tzw. Strategia glebowa UE</w:t>
      </w:r>
      <w:r w:rsidR="0084758C">
        <w:rPr>
          <w:rFonts w:cs="Calibri"/>
        </w:rPr>
        <w:t xml:space="preserve"> (</w:t>
      </w:r>
      <w:hyperlink r:id="rId70" w:history="1">
        <w:r w:rsidR="0084758C" w:rsidRPr="0084758C">
          <w:rPr>
            <w:rStyle w:val="Hipercze"/>
            <w:rFonts w:cs="Calibri"/>
          </w:rPr>
          <w:t>link</w:t>
        </w:r>
      </w:hyperlink>
      <w:r w:rsidR="0084758C">
        <w:rPr>
          <w:rFonts w:cs="Calibri"/>
        </w:rPr>
        <w:t>)</w:t>
      </w:r>
      <w:r w:rsidRPr="00951ECB">
        <w:rPr>
          <w:rFonts w:cs="Calibri"/>
        </w:rPr>
        <w:t xml:space="preserve"> przedstawia działania, zorientowane na osiągnięcie celów </w:t>
      </w:r>
      <w:r w:rsidR="0013050A">
        <w:rPr>
          <w:rFonts w:cs="Calibri"/>
        </w:rPr>
        <w:t xml:space="preserve"> unijnego </w:t>
      </w:r>
      <w:r w:rsidR="00971EAD">
        <w:rPr>
          <w:rFonts w:cs="Calibri"/>
        </w:rPr>
        <w:t>pakietu</w:t>
      </w:r>
      <w:r w:rsidR="0013050A">
        <w:rPr>
          <w:rFonts w:cs="Calibri"/>
        </w:rPr>
        <w:t xml:space="preserve"> „Fit for 55”</w:t>
      </w:r>
      <w:r w:rsidRPr="00951ECB">
        <w:rPr>
          <w:rFonts w:cs="Calibri"/>
        </w:rPr>
        <w:t xml:space="preserve"> w zakresie łagodzenia </w:t>
      </w:r>
      <w:r w:rsidR="002E2988">
        <w:rPr>
          <w:rFonts w:cs="Calibri"/>
        </w:rPr>
        <w:t xml:space="preserve">skutków </w:t>
      </w:r>
      <w:r w:rsidRPr="00951ECB">
        <w:rPr>
          <w:rFonts w:cs="Calibri"/>
        </w:rPr>
        <w:t xml:space="preserve">zmian klimatu i przystosowania się do nich, przywracania bioróżnorodności, </w:t>
      </w:r>
      <w:r w:rsidR="002E2988">
        <w:rPr>
          <w:rFonts w:cs="Calibri"/>
        </w:rPr>
        <w:t>zapewnienia</w:t>
      </w:r>
      <w:r w:rsidR="002E2988" w:rsidRPr="00951ECB">
        <w:rPr>
          <w:rFonts w:cs="Calibri"/>
        </w:rPr>
        <w:t xml:space="preserve"> </w:t>
      </w:r>
      <w:r w:rsidRPr="00951ECB">
        <w:rPr>
          <w:rFonts w:cs="Calibri"/>
        </w:rPr>
        <w:t>bezpieczeństwa żywnościowego, zerowego zanieczyszczenia i ochrony zdrowia ludzkiego, zwiększenia ponownego wykorzystania gruntów i zmniejszenia zajmowania nowych terenów.</w:t>
      </w:r>
    </w:p>
    <w:p w14:paraId="5E39BB83" w14:textId="2CC44D8B" w:rsidR="00935FD3" w:rsidRDefault="007051E8" w:rsidP="007051E8">
      <w:r w:rsidRPr="00951ECB">
        <w:rPr>
          <w:rFonts w:cs="Calibri"/>
        </w:rPr>
        <w:t xml:space="preserve">Aktualnie trwają zaawansowane prace na poziomie UE nad wnioskiem dotyczącym </w:t>
      </w:r>
      <w:r w:rsidRPr="00951ECB">
        <w:rPr>
          <w:rFonts w:cs="Calibri"/>
          <w:b/>
          <w:bCs/>
        </w:rPr>
        <w:t xml:space="preserve">projektu </w:t>
      </w:r>
      <w:r w:rsidR="00100A8A">
        <w:rPr>
          <w:rFonts w:cs="Calibri"/>
          <w:b/>
          <w:bCs/>
        </w:rPr>
        <w:t xml:space="preserve">dyrektywy </w:t>
      </w:r>
      <w:r w:rsidR="00100A8A">
        <w:rPr>
          <w:b/>
          <w:bCs/>
        </w:rPr>
        <w:t xml:space="preserve">PE </w:t>
      </w:r>
      <w:r w:rsidRPr="00951ECB">
        <w:rPr>
          <w:b/>
          <w:bCs/>
        </w:rPr>
        <w:t>i Rady w sprawie monitorowania i odporności gleb (prawo o monitorowaniu gleb)</w:t>
      </w:r>
      <w:r w:rsidRPr="00951ECB">
        <w:t xml:space="preserve">. Celem projektu dyrektywy jest powstrzymanie degradacji i osiągnięcie zdrowych gleb w całej UE do 2050 r. Dyrektywa dotyczy wszystkich gleb w Unii Europejskiej, bez względu na ich sposób użytkowania, obejmując zarówno gleby rolne, leśne, jak i miejskie. Projekt dyrektywy przewiduje obowiązek ustanowienia okręgów glebowych na obszarze całego kraju jako podstawowej jednostki zarządzania glebami. Państwa członkowskie będą zobowiązane do ustanowienia ram monitorowania i oceny zdrowia gleby </w:t>
      </w:r>
      <w:r w:rsidR="008C7317">
        <w:t>oraz</w:t>
      </w:r>
      <w:r w:rsidRPr="00951ECB">
        <w:t xml:space="preserve"> zajmowania gruntów w każdym okręgu glebowym. Zebrane dane z monitoringu powinny zostać </w:t>
      </w:r>
      <w:r w:rsidRPr="00951ECB">
        <w:lastRenderedPageBreak/>
        <w:t>wykorzystane przez państwa członkowskie do</w:t>
      </w:r>
      <w:r w:rsidR="002539DB" w:rsidRPr="002539DB">
        <w:t xml:space="preserve"> </w:t>
      </w:r>
      <w:r w:rsidR="002539DB">
        <w:t>podejmowania środków w celu poprawy zdrowia gleb i ich odporności</w:t>
      </w:r>
      <w:r w:rsidRPr="00951ECB">
        <w:t>. Projekt dyrektywy wprowadza również zasad</w:t>
      </w:r>
      <w:r w:rsidR="002539DB">
        <w:t>y</w:t>
      </w:r>
      <w:r w:rsidRPr="00951ECB">
        <w:t xml:space="preserve"> dotycząc</w:t>
      </w:r>
      <w:r w:rsidR="002539DB">
        <w:t>e</w:t>
      </w:r>
      <w:r w:rsidRPr="00951ECB">
        <w:t xml:space="preserve"> ograniczania zajmowania gruntów jako działania przyczyniające się do łagodzenia </w:t>
      </w:r>
      <w:r w:rsidR="002E2988">
        <w:t xml:space="preserve">skutków </w:t>
      </w:r>
      <w:r w:rsidRPr="00951ECB">
        <w:t xml:space="preserve">zmian klimatu. </w:t>
      </w:r>
      <w:r w:rsidR="00100A8A">
        <w:t>P</w:t>
      </w:r>
      <w:r w:rsidR="00100A8A" w:rsidRPr="004D2F5B">
        <w:t xml:space="preserve">ochłanianie </w:t>
      </w:r>
      <w:r w:rsidR="00100A8A">
        <w:t>CO</w:t>
      </w:r>
      <w:r w:rsidR="00100A8A" w:rsidRPr="00100A8A">
        <w:rPr>
          <w:vertAlign w:val="subscript"/>
        </w:rPr>
        <w:t>2</w:t>
      </w:r>
      <w:r w:rsidR="00100A8A">
        <w:rPr>
          <w:rStyle w:val="Odwoanieprzypisudolnego"/>
        </w:rPr>
        <w:footnoteReference w:id="65"/>
      </w:r>
      <w:r w:rsidR="00100A8A" w:rsidRPr="004D2F5B">
        <w:t xml:space="preserve"> </w:t>
      </w:r>
      <w:r w:rsidR="00100A8A">
        <w:t>i</w:t>
      </w:r>
      <w:r w:rsidR="00D62653">
        <w:t> </w:t>
      </w:r>
      <w:r w:rsidR="00100A8A">
        <w:t xml:space="preserve">magazynowanie wody </w:t>
      </w:r>
      <w:r w:rsidR="00100A8A" w:rsidRPr="004D2F5B">
        <w:t>w wyniku zrównoważonego gospodarowania glebami, tak aby mogły równoważyć emisje gazów cieplarnianych</w:t>
      </w:r>
      <w:r w:rsidR="00100A8A">
        <w:t xml:space="preserve">, jest </w:t>
      </w:r>
      <w:r w:rsidR="00100A8A" w:rsidRPr="004D2F5B">
        <w:t>zasadniczym elementem działań niezbędnych do</w:t>
      </w:r>
      <w:r w:rsidR="00D62653">
        <w:t> </w:t>
      </w:r>
      <w:r w:rsidR="00100A8A" w:rsidRPr="004D2F5B">
        <w:t xml:space="preserve">osiągnięcia neutralności klimatycznej. </w:t>
      </w:r>
      <w:r w:rsidR="00100A8A">
        <w:t>Projekt dyrektywy</w:t>
      </w:r>
      <w:r w:rsidR="00100A8A" w:rsidRPr="004D2F5B">
        <w:t xml:space="preserve"> jest w </w:t>
      </w:r>
      <w:r w:rsidR="00100A8A">
        <w:t xml:space="preserve">tym zakresie w </w:t>
      </w:r>
      <w:r w:rsidR="00100A8A" w:rsidRPr="004D2F5B">
        <w:t>pełni uzupełniający i</w:t>
      </w:r>
      <w:r w:rsidR="002E2988">
        <w:t> </w:t>
      </w:r>
      <w:r w:rsidR="00100A8A" w:rsidRPr="004D2F5B">
        <w:t>synergiczny  z</w:t>
      </w:r>
      <w:r w:rsidR="00563316">
        <w:t> </w:t>
      </w:r>
      <w:r w:rsidR="00100A8A" w:rsidRPr="004D2F5B">
        <w:t>rozporządzeniem w sprawie użytkowania gruntów, zmiany użytkowania gruntów i</w:t>
      </w:r>
      <w:r w:rsidR="00D62653">
        <w:t> </w:t>
      </w:r>
      <w:r w:rsidR="00100A8A" w:rsidRPr="004D2F5B">
        <w:t>leśnictwa (LULUCF)</w:t>
      </w:r>
      <w:r w:rsidR="00100A8A">
        <w:t xml:space="preserve">. </w:t>
      </w:r>
      <w:r w:rsidRPr="00951ECB">
        <w:t>Przewidziano również zobowiązanie państw członkowskich do zidentyfikowania wszystkich potencjalnie zanieczyszczonych miejsc i zebrania ich w publicznie dostępnym rejestrze. Następnie należy przeprowadzić badania tych miejsc i podjąć działania remediacyjne w miejscach, w</w:t>
      </w:r>
      <w:r>
        <w:t> </w:t>
      </w:r>
      <w:r w:rsidRPr="00951ECB">
        <w:t>których stwierdzono niedopuszczalne dla zdrowia ludzi i stanu środowiska zagrożenie</w:t>
      </w:r>
      <w:r w:rsidR="00843F12">
        <w:t>.</w:t>
      </w:r>
    </w:p>
    <w:p w14:paraId="7531580E" w14:textId="77777777" w:rsidR="00843F12" w:rsidRDefault="00843F12" w:rsidP="00843F12">
      <w:pPr>
        <w:pStyle w:val="PaMs"/>
      </w:pPr>
      <w:r>
        <w:t>POLITYKA</w:t>
      </w:r>
    </w:p>
    <w:p w14:paraId="010C11F7" w14:textId="77777777" w:rsidR="00843F12" w:rsidRDefault="00843F12" w:rsidP="00843F12">
      <w:r>
        <w:t xml:space="preserve">Wśród zidentyfikowanych licznych zagrożeń dla gleb, kwestia zanieczyszczenia gleb oraz problematyka utraty zawartości materii organicznej i zakwaszenia mają z punktu widzenia ochrony środowiska w Polsce wysoki priorytet. </w:t>
      </w:r>
    </w:p>
    <w:p w14:paraId="13161EDE" w14:textId="77777777" w:rsidR="00662621" w:rsidRDefault="00843F12" w:rsidP="00662621">
      <w:r>
        <w:t xml:space="preserve">W polskim systemie prawnym ochrona gleb jest powiązana z szerszym pojęciem ochrony powierzchni ziemi i obejmuje również ochronę przed zanieczyszczeniem oraz innymi formami degradacji także warstwy gruntu znajdujące się pod glebą. Kontynuowane będą </w:t>
      </w:r>
      <w:r w:rsidRPr="00843F12">
        <w:rPr>
          <w:b/>
          <w:bCs/>
        </w:rPr>
        <w:t>działania mające na celu zidentyfikowanie gleb zanieczyszczonych oraz wsparcie ich remediacji</w:t>
      </w:r>
      <w:r>
        <w:t>, tj. usunięcia lub zmniejszenia ilości substancji szkodliwych do poziomu bezpiecznego dla zdrowia ludzi i stanu środowiska, ich kontrolowanie oraz ograniczenie rozprzestrzeniania się.</w:t>
      </w:r>
      <w:r w:rsidR="00662621" w:rsidRPr="00662621">
        <w:t xml:space="preserve"> </w:t>
      </w:r>
    </w:p>
    <w:p w14:paraId="4719F464" w14:textId="0C947D29" w:rsidR="00843F12" w:rsidRDefault="00662621" w:rsidP="00843F12">
      <w:r>
        <w:t xml:space="preserve">Istotna z punktu widzenia ochrony gleb jest również </w:t>
      </w:r>
      <w:r w:rsidRPr="00843F12">
        <w:rPr>
          <w:b/>
          <w:bCs/>
        </w:rPr>
        <w:t>zasada pierwszeństwa wtórnego użytkowania przestrzeni w procesach inwestycyjnych</w:t>
      </w:r>
      <w:r>
        <w:t xml:space="preserve">, która służy m.in. ograniczeniu zajmowania nowych gruntów i zasklepiania powierzchni ziemi. </w:t>
      </w:r>
    </w:p>
    <w:p w14:paraId="5B838DD4" w14:textId="70AB66D0" w:rsidR="005633B9" w:rsidRPr="005633B9" w:rsidRDefault="00843F12" w:rsidP="004376DC">
      <w:r>
        <w:t xml:space="preserve">Gleba jest podstawowym zasobem produkcyjnym rolnictwa i leśnictwa, toteż dobry stan polskich gleb stanowi potencjał dla produkcji żywności i innych surowców wysokiej jakości. Ochrona produktywności gruntów rolnych i leśnych będzie polegała przede wszystkim na zapobieganiu wyłączaniu gleb z użytkowania rolniczego i leśnego, zapobieganiu erozji gleb i utracie zawartości materii organicznej w glebach. </w:t>
      </w:r>
      <w:r w:rsidR="004376DC" w:rsidRPr="00897928">
        <w:t>Zapobieganie procesom degradacji ma na celu zachowanie przez gleby jak największych możliwości do pełnienia funkcji ekosystemowych celem zapewnienia bezpieczeństwa żywnościowego, a</w:t>
      </w:r>
      <w:r w:rsidR="00D62653">
        <w:t> </w:t>
      </w:r>
      <w:r w:rsidR="004376DC" w:rsidRPr="00897928">
        <w:t>także zapewnienia maksymalizacji sekwestracji CO</w:t>
      </w:r>
      <w:r w:rsidR="004376DC" w:rsidRPr="00897928">
        <w:rPr>
          <w:vertAlign w:val="subscript"/>
        </w:rPr>
        <w:t xml:space="preserve">2 </w:t>
      </w:r>
      <w:r w:rsidR="004376DC" w:rsidRPr="00897928">
        <w:t>w glebie.</w:t>
      </w:r>
      <w:r w:rsidR="004376DC">
        <w:t xml:space="preserve"> </w:t>
      </w:r>
      <w:r w:rsidR="00AD7336">
        <w:t>Przewiduje się przy tym prowadzenie aktywnych działań na rzecz biologicznej sekwestracji CO</w:t>
      </w:r>
      <w:r w:rsidR="00AD7336">
        <w:rPr>
          <w:vertAlign w:val="subscript"/>
        </w:rPr>
        <w:t xml:space="preserve">2 </w:t>
      </w:r>
      <w:r w:rsidR="00AD7336">
        <w:t>w glebie.</w:t>
      </w:r>
      <w:r w:rsidR="004F470C">
        <w:t xml:space="preserve"> </w:t>
      </w:r>
      <w:r w:rsidR="005633B9">
        <w:t xml:space="preserve">W ramach </w:t>
      </w:r>
      <w:r w:rsidR="00D94D44" w:rsidRPr="005633B9">
        <w:t>interwencje Planu Strategicznego dla Wspólnej Polityki Rolnej na lata 2023-2027</w:t>
      </w:r>
      <w:r w:rsidR="00D94D44">
        <w:t xml:space="preserve"> kontynuowana będzie realizacja interwencji </w:t>
      </w:r>
      <w:r w:rsidR="00D94D44" w:rsidRPr="005633B9">
        <w:t>„Ochrona zasobów i poprawa jakości gleb”</w:t>
      </w:r>
      <w:r w:rsidR="006B7A90">
        <w:t xml:space="preserve">. </w:t>
      </w:r>
      <w:r w:rsidR="005633B9" w:rsidRPr="005633B9">
        <w:t>Do zawartych w Planie interwencji zaliczają się wymogi warunkowości, z których najważniejsze dla ochrony gleb to:</w:t>
      </w:r>
    </w:p>
    <w:p w14:paraId="60E4E4D1" w14:textId="2A9863F8" w:rsidR="005633B9" w:rsidRPr="005633B9" w:rsidRDefault="005633B9" w:rsidP="000625AC">
      <w:pPr>
        <w:pStyle w:val="Akapitzlist"/>
        <w:numPr>
          <w:ilvl w:val="0"/>
          <w:numId w:val="59"/>
        </w:numPr>
      </w:pPr>
      <w:r w:rsidRPr="005633B9">
        <w:t>zarządzanie orką, przyczyniające się do zmniejszenia ryzyka degradacji i erozji gleby, w tym uwzględnianie nachylenia terenu,</w:t>
      </w:r>
    </w:p>
    <w:p w14:paraId="482B07DB" w14:textId="60B9DA6B" w:rsidR="005633B9" w:rsidRPr="00901FEA" w:rsidRDefault="005633B9" w:rsidP="000625AC">
      <w:pPr>
        <w:pStyle w:val="Akapitzlist"/>
        <w:numPr>
          <w:ilvl w:val="0"/>
          <w:numId w:val="59"/>
        </w:numPr>
        <w:rPr>
          <w:color w:val="000000" w:themeColor="text1"/>
        </w:rPr>
      </w:pPr>
      <w:r w:rsidRPr="00901FEA">
        <w:rPr>
          <w:color w:val="000000" w:themeColor="text1"/>
        </w:rPr>
        <w:t>minimalna pokrywa glebowa w najbardziej newralgicznych okresach,</w:t>
      </w:r>
    </w:p>
    <w:p w14:paraId="35D945E9" w14:textId="3AA6669D" w:rsidR="005633B9" w:rsidRPr="00901FEA" w:rsidRDefault="005633B9" w:rsidP="000625AC">
      <w:pPr>
        <w:pStyle w:val="Akapitzlist"/>
        <w:numPr>
          <w:ilvl w:val="0"/>
          <w:numId w:val="59"/>
        </w:numPr>
        <w:rPr>
          <w:color w:val="000000" w:themeColor="text1"/>
        </w:rPr>
      </w:pPr>
      <w:r w:rsidRPr="00901FEA">
        <w:rPr>
          <w:color w:val="000000" w:themeColor="text1"/>
        </w:rPr>
        <w:t>mianowanie i dywersyfikacja upraw na gruntach ornych.</w:t>
      </w:r>
    </w:p>
    <w:p w14:paraId="64BD2298" w14:textId="416B4ADB" w:rsidR="004376DC" w:rsidRPr="00901FEA" w:rsidRDefault="002B7F94" w:rsidP="00897928">
      <w:pPr>
        <w:rPr>
          <w:color w:val="000000" w:themeColor="text1"/>
        </w:rPr>
      </w:pPr>
      <w:r w:rsidRPr="00901FEA">
        <w:rPr>
          <w:color w:val="000000" w:themeColor="text1"/>
        </w:rPr>
        <w:t>W celu ochrony i poprawy jakości gleb k</w:t>
      </w:r>
      <w:r w:rsidR="001C5A65" w:rsidRPr="00901FEA">
        <w:rPr>
          <w:color w:val="000000" w:themeColor="text1"/>
        </w:rPr>
        <w:t>ontynuowan</w:t>
      </w:r>
      <w:r w:rsidR="00A03A20" w:rsidRPr="00901FEA">
        <w:rPr>
          <w:color w:val="000000" w:themeColor="text1"/>
        </w:rPr>
        <w:t xml:space="preserve">a będzie </w:t>
      </w:r>
      <w:r w:rsidR="00790106" w:rsidRPr="00901FEA">
        <w:rPr>
          <w:color w:val="000000" w:themeColor="text1"/>
        </w:rPr>
        <w:t xml:space="preserve">również </w:t>
      </w:r>
      <w:r w:rsidR="00402670" w:rsidRPr="00901FEA">
        <w:rPr>
          <w:color w:val="000000" w:themeColor="text1"/>
        </w:rPr>
        <w:t xml:space="preserve">realizacja </w:t>
      </w:r>
      <w:r w:rsidR="00E0722C" w:rsidRPr="00901FEA">
        <w:rPr>
          <w:color w:val="000000" w:themeColor="text1"/>
        </w:rPr>
        <w:t>ekoschematu „Rolnictwo węglowe i zarządzanie składnikami odżywczymi”</w:t>
      </w:r>
      <w:r w:rsidR="005633B9" w:rsidRPr="00901FEA">
        <w:rPr>
          <w:color w:val="000000" w:themeColor="text1"/>
        </w:rPr>
        <w:t>, który został opisany w</w:t>
      </w:r>
      <w:r w:rsidR="007471AD" w:rsidRPr="00901FEA">
        <w:rPr>
          <w:color w:val="000000" w:themeColor="text1"/>
        </w:rPr>
        <w:t xml:space="preserve"> </w:t>
      </w:r>
      <w:r w:rsidR="00B83E16" w:rsidRPr="00901FEA">
        <w:rPr>
          <w:color w:val="000000" w:themeColor="text1"/>
        </w:rPr>
        <w:fldChar w:fldCharType="begin"/>
      </w:r>
      <w:r w:rsidR="00B83E16" w:rsidRPr="00901FEA">
        <w:rPr>
          <w:color w:val="000000" w:themeColor="text1"/>
        </w:rPr>
        <w:instrText xml:space="preserve"> REF _Ref190182870 \r \h </w:instrText>
      </w:r>
      <w:r w:rsidR="00B83E16" w:rsidRPr="00901FEA">
        <w:rPr>
          <w:color w:val="000000" w:themeColor="text1"/>
        </w:rPr>
      </w:r>
      <w:r w:rsidR="00B83E16" w:rsidRPr="00901FEA">
        <w:rPr>
          <w:color w:val="000000" w:themeColor="text1"/>
        </w:rPr>
        <w:fldChar w:fldCharType="separate"/>
      </w:r>
      <w:r w:rsidR="00871DD5">
        <w:rPr>
          <w:color w:val="000000" w:themeColor="text1"/>
        </w:rPr>
        <w:t>Cel 1.2.5</w:t>
      </w:r>
      <w:r w:rsidR="00B83E16" w:rsidRPr="00901FEA">
        <w:rPr>
          <w:color w:val="000000" w:themeColor="text1"/>
        </w:rPr>
        <w:fldChar w:fldCharType="end"/>
      </w:r>
      <w:r w:rsidR="00B83E16" w:rsidRPr="00901FEA">
        <w:rPr>
          <w:color w:val="000000" w:themeColor="text1"/>
        </w:rPr>
        <w:t xml:space="preserve">. </w:t>
      </w:r>
      <w:r w:rsidR="00B83E16" w:rsidRPr="00901FEA">
        <w:rPr>
          <w:color w:val="000000" w:themeColor="text1"/>
        </w:rPr>
        <w:fldChar w:fldCharType="begin"/>
      </w:r>
      <w:r w:rsidR="00B83E16" w:rsidRPr="00901FEA">
        <w:rPr>
          <w:color w:val="000000" w:themeColor="text1"/>
        </w:rPr>
        <w:instrText xml:space="preserve"> REF _Ref190182894 \h </w:instrText>
      </w:r>
      <w:r w:rsidR="00B83E16" w:rsidRPr="00901FEA">
        <w:rPr>
          <w:color w:val="000000" w:themeColor="text1"/>
        </w:rPr>
      </w:r>
      <w:r w:rsidR="00B83E16" w:rsidRPr="00901FEA">
        <w:rPr>
          <w:color w:val="000000" w:themeColor="text1"/>
        </w:rPr>
        <w:fldChar w:fldCharType="separate"/>
      </w:r>
      <w:r w:rsidR="00871DD5">
        <w:rPr>
          <w:color w:val="70AD47" w:themeColor="accent6"/>
        </w:rPr>
        <w:t>Redukcja emisji GHG w rolnictwie</w:t>
      </w:r>
      <w:r w:rsidR="00B83E16" w:rsidRPr="00901FEA">
        <w:rPr>
          <w:color w:val="000000" w:themeColor="text1"/>
        </w:rPr>
        <w:fldChar w:fldCharType="end"/>
      </w:r>
      <w:r w:rsidR="006B7A90" w:rsidRPr="00901FEA">
        <w:rPr>
          <w:color w:val="000000" w:themeColor="text1"/>
        </w:rPr>
        <w:t>.</w:t>
      </w:r>
      <w:r w:rsidR="00897928" w:rsidRPr="00901FEA">
        <w:rPr>
          <w:color w:val="000000" w:themeColor="text1"/>
        </w:rPr>
        <w:t xml:space="preserve"> </w:t>
      </w:r>
    </w:p>
    <w:p w14:paraId="283D06F8" w14:textId="72DB1B94" w:rsidR="00BA2485" w:rsidRDefault="00161470" w:rsidP="00897928">
      <w:r w:rsidRPr="00901FEA">
        <w:rPr>
          <w:color w:val="000000" w:themeColor="text1"/>
        </w:rPr>
        <w:lastRenderedPageBreak/>
        <w:t xml:space="preserve">Aby poprawić jakość gleb, kształtowana </w:t>
      </w:r>
      <w:r w:rsidRPr="00161470">
        <w:t>będzie polityka wspierająca rekultywację gruntów zdegradowanych i zdewastowanych. Rekultywacja będzie obejmować działania mające na celu przywrócenie wartości użytkowych lub przyrodniczych gruntom zdegradowanym poprzez właściwe ukształtowanie rzeźby terenu, poprawienie właściwości fizycznych i chemicznych gleb, uregulowanie stosunków wodnych, odtworzenie gleb, umocnienie skarp oraz budowę niezbędnych dróg. </w:t>
      </w:r>
    </w:p>
    <w:p w14:paraId="51C290A5" w14:textId="01DF8E17" w:rsidR="00843F12" w:rsidRDefault="00553B16" w:rsidP="00BA2485">
      <w:r w:rsidRPr="00553B16">
        <w:t>W związku z pracami legislacyjnymi na poziomie UE nad projektem dyrektywy PE i Rady w sprawie monitorowania i odporności gleb (prawo o monitorowaniu gleb), przewiduje się wprowadzenie dodatkowych rozwiązań, które wzmocnią dotychczasowy krajowy system ochrony gleb</w:t>
      </w:r>
      <w:r>
        <w:t xml:space="preserve">. </w:t>
      </w:r>
      <w:r w:rsidRPr="00553B16">
        <w:t>Projekt</w:t>
      </w:r>
      <w:r w:rsidR="001108C2">
        <w:t> </w:t>
      </w:r>
      <w:r w:rsidRPr="00553B16">
        <w:t xml:space="preserve">dyrektywy, będący częścią </w:t>
      </w:r>
      <w:r w:rsidR="00971EAD">
        <w:t>unijnego pakietu „Fit for 55”</w:t>
      </w:r>
      <w:r w:rsidRPr="00553B16">
        <w:t>, ma na celu zharmonizowanie działań na terenie UE w zakresie ochrony zdrowia gleb</w:t>
      </w:r>
      <w:r>
        <w:t>.</w:t>
      </w:r>
      <w:r w:rsidRPr="00553B16">
        <w:t> </w:t>
      </w:r>
      <w:r w:rsidR="00532116">
        <w:t xml:space="preserve">W </w:t>
      </w:r>
      <w:r w:rsidR="00532116" w:rsidRPr="00532116">
        <w:t xml:space="preserve">ramach nowej polityki, szczególny nacisk będzie kładziony na monitorowanie i ocenę stanu gleby, </w:t>
      </w:r>
      <w:r w:rsidR="00105F4B">
        <w:t>wsparcie</w:t>
      </w:r>
      <w:r w:rsidR="00105F4B">
        <w:rPr>
          <w:rFonts w:asciiTheme="minorHAnsi" w:hAnsiTheme="minorHAnsi" w:cs="Times New Roman"/>
          <w:color w:val="000000" w:themeColor="text1"/>
          <w:sz w:val="22"/>
        </w:rPr>
        <w:t xml:space="preserve"> w celu poprawy zdrowia gleby</w:t>
      </w:r>
      <w:r w:rsidR="00974007">
        <w:t xml:space="preserve">  </w:t>
      </w:r>
      <w:r w:rsidR="00532116" w:rsidRPr="00532116">
        <w:t xml:space="preserve">oraz </w:t>
      </w:r>
      <w:r w:rsidR="00105F4B">
        <w:t>identyfikacje i</w:t>
      </w:r>
      <w:r w:rsidR="001108C2">
        <w:t> </w:t>
      </w:r>
      <w:r w:rsidR="00532116">
        <w:t>remediację</w:t>
      </w:r>
      <w:r w:rsidR="00532116" w:rsidRPr="00532116">
        <w:t xml:space="preserve"> miejsc zanieczyszczonych</w:t>
      </w:r>
      <w:r w:rsidR="00532116">
        <w:t>.</w:t>
      </w:r>
    </w:p>
    <w:p w14:paraId="56F13368" w14:textId="3033F1F1" w:rsidR="00843F12" w:rsidRDefault="00843F12" w:rsidP="00843F12">
      <w:pPr>
        <w:pStyle w:val="PaMs"/>
      </w:pPr>
      <w:r>
        <w:t>DZIAŁANIA</w:t>
      </w:r>
    </w:p>
    <w:p w14:paraId="72355B51" w14:textId="01E19774" w:rsidR="009F4E47" w:rsidRPr="009F4E47" w:rsidRDefault="009F4E47" w:rsidP="000625AC">
      <w:pPr>
        <w:pStyle w:val="Akapitzlist"/>
        <w:numPr>
          <w:ilvl w:val="0"/>
          <w:numId w:val="29"/>
        </w:numPr>
      </w:pPr>
      <w:r w:rsidRPr="009F4E47">
        <w:fldChar w:fldCharType="begin"/>
      </w:r>
      <w:r w:rsidRPr="009F4E47">
        <w:instrText xml:space="preserve"> REF _Ref195887433 \h </w:instrText>
      </w:r>
      <w:r>
        <w:instrText xml:space="preserve"> \* MERGEFORMAT </w:instrText>
      </w:r>
      <w:r w:rsidRPr="009F4E47">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91</w:t>
      </w:r>
      <w:r w:rsidR="00871DD5" w:rsidRPr="00871DD5">
        <w:rPr>
          <w:rStyle w:val="Nagwek6Znak"/>
          <w:rFonts w:ascii="Lato" w:hAnsi="Lato"/>
          <w:b w:val="0"/>
          <w:bCs/>
        </w:rPr>
        <w:t>. Prowadzenie</w:t>
      </w:r>
      <w:r w:rsidR="00871DD5" w:rsidRPr="00871DD5">
        <w:rPr>
          <w:rFonts w:eastAsia="Times New Roman" w:cs="Times New Roman"/>
          <w:color w:val="000000"/>
          <w:kern w:val="0"/>
          <w:lang w:eastAsia="pl-PL"/>
          <w14:ligatures w14:val="none"/>
        </w:rPr>
        <w:t xml:space="preserve"> </w:t>
      </w:r>
      <w:r w:rsidR="00871DD5" w:rsidRPr="00871DD5">
        <w:t>monitoringu</w:t>
      </w:r>
      <w:r w:rsidR="00871DD5" w:rsidRPr="00871DD5">
        <w:rPr>
          <w:rFonts w:eastAsia="Times New Roman" w:cs="Times New Roman"/>
          <w:bCs/>
          <w:color w:val="000000"/>
          <w:kern w:val="0"/>
          <w:lang w:eastAsia="pl-PL"/>
          <w14:ligatures w14:val="none"/>
        </w:rPr>
        <w:t xml:space="preserve"> </w:t>
      </w:r>
      <w:r w:rsidR="00871DD5" w:rsidRPr="00FB68C2">
        <w:t>gleb</w:t>
      </w:r>
      <w:r w:rsidRPr="009F4E47">
        <w:fldChar w:fldCharType="end"/>
      </w:r>
    </w:p>
    <w:p w14:paraId="1927C76E" w14:textId="7A642943" w:rsidR="00BB52F0" w:rsidRDefault="007B7796" w:rsidP="000625AC">
      <w:pPr>
        <w:pStyle w:val="Akapitzlist"/>
        <w:numPr>
          <w:ilvl w:val="0"/>
          <w:numId w:val="29"/>
        </w:numPr>
      </w:pPr>
      <w:r>
        <w:fldChar w:fldCharType="begin"/>
      </w:r>
      <w:r>
        <w:instrText xml:space="preserve"> REF _Ref202264456 \h </w:instrText>
      </w:r>
      <w:r>
        <w:fldChar w:fldCharType="separate"/>
      </w:r>
      <w:r w:rsidR="00871DD5" w:rsidRPr="00FB68C2">
        <w:t xml:space="preserve">Działanie </w:t>
      </w:r>
      <w:r w:rsidR="00871DD5">
        <w:rPr>
          <w:noProof/>
        </w:rPr>
        <w:t>92</w:t>
      </w:r>
      <w:r w:rsidR="00871DD5" w:rsidRPr="00FB68C2">
        <w:t xml:space="preserve">. </w:t>
      </w:r>
      <w:r w:rsidR="00871DD5" w:rsidRPr="00D769FE">
        <w:t>Identyfikacja i remediacja miejsc, w których występuje zanieczyszczenie powierzchni ziemi</w:t>
      </w:r>
      <w:r>
        <w:fldChar w:fldCharType="end"/>
      </w:r>
    </w:p>
    <w:p w14:paraId="67A42E7C" w14:textId="1BF75341" w:rsidR="00BB52F0" w:rsidRDefault="007B7796" w:rsidP="000625AC">
      <w:pPr>
        <w:pStyle w:val="Akapitzlist"/>
        <w:numPr>
          <w:ilvl w:val="0"/>
          <w:numId w:val="29"/>
        </w:numPr>
      </w:pPr>
      <w:r>
        <w:fldChar w:fldCharType="begin"/>
      </w:r>
      <w:r>
        <w:instrText xml:space="preserve"> REF _Ref202264429 \h </w:instrText>
      </w:r>
      <w:r>
        <w:fldChar w:fldCharType="separate"/>
      </w:r>
      <w:r w:rsidR="00871DD5">
        <w:t xml:space="preserve">Działanie </w:t>
      </w:r>
      <w:r w:rsidR="00871DD5">
        <w:rPr>
          <w:noProof/>
        </w:rPr>
        <w:t>93</w:t>
      </w:r>
      <w:r w:rsidR="00871DD5">
        <w:t xml:space="preserve">. </w:t>
      </w:r>
      <w:r w:rsidR="00871DD5" w:rsidRPr="003E1EC3">
        <w:t>Identyfikacja oraz poprawa stanu środowiska na wielkoobszarowych terenach zdegradowanych</w:t>
      </w:r>
      <w:r>
        <w:fldChar w:fldCharType="end"/>
      </w:r>
      <w:r w:rsidR="00656AC5">
        <w:t xml:space="preserve"> </w:t>
      </w:r>
    </w:p>
    <w:p w14:paraId="4BDD8E5B" w14:textId="2ADC7B54" w:rsidR="009F4E47" w:rsidRPr="009F4E47" w:rsidRDefault="009F4E47" w:rsidP="000625AC">
      <w:pPr>
        <w:pStyle w:val="Akapitzlist"/>
        <w:numPr>
          <w:ilvl w:val="0"/>
          <w:numId w:val="29"/>
        </w:numPr>
      </w:pPr>
      <w:r w:rsidRPr="009F4E47">
        <w:fldChar w:fldCharType="begin"/>
      </w:r>
      <w:r w:rsidRPr="009F4E47">
        <w:instrText xml:space="preserve"> REF _Ref195887459 \h </w:instrText>
      </w:r>
      <w:r>
        <w:instrText xml:space="preserve"> \* MERGEFORMAT </w:instrText>
      </w:r>
      <w:r w:rsidRPr="009F4E47">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96</w:t>
      </w:r>
      <w:r w:rsidR="00871DD5" w:rsidRPr="00871DD5">
        <w:rPr>
          <w:rStyle w:val="Nagwek6Znak"/>
          <w:rFonts w:ascii="Lato" w:hAnsi="Lato"/>
          <w:b w:val="0"/>
          <w:bCs/>
        </w:rPr>
        <w:t xml:space="preserve">. </w:t>
      </w:r>
      <w:r w:rsidR="00871DD5" w:rsidRPr="00AA38CA">
        <w:rPr>
          <w:lang w:eastAsia="pl-PL"/>
        </w:rPr>
        <w:t>Wspieranie rekultywacji gruntów zdegradowanych i</w:t>
      </w:r>
      <w:r w:rsidR="00871DD5" w:rsidRPr="00AA38CA">
        <w:rPr>
          <w:rFonts w:ascii="Arial" w:hAnsi="Arial" w:cs="Arial"/>
          <w:lang w:eastAsia="pl-PL"/>
        </w:rPr>
        <w:t> </w:t>
      </w:r>
      <w:r w:rsidR="00871DD5" w:rsidRPr="00AA38CA">
        <w:rPr>
          <w:lang w:eastAsia="pl-PL"/>
        </w:rPr>
        <w:t>zdewastowanych</w:t>
      </w:r>
      <w:r w:rsidRPr="009F4E47">
        <w:fldChar w:fldCharType="end"/>
      </w:r>
    </w:p>
    <w:p w14:paraId="27E04829" w14:textId="7EDC3BAC" w:rsidR="009F4E47" w:rsidRDefault="009F4E47" w:rsidP="000625AC">
      <w:pPr>
        <w:pStyle w:val="Akapitzlist"/>
        <w:numPr>
          <w:ilvl w:val="0"/>
          <w:numId w:val="29"/>
        </w:numPr>
      </w:pPr>
      <w:r w:rsidRPr="009F4E47">
        <w:fldChar w:fldCharType="begin"/>
      </w:r>
      <w:r w:rsidRPr="009F4E47">
        <w:instrText xml:space="preserve"> REF _Ref195887464 \h </w:instrText>
      </w:r>
      <w:r>
        <w:instrText xml:space="preserve"> \* MERGEFORMAT </w:instrText>
      </w:r>
      <w:r w:rsidRPr="009F4E47">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97</w:t>
      </w:r>
      <w:r w:rsidR="00871DD5" w:rsidRPr="00871DD5">
        <w:rPr>
          <w:rStyle w:val="Nagwek6Znak"/>
          <w:rFonts w:ascii="Lato" w:hAnsi="Lato"/>
          <w:b w:val="0"/>
          <w:bCs/>
        </w:rPr>
        <w:t>.</w:t>
      </w:r>
      <w:r w:rsidR="00871DD5" w:rsidRPr="00AA38CA">
        <w:rPr>
          <w:lang w:eastAsia="pl-PL"/>
        </w:rPr>
        <w:t xml:space="preserve"> Instrument finansowy – Program Priorytetowy NFOŚiGW „Ochrona powierzchni ziemi”</w:t>
      </w:r>
      <w:r w:rsidRPr="009F4E47">
        <w:fldChar w:fldCharType="end"/>
      </w:r>
    </w:p>
    <w:p w14:paraId="776BBF89" w14:textId="08465A33" w:rsidR="0001104D" w:rsidRPr="0001104D" w:rsidRDefault="0001104D" w:rsidP="000625AC">
      <w:pPr>
        <w:pStyle w:val="Akapitzlist"/>
        <w:numPr>
          <w:ilvl w:val="0"/>
          <w:numId w:val="29"/>
        </w:numPr>
      </w:pPr>
      <w:r w:rsidRPr="0001104D">
        <w:fldChar w:fldCharType="begin"/>
      </w:r>
      <w:r w:rsidRPr="0001104D">
        <w:instrText xml:space="preserve"> REF _Ref195887553 \h </w:instrText>
      </w:r>
      <w:r>
        <w:instrText xml:space="preserve"> \* MERGEFORMAT </w:instrText>
      </w:r>
      <w:r w:rsidRPr="0001104D">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98</w:t>
      </w:r>
      <w:r w:rsidR="00871DD5" w:rsidRPr="00871DD5">
        <w:rPr>
          <w:rStyle w:val="Nagwek6Znak"/>
          <w:rFonts w:ascii="Lato" w:hAnsi="Lato"/>
          <w:b w:val="0"/>
          <w:bCs/>
        </w:rPr>
        <w:t>.</w:t>
      </w:r>
      <w:r w:rsidR="00871DD5" w:rsidRPr="00AA38CA">
        <w:rPr>
          <w:lang w:eastAsia="pl-PL"/>
        </w:rPr>
        <w:t xml:space="preserve"> </w:t>
      </w:r>
      <w:r w:rsidR="00871DD5" w:rsidRPr="004D6F82">
        <w:rPr>
          <w:lang w:eastAsia="pl-PL"/>
        </w:rPr>
        <w:t>Instrument finansowy – Programy NFOŚiGW wspierające adaptację do zmian klimatu</w:t>
      </w:r>
      <w:r w:rsidRPr="0001104D">
        <w:fldChar w:fldCharType="end"/>
      </w:r>
    </w:p>
    <w:p w14:paraId="1594F830" w14:textId="7B05976E" w:rsidR="00C140A9" w:rsidRDefault="00C140A9" w:rsidP="00C140A9">
      <w:pPr>
        <w:pStyle w:val="Nagwek4"/>
        <w:rPr>
          <w:color w:val="70AD47" w:themeColor="accent6"/>
        </w:rPr>
      </w:pPr>
      <w:bookmarkStart w:id="286" w:name="_Toc195897259"/>
      <w:bookmarkStart w:id="287" w:name="_Toc195899504"/>
      <w:bookmarkStart w:id="288" w:name="_Toc195897260"/>
      <w:bookmarkStart w:id="289" w:name="_Toc195899505"/>
      <w:bookmarkStart w:id="290" w:name="_Toc195897261"/>
      <w:bookmarkStart w:id="291" w:name="_Toc195899506"/>
      <w:bookmarkStart w:id="292" w:name="_Toc195897262"/>
      <w:bookmarkStart w:id="293" w:name="_Toc195899507"/>
      <w:bookmarkStart w:id="294" w:name="_Toc195897263"/>
      <w:bookmarkStart w:id="295" w:name="_Toc195899508"/>
      <w:bookmarkStart w:id="296" w:name="_Toc195897264"/>
      <w:bookmarkStart w:id="297" w:name="_Toc195899509"/>
      <w:bookmarkStart w:id="298" w:name="_Toc195897265"/>
      <w:bookmarkStart w:id="299" w:name="_Toc195899510"/>
      <w:bookmarkStart w:id="300" w:name="_Toc159598299"/>
      <w:bookmarkStart w:id="301" w:name="_Toc205203172"/>
      <w:bookmarkStart w:id="302" w:name="_Toc195897266"/>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C140A9">
        <w:rPr>
          <w:color w:val="70AD47" w:themeColor="accent6"/>
        </w:rPr>
        <w:t xml:space="preserve">Cel w zakresie </w:t>
      </w:r>
      <w:r w:rsidR="00E45668">
        <w:rPr>
          <w:color w:val="70AD47" w:themeColor="accent6"/>
        </w:rPr>
        <w:t>odpadów</w:t>
      </w:r>
      <w:bookmarkEnd w:id="300"/>
      <w:bookmarkEnd w:id="301"/>
      <w:r w:rsidRPr="00C140A9">
        <w:rPr>
          <w:color w:val="70AD47" w:themeColor="accent6"/>
        </w:rPr>
        <w:t xml:space="preserve"> </w:t>
      </w:r>
      <w:bookmarkEnd w:id="302"/>
    </w:p>
    <w:p w14:paraId="141E68E6" w14:textId="171CF208" w:rsidR="00D65D68" w:rsidRDefault="00DE0CED" w:rsidP="00B64F0D">
      <w:pPr>
        <w:rPr>
          <w:noProof/>
          <w:szCs w:val="20"/>
        </w:rPr>
      </w:pPr>
      <w:r>
        <w:rPr>
          <w:noProof/>
          <w:lang w:eastAsia="pl-PL"/>
        </w:rPr>
        <mc:AlternateContent>
          <mc:Choice Requires="wps">
            <w:drawing>
              <wp:anchor distT="0" distB="0" distL="114300" distR="114300" simplePos="0" relativeHeight="251522560" behindDoc="1" locked="0" layoutInCell="1" allowOverlap="1" wp14:anchorId="3D0A22CA" wp14:editId="71DB776B">
                <wp:simplePos x="0" y="0"/>
                <wp:positionH relativeFrom="margin">
                  <wp:align>right</wp:align>
                </wp:positionH>
                <wp:positionV relativeFrom="paragraph">
                  <wp:posOffset>57150</wp:posOffset>
                </wp:positionV>
                <wp:extent cx="2969895" cy="1739900"/>
                <wp:effectExtent l="19050" t="57150" r="97155" b="52070"/>
                <wp:wrapSquare wrapText="bothSides"/>
                <wp:docPr id="1218129824" name="Prostokąt: zaokrąglone rogi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895" cy="1739900"/>
                        </a:xfrm>
                        <a:prstGeom prst="roundRect">
                          <a:avLst>
                            <a:gd name="adj" fmla="val 11857"/>
                          </a:avLst>
                        </a:prstGeom>
                        <a:solidFill>
                          <a:sysClr val="window" lastClr="FFFFFF"/>
                        </a:solidFill>
                        <a:ln w="9525" cap="flat" cmpd="sng" algn="ctr">
                          <a:solidFill>
                            <a:srgbClr val="70AD47"/>
                          </a:solidFill>
                          <a:prstDash val="solid"/>
                          <a:miter lim="800000"/>
                        </a:ln>
                        <a:effectLst>
                          <a:outerShdw blurRad="50800" dist="38100" algn="l" rotWithShape="0">
                            <a:prstClr val="black">
                              <a:alpha val="40000"/>
                            </a:prstClr>
                          </a:outerShdw>
                        </a:effectLst>
                      </wps:spPr>
                      <wps:txbx>
                        <w:txbxContent>
                          <w:p w14:paraId="0341C789" w14:textId="249FA554" w:rsidR="00C36C5C" w:rsidRPr="004E21CF" w:rsidRDefault="00C36C5C" w:rsidP="005614FF">
                            <w:pPr>
                              <w:pStyle w:val="Ramka"/>
                            </w:pPr>
                            <w:r w:rsidRPr="00215424">
                              <w:rPr>
                                <w:color w:val="auto"/>
                                <w:sz w:val="20"/>
                                <w:szCs w:val="22"/>
                              </w:rPr>
                              <w:t xml:space="preserve"> </w:t>
                            </w:r>
                            <w:r w:rsidRPr="00262B52">
                              <w:t>Do czynników, które wpływają na ilości wytwarzanych odpadów, należą m.in. liczba ludności, liczba osób zamieszkujących w poszczególnych gospodarstwach domowych, wielkość produkcji, rodzaj i stopień efektywności metod produkcji oraz wielkość konsumpcji, zaś gospodarowanie odpadami może mieć negatywny wpływ na środowisko przede wszystkim</w:t>
                            </w:r>
                            <w:r>
                              <w:t>,</w:t>
                            </w:r>
                            <w:r w:rsidRPr="00262B52">
                              <w:t xml:space="preserve"> gdy są stosowane niewłaściwe metody przetwarzania lub są nieprzestrzegane wymagania technologiczne</w:t>
                            </w:r>
                            <w:r w:rsidRPr="005614FF">
                              <w: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D0A22CA" id="Prostokąt: zaokrąglone rogi 58" o:spid="_x0000_s1100" style="position:absolute;left:0;text-align:left;margin-left:182.65pt;margin-top:4.5pt;width:233.85pt;height:137pt;z-index:-251793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" fillcolor="window" strokecolor="#70ad47">
                <v:stroke joinstyle="miter"/>
                <v:shadow on="t" color="black" opacity="26214f" origin="-.5" offset="3pt,0"/>
                <v:path arrowok="t"/>
                <v:textbox style="mso-fit-shape-to-text:t" inset="2mm,2.5mm,2mm,0">
                  <w:txbxContent>
                    <w:p w14:paraId="0341C789" w14:textId="249FA554" w:rsidR="00C36C5C" w:rsidRPr="004E21CF" w:rsidRDefault="00C36C5C" w:rsidP="005614FF">
                      <w:pPr>
                        <w:pStyle w:val="Ramka"/>
                      </w:pPr>
                      <w:r w:rsidRPr="00215424">
                        <w:rPr>
                          <w:color w:val="auto"/>
                          <w:sz w:val="20"/>
                          <w:szCs w:val="22"/>
                        </w:rPr>
                        <w:t xml:space="preserve"> </w:t>
                      </w:r>
                      <w:r w:rsidRPr="00262B52">
                        <w:t>Do czynników, które wpływają na ilości wytwarzanych odpadów, należą m.in. liczba ludności, liczba osób zamieszkujących w poszczególnych gospodarstwach domowych, wielkość produkcji, rodzaj i stopień efektywności metod produkcji oraz wielkość konsumpcji, zaś gospodarowanie odpadami może mieć negatywny wpływ na środowisko przede wszystkim</w:t>
                      </w:r>
                      <w:r>
                        <w:t>,</w:t>
                      </w:r>
                      <w:r w:rsidRPr="00262B52">
                        <w:t xml:space="preserve"> gdy są stosowane niewłaściwe metody przetwarzania lub są nieprzestrzegane wymagania technologiczne</w:t>
                      </w:r>
                      <w:r w:rsidRPr="005614FF">
                        <w:t>.</w:t>
                      </w:r>
                    </w:p>
                  </w:txbxContent>
                </v:textbox>
                <w10:wrap type="square" anchorx="margin"/>
              </v:roundrect>
            </w:pict>
          </mc:Fallback>
        </mc:AlternateContent>
      </w:r>
      <w:r w:rsidR="00A3353D">
        <w:rPr>
          <w:noProof/>
          <w:szCs w:val="20"/>
        </w:rPr>
        <w:t xml:space="preserve">Odpady mogą powodować </w:t>
      </w:r>
      <w:r w:rsidR="00A3353D" w:rsidRPr="00A3353D">
        <w:rPr>
          <w:noProof/>
          <w:szCs w:val="20"/>
        </w:rPr>
        <w:t>zanieczyszczenie powietrza, wody i gleby</w:t>
      </w:r>
      <w:r w:rsidR="00A3353D">
        <w:rPr>
          <w:noProof/>
          <w:szCs w:val="20"/>
        </w:rPr>
        <w:t>, dlatego ich właściwe zagospo</w:t>
      </w:r>
      <w:r w:rsidR="00AA32A2">
        <w:rPr>
          <w:noProof/>
          <w:szCs w:val="20"/>
        </w:rPr>
        <w:t>d</w:t>
      </w:r>
      <w:r w:rsidR="00A3353D">
        <w:rPr>
          <w:noProof/>
          <w:szCs w:val="20"/>
        </w:rPr>
        <w:t>arowanie powinno zredukowa</w:t>
      </w:r>
      <w:r w:rsidR="00D65D68">
        <w:rPr>
          <w:noProof/>
          <w:szCs w:val="20"/>
        </w:rPr>
        <w:t>ć ich negatywny wpływ na środowisko.</w:t>
      </w:r>
    </w:p>
    <w:p w14:paraId="1184351E" w14:textId="5753128A" w:rsidR="00E45668" w:rsidRDefault="002279C6" w:rsidP="00B64F0D">
      <w:r w:rsidRPr="00995803">
        <w:rPr>
          <w:noProof/>
          <w:szCs w:val="20"/>
        </w:rPr>
        <w:t xml:space="preserve">Gospodarka odpadami w Polsce, a także jej postrzeganie przez społeczeństwo, przedsiębiorców, usługodawców itd., zmienia się dynamicznie na przestrzeni ostatnich lat </w:t>
      </w:r>
      <w:r w:rsidR="00D65D68">
        <w:rPr>
          <w:noProof/>
          <w:szCs w:val="20"/>
        </w:rPr>
        <w:t>–</w:t>
      </w:r>
      <w:r w:rsidRPr="00995803">
        <w:rPr>
          <w:noProof/>
          <w:szCs w:val="20"/>
        </w:rPr>
        <w:t xml:space="preserve"> coraz </w:t>
      </w:r>
      <w:r>
        <w:rPr>
          <w:noProof/>
          <w:szCs w:val="20"/>
        </w:rPr>
        <w:t xml:space="preserve">więcej jest </w:t>
      </w:r>
      <w:r w:rsidRPr="00995803">
        <w:rPr>
          <w:noProof/>
          <w:szCs w:val="20"/>
        </w:rPr>
        <w:t>nowoczesnych instalacji</w:t>
      </w:r>
      <w:r w:rsidR="003F4349">
        <w:rPr>
          <w:noProof/>
          <w:szCs w:val="20"/>
        </w:rPr>
        <w:t>, w</w:t>
      </w:r>
      <w:r w:rsidR="001108C2">
        <w:rPr>
          <w:noProof/>
          <w:szCs w:val="20"/>
        </w:rPr>
        <w:t> </w:t>
      </w:r>
      <w:r w:rsidR="003F4349">
        <w:rPr>
          <w:noProof/>
          <w:szCs w:val="20"/>
        </w:rPr>
        <w:t>tym instalacji</w:t>
      </w:r>
      <w:r w:rsidRPr="00995803">
        <w:rPr>
          <w:noProof/>
          <w:szCs w:val="20"/>
        </w:rPr>
        <w:t xml:space="preserve"> recyklingu</w:t>
      </w:r>
      <w:r w:rsidR="00700FDA">
        <w:rPr>
          <w:noProof/>
          <w:szCs w:val="20"/>
        </w:rPr>
        <w:t>.</w:t>
      </w:r>
      <w:r w:rsidRPr="00995803">
        <w:rPr>
          <w:noProof/>
          <w:szCs w:val="20"/>
        </w:rPr>
        <w:t xml:space="preserve"> Jest to wynikiem zmiany podejścia do odpadów </w:t>
      </w:r>
      <w:r w:rsidR="008C4B52">
        <w:rPr>
          <w:noProof/>
          <w:szCs w:val="20"/>
        </w:rPr>
        <w:t>–</w:t>
      </w:r>
      <w:r w:rsidRPr="00995803">
        <w:rPr>
          <w:noProof/>
          <w:szCs w:val="20"/>
        </w:rPr>
        <w:t xml:space="preserve"> nie są one już traktowane jako zbędne, niepotrzebne materiały, ale jako cenne zasoby, które należy wykorzystać. Biorąc</w:t>
      </w:r>
      <w:r w:rsidR="001108C2">
        <w:rPr>
          <w:noProof/>
          <w:szCs w:val="20"/>
        </w:rPr>
        <w:t> </w:t>
      </w:r>
      <w:r w:rsidRPr="00995803">
        <w:rPr>
          <w:noProof/>
          <w:szCs w:val="20"/>
        </w:rPr>
        <w:t>pod uwagę różnorodność odpadów, wynikającą z</w:t>
      </w:r>
      <w:r w:rsidR="008C4B52">
        <w:rPr>
          <w:noProof/>
          <w:szCs w:val="20"/>
        </w:rPr>
        <w:t>e</w:t>
      </w:r>
      <w:r w:rsidRPr="00995803">
        <w:rPr>
          <w:noProof/>
          <w:szCs w:val="20"/>
        </w:rPr>
        <w:t xml:space="preserve"> </w:t>
      </w:r>
      <w:r>
        <w:rPr>
          <w:noProof/>
          <w:szCs w:val="20"/>
        </w:rPr>
        <w:t xml:space="preserve">zróżnicowanych </w:t>
      </w:r>
      <w:r w:rsidRPr="00995803">
        <w:rPr>
          <w:noProof/>
          <w:szCs w:val="20"/>
        </w:rPr>
        <w:t>procesów przemysłowych, wytwarzanych produktów, oferowanych usług, możliwości ich zastosowań są szerokie, a co więcej częściowo można wpływać na skład odpadów (np. odpadów poużytkowych) poprzez projektowanie produktów. Ze względu na właściwości, części odpadów nie można wykorzystać, stąd niezbędne są</w:t>
      </w:r>
      <w:r w:rsidR="001108C2">
        <w:rPr>
          <w:noProof/>
          <w:szCs w:val="20"/>
        </w:rPr>
        <w:t> </w:t>
      </w:r>
      <w:r w:rsidRPr="00995803">
        <w:rPr>
          <w:noProof/>
          <w:szCs w:val="20"/>
        </w:rPr>
        <w:t>również technologie unieszkodliwiania odpadów</w:t>
      </w:r>
      <w:r w:rsidR="004948D8">
        <w:t xml:space="preserve">. </w:t>
      </w:r>
    </w:p>
    <w:p w14:paraId="398B10CD" w14:textId="28FB0E14" w:rsidR="002279C6" w:rsidRDefault="002279C6" w:rsidP="00B64F0D">
      <w:r w:rsidRPr="002279C6">
        <w:t>Nowoczesna gospodarka odpadami, zgodna z unijną hierarchią sposobów postępowania z odpadami i</w:t>
      </w:r>
      <w:r w:rsidR="008C4B52">
        <w:t> </w:t>
      </w:r>
      <w:r w:rsidRPr="002279C6">
        <w:t xml:space="preserve">dążąca do </w:t>
      </w:r>
      <w:r w:rsidRPr="008C4B52">
        <w:rPr>
          <w:b/>
          <w:bCs/>
        </w:rPr>
        <w:t>wdrażania modelu gospodarczego opartego na obiegu zamkniętym</w:t>
      </w:r>
      <w:r w:rsidRPr="002279C6">
        <w:t xml:space="preserve">, wymaga </w:t>
      </w:r>
      <w:r w:rsidR="00A87EED">
        <w:t xml:space="preserve">kontynuowania powyżej opisanych zmian w zakresie </w:t>
      </w:r>
      <w:r w:rsidRPr="002279C6">
        <w:t xml:space="preserve">podejścia i postrzegania odpadów jako źródła zasobów (w tym </w:t>
      </w:r>
      <w:r w:rsidRPr="002279C6">
        <w:lastRenderedPageBreak/>
        <w:t>możliwości zastępowania surowców pierwotnych surowcami wtórnymi, powstającymi z odpadów), jak</w:t>
      </w:r>
      <w:r w:rsidR="001108C2">
        <w:t> </w:t>
      </w:r>
      <w:r w:rsidRPr="002279C6">
        <w:t>również przyspieszenia rozwoju recyklingu.</w:t>
      </w:r>
    </w:p>
    <w:p w14:paraId="13962C9D" w14:textId="095A43CC" w:rsidR="000041E0" w:rsidRDefault="000041E0" w:rsidP="00D65D68">
      <w:pPr>
        <w:spacing w:after="80"/>
      </w:pPr>
      <w:r>
        <w:t>Gospodarowanie odpadami podlega stosunkowo szerokiemu zakresowi regulacji UE. Wymagania uregulowane są m.in. w:</w:t>
      </w:r>
    </w:p>
    <w:p w14:paraId="7CE596CC" w14:textId="6A7B84D3" w:rsidR="002279C6" w:rsidRDefault="002279C6" w:rsidP="00BD261E">
      <w:pPr>
        <w:pStyle w:val="Akapitzlist"/>
        <w:numPr>
          <w:ilvl w:val="0"/>
          <w:numId w:val="1"/>
        </w:numPr>
      </w:pPr>
      <w:r>
        <w:t>dyrektywie 2008/98/WE w sprawie odpadów</w:t>
      </w:r>
      <w:r w:rsidR="00BD261E">
        <w:t>,</w:t>
      </w:r>
    </w:p>
    <w:p w14:paraId="0ED70C45" w14:textId="1FA37051" w:rsidR="002279C6" w:rsidRDefault="002279C6" w:rsidP="00BD261E">
      <w:pPr>
        <w:pStyle w:val="Akapitzlist"/>
        <w:numPr>
          <w:ilvl w:val="0"/>
          <w:numId w:val="1"/>
        </w:numPr>
      </w:pPr>
      <w:r>
        <w:t>dyrektywie 1999/31/WE w sprawie składowania odpadów</w:t>
      </w:r>
      <w:r w:rsidR="00BD261E">
        <w:t>,</w:t>
      </w:r>
    </w:p>
    <w:p w14:paraId="6AFE65CA" w14:textId="4257E151" w:rsidR="002279C6" w:rsidRDefault="002279C6" w:rsidP="00BD261E">
      <w:pPr>
        <w:pStyle w:val="Akapitzlist"/>
        <w:numPr>
          <w:ilvl w:val="0"/>
          <w:numId w:val="1"/>
        </w:numPr>
      </w:pPr>
      <w:r>
        <w:t>dyrektywie 94/62/WE w sprawie opakowań i odpadów opakowaniowych</w:t>
      </w:r>
      <w:r w:rsidR="00BD261E">
        <w:t>,</w:t>
      </w:r>
      <w:r w:rsidR="00B63778">
        <w:t xml:space="preserve"> która straci moc 12 sierpnia 2026 r. i zostanie zastąpiona przez r</w:t>
      </w:r>
      <w:r w:rsidR="00B63778" w:rsidRPr="00B63778">
        <w:t>ozporządzenie UE 2025/40 w sprawie opakowań i</w:t>
      </w:r>
      <w:r w:rsidR="001108C2">
        <w:t> </w:t>
      </w:r>
      <w:r w:rsidR="00B63778" w:rsidRPr="00B63778">
        <w:t>odpadów opakowaniowych</w:t>
      </w:r>
      <w:r w:rsidR="00B63778">
        <w:t>(PPWR),</w:t>
      </w:r>
    </w:p>
    <w:p w14:paraId="3C93F576" w14:textId="3446DA3A" w:rsidR="002279C6" w:rsidRDefault="002279C6" w:rsidP="00BD261E">
      <w:pPr>
        <w:pStyle w:val="Akapitzlist"/>
        <w:numPr>
          <w:ilvl w:val="0"/>
          <w:numId w:val="1"/>
        </w:numPr>
      </w:pPr>
      <w:r>
        <w:t>dyrektywie 2006/66/UE w sprawie baterii i akumulatorów oraz zużytych baterii</w:t>
      </w:r>
      <w:r w:rsidR="00BD261E">
        <w:t xml:space="preserve">, </w:t>
      </w:r>
      <w:r>
        <w:t>która straci moc w dniu 18 sierpnia 2025 r. i zostanie zastąpiona przez rozporządzenie UE 2023/1542</w:t>
      </w:r>
      <w:r w:rsidR="00BD261E">
        <w:t xml:space="preserve"> </w:t>
      </w:r>
      <w:r>
        <w:t>w sprawie baterii i zużytych baterii</w:t>
      </w:r>
      <w:r w:rsidR="00BD261E">
        <w:t>,</w:t>
      </w:r>
    </w:p>
    <w:p w14:paraId="46C08347" w14:textId="3049A597" w:rsidR="00BD261E" w:rsidRDefault="002279C6" w:rsidP="002279C6">
      <w:pPr>
        <w:pStyle w:val="Akapitzlist"/>
        <w:numPr>
          <w:ilvl w:val="0"/>
          <w:numId w:val="1"/>
        </w:numPr>
      </w:pPr>
      <w:r>
        <w:t>dyrektywie 2012/19/</w:t>
      </w:r>
      <w:r w:rsidR="009729A6">
        <w:t>UE</w:t>
      </w:r>
      <w:r>
        <w:t xml:space="preserve"> w sprawie zużytego sprzętu elektrycznego i elektronicznego (WEEE)</w:t>
      </w:r>
      <w:r w:rsidR="00BD261E">
        <w:t>,</w:t>
      </w:r>
    </w:p>
    <w:p w14:paraId="4AEB8C4B" w14:textId="77777777" w:rsidR="009729A6" w:rsidRDefault="002279C6" w:rsidP="00FA2221">
      <w:pPr>
        <w:pStyle w:val="Akapitzlist"/>
        <w:numPr>
          <w:ilvl w:val="0"/>
          <w:numId w:val="1"/>
        </w:numPr>
        <w:spacing w:after="240"/>
      </w:pPr>
      <w:r>
        <w:t>dyrektywie 2000/53/WE w sprawie pojazdów wycofanych z eksploatacji</w:t>
      </w:r>
      <w:r w:rsidR="009729A6">
        <w:t>,</w:t>
      </w:r>
    </w:p>
    <w:p w14:paraId="6BAA86B9" w14:textId="576E99BB" w:rsidR="009729A6" w:rsidRDefault="009729A6" w:rsidP="009729A6">
      <w:pPr>
        <w:pStyle w:val="Akapitzlist"/>
        <w:numPr>
          <w:ilvl w:val="0"/>
          <w:numId w:val="1"/>
        </w:numPr>
        <w:spacing w:after="240"/>
      </w:pPr>
      <w:r>
        <w:t>dyrektywie 2010/75/UE w sprawie emisji przemysłowych (zintegrowane zapobieganie zanieczyszczeniom i ich kontrola),</w:t>
      </w:r>
    </w:p>
    <w:p w14:paraId="07FF55A8" w14:textId="0BA54FF6" w:rsidR="009729A6" w:rsidRDefault="009729A6" w:rsidP="009729A6">
      <w:pPr>
        <w:pStyle w:val="Akapitzlist"/>
        <w:numPr>
          <w:ilvl w:val="0"/>
          <w:numId w:val="1"/>
        </w:numPr>
        <w:spacing w:after="240"/>
      </w:pPr>
      <w:r>
        <w:t>dyrektywie 2006/21/WE w sprawie gospodarowania odpadami pochodzącymi z przemysłu wydobywczego,</w:t>
      </w:r>
    </w:p>
    <w:p w14:paraId="161DEDA2" w14:textId="2A05E9DF" w:rsidR="00841A3E" w:rsidRDefault="00841A3E" w:rsidP="00841A3E">
      <w:pPr>
        <w:pStyle w:val="Akapitzlist"/>
        <w:numPr>
          <w:ilvl w:val="0"/>
          <w:numId w:val="1"/>
        </w:numPr>
        <w:spacing w:after="240"/>
      </w:pPr>
      <w:r>
        <w:t xml:space="preserve">dyrektywie Rady </w:t>
      </w:r>
      <w:r w:rsidR="00BF4ABB" w:rsidRPr="00BF4ABB">
        <w:t>91/271/EWG</w:t>
      </w:r>
      <w:r w:rsidR="00BF4ABB">
        <w:t xml:space="preserve"> </w:t>
      </w:r>
      <w:r>
        <w:t>dotyczącej oczyszczania ścieków komunalnych,</w:t>
      </w:r>
    </w:p>
    <w:p w14:paraId="6985B79D" w14:textId="08DD414B" w:rsidR="009729A6" w:rsidRDefault="009729A6" w:rsidP="009729A6">
      <w:pPr>
        <w:pStyle w:val="Akapitzlist"/>
        <w:numPr>
          <w:ilvl w:val="0"/>
          <w:numId w:val="1"/>
        </w:numPr>
        <w:spacing w:after="240"/>
      </w:pPr>
      <w:r>
        <w:t>dyrektywie Rady 86/278/EWG w sprawie ochrony środowiska, w szczególności gleby, w przypadku wykorzystywania osadów ściekowych w rolnictwie,</w:t>
      </w:r>
    </w:p>
    <w:p w14:paraId="49E1FAF8" w14:textId="072C57A2" w:rsidR="009729A6" w:rsidRDefault="009729A6" w:rsidP="009729A6">
      <w:pPr>
        <w:pStyle w:val="Akapitzlist"/>
        <w:numPr>
          <w:ilvl w:val="0"/>
          <w:numId w:val="1"/>
        </w:numPr>
        <w:spacing w:after="240"/>
      </w:pPr>
      <w:r>
        <w:t>dyrektywie Rady 96/59/WE w sprawie unieszkodliwiania polichlorowanych bifenyli i polichlorowanych trifenyli (PCB/PCT),</w:t>
      </w:r>
    </w:p>
    <w:p w14:paraId="3A40B81C" w14:textId="77777777" w:rsidR="009162B8" w:rsidRDefault="009729A6" w:rsidP="009729A6">
      <w:pPr>
        <w:pStyle w:val="Akapitzlist"/>
        <w:numPr>
          <w:ilvl w:val="0"/>
          <w:numId w:val="1"/>
        </w:numPr>
        <w:spacing w:after="240"/>
      </w:pPr>
      <w:r>
        <w:t>rozporządzeniu UE 2019/1021 dotyczącym trwałych zanieczyszczeń organicznych</w:t>
      </w:r>
      <w:r w:rsidR="009162B8">
        <w:t>,</w:t>
      </w:r>
    </w:p>
    <w:p w14:paraId="27B95E36" w14:textId="4C64A48C" w:rsidR="002279C6" w:rsidRDefault="009162B8" w:rsidP="009729A6">
      <w:pPr>
        <w:pStyle w:val="Akapitzlist"/>
        <w:numPr>
          <w:ilvl w:val="0"/>
          <w:numId w:val="1"/>
        </w:numPr>
        <w:spacing w:after="240"/>
      </w:pPr>
      <w:r>
        <w:t>rozporządzeniu UE 2017/852 w sprawie rtęci</w:t>
      </w:r>
      <w:r w:rsidR="002279C6">
        <w:t>.</w:t>
      </w:r>
    </w:p>
    <w:p w14:paraId="278E1F65" w14:textId="77777777" w:rsidR="00995D73" w:rsidRDefault="00FA2221" w:rsidP="00FA2221">
      <w:r>
        <w:t xml:space="preserve">Realizacja celów określonych na poziomie UE odbywa się w ramach </w:t>
      </w:r>
      <w:r w:rsidRPr="00FA2221">
        <w:rPr>
          <w:b/>
          <w:bCs/>
        </w:rPr>
        <w:t xml:space="preserve">wdrażania </w:t>
      </w:r>
      <w:r w:rsidR="00743792">
        <w:rPr>
          <w:b/>
          <w:bCs/>
        </w:rPr>
        <w:t>uchwalonego</w:t>
      </w:r>
      <w:r w:rsidRPr="00FA2221">
        <w:rPr>
          <w:b/>
          <w:bCs/>
        </w:rPr>
        <w:t xml:space="preserve"> w 2023 r. </w:t>
      </w:r>
      <w:r w:rsidRPr="00FA2221">
        <w:rPr>
          <w:b/>
          <w:bCs/>
          <w:i/>
          <w:iCs/>
        </w:rPr>
        <w:t xml:space="preserve">Krajowego </w:t>
      </w:r>
      <w:r w:rsidR="00743792">
        <w:rPr>
          <w:b/>
          <w:bCs/>
          <w:i/>
          <w:iCs/>
        </w:rPr>
        <w:t>p</w:t>
      </w:r>
      <w:r w:rsidRPr="00FA2221">
        <w:rPr>
          <w:b/>
          <w:bCs/>
          <w:i/>
          <w:iCs/>
        </w:rPr>
        <w:t xml:space="preserve">lanu </w:t>
      </w:r>
      <w:r w:rsidR="00743792">
        <w:rPr>
          <w:b/>
          <w:bCs/>
          <w:i/>
          <w:iCs/>
        </w:rPr>
        <w:t>g</w:t>
      </w:r>
      <w:r w:rsidRPr="00FA2221">
        <w:rPr>
          <w:b/>
          <w:bCs/>
          <w:i/>
          <w:iCs/>
        </w:rPr>
        <w:t xml:space="preserve">ospodarki </w:t>
      </w:r>
      <w:r w:rsidR="00743792">
        <w:rPr>
          <w:b/>
          <w:bCs/>
          <w:i/>
          <w:iCs/>
        </w:rPr>
        <w:t>o</w:t>
      </w:r>
      <w:r w:rsidRPr="00FA2221">
        <w:rPr>
          <w:b/>
          <w:bCs/>
          <w:i/>
          <w:iCs/>
        </w:rPr>
        <w:t>dpadami 2028</w:t>
      </w:r>
      <w:r w:rsidR="00743792">
        <w:rPr>
          <w:b/>
          <w:bCs/>
          <w:i/>
          <w:iCs/>
        </w:rPr>
        <w:t xml:space="preserve"> (K</w:t>
      </w:r>
      <w:r w:rsidR="00A87EED">
        <w:rPr>
          <w:b/>
          <w:bCs/>
          <w:i/>
          <w:iCs/>
        </w:rPr>
        <w:t>PGO</w:t>
      </w:r>
      <w:r w:rsidR="00743792">
        <w:rPr>
          <w:b/>
          <w:bCs/>
          <w:i/>
          <w:iCs/>
        </w:rPr>
        <w:t xml:space="preserve"> 2028)</w:t>
      </w:r>
      <w:r w:rsidR="00743792">
        <w:rPr>
          <w:b/>
          <w:bCs/>
        </w:rPr>
        <w:t xml:space="preserve">, </w:t>
      </w:r>
      <w:r w:rsidR="00743792" w:rsidRPr="00743792">
        <w:t>będącego aktualizacją K</w:t>
      </w:r>
      <w:r w:rsidR="00C23148">
        <w:t>pgo</w:t>
      </w:r>
      <w:r w:rsidR="00743792" w:rsidRPr="00743792">
        <w:t xml:space="preserve"> 2022</w:t>
      </w:r>
      <w:r>
        <w:t xml:space="preserve">. </w:t>
      </w:r>
    </w:p>
    <w:p w14:paraId="7B53E785" w14:textId="406BC847" w:rsidR="00163CF0" w:rsidRPr="00163CF0" w:rsidRDefault="00FA2221" w:rsidP="00FA2221">
      <w:pPr>
        <w:rPr>
          <w:rStyle w:val="CeleZnak"/>
          <w:rFonts w:cstheme="minorBidi"/>
          <w:szCs w:val="20"/>
          <w:shd w:val="clear" w:color="auto" w:fill="auto"/>
        </w:rPr>
      </w:pPr>
      <w:r>
        <w:rPr>
          <w:szCs w:val="20"/>
        </w:rPr>
        <w:t>Poniżej wskazano kluczowe</w:t>
      </w:r>
      <w:r w:rsidRPr="006E3983">
        <w:rPr>
          <w:szCs w:val="20"/>
        </w:rPr>
        <w:t xml:space="preserve"> cele w zakresie gospodarki odpadam</w:t>
      </w:r>
      <w:r>
        <w:rPr>
          <w:szCs w:val="20"/>
        </w:rPr>
        <w:t>i. Dążenie do nich ma przyczynić się do</w:t>
      </w:r>
      <w:r w:rsidR="002353AC">
        <w:rPr>
          <w:szCs w:val="20"/>
        </w:rPr>
        <w:t> </w:t>
      </w:r>
      <w:r>
        <w:rPr>
          <w:szCs w:val="20"/>
        </w:rPr>
        <w:t>redukcji wpływu odpadów na środowisko.</w:t>
      </w:r>
    </w:p>
    <w:p w14:paraId="043F0131" w14:textId="01EF1C32" w:rsidR="00045F4B" w:rsidRDefault="00D65D68" w:rsidP="00C20B2E">
      <w:pPr>
        <w:pStyle w:val="Cele"/>
        <w:spacing w:after="160"/>
        <w:rPr>
          <w:rStyle w:val="CeleZnak"/>
          <w:b/>
        </w:rPr>
      </w:pPr>
      <w:r>
        <w:rPr>
          <w:rStyle w:val="CeleZnak"/>
          <w:b/>
        </w:rPr>
        <w:t xml:space="preserve">Celem ogólnym w zakresie </w:t>
      </w:r>
      <w:r w:rsidR="00C23148">
        <w:rPr>
          <w:rStyle w:val="CeleZnak"/>
          <w:b/>
        </w:rPr>
        <w:t xml:space="preserve">gospodarki odpadami </w:t>
      </w:r>
      <w:r>
        <w:rPr>
          <w:rStyle w:val="CeleZnak"/>
          <w:b/>
        </w:rPr>
        <w:t xml:space="preserve">jest </w:t>
      </w:r>
      <w:r w:rsidR="00A87EED">
        <w:rPr>
          <w:rStyle w:val="CeleZnak"/>
          <w:b/>
        </w:rPr>
        <w:t>dążenie</w:t>
      </w:r>
      <w:r w:rsidR="00A87EED" w:rsidRPr="00A87EED">
        <w:rPr>
          <w:rStyle w:val="CeleZnak"/>
          <w:b/>
        </w:rPr>
        <w:t xml:space="preserve"> do redukcji wpływu na</w:t>
      </w:r>
      <w:r w:rsidR="002353AC">
        <w:rPr>
          <w:rStyle w:val="CeleZnak"/>
          <w:b/>
        </w:rPr>
        <w:t> </w:t>
      </w:r>
      <w:r w:rsidR="00A87EED" w:rsidRPr="00A87EED">
        <w:rPr>
          <w:rStyle w:val="CeleZnak"/>
          <w:b/>
        </w:rPr>
        <w:t>środowisko poprzez implementację rozwiązań z zakresu gospodarki o obiegu zamkniętym, w tym poprzez wdrażanie planów gospodarki odpadami</w:t>
      </w:r>
      <w:r w:rsidR="00A87EED">
        <w:rPr>
          <w:rStyle w:val="CeleZnak"/>
          <w:b/>
        </w:rPr>
        <w:t>.</w:t>
      </w:r>
    </w:p>
    <w:p w14:paraId="0EC337D4" w14:textId="544775A3" w:rsidR="00B64F0D" w:rsidRDefault="00A87EED" w:rsidP="00B64F0D">
      <w:pPr>
        <w:rPr>
          <w:b/>
          <w:bCs/>
        </w:rPr>
      </w:pPr>
      <w:bookmarkStart w:id="303" w:name="_Hlk173747605"/>
      <w:r>
        <w:rPr>
          <w:b/>
          <w:bCs/>
        </w:rPr>
        <w:t>Cele ogólne w zakresie gospodarki odpadami:</w:t>
      </w:r>
    </w:p>
    <w:bookmarkEnd w:id="303"/>
    <w:p w14:paraId="1FD3B133" w14:textId="5806CBE6" w:rsidR="00A87EED" w:rsidRDefault="00A87EED" w:rsidP="003530A9">
      <w:pPr>
        <w:pStyle w:val="Akapitzlist"/>
        <w:numPr>
          <w:ilvl w:val="0"/>
          <w:numId w:val="24"/>
        </w:numPr>
      </w:pPr>
      <w:r>
        <w:t>wdrażanie zapobiegania powstawaniu odpadów (ZPO) oraz zmniejszenie ilości powstających odpadów</w:t>
      </w:r>
      <w:r w:rsidR="00841A3E">
        <w:rPr>
          <w:rStyle w:val="Odwoanieprzypisudolnego"/>
        </w:rPr>
        <w:footnoteReference w:id="66"/>
      </w:r>
      <w:r>
        <w:t>;</w:t>
      </w:r>
    </w:p>
    <w:p w14:paraId="3BA3E20E" w14:textId="3CB023F1" w:rsidR="00A87EED" w:rsidRDefault="00A87EED" w:rsidP="003530A9">
      <w:pPr>
        <w:pStyle w:val="Akapitzlist"/>
        <w:numPr>
          <w:ilvl w:val="0"/>
          <w:numId w:val="24"/>
        </w:numPr>
      </w:pPr>
      <w:r>
        <w:t>zwiększanie osiąganych poziomów przygotowania do ponownego użycia i recyklingu odpadów komunalnych;</w:t>
      </w:r>
    </w:p>
    <w:p w14:paraId="774E30FB" w14:textId="6FF7087F" w:rsidR="00A87EED" w:rsidRDefault="00A87EED" w:rsidP="003530A9">
      <w:pPr>
        <w:pStyle w:val="Akapitzlist"/>
        <w:numPr>
          <w:ilvl w:val="0"/>
          <w:numId w:val="24"/>
        </w:numPr>
      </w:pPr>
      <w:r>
        <w:t>minimalizacja ilości składowanych odpadów;</w:t>
      </w:r>
    </w:p>
    <w:p w14:paraId="6094FC0B" w14:textId="6FFDB068" w:rsidR="00A87EED" w:rsidRDefault="00A87EED" w:rsidP="003530A9">
      <w:pPr>
        <w:pStyle w:val="Akapitzlist"/>
        <w:numPr>
          <w:ilvl w:val="0"/>
          <w:numId w:val="24"/>
        </w:numPr>
      </w:pPr>
      <w:r>
        <w:t xml:space="preserve">zwiększanie osiąganych poziomów recyklingu odpadów opakowaniowych; </w:t>
      </w:r>
      <w:r>
        <w:tab/>
      </w:r>
    </w:p>
    <w:p w14:paraId="3D6A40B5" w14:textId="77777777" w:rsidR="000660C9" w:rsidRDefault="00A87EED" w:rsidP="003530A9">
      <w:pPr>
        <w:pStyle w:val="Akapitzlist"/>
        <w:numPr>
          <w:ilvl w:val="0"/>
          <w:numId w:val="24"/>
        </w:numPr>
      </w:pPr>
      <w:r>
        <w:t>utrzymywanie wysokiego poziomu przygotowania do ponownego użycia, recyklingu oraz innych form odzysku odpadów budowlanych i rozbiórkowych</w:t>
      </w:r>
      <w:r w:rsidR="000660C9">
        <w:t>;</w:t>
      </w:r>
    </w:p>
    <w:p w14:paraId="41E9D03A" w14:textId="4CE9632E" w:rsidR="004E0B21" w:rsidRDefault="00E24F15" w:rsidP="003530A9">
      <w:pPr>
        <w:pStyle w:val="Akapitzlist"/>
        <w:numPr>
          <w:ilvl w:val="0"/>
          <w:numId w:val="24"/>
        </w:numPr>
      </w:pPr>
      <w:r>
        <w:t xml:space="preserve">zwiększenie </w:t>
      </w:r>
      <w:r w:rsidR="004E0B21" w:rsidRPr="004E0B21">
        <w:t>odzysk</w:t>
      </w:r>
      <w:r>
        <w:t>u</w:t>
      </w:r>
      <w:r w:rsidR="004E0B21" w:rsidRPr="004E0B21">
        <w:t xml:space="preserve"> surowców krytycznych i recykling odpadów wydobywczych</w:t>
      </w:r>
      <w:r>
        <w:t>;</w:t>
      </w:r>
    </w:p>
    <w:p w14:paraId="5C012E23" w14:textId="4D1959D1" w:rsidR="00504020" w:rsidRDefault="00504020" w:rsidP="003530A9">
      <w:pPr>
        <w:pStyle w:val="Akapitzlist"/>
        <w:numPr>
          <w:ilvl w:val="0"/>
          <w:numId w:val="24"/>
        </w:numPr>
      </w:pPr>
      <w:r w:rsidRPr="00504020">
        <w:lastRenderedPageBreak/>
        <w:t>zmniejsz</w:t>
      </w:r>
      <w:r w:rsidR="00806005">
        <w:t>enie</w:t>
      </w:r>
      <w:r w:rsidRPr="00504020">
        <w:t xml:space="preserve"> </w:t>
      </w:r>
      <w:r w:rsidR="00552A08">
        <w:t>roli instalacji</w:t>
      </w:r>
      <w:r w:rsidR="007A4C81">
        <w:t xml:space="preserve"> termicznego przekształcania</w:t>
      </w:r>
      <w:r w:rsidRPr="00504020">
        <w:t xml:space="preserve"> odpadów</w:t>
      </w:r>
      <w:r w:rsidR="00244772" w:rsidRPr="00244772">
        <w:rPr>
          <w:rFonts w:ascii="Segoe UI" w:hAnsi="Segoe UI" w:cs="Segoe UI"/>
          <w:b/>
          <w:bCs/>
          <w:sz w:val="18"/>
          <w:szCs w:val="18"/>
        </w:rPr>
        <w:t xml:space="preserve"> </w:t>
      </w:r>
      <w:r w:rsidR="00A11602" w:rsidRPr="00BE230D">
        <w:t xml:space="preserve">poprzez kierowanie </w:t>
      </w:r>
      <w:r w:rsidR="008D4613" w:rsidRPr="00BE230D">
        <w:t>d</w:t>
      </w:r>
      <w:r w:rsidR="008D4613" w:rsidRPr="008D4613">
        <w:t>o</w:t>
      </w:r>
      <w:r w:rsidR="002353AC">
        <w:t> </w:t>
      </w:r>
      <w:r w:rsidR="008D4613" w:rsidRPr="008D4613">
        <w:t>termicznego przekształcania wyłącznie odpadów, które nie mogą zostać poddane recyklingowi</w:t>
      </w:r>
      <w:r w:rsidR="008A5DFD" w:rsidRPr="009834A4">
        <w:t>;</w:t>
      </w:r>
    </w:p>
    <w:p w14:paraId="7D67723E" w14:textId="310C1ABA" w:rsidR="005C7CC6" w:rsidRDefault="000C156D" w:rsidP="00842E10">
      <w:pPr>
        <w:pStyle w:val="Akapitzlist"/>
        <w:numPr>
          <w:ilvl w:val="0"/>
          <w:numId w:val="24"/>
        </w:numPr>
      </w:pPr>
      <w:r w:rsidRPr="000C156D">
        <w:t xml:space="preserve">budowanie świadomości społeczeństwa w zakresie różnic w oznakowaniu tworzyw, w celu </w:t>
      </w:r>
      <w:r w:rsidR="00DF3292">
        <w:t>ich lepszej</w:t>
      </w:r>
      <w:r w:rsidRPr="000C156D">
        <w:t xml:space="preserve"> segregacji </w:t>
      </w:r>
      <w:r w:rsidR="00BB677D">
        <w:t>odpadów</w:t>
      </w:r>
      <w:r w:rsidRPr="000C156D">
        <w:t xml:space="preserve"> </w:t>
      </w:r>
      <w:r w:rsidR="00BB677D">
        <w:t>i ich dalszego zagospodarowania</w:t>
      </w:r>
      <w:r w:rsidR="00F91F97">
        <w:t>;</w:t>
      </w:r>
    </w:p>
    <w:p w14:paraId="4B671739" w14:textId="3038EFDB" w:rsidR="00F00D2C" w:rsidRPr="00842E10" w:rsidRDefault="005C7CC6" w:rsidP="003530A9">
      <w:pPr>
        <w:pStyle w:val="Akapitzlist"/>
        <w:numPr>
          <w:ilvl w:val="0"/>
          <w:numId w:val="24"/>
        </w:numPr>
      </w:pPr>
      <w:r w:rsidRPr="005C7CC6">
        <w:t>promowanie działań mających skutkować pozyskiwaniem surowców</w:t>
      </w:r>
      <w:r>
        <w:t xml:space="preserve"> (zwłaszcza surowców krytycznych)</w:t>
      </w:r>
      <w:r w:rsidRPr="005C7CC6">
        <w:t xml:space="preserve"> </w:t>
      </w:r>
      <w:r>
        <w:t xml:space="preserve">w drodze recyklingu oraz </w:t>
      </w:r>
      <w:r w:rsidRPr="005C7CC6">
        <w:t>ze złóż antropogenicznych m. in. ze zwałowisk odpadów i</w:t>
      </w:r>
      <w:r w:rsidR="002353AC">
        <w:t> </w:t>
      </w:r>
      <w:r w:rsidRPr="005C7CC6">
        <w:t>obiektów unieszkodliwiania odpadów wydobywczych</w:t>
      </w:r>
      <w:r w:rsidR="00842E10">
        <w:t>.</w:t>
      </w:r>
    </w:p>
    <w:p w14:paraId="44224D71" w14:textId="3B9F4882" w:rsidR="00DE2B83" w:rsidRPr="00DE2B83" w:rsidRDefault="00DE2B83" w:rsidP="00DE2B83">
      <w:pPr>
        <w:pStyle w:val="PaMs"/>
        <w:rPr>
          <w:rFonts w:ascii="Lato" w:hAnsi="Lato"/>
          <w:sz w:val="20"/>
          <w:szCs w:val="22"/>
        </w:rPr>
      </w:pPr>
      <w:bookmarkStart w:id="304" w:name="_Hlk173747279"/>
      <w:r w:rsidRPr="00DE2B83">
        <w:rPr>
          <w:rFonts w:ascii="Lato" w:hAnsi="Lato"/>
          <w:sz w:val="20"/>
          <w:szCs w:val="22"/>
        </w:rPr>
        <w:t>Tworzywa sztuczne:</w:t>
      </w:r>
    </w:p>
    <w:p w14:paraId="3751170F" w14:textId="756D410E" w:rsidR="00DE2B83" w:rsidRPr="001D2E33" w:rsidRDefault="00DC56F3" w:rsidP="001D2E33">
      <w:r w:rsidRPr="00DE2B83">
        <w:rPr>
          <w:noProof/>
          <w:lang w:eastAsia="pl-PL"/>
        </w:rPr>
        <mc:AlternateContent>
          <mc:Choice Requires="wps">
            <w:drawing>
              <wp:anchor distT="0" distB="0" distL="114300" distR="114300" simplePos="0" relativeHeight="251610624" behindDoc="1" locked="0" layoutInCell="1" allowOverlap="1" wp14:anchorId="4E58DA86" wp14:editId="1B2FA8FE">
                <wp:simplePos x="0" y="0"/>
                <wp:positionH relativeFrom="margin">
                  <wp:posOffset>2919730</wp:posOffset>
                </wp:positionH>
                <wp:positionV relativeFrom="paragraph">
                  <wp:posOffset>66675</wp:posOffset>
                </wp:positionV>
                <wp:extent cx="2733675" cy="2286000"/>
                <wp:effectExtent l="19050" t="57150" r="123825" b="76200"/>
                <wp:wrapSquare wrapText="bothSides"/>
                <wp:docPr id="2042884938" name="Prostokąt: zaokrąglone rogi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2286000"/>
                        </a:xfrm>
                        <a:prstGeom prst="roundRect">
                          <a:avLst>
                            <a:gd name="adj" fmla="val 11857"/>
                          </a:avLst>
                        </a:prstGeom>
                        <a:solidFill>
                          <a:sysClr val="window" lastClr="FFFFFF"/>
                        </a:solidFill>
                        <a:ln w="9525" cap="flat" cmpd="sng" algn="ctr">
                          <a:solidFill>
                            <a:srgbClr val="70AD47"/>
                          </a:solidFill>
                          <a:prstDash val="solid"/>
                          <a:miter lim="800000"/>
                        </a:ln>
                        <a:effectLst>
                          <a:outerShdw blurRad="50800" dist="38100" algn="l" rotWithShape="0">
                            <a:prstClr val="black">
                              <a:alpha val="40000"/>
                            </a:prstClr>
                          </a:outerShdw>
                        </a:effectLst>
                      </wps:spPr>
                      <wps:txbx>
                        <w:txbxContent>
                          <w:p w14:paraId="4EAD1C5E" w14:textId="77777777" w:rsidR="00C36C5C" w:rsidRPr="004E21CF" w:rsidRDefault="00C36C5C" w:rsidP="00DE2B83">
                            <w:pPr>
                              <w:pStyle w:val="Ramka"/>
                            </w:pPr>
                            <w:r w:rsidRPr="0068482A">
                              <w:t>Tworzywa sztuczne to materiały, których podstawowym składnikiem są polimery – związki syntetyczne lub wielkocząsteczkowe zmodyfikowane naturalne związki. Oprócz polimerów, tworzywa sztuczne zawierają również środki pomocnicze, które mają na celu poprawienie ich własności użytkowych, obniżenie kosztu wytworzenia oraz poprawę walorów estetycznych. Środki pomocnicze dzielą się na dwie główne grupy: dodatki przetwórcze, które pomagają w przetwarzaniu tworzywa, oraz dodatki funkcjonalne, które wpływają na własności użytkowe tworzyw.</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8DA86" id="_x0000_s1101" style="position:absolute;left:0;text-align:left;margin-left:229.9pt;margin-top:5.25pt;width:215.25pt;height:180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" fillcolor="window" strokecolor="#70ad47">
                <v:stroke joinstyle="miter"/>
                <v:shadow on="t" color="black" opacity="26214f" origin="-.5" offset="3pt,0"/>
                <v:path arrowok="t"/>
                <v:textbox inset="2mm,2.5mm,2mm,0">
                  <w:txbxContent>
                    <w:p w14:paraId="4EAD1C5E" w14:textId="77777777" w:rsidR="00C36C5C" w:rsidRPr="004E21CF" w:rsidRDefault="00C36C5C" w:rsidP="00DE2B83">
                      <w:pPr>
                        <w:pStyle w:val="Ramka"/>
                      </w:pPr>
                      <w:r w:rsidRPr="0068482A">
                        <w:t>Tworzywa sztuczne to materiały, których podstawowym składnikiem są polimery – związki syntetyczne lub wielkocząsteczkowe zmodyfikowane naturalne związki. Oprócz polimerów, tworzywa sztuczne zawierają również środki pomocnicze, które mają na celu poprawienie ich własności użytkowych, obniżenie kosztu wytworzenia oraz poprawę walorów estetycznych. Środki pomocnicze dzielą się na dwie główne grupy: dodatki przetwórcze, które pomagają w przetwarzaniu tworzywa, oraz dodatki funkcjonalne, które wpływają na własności użytkowe tworzyw.</w:t>
                      </w:r>
                    </w:p>
                  </w:txbxContent>
                </v:textbox>
                <w10:wrap type="square" anchorx="margin"/>
              </v:roundrect>
            </w:pict>
          </mc:Fallback>
        </mc:AlternateContent>
      </w:r>
      <w:r w:rsidR="00DE2B83" w:rsidRPr="00DE2B83">
        <w:t>W ostatnich latach można zauważyć gwałtowny wzrost ilości produktów z tworzyw sztucznych, zarówno na świecie, jak i w Polsce. Tworzywa sztuczne są przede wszystkim wykorzystywane jako opakowania do różnego rodzaju żywności. W</w:t>
      </w:r>
      <w:r w:rsidR="002353AC">
        <w:t> </w:t>
      </w:r>
      <w:r w:rsidR="00DE2B83" w:rsidRPr="00DE2B83">
        <w:t>przeszłości ich użycie było niewielkie, jednak obecnie stanowią one znaczącą część naszego codziennego życia. Znajdują zastosowanie w</w:t>
      </w:r>
      <w:r w:rsidR="002353AC">
        <w:t> </w:t>
      </w:r>
      <w:r w:rsidR="00DE2B83" w:rsidRPr="00DE2B83">
        <w:t>budownictwie, medycynie, motoryzacji, artykułach codziennego użytku oraz opakowaniach.</w:t>
      </w:r>
      <w:r w:rsidR="00DE2B83">
        <w:rPr>
          <w:b/>
        </w:rPr>
        <w:t xml:space="preserve"> </w:t>
      </w:r>
      <w:r w:rsidR="00DE2B83" w:rsidRPr="00DE2B83">
        <w:t>Popularność produktów wykonanych z tworzyw sztucznych wynika głównie z niskiego kosztu produkcji, trwałości oraz odporności na czynniki zewnętrzne. Jednak te zalety użytkowe stają się wadą po wykorzystaniu wyrobów, czyniąc z nich jedną z najbardziej kłopotliwych kategorii odpadów.</w:t>
      </w:r>
    </w:p>
    <w:p w14:paraId="0B0CEB80" w14:textId="7B65B04A" w:rsidR="001D2E33" w:rsidRPr="001D2E33" w:rsidRDefault="001D2E33" w:rsidP="001D2E33">
      <w:r w:rsidRPr="001D2E33">
        <w:t>Dane statystyczne pokazują, że produkcja tworzyw sztucznych stale rośnie, co wiąże się ze zwiększeniem ilości odpadów w procesie ich przetwarzania i wzrostem ilości zużytych wyrobów. Odpady wytworzone z tworzyw sztucznych są najszybciej rozrastającą się grupą odpadów zarówno pod względem objętościowym, jak i wagowym. W samej Polsce roczne zużycie tworzyw sztucznych wynosi</w:t>
      </w:r>
      <w:r w:rsidR="009054B2">
        <w:t>ło</w:t>
      </w:r>
      <w:r w:rsidRPr="001D2E33">
        <w:t xml:space="preserve"> </w:t>
      </w:r>
      <w:r w:rsidR="001F022F">
        <w:t>ponad</w:t>
      </w:r>
      <w:r w:rsidRPr="001D2E33">
        <w:t xml:space="preserve"> </w:t>
      </w:r>
      <w:r w:rsidR="004D7AF4">
        <w:t>7</w:t>
      </w:r>
      <w:r w:rsidRPr="001D2E33">
        <w:t>0</w:t>
      </w:r>
      <w:r w:rsidR="002353AC">
        <w:t> </w:t>
      </w:r>
      <w:r w:rsidRPr="001D2E33">
        <w:t>kg na jednego mieszkańca. Wartości te niosą konieczność dobrego zagospodarowania nimi w taki sposób, by możliwy był ich odzysk lub recykling, a co za tym idzie zmniejszanie wykorzystywania surowców naturalnych do ich produkcji.</w:t>
      </w:r>
    </w:p>
    <w:p w14:paraId="6153B145" w14:textId="4972083F" w:rsidR="007E5BA9" w:rsidRPr="00CE287A" w:rsidRDefault="001D2E33" w:rsidP="0023311C">
      <w:r w:rsidRPr="001D2E33">
        <w:t xml:space="preserve">Należy pamiętać, że rozkład tworzyw sztucznych w wyniku biodegradacji przebiega bardzo powoli. Wyroby z tworzyw sztucznych, w zależności od wykorzystanego materiału, mogą rozkładać się w ziemi nawet kilkaset lat. Ponadto, składowanie odpadów z tworzyw sztucznych </w:t>
      </w:r>
      <w:r w:rsidR="009162B8">
        <w:t>ze</w:t>
      </w:r>
      <w:r w:rsidR="002353AC">
        <w:t> </w:t>
      </w:r>
      <w:r w:rsidR="009162B8">
        <w:t>względu na ich dużą objętość, powoduje szybsze wypełnianie składowisk,</w:t>
      </w:r>
      <w:r w:rsidRPr="001D2E33">
        <w:t xml:space="preserve"> </w:t>
      </w:r>
      <w:r w:rsidR="009162B8">
        <w:t>a dąży się do zminimalizowania powstawania nowych składowisk odpadów.</w:t>
      </w:r>
      <w:r w:rsidRPr="001D2E33">
        <w:t xml:space="preserve"> Na składowiska powinny trafiać tylko odpady, które nie nadają się już do jakiegokolwiek zagospodarowania. Większość odpadów z tworzyw sztucznych jest zbyt wartościowa, aby trafiać na składowisko, co czyni to zjawisko wyjątkowo niepożądanym</w:t>
      </w:r>
      <w:r w:rsidR="0023311C" w:rsidRPr="0023311C">
        <w:t>.</w:t>
      </w:r>
      <w:r w:rsidR="00440F30">
        <w:t xml:space="preserve"> </w:t>
      </w:r>
      <w:r w:rsidRPr="001D2E33">
        <w:t xml:space="preserve">Dodatkowo, </w:t>
      </w:r>
      <w:r w:rsidRPr="00CE287A">
        <w:t>ogromny problem stanowią tworzywa sztuczne sprowadzane z zagranicy, głównie z uwagi na rozprzestrzenienie się zakupów przez internet. Importowane produkty z tworzyw sztucznych często nie podlegają takiej samej kontroli jak te produkowane lokalnie, co utrudnia zarządzanie ich odpadami i zwiększa ryzyko zanieczyszczenia środowiska</w:t>
      </w:r>
      <w:r w:rsidR="00983784">
        <w:t>.</w:t>
      </w:r>
    </w:p>
    <w:p w14:paraId="605E2ED4" w14:textId="28A52EC9" w:rsidR="00440A51" w:rsidRDefault="00871B39" w:rsidP="00440A51">
      <w:r>
        <w:t>K</w:t>
      </w:r>
      <w:r w:rsidRPr="00871B39">
        <w:t>luczowym elementem zarządzania odpadami, który pozwala na zmniejszenie zużycia surowców naturalnych i ograniczenie ilości odpadów trafiających na składowiska</w:t>
      </w:r>
      <w:r>
        <w:t xml:space="preserve"> jest recykling. </w:t>
      </w:r>
      <w:r w:rsidR="005E4B3E">
        <w:t>W przypadku tworzyw sztucznych możemy mówić między innymi o:</w:t>
      </w:r>
      <w:r w:rsidR="00440A51">
        <w:t xml:space="preserve"> </w:t>
      </w:r>
      <w:r w:rsidR="00123DCF" w:rsidRPr="00123DCF">
        <w:t>r</w:t>
      </w:r>
      <w:r w:rsidR="00440A51" w:rsidRPr="00123DCF">
        <w:t>ecyklingu funkcjonalnym</w:t>
      </w:r>
      <w:r w:rsidR="00123DCF" w:rsidRPr="00123DCF">
        <w:t>, r</w:t>
      </w:r>
      <w:r w:rsidR="00440A51" w:rsidRPr="00123DCF">
        <w:t>ecyklingu materiałowym</w:t>
      </w:r>
      <w:r w:rsidR="00123DCF" w:rsidRPr="00123DCF">
        <w:t>, r</w:t>
      </w:r>
      <w:r w:rsidR="00440A51" w:rsidRPr="00123DCF">
        <w:t>ecyklingu chemicznym</w:t>
      </w:r>
      <w:r w:rsidR="00123DCF" w:rsidRPr="00123DCF">
        <w:t>, r</w:t>
      </w:r>
      <w:r w:rsidR="00440A51" w:rsidRPr="00123DCF">
        <w:t>ecyklingu biologicznym</w:t>
      </w:r>
      <w:r w:rsidR="00123DCF">
        <w:t xml:space="preserve"> oraz recyklingu energetycznym</w:t>
      </w:r>
      <w:r w:rsidR="00440A51">
        <w:t>.</w:t>
      </w:r>
    </w:p>
    <w:p w14:paraId="1365FE59" w14:textId="61DB0364" w:rsidR="00123DCF" w:rsidRPr="00CE287A" w:rsidRDefault="00123DCF" w:rsidP="00440A51">
      <w:r w:rsidRPr="00123DCF">
        <w:t>Jednym z głównych wyzwań w recyklingu tworzyw sztucznych są </w:t>
      </w:r>
      <w:r w:rsidRPr="00123DCF">
        <w:rPr>
          <w:b/>
          <w:bCs/>
        </w:rPr>
        <w:t>dodatki</w:t>
      </w:r>
      <w:r w:rsidRPr="00123DCF">
        <w:t xml:space="preserve"> używane w produkcji tworzyw sztucznych. Dodatki te, takie jak barwniki, stabilizatory UV, plastyfikatory i inne chemikalia, mogą </w:t>
      </w:r>
      <w:r w:rsidRPr="00123DCF">
        <w:lastRenderedPageBreak/>
        <w:t xml:space="preserve">utrudniać proces recyklingu, ponieważ mogą zmieniać właściwości fizyczne i chemiczne tworzyw sztucznych. </w:t>
      </w:r>
      <w:r w:rsidR="006C447B">
        <w:t>B</w:t>
      </w:r>
      <w:r w:rsidRPr="00123DCF">
        <w:t xml:space="preserve">arwniki mogą wpływać na kolor i czystość </w:t>
      </w:r>
      <w:r w:rsidR="008C6933" w:rsidRPr="00123DCF">
        <w:t>recyklingowego</w:t>
      </w:r>
      <w:r w:rsidRPr="00123DCF">
        <w:t xml:space="preserve"> materiału, a</w:t>
      </w:r>
      <w:r w:rsidR="002353AC">
        <w:t> </w:t>
      </w:r>
      <w:r w:rsidRPr="00123DCF">
        <w:t>stabilizatory UV mogą zmieniać jego trwałość.</w:t>
      </w:r>
      <w:r w:rsidR="00A54BF0">
        <w:t xml:space="preserve"> </w:t>
      </w:r>
      <w:r w:rsidR="00A54BF0" w:rsidRPr="00A54BF0">
        <w:t>Wyroby z tworzyw sztucznych powinno się projektować i wykonywać uwzględniając zarówno właściwości użytkowe jak i przydatność do recyklingu</w:t>
      </w:r>
      <w:r w:rsidR="00A54BF0">
        <w:t>.</w:t>
      </w:r>
    </w:p>
    <w:p w14:paraId="72417716" w14:textId="77777777" w:rsidR="00B64F0D" w:rsidRDefault="00B64F0D" w:rsidP="008C4B52">
      <w:pPr>
        <w:pStyle w:val="PaMs"/>
      </w:pPr>
      <w:r w:rsidRPr="008C4B52">
        <w:t>POLITYKA</w:t>
      </w:r>
    </w:p>
    <w:bookmarkEnd w:id="304"/>
    <w:p w14:paraId="09B6ACC8" w14:textId="77777777" w:rsidR="00A87EED" w:rsidRDefault="00A87EED" w:rsidP="00A87EED">
      <w:r>
        <w:t xml:space="preserve">Polityka w zakresie gospodarki odpadami ma skutkować </w:t>
      </w:r>
      <w:r w:rsidRPr="00EA04A1">
        <w:t>ograniczanie</w:t>
      </w:r>
      <w:r>
        <w:t>m</w:t>
      </w:r>
      <w:r w:rsidRPr="00EA04A1">
        <w:t xml:space="preserve"> wytwarzania odpadów, zwiększanie</w:t>
      </w:r>
      <w:r>
        <w:t>m</w:t>
      </w:r>
      <w:r w:rsidRPr="00EA04A1">
        <w:t xml:space="preserve"> ilości odpadów przekazywanych do recyklingu, eliminowanie</w:t>
      </w:r>
      <w:r>
        <w:t>m</w:t>
      </w:r>
      <w:r w:rsidRPr="00EA04A1">
        <w:t xml:space="preserve"> nieprawidłowo prowadzonego zagospodarowania odpadów, podnoszenie</w:t>
      </w:r>
      <w:r>
        <w:t>m</w:t>
      </w:r>
      <w:r w:rsidRPr="00EA04A1">
        <w:t xml:space="preserve"> świadomości ekologicznej społeczeństwa w</w:t>
      </w:r>
      <w:r>
        <w:t> </w:t>
      </w:r>
      <w:r w:rsidRPr="00EA04A1">
        <w:t>zakresie zapobiegania powstawaniu odpadów oraz właściwego postępowania z odpadami.</w:t>
      </w:r>
      <w:r>
        <w:t xml:space="preserve"> Powinno się to przyczynić do redukcji wpływu sektora odpadów na środowisko, w tym na redukcję zanieczyszczenia wód, lądu, jak również powietrza.</w:t>
      </w:r>
    </w:p>
    <w:p w14:paraId="400F35EB" w14:textId="314331D2" w:rsidR="00A87EED" w:rsidRPr="008E5FAE" w:rsidRDefault="00A87EED" w:rsidP="00A87EED">
      <w:pPr>
        <w:rPr>
          <w:szCs w:val="20"/>
        </w:rPr>
      </w:pPr>
      <w:r>
        <w:t xml:space="preserve">Realizacja celów będzie odbywać się m.in. przez wdrażanie </w:t>
      </w:r>
      <w:r w:rsidRPr="00391140">
        <w:t>uchwal</w:t>
      </w:r>
      <w:r>
        <w:t>onego w 2023 r.</w:t>
      </w:r>
      <w:r w:rsidRPr="00391140">
        <w:t xml:space="preserve"> </w:t>
      </w:r>
      <w:r w:rsidRPr="00743792">
        <w:rPr>
          <w:i/>
          <w:iCs/>
        </w:rPr>
        <w:t>Krajowego plan</w:t>
      </w:r>
      <w:r>
        <w:rPr>
          <w:i/>
          <w:iCs/>
        </w:rPr>
        <w:t>u</w:t>
      </w:r>
      <w:r w:rsidRPr="00743792">
        <w:rPr>
          <w:i/>
          <w:iCs/>
        </w:rPr>
        <w:t xml:space="preserve"> gospodarki odpadami 2028</w:t>
      </w:r>
      <w:r w:rsidRPr="00391140">
        <w:t xml:space="preserve"> (K</w:t>
      </w:r>
      <w:r>
        <w:t>PGO</w:t>
      </w:r>
      <w:r w:rsidRPr="00391140">
        <w:t xml:space="preserve"> 2028)</w:t>
      </w:r>
      <w:r>
        <w:t>.</w:t>
      </w:r>
      <w:r w:rsidR="003E2DE5">
        <w:t xml:space="preserve"> </w:t>
      </w:r>
      <w:r w:rsidRPr="008E5FAE">
        <w:rPr>
          <w:szCs w:val="20"/>
        </w:rPr>
        <w:t>Przyjęte w KPGO</w:t>
      </w:r>
      <w:r w:rsidRPr="008E5FAE">
        <w:rPr>
          <w:bCs/>
          <w:szCs w:val="20"/>
        </w:rPr>
        <w:t xml:space="preserve"> 2028 </w:t>
      </w:r>
      <w:r w:rsidRPr="008E5FAE">
        <w:rPr>
          <w:szCs w:val="20"/>
        </w:rPr>
        <w:t>kierunki polityki gospodarki odpadami znajdą odzwierciedlenie w wojewódzkich planach gospodarki odpadami.</w:t>
      </w:r>
    </w:p>
    <w:p w14:paraId="22945A3B" w14:textId="2DD0C90E" w:rsidR="00A87EED" w:rsidRDefault="00A87EED" w:rsidP="00A87EED">
      <w:r>
        <w:t>Wśród zaplanowanych w KPGO 2028 działań znajdują się w szczególności działania edukacyjno-informacyjne dotyczące zapobiegania powstawaniu odpadów (ZPO) i przeciwdziałaniu zaśmiecaniu; wspieranie rozwoju infrastruktury do ZPO i recyklingu odpadów; wspieranie badań w zakresie nowych technologii z zakresu ZPO oraz gospodarowania odpadami, rekomendowane działania dotyczące surowców krytycznych oraz służące przeciwdziałaniu zaśmiecaniu środowiska morskiego i lądowego.</w:t>
      </w:r>
    </w:p>
    <w:p w14:paraId="30564574" w14:textId="4E7BA687" w:rsidR="00A87EED" w:rsidRDefault="00A87EED" w:rsidP="00A87EED">
      <w:r>
        <w:t xml:space="preserve">Osiąganie celów wymaga zarówno wdrażania odpowiednich systemów, regulacji </w:t>
      </w:r>
      <w:r w:rsidR="00841A3E">
        <w:t xml:space="preserve">jak </w:t>
      </w:r>
      <w:r>
        <w:t>i zachęt, ale także zaangażowania na poziomie społecznym w zakresie ograniczania wytwarzania odpadów i ich segregacji oraz na wszystkich poziomach aktywności gospodarczej – od projektowania produktów i opakowań oraz procesów produkcyjnych, przez projektowanie procesów związanych z transportem produktów po</w:t>
      </w:r>
      <w:r w:rsidR="002353AC">
        <w:t> </w:t>
      </w:r>
      <w:r>
        <w:t xml:space="preserve">świadczenie usług w sposób racjonalny z punktu widzenia </w:t>
      </w:r>
      <w:r w:rsidR="008C6933">
        <w:t>wytwarzania</w:t>
      </w:r>
      <w:r>
        <w:t xml:space="preserve"> odpadów.</w:t>
      </w:r>
    </w:p>
    <w:p w14:paraId="2F5FFC23" w14:textId="78B07A55" w:rsidR="00E635A5" w:rsidRDefault="004D33D0" w:rsidP="00795A62">
      <w:r>
        <w:t>Ważnym element</w:t>
      </w:r>
      <w:r w:rsidR="00F904EC">
        <w:t>em</w:t>
      </w:r>
      <w:r>
        <w:t xml:space="preserve"> realizacji polityki będzie p</w:t>
      </w:r>
      <w:r w:rsidRPr="004D33D0">
        <w:t>romowanie obiegu zamkniętego i</w:t>
      </w:r>
      <w:r>
        <w:t> </w:t>
      </w:r>
      <w:r w:rsidRPr="004D33D0">
        <w:t>zrównoważonego wykorzystania opakowań poprzez zachęcanie do stosowania opakowań wielokrotnego użytku i</w:t>
      </w:r>
      <w:r w:rsidR="00CB6F5A">
        <w:t> </w:t>
      </w:r>
      <w:r w:rsidRPr="004D33D0">
        <w:t>systemów ponownego użycia.</w:t>
      </w:r>
      <w:r>
        <w:t xml:space="preserve"> Szczególną rolę odegra wdrożenie od </w:t>
      </w:r>
      <w:r w:rsidR="00326D5A">
        <w:t xml:space="preserve">października </w:t>
      </w:r>
      <w:r>
        <w:t xml:space="preserve">2025 r. systemu kaucyjnego obejmującego </w:t>
      </w:r>
      <w:r w:rsidRPr="004D33D0">
        <w:t>jednorazowe butelki z tworzyw sztucznych o pojemności do 3 litrów, szklane butelki wielokrotnego użytku do 1,5 litra oraz metalowe puszki o pojemności do 1 litra</w:t>
      </w:r>
      <w:r w:rsidR="00564E20">
        <w:t>.</w:t>
      </w:r>
      <w:r w:rsidR="00795A62">
        <w:t xml:space="preserve"> </w:t>
      </w:r>
    </w:p>
    <w:p w14:paraId="3437A70D" w14:textId="2552014C" w:rsidR="00E635A5" w:rsidRDefault="00E635A5" w:rsidP="00795A62">
      <w:r w:rsidRPr="00E635A5">
        <w:t>W ramach dyrektywy Single-Use Plastics (SUP), wprowadzono zakaz sprzedaży wielu produktów jednorazowego użytku z tworzyw sztucznych, takich jak sztućce, talerze, słomki, mieszadełka do</w:t>
      </w:r>
      <w:r w:rsidR="002353AC">
        <w:t> </w:t>
      </w:r>
      <w:r w:rsidRPr="00E635A5">
        <w:t>napojów, patyczki higieniczne oraz pojemniki na żywność i napoje ze styropianu.</w:t>
      </w:r>
    </w:p>
    <w:p w14:paraId="03B9029D" w14:textId="68F8F553" w:rsidR="00743792" w:rsidRDefault="00795A62" w:rsidP="008C4B52">
      <w:r w:rsidRPr="00795A62">
        <w:t>Przyszła polityka państwa w zakresie tworzyw sztucznych będzie kształtować się w oparciu o zapisy dotyczące projektowania wyrobów, jak i nowe ustawy dotyczące wyrobów jednorazowych oraz zarządzania odpadami z importu.</w:t>
      </w:r>
    </w:p>
    <w:p w14:paraId="6ADDB688" w14:textId="77777777" w:rsidR="00B64F0D" w:rsidRPr="00C46DAA" w:rsidRDefault="00B64F0D" w:rsidP="004948D8">
      <w:pPr>
        <w:pStyle w:val="PaMs"/>
      </w:pPr>
      <w:r w:rsidRPr="00C46DAA">
        <w:t>DZIAŁANIA</w:t>
      </w:r>
    </w:p>
    <w:bookmarkStart w:id="305" w:name="_Hlk173755001"/>
    <w:p w14:paraId="6D525602" w14:textId="40F55AB9" w:rsidR="00116DA9" w:rsidRDefault="00FF3BA3" w:rsidP="003530A9">
      <w:pPr>
        <w:pStyle w:val="Akapitzlist"/>
        <w:numPr>
          <w:ilvl w:val="0"/>
          <w:numId w:val="3"/>
        </w:numPr>
        <w:rPr>
          <w:szCs w:val="20"/>
        </w:rPr>
      </w:pPr>
      <w:r>
        <w:rPr>
          <w:szCs w:val="20"/>
        </w:rPr>
        <w:fldChar w:fldCharType="begin"/>
      </w:r>
      <w:r>
        <w:rPr>
          <w:szCs w:val="20"/>
        </w:rPr>
        <w:instrText xml:space="preserve"> REF _Ref202264436 \h </w:instrText>
      </w:r>
      <w:r>
        <w:rPr>
          <w:szCs w:val="20"/>
        </w:rPr>
      </w:r>
      <w:r>
        <w:rPr>
          <w:szCs w:val="20"/>
        </w:rPr>
        <w:fldChar w:fldCharType="separate"/>
      </w:r>
      <w:r w:rsidR="00871DD5">
        <w:t xml:space="preserve">Działanie </w:t>
      </w:r>
      <w:r w:rsidR="00871DD5">
        <w:rPr>
          <w:noProof/>
        </w:rPr>
        <w:t>94</w:t>
      </w:r>
      <w:r w:rsidR="00871DD5">
        <w:t xml:space="preserve">. </w:t>
      </w:r>
      <w:r w:rsidR="00871DD5" w:rsidRPr="00657716">
        <w:t>Ograniczanie nielegalnego przemieszczania odpadów oraz identyfikacja i</w:t>
      </w:r>
      <w:r w:rsidR="00871DD5">
        <w:t> </w:t>
      </w:r>
      <w:r w:rsidR="00871DD5" w:rsidRPr="00657716">
        <w:t>zapobieganie powstawaniu miejsc nielegalnego deponowania odpadów</w:t>
      </w:r>
      <w:r>
        <w:rPr>
          <w:szCs w:val="20"/>
        </w:rPr>
        <w:fldChar w:fldCharType="end"/>
      </w:r>
    </w:p>
    <w:p w14:paraId="7BB6152E" w14:textId="47F84DDC" w:rsidR="0001104D" w:rsidRPr="0001104D" w:rsidRDefault="0001104D" w:rsidP="003530A9">
      <w:pPr>
        <w:pStyle w:val="Akapitzlist"/>
        <w:numPr>
          <w:ilvl w:val="0"/>
          <w:numId w:val="3"/>
        </w:numPr>
        <w:rPr>
          <w:szCs w:val="20"/>
        </w:rPr>
      </w:pPr>
      <w:r w:rsidRPr="0001104D">
        <w:rPr>
          <w:szCs w:val="20"/>
        </w:rPr>
        <w:fldChar w:fldCharType="begin"/>
      </w:r>
      <w:r w:rsidRPr="0001104D">
        <w:rPr>
          <w:szCs w:val="20"/>
        </w:rPr>
        <w:instrText xml:space="preserve"> REF _Ref195887613 \h </w:instrText>
      </w:r>
      <w:r>
        <w:rPr>
          <w:szCs w:val="20"/>
        </w:rPr>
        <w:instrText xml:space="preserve"> \* MERGEFORMAT </w:instrText>
      </w:r>
      <w:r w:rsidRPr="0001104D">
        <w:rPr>
          <w:szCs w:val="20"/>
        </w:rPr>
      </w:r>
      <w:r w:rsidRPr="0001104D">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99</w:t>
      </w:r>
      <w:r w:rsidR="00871DD5" w:rsidRPr="00871DD5">
        <w:rPr>
          <w:rStyle w:val="Nagwek6Znak"/>
          <w:rFonts w:ascii="Lato" w:hAnsi="Lato"/>
          <w:b w:val="0"/>
          <w:bCs/>
        </w:rPr>
        <w:t xml:space="preserve">. </w:t>
      </w:r>
      <w:r w:rsidR="00871DD5" w:rsidRPr="00871DD5">
        <w:rPr>
          <w:rFonts w:eastAsia="Times New Roman" w:cs="Times New Roman"/>
          <w:kern w:val="0"/>
          <w:lang w:eastAsia="pl-PL"/>
          <w14:ligatures w14:val="none"/>
        </w:rPr>
        <w:t xml:space="preserve">Ograniczenie wykorzystania </w:t>
      </w:r>
      <w:r w:rsidRPr="0001104D">
        <w:rPr>
          <w:szCs w:val="20"/>
        </w:rPr>
        <w:fldChar w:fldCharType="end"/>
      </w:r>
      <w:r w:rsidR="00326D5A">
        <w:rPr>
          <w:szCs w:val="20"/>
        </w:rPr>
        <w:t>tworzyw sztucznych</w:t>
      </w:r>
    </w:p>
    <w:p w14:paraId="4F354C27" w14:textId="644BAE51" w:rsidR="0001104D" w:rsidRDefault="0001104D" w:rsidP="003530A9">
      <w:pPr>
        <w:pStyle w:val="Akapitzlist"/>
        <w:numPr>
          <w:ilvl w:val="0"/>
          <w:numId w:val="3"/>
        </w:numPr>
        <w:rPr>
          <w:szCs w:val="20"/>
        </w:rPr>
      </w:pPr>
      <w:r w:rsidRPr="0001104D">
        <w:rPr>
          <w:szCs w:val="20"/>
        </w:rPr>
        <w:fldChar w:fldCharType="begin"/>
      </w:r>
      <w:r w:rsidRPr="0001104D">
        <w:rPr>
          <w:szCs w:val="20"/>
        </w:rPr>
        <w:instrText xml:space="preserve"> REF _Ref195887625 \h </w:instrText>
      </w:r>
      <w:r>
        <w:rPr>
          <w:szCs w:val="20"/>
        </w:rPr>
        <w:instrText xml:space="preserve"> \* MERGEFORMAT </w:instrText>
      </w:r>
      <w:r w:rsidRPr="0001104D">
        <w:rPr>
          <w:szCs w:val="20"/>
        </w:rPr>
      </w:r>
      <w:r w:rsidRPr="0001104D">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100</w:t>
      </w:r>
      <w:r w:rsidR="00871DD5" w:rsidRPr="00871DD5">
        <w:rPr>
          <w:rStyle w:val="Nagwek6Znak"/>
          <w:rFonts w:ascii="Lato" w:hAnsi="Lato"/>
          <w:b w:val="0"/>
        </w:rPr>
        <w:t xml:space="preserve">. </w:t>
      </w:r>
      <w:r w:rsidR="00871DD5" w:rsidRPr="00FB68C2">
        <w:t xml:space="preserve">Gospodarka </w:t>
      </w:r>
      <w:r w:rsidR="00871DD5">
        <w:t>o o</w:t>
      </w:r>
      <w:r w:rsidR="00871DD5" w:rsidRPr="00FB68C2">
        <w:t xml:space="preserve">biegu </w:t>
      </w:r>
      <w:r w:rsidR="00871DD5">
        <w:t>z</w:t>
      </w:r>
      <w:r w:rsidR="00871DD5" w:rsidRPr="00FB68C2">
        <w:t>amknięt</w:t>
      </w:r>
      <w:r w:rsidR="00871DD5">
        <w:t>ym</w:t>
      </w:r>
      <w:r w:rsidRPr="0001104D">
        <w:rPr>
          <w:szCs w:val="20"/>
        </w:rPr>
        <w:fldChar w:fldCharType="end"/>
      </w:r>
    </w:p>
    <w:p w14:paraId="458C75D0" w14:textId="27138801" w:rsidR="00F11D46" w:rsidRPr="0001104D" w:rsidRDefault="00F11D46" w:rsidP="003530A9">
      <w:pPr>
        <w:pStyle w:val="Akapitzlist"/>
        <w:numPr>
          <w:ilvl w:val="0"/>
          <w:numId w:val="3"/>
        </w:numPr>
        <w:rPr>
          <w:szCs w:val="20"/>
        </w:rPr>
      </w:pPr>
      <w:r>
        <w:rPr>
          <w:szCs w:val="20"/>
        </w:rPr>
        <w:fldChar w:fldCharType="begin"/>
      </w:r>
      <w:r>
        <w:rPr>
          <w:szCs w:val="20"/>
        </w:rPr>
        <w:instrText xml:space="preserve"> REF _Ref195891109 \h </w:instrText>
      </w:r>
      <w:r w:rsidR="000C7666">
        <w:rPr>
          <w:szCs w:val="20"/>
        </w:rPr>
        <w:instrText xml:space="preserve"> \* MERGEFORMAT </w:instrText>
      </w:r>
      <w:r>
        <w:rPr>
          <w:szCs w:val="20"/>
        </w:rPr>
      </w:r>
      <w:r>
        <w:rPr>
          <w:szCs w:val="20"/>
        </w:rPr>
        <w:fldChar w:fldCharType="separate"/>
      </w:r>
      <w:r w:rsidR="00871DD5" w:rsidRPr="00871DD5">
        <w:rPr>
          <w:rStyle w:val="Nagwek6Znak"/>
          <w:rFonts w:ascii="Lato" w:hAnsi="Lato"/>
          <w:b w:val="0"/>
          <w:bCs/>
        </w:rPr>
        <w:t xml:space="preserve">Działanie </w:t>
      </w:r>
      <w:r w:rsidR="00871DD5" w:rsidRPr="00871DD5">
        <w:rPr>
          <w:lang w:eastAsia="pl-PL"/>
        </w:rPr>
        <w:t xml:space="preserve">139. </w:t>
      </w:r>
      <w:r w:rsidR="00871DD5" w:rsidRPr="00D53D10">
        <w:rPr>
          <w:lang w:eastAsia="pl-PL"/>
        </w:rPr>
        <w:t>Wzmacnianie cyberbezpieczeństwa w sektorze gospodarowania odpadami</w:t>
      </w:r>
      <w:r>
        <w:rPr>
          <w:szCs w:val="20"/>
        </w:rPr>
        <w:fldChar w:fldCharType="end"/>
      </w:r>
    </w:p>
    <w:p w14:paraId="22F91054" w14:textId="27100316" w:rsidR="00FA5DFB" w:rsidRDefault="00FA5DFB" w:rsidP="00FA5DFB">
      <w:pPr>
        <w:pStyle w:val="Nagwek3"/>
        <w:rPr>
          <w:color w:val="70AD47" w:themeColor="accent6"/>
        </w:rPr>
      </w:pPr>
      <w:bookmarkStart w:id="306" w:name="_Toc195897267"/>
      <w:bookmarkStart w:id="307" w:name="_Toc195899512"/>
      <w:bookmarkStart w:id="308" w:name="_Toc195897268"/>
      <w:bookmarkStart w:id="309" w:name="_Toc205203173"/>
      <w:bookmarkEnd w:id="305"/>
      <w:bookmarkEnd w:id="306"/>
      <w:bookmarkEnd w:id="307"/>
      <w:r w:rsidRPr="00FA5DFB">
        <w:rPr>
          <w:color w:val="70AD47" w:themeColor="accent6"/>
        </w:rPr>
        <w:lastRenderedPageBreak/>
        <w:t xml:space="preserve">Gospodarka </w:t>
      </w:r>
      <w:r w:rsidR="00841A3E">
        <w:rPr>
          <w:color w:val="70AD47" w:themeColor="accent6"/>
        </w:rPr>
        <w:t xml:space="preserve">o </w:t>
      </w:r>
      <w:r w:rsidRPr="00FA5DFB">
        <w:rPr>
          <w:color w:val="70AD47" w:themeColor="accent6"/>
        </w:rPr>
        <w:t>obiegu zamknięt</w:t>
      </w:r>
      <w:r w:rsidR="00841A3E">
        <w:rPr>
          <w:color w:val="70AD47" w:themeColor="accent6"/>
        </w:rPr>
        <w:t>ym</w:t>
      </w:r>
      <w:bookmarkEnd w:id="308"/>
      <w:bookmarkEnd w:id="309"/>
    </w:p>
    <w:p w14:paraId="79CE58FE" w14:textId="2AD0121A" w:rsidR="00A95744" w:rsidRDefault="00333813" w:rsidP="00A95744">
      <w:r w:rsidRPr="00FA5DFB">
        <w:rPr>
          <w:noProof/>
          <w:lang w:eastAsia="pl-PL"/>
        </w:rPr>
        <mc:AlternateContent>
          <mc:Choice Requires="wps">
            <w:drawing>
              <wp:anchor distT="0" distB="0" distL="114300" distR="114300" simplePos="0" relativeHeight="251546112" behindDoc="1" locked="0" layoutInCell="1" allowOverlap="1" wp14:anchorId="3E89246A" wp14:editId="288A4566">
                <wp:simplePos x="0" y="0"/>
                <wp:positionH relativeFrom="page">
                  <wp:posOffset>3916045</wp:posOffset>
                </wp:positionH>
                <wp:positionV relativeFrom="paragraph">
                  <wp:posOffset>68580</wp:posOffset>
                </wp:positionV>
                <wp:extent cx="2710815" cy="2520950"/>
                <wp:effectExtent l="19050" t="57150" r="108585" b="69850"/>
                <wp:wrapSquare wrapText="bothSides"/>
                <wp:docPr id="1996521671" name="Prostokąt: zaokrąglone rogi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815" cy="2520950"/>
                        </a:xfrm>
                        <a:prstGeom prst="roundRect">
                          <a:avLst>
                            <a:gd name="adj" fmla="val 6243"/>
                          </a:avLst>
                        </a:prstGeom>
                        <a:solidFill>
                          <a:sysClr val="window" lastClr="FFFFFF"/>
                        </a:solidFill>
                        <a:ln w="9525" cap="flat" cmpd="sng" algn="ctr">
                          <a:solidFill>
                            <a:srgbClr val="70AD47"/>
                          </a:solidFill>
                          <a:prstDash val="solid"/>
                          <a:miter lim="800000"/>
                        </a:ln>
                        <a:effectLst>
                          <a:outerShdw blurRad="50800" dist="38100" algn="l" rotWithShape="0">
                            <a:prstClr val="black">
                              <a:alpha val="40000"/>
                            </a:prstClr>
                          </a:outerShdw>
                        </a:effectLst>
                      </wps:spPr>
                      <wps:txbx>
                        <w:txbxContent>
                          <w:p w14:paraId="78985E5F" w14:textId="78FC368F" w:rsidR="00C36C5C" w:rsidRPr="001B5FBB" w:rsidRDefault="00C36C5C" w:rsidP="001B5FBB">
                            <w:pPr>
                              <w:pStyle w:val="Ramka"/>
                            </w:pPr>
                            <w:r w:rsidRPr="00215424">
                              <w:rPr>
                                <w:color w:val="auto"/>
                                <w:sz w:val="20"/>
                                <w:szCs w:val="22"/>
                              </w:rPr>
                              <w:t xml:space="preserve"> </w:t>
                            </w:r>
                            <w:r w:rsidRPr="001B5FBB">
                              <w:t>GOZ to model gospodarczy, w którym – przy zachowaniu warunku wydajności</w:t>
                            </w:r>
                            <w:r>
                              <w:t xml:space="preserve"> s</w:t>
                            </w:r>
                            <w:r w:rsidRPr="001B5FBB">
                              <w:t>pełnione są</w:t>
                            </w:r>
                            <w:r>
                              <w:t> </w:t>
                            </w:r>
                            <w:r w:rsidRPr="001B5FBB">
                              <w:t>następujące podstawowe założenia:</w:t>
                            </w:r>
                          </w:p>
                          <w:p w14:paraId="4D6A3EBF" w14:textId="6770B930" w:rsidR="00C36C5C" w:rsidRPr="001B5FBB" w:rsidRDefault="00C36C5C" w:rsidP="001B5FBB">
                            <w:pPr>
                              <w:pStyle w:val="Ramka"/>
                            </w:pPr>
                            <w:r w:rsidRPr="001B5FBB">
                              <w:t>a) wartość dodana surowców/zasobów, materiałów i</w:t>
                            </w:r>
                            <w:r>
                              <w:t> </w:t>
                            </w:r>
                            <w:r w:rsidRPr="001B5FBB">
                              <w:t>produktów jest</w:t>
                            </w:r>
                            <w:r>
                              <w:t xml:space="preserve"> </w:t>
                            </w:r>
                            <w:r w:rsidRPr="001B5FBB">
                              <w:t>maksymalizowana lub</w:t>
                            </w:r>
                          </w:p>
                          <w:p w14:paraId="4A42C647" w14:textId="0C249BE3" w:rsidR="00C36C5C" w:rsidRPr="004E21CF" w:rsidRDefault="00C36C5C" w:rsidP="001B5FBB">
                            <w:pPr>
                              <w:pStyle w:val="Ramka"/>
                            </w:pPr>
                            <w:r w:rsidRPr="001B5FBB">
                              <w:t>b) ilość wytwarzanych odpadów jest minimalizowana, a powstające odpady</w:t>
                            </w:r>
                            <w:r>
                              <w:t xml:space="preserve"> </w:t>
                            </w:r>
                            <w:r w:rsidRPr="001B5FBB">
                              <w:t>są zagospodarowywane zgodnie z hierarchią sposobów postępowania z</w:t>
                            </w:r>
                            <w:r>
                              <w:t xml:space="preserve"> </w:t>
                            </w:r>
                            <w:r w:rsidRPr="001B5FBB">
                              <w:t>odpadami (zapobieganie powstawaniu odpadów, przygotowywanie do</w:t>
                            </w:r>
                            <w:r>
                              <w:t xml:space="preserve"> </w:t>
                            </w:r>
                            <w:r w:rsidRPr="001B5FBB">
                              <w:t>ponownego użycia, recykling, inne sposoby odzysku, unieszkodliwienie)</w:t>
                            </w:r>
                            <w:r>
                              <w:t>.</w:t>
                            </w:r>
                            <w:r w:rsidRPr="001B5FBB" w:rsidDel="00FA5DFB">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89246A" id="_x0000_s1102" style="position:absolute;left:0;text-align:left;margin-left:308.35pt;margin-top:5.4pt;width:213.45pt;height:198.5pt;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40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" fillcolor="window" strokecolor="#70ad47">
                <v:stroke joinstyle="miter"/>
                <v:shadow on="t" color="black" opacity="26214f" origin="-.5" offset="3pt,0"/>
                <v:path arrowok="t"/>
                <v:textbox inset="2mm,2.5mm,2mm,0">
                  <w:txbxContent>
                    <w:p w14:paraId="78985E5F" w14:textId="78FC368F" w:rsidR="00C36C5C" w:rsidRPr="001B5FBB" w:rsidRDefault="00C36C5C" w:rsidP="001B5FBB">
                      <w:pPr>
                        <w:pStyle w:val="Ramka"/>
                      </w:pPr>
                      <w:r w:rsidRPr="00215424">
                        <w:rPr>
                          <w:color w:val="auto"/>
                          <w:sz w:val="20"/>
                          <w:szCs w:val="22"/>
                        </w:rPr>
                        <w:t xml:space="preserve"> </w:t>
                      </w:r>
                      <w:r w:rsidRPr="001B5FBB">
                        <w:t>GOZ to model gospodarczy, w którym – przy zachowaniu warunku wydajności</w:t>
                      </w:r>
                      <w:r>
                        <w:t xml:space="preserve"> s</w:t>
                      </w:r>
                      <w:r w:rsidRPr="001B5FBB">
                        <w:t>pełnione są</w:t>
                      </w:r>
                      <w:r>
                        <w:t> </w:t>
                      </w:r>
                      <w:r w:rsidRPr="001B5FBB">
                        <w:t>następujące podstawowe założenia:</w:t>
                      </w:r>
                    </w:p>
                    <w:p w14:paraId="4D6A3EBF" w14:textId="6770B930" w:rsidR="00C36C5C" w:rsidRPr="001B5FBB" w:rsidRDefault="00C36C5C" w:rsidP="001B5FBB">
                      <w:pPr>
                        <w:pStyle w:val="Ramka"/>
                      </w:pPr>
                      <w:r w:rsidRPr="001B5FBB">
                        <w:t>a) wartość dodana surowców/zasobów, materiałów i</w:t>
                      </w:r>
                      <w:r>
                        <w:t> </w:t>
                      </w:r>
                      <w:r w:rsidRPr="001B5FBB">
                        <w:t>produktów jest</w:t>
                      </w:r>
                      <w:r>
                        <w:t xml:space="preserve"> </w:t>
                      </w:r>
                      <w:r w:rsidRPr="001B5FBB">
                        <w:t>maksymalizowana lub</w:t>
                      </w:r>
                    </w:p>
                    <w:p w14:paraId="4A42C647" w14:textId="0C249BE3" w:rsidR="00C36C5C" w:rsidRPr="004E21CF" w:rsidRDefault="00C36C5C" w:rsidP="001B5FBB">
                      <w:pPr>
                        <w:pStyle w:val="Ramka"/>
                      </w:pPr>
                      <w:r w:rsidRPr="001B5FBB">
                        <w:t>b) ilość wytwarzanych odpadów jest minimalizowana, a powstające odpady</w:t>
                      </w:r>
                      <w:r>
                        <w:t xml:space="preserve"> </w:t>
                      </w:r>
                      <w:r w:rsidRPr="001B5FBB">
                        <w:t>są zagospodarowywane zgodnie z hierarchią sposobów postępowania z</w:t>
                      </w:r>
                      <w:r>
                        <w:t xml:space="preserve"> </w:t>
                      </w:r>
                      <w:r w:rsidRPr="001B5FBB">
                        <w:t>odpadami (zapobieganie powstawaniu odpadów, przygotowywanie do</w:t>
                      </w:r>
                      <w:r>
                        <w:t xml:space="preserve"> </w:t>
                      </w:r>
                      <w:r w:rsidRPr="001B5FBB">
                        <w:t>ponownego użycia, recykling, inne sposoby odzysku, unieszkodliwienie)</w:t>
                      </w:r>
                      <w:r>
                        <w:t>.</w:t>
                      </w:r>
                      <w:r w:rsidRPr="001B5FBB" w:rsidDel="00FA5DFB">
                        <w:t xml:space="preserve"> </w:t>
                      </w:r>
                    </w:p>
                  </w:txbxContent>
                </v:textbox>
                <w10:wrap type="square" anchorx="page"/>
              </v:roundrect>
            </w:pict>
          </mc:Fallback>
        </mc:AlternateContent>
      </w:r>
      <w:r w:rsidR="00A95744">
        <w:t xml:space="preserve">Gospodarka </w:t>
      </w:r>
      <w:r w:rsidR="009417D3">
        <w:t>o</w:t>
      </w:r>
      <w:r w:rsidR="00841A3E">
        <w:t xml:space="preserve"> o</w:t>
      </w:r>
      <w:r w:rsidR="00A95744">
        <w:t xml:space="preserve">biegu </w:t>
      </w:r>
      <w:r w:rsidR="009417D3">
        <w:t>z</w:t>
      </w:r>
      <w:r w:rsidR="00A95744">
        <w:t>amknięt</w:t>
      </w:r>
      <w:r w:rsidR="00841A3E">
        <w:t>ym</w:t>
      </w:r>
      <w:r w:rsidR="00A95744">
        <w:t xml:space="preserve"> (GOZ</w:t>
      </w:r>
      <w:r>
        <w:t>)</w:t>
      </w:r>
      <w:r w:rsidR="00A95744">
        <w:t xml:space="preserve"> to</w:t>
      </w:r>
      <w:r w:rsidR="002353AC">
        <w:t> </w:t>
      </w:r>
      <w:r w:rsidR="00A95744">
        <w:t>nowoczesny model ekonomiczny,</w:t>
      </w:r>
      <w:r w:rsidR="009417D3">
        <w:t xml:space="preserve"> w</w:t>
      </w:r>
      <w:r w:rsidR="00A95744">
        <w:t xml:space="preserve"> który</w:t>
      </w:r>
      <w:r w:rsidR="009417D3">
        <w:t>m</w:t>
      </w:r>
      <w:r w:rsidR="00A95744">
        <w:t xml:space="preserve"> dąży </w:t>
      </w:r>
      <w:r w:rsidR="009417D3">
        <w:t xml:space="preserve">się </w:t>
      </w:r>
      <w:r w:rsidR="00A95744">
        <w:t>do zminimalizowania odpadów i maksymalizacji efektywności wykorzystania zasobów poprzez ich wielokrotne użycie, recykling i odzysk. Główne cele GOZ obejmują minimalizację odpadów, oszczędność zasobów, redukcję emisji CO</w:t>
      </w:r>
      <w:r w:rsidR="00A95744" w:rsidRPr="009417D3">
        <w:rPr>
          <w:vertAlign w:val="subscript"/>
        </w:rPr>
        <w:t>2</w:t>
      </w:r>
      <w:r w:rsidR="00A95744">
        <w:t xml:space="preserve"> oraz wzrost innowacji. Minimalizacja odpadów polega na ograniczeniu ilości generowanych odpadów poprzez efektywne zarządzanie zasobami i procesami produkcyjnymi. Oszczędność zasobów to optymalizacja zużycia surowców naturalnych przez ponowne wykorzystanie materiałów i produktów. Wzrost innowacji stymuluje rozwój nowych technologii i</w:t>
      </w:r>
      <w:r w:rsidR="002353AC">
        <w:t> </w:t>
      </w:r>
      <w:r w:rsidR="00A95744">
        <w:t>metod zarządzania zasobami,</w:t>
      </w:r>
      <w:r w:rsidR="00BA6892">
        <w:t xml:space="preserve"> zamknięcia obiegów materiałowych czy podniesienie jakości produktów.</w:t>
      </w:r>
    </w:p>
    <w:p w14:paraId="67634450" w14:textId="422D539E" w:rsidR="0060412F" w:rsidRDefault="00EA0CE1" w:rsidP="0060412F">
      <w:pPr>
        <w:pStyle w:val="Nagwek4"/>
        <w:rPr>
          <w:color w:val="70AD47" w:themeColor="accent6"/>
        </w:rPr>
      </w:pPr>
      <w:bookmarkStart w:id="310" w:name="_Toc195897269"/>
      <w:bookmarkStart w:id="311" w:name="_Toc205203174"/>
      <w:r>
        <w:rPr>
          <w:color w:val="70AD47" w:themeColor="accent6"/>
        </w:rPr>
        <w:t xml:space="preserve">Wspieranie transformacji w kierunku </w:t>
      </w:r>
      <w:r w:rsidR="00C677CA" w:rsidRPr="00A35928">
        <w:rPr>
          <w:color w:val="70AD47" w:themeColor="accent6"/>
        </w:rPr>
        <w:t xml:space="preserve">gospodarki </w:t>
      </w:r>
      <w:r w:rsidR="00841A3E">
        <w:rPr>
          <w:color w:val="70AD47" w:themeColor="accent6"/>
        </w:rPr>
        <w:t>o</w:t>
      </w:r>
      <w:r w:rsidR="006F3153">
        <w:rPr>
          <w:color w:val="70AD47" w:themeColor="accent6"/>
        </w:rPr>
        <w:t> </w:t>
      </w:r>
      <w:r w:rsidR="00C677CA" w:rsidRPr="00A35928">
        <w:rPr>
          <w:color w:val="70AD47" w:themeColor="accent6"/>
        </w:rPr>
        <w:t>obiegu zamknięt</w:t>
      </w:r>
      <w:r w:rsidR="00841A3E">
        <w:rPr>
          <w:color w:val="70AD47" w:themeColor="accent6"/>
        </w:rPr>
        <w:t>ym</w:t>
      </w:r>
      <w:bookmarkEnd w:id="310"/>
      <w:bookmarkEnd w:id="311"/>
    </w:p>
    <w:p w14:paraId="32C630BD" w14:textId="0B533941" w:rsidR="00CD089A" w:rsidRDefault="00CD089A" w:rsidP="00CD089A">
      <w:r w:rsidRPr="00CD089A">
        <w:t>W obliczu wyczerpywania się surowców nieodnawialnych, rosnących cen oraz uzależnienia Polski od</w:t>
      </w:r>
      <w:r w:rsidR="003903F9">
        <w:t> </w:t>
      </w:r>
      <w:r w:rsidRPr="00CD089A">
        <w:t xml:space="preserve">importu tych surowców, transformacja w kierunku GOZ staje się kluczowa dla zapewnienia zrównoważonego rozwoju gospodarczego oraz ochrony środowiska. Wprowadzenie GOZ wymaga reform na każdym etapie cyklu życia produktu – od projektowania, przez pozyskiwanie surowców, przetwórstwo i produkcję, aż po konsumpcję i </w:t>
      </w:r>
      <w:r w:rsidR="00841A3E">
        <w:t>gospodarowanie</w:t>
      </w:r>
      <w:r w:rsidRPr="00CD089A">
        <w:t xml:space="preserve"> odpadami. W przeciwieństwie do modelu gospodarki linearnej, który polega na prostym „weź – wyprodukuj – zużyj – wyrzuć”, GOZ traktuje odpady jako surowce wtórne, </w:t>
      </w:r>
      <w:r w:rsidR="00841A3E">
        <w:t xml:space="preserve">możliwe do </w:t>
      </w:r>
      <w:r w:rsidRPr="00CD089A">
        <w:t>wykorzystania w produkcji. Dlatego przyjęcie zasad GOZ nie tylko przyczynia się do zmniejszenia negatywnego wpływu na środowisko, ale także stwarza nowe możliwości rozwoju gospodarczego i innowacji, wzmacniając konkurencyjność Polski na rynku międzynarodowym.</w:t>
      </w:r>
    </w:p>
    <w:p w14:paraId="11D0593A" w14:textId="12C822DF" w:rsidR="00041A35" w:rsidRDefault="00041A35" w:rsidP="00CD089A">
      <w:r>
        <w:t>GOZ znajduje także coraz szersze zastosowanie – jako warunek wyjściowy w ramach innych aktów prawnych, podobnie jak zasada „</w:t>
      </w:r>
      <w:r w:rsidR="00585A2B">
        <w:t>efektywność</w:t>
      </w:r>
      <w:r>
        <w:t xml:space="preserve"> energetyczna przede wszystkim”</w:t>
      </w:r>
      <w:r>
        <w:rPr>
          <w:rStyle w:val="Odwoanieprzypisudolnego"/>
        </w:rPr>
        <w:footnoteReference w:id="67"/>
      </w:r>
      <w:r>
        <w:t>. Przykładem jest w</w:t>
      </w:r>
      <w:r w:rsidRPr="00041A35">
        <w:t>prowadzone w</w:t>
      </w:r>
      <w:r>
        <w:t xml:space="preserve"> UE</w:t>
      </w:r>
      <w:r w:rsidRPr="00041A35">
        <w:t xml:space="preserve"> rozporządzenie </w:t>
      </w:r>
      <w:r>
        <w:t>2024/</w:t>
      </w:r>
      <w:r w:rsidR="00330978">
        <w:t xml:space="preserve">1252 </w:t>
      </w:r>
      <w:r w:rsidRPr="00041A35">
        <w:t>dot</w:t>
      </w:r>
      <w:r w:rsidR="00F6748E">
        <w:t>yczące</w:t>
      </w:r>
      <w:r w:rsidRPr="00041A35">
        <w:t xml:space="preserve"> surowców krytycznych</w:t>
      </w:r>
      <w:r>
        <w:t>, które</w:t>
      </w:r>
      <w:r w:rsidRPr="00041A35">
        <w:t xml:space="preserve"> nakłada na państwa członkowskie obowiązki wdrożenia środków mających na celu poprawę recyklingu odpadów posiadających surowce krytyczne. Państwa członkowskie i podmioty prywatne będą musiały zbadać potencjał odzysku surowców krytycznych z odpadów wydobywczych w ramach bieżącej działalności wydobywczej, ale także z historycznych składowisk odpadów wydobywczych. Aby zmniejszyć zależność od państw trzecich w zakresie dostępu do surowców krytycznych, UE wyznaczyła cel, aby do 2030 r</w:t>
      </w:r>
      <w:r w:rsidR="00585A2B">
        <w:t>.</w:t>
      </w:r>
      <w:r w:rsidRPr="00041A35">
        <w:t>, co</w:t>
      </w:r>
      <w:r w:rsidR="003903F9">
        <w:t> </w:t>
      </w:r>
      <w:r w:rsidRPr="00041A35">
        <w:t>najmniej 25% rocznego zużycia surowców strategicznych w UE pochodziło z wewnętrznego recyklingu</w:t>
      </w:r>
      <w:r w:rsidR="00585A2B">
        <w:t>.</w:t>
      </w:r>
    </w:p>
    <w:p w14:paraId="300563C0" w14:textId="151503B1" w:rsidR="00CD089A" w:rsidRPr="00CD089A" w:rsidRDefault="00CD089A" w:rsidP="00CD089A">
      <w:pPr>
        <w:pBdr>
          <w:top w:val="single" w:sz="24" w:space="2" w:color="D9D9D9" w:themeColor="background1" w:themeShade="D9"/>
          <w:left w:val="single" w:sz="24" w:space="4" w:color="D9D9D9" w:themeColor="background1" w:themeShade="D9"/>
          <w:bottom w:val="single" w:sz="24" w:space="0" w:color="D9D9D9" w:themeColor="background1" w:themeShade="D9"/>
          <w:right w:val="single" w:sz="24" w:space="4" w:color="D9D9D9" w:themeColor="background1" w:themeShade="D9"/>
        </w:pBdr>
        <w:shd w:val="clear" w:color="auto" w:fill="D9D9D9" w:themeFill="background1" w:themeFillShade="D9"/>
        <w:spacing w:before="160" w:after="360"/>
        <w:jc w:val="center"/>
        <w:rPr>
          <w:rFonts w:cs="Calibri"/>
          <w:sz w:val="24"/>
        </w:rPr>
      </w:pPr>
      <w:r w:rsidRPr="00CD089A">
        <w:rPr>
          <w:rFonts w:cs="Calibri"/>
          <w:sz w:val="24"/>
        </w:rPr>
        <w:t xml:space="preserve">Polska będzie dążyła do </w:t>
      </w:r>
      <w:r w:rsidRPr="00CD089A">
        <w:rPr>
          <w:rFonts w:cs="Calibri"/>
          <w:b/>
          <w:bCs/>
          <w:sz w:val="24"/>
        </w:rPr>
        <w:t xml:space="preserve">wzrostu potencjału gospodarki </w:t>
      </w:r>
      <w:r w:rsidR="00841A3E">
        <w:rPr>
          <w:rFonts w:cs="Calibri"/>
          <w:b/>
          <w:bCs/>
          <w:sz w:val="24"/>
        </w:rPr>
        <w:t xml:space="preserve">o </w:t>
      </w:r>
      <w:r w:rsidRPr="00CD089A">
        <w:rPr>
          <w:rFonts w:cs="Calibri"/>
          <w:b/>
          <w:bCs/>
          <w:sz w:val="24"/>
        </w:rPr>
        <w:t>obiegu zamknięt</w:t>
      </w:r>
      <w:r w:rsidR="00841A3E">
        <w:rPr>
          <w:rFonts w:cs="Calibri"/>
          <w:b/>
          <w:bCs/>
          <w:sz w:val="24"/>
        </w:rPr>
        <w:t>ym</w:t>
      </w:r>
      <w:r w:rsidRPr="00CD089A">
        <w:rPr>
          <w:rFonts w:cs="Calibri"/>
          <w:sz w:val="24"/>
        </w:rPr>
        <w:t xml:space="preserve"> poprzez zmniejszenie zużycia surowców naturalnych, zwiększenie produktywności zasobów, innowacyjne zamówienia publiczne oraz ekoinnowacje.</w:t>
      </w:r>
    </w:p>
    <w:p w14:paraId="7C2E5EDF" w14:textId="20FD0649" w:rsidR="00CD089A" w:rsidRDefault="00CD089A" w:rsidP="00CD089A">
      <w:pPr>
        <w:rPr>
          <w:b/>
          <w:bCs/>
        </w:rPr>
      </w:pPr>
      <w:r>
        <w:rPr>
          <w:b/>
          <w:bCs/>
        </w:rPr>
        <w:lastRenderedPageBreak/>
        <w:t xml:space="preserve">Do celów ogólnych w zakresie wzrostu efektywności gospodarki </w:t>
      </w:r>
      <w:r w:rsidR="00841A3E">
        <w:rPr>
          <w:b/>
          <w:bCs/>
        </w:rPr>
        <w:t xml:space="preserve">o </w:t>
      </w:r>
      <w:r>
        <w:rPr>
          <w:b/>
          <w:bCs/>
        </w:rPr>
        <w:t>obiegu zamknięt</w:t>
      </w:r>
      <w:r w:rsidR="00841A3E">
        <w:rPr>
          <w:b/>
          <w:bCs/>
        </w:rPr>
        <w:t>ym</w:t>
      </w:r>
      <w:r>
        <w:rPr>
          <w:b/>
          <w:bCs/>
        </w:rPr>
        <w:t xml:space="preserve"> można zaliczyć poniższe:</w:t>
      </w:r>
    </w:p>
    <w:p w14:paraId="3DD54EF7" w14:textId="1FA20962" w:rsidR="00CD089A" w:rsidRDefault="00CD089A" w:rsidP="000625AC">
      <w:pPr>
        <w:pStyle w:val="Akapitzlist"/>
        <w:numPr>
          <w:ilvl w:val="0"/>
          <w:numId w:val="30"/>
        </w:numPr>
        <w:ind w:left="426"/>
      </w:pPr>
      <w:r w:rsidRPr="00C064CB">
        <w:t>Oszczędność zasobów</w:t>
      </w:r>
      <w:r>
        <w:t xml:space="preserve"> –</w:t>
      </w:r>
      <w:r w:rsidRPr="00C064CB">
        <w:t xml:space="preserve"> </w:t>
      </w:r>
      <w:r>
        <w:t>o</w:t>
      </w:r>
      <w:r w:rsidRPr="00C064CB">
        <w:t>ptymalizacja zużycia surowców naturalnych przez ponowne wykorzystanie materiałów i produktów</w:t>
      </w:r>
      <w:r w:rsidR="006C78E5">
        <w:t>;</w:t>
      </w:r>
    </w:p>
    <w:p w14:paraId="3B432E1A" w14:textId="0CF1FE14" w:rsidR="00CD089A" w:rsidRDefault="00CD089A" w:rsidP="000625AC">
      <w:pPr>
        <w:pStyle w:val="Akapitzlist"/>
        <w:numPr>
          <w:ilvl w:val="0"/>
          <w:numId w:val="30"/>
        </w:numPr>
        <w:ind w:left="426"/>
      </w:pPr>
      <w:r w:rsidRPr="00BA6892">
        <w:t>Zwiększenie bezpieczeństwa surowcowego</w:t>
      </w:r>
      <w:r>
        <w:t xml:space="preserve"> – z</w:t>
      </w:r>
      <w:r w:rsidRPr="00BA6892">
        <w:t>apewnienie stabilnego dostępu do niezbędnych surowców poprzez ich odzysk i ponowne użycie</w:t>
      </w:r>
      <w:r w:rsidR="006C78E5">
        <w:t>;</w:t>
      </w:r>
    </w:p>
    <w:p w14:paraId="1B4C6327" w14:textId="7207A2A5" w:rsidR="00CD089A" w:rsidRDefault="00CD089A" w:rsidP="000625AC">
      <w:pPr>
        <w:pStyle w:val="Akapitzlist"/>
        <w:numPr>
          <w:ilvl w:val="0"/>
          <w:numId w:val="30"/>
        </w:numPr>
        <w:ind w:left="426"/>
      </w:pPr>
      <w:r>
        <w:t>Zmniejszenie zużycia surowców pierwotnych – redukcja eksploatacji zasobów naturalnych poprzez wykorzystywanie surowców wtórnych</w:t>
      </w:r>
      <w:r w:rsidR="006C78E5">
        <w:t>;</w:t>
      </w:r>
    </w:p>
    <w:p w14:paraId="5C84A27D" w14:textId="1568B655" w:rsidR="00CD089A" w:rsidRDefault="00CD089A" w:rsidP="000625AC">
      <w:pPr>
        <w:pStyle w:val="Akapitzlist"/>
        <w:numPr>
          <w:ilvl w:val="0"/>
          <w:numId w:val="30"/>
        </w:numPr>
        <w:ind w:left="426"/>
      </w:pPr>
      <w:r>
        <w:t>Podniesienie jakości produktów – produkowanie</w:t>
      </w:r>
      <w:r w:rsidR="00841A3E">
        <w:t xml:space="preserve"> produktów</w:t>
      </w:r>
      <w:r>
        <w:t xml:space="preserve"> trwałych i łatwych do naprawy oraz recyklingu</w:t>
      </w:r>
      <w:r w:rsidR="006C78E5">
        <w:t>;</w:t>
      </w:r>
    </w:p>
    <w:p w14:paraId="675A6EA6" w14:textId="01ABC1B5" w:rsidR="00CD089A" w:rsidRDefault="00CD089A" w:rsidP="000625AC">
      <w:pPr>
        <w:pStyle w:val="Akapitzlist"/>
        <w:numPr>
          <w:ilvl w:val="0"/>
          <w:numId w:val="30"/>
        </w:numPr>
        <w:ind w:left="426"/>
      </w:pPr>
      <w:r w:rsidRPr="00BA6892">
        <w:t>Wzrost innowacji</w:t>
      </w:r>
      <w:r>
        <w:t xml:space="preserve"> – s</w:t>
      </w:r>
      <w:r w:rsidRPr="00BA6892">
        <w:t>tymulowanie rozwoju nowych technologii i metod zarządzania zasobami</w:t>
      </w:r>
      <w:r w:rsidR="00777FC4">
        <w:t>;</w:t>
      </w:r>
    </w:p>
    <w:p w14:paraId="6B8C13C8" w14:textId="690C148B" w:rsidR="00841A3E" w:rsidRDefault="00841A3E" w:rsidP="000625AC">
      <w:pPr>
        <w:pStyle w:val="Akapitzlist"/>
        <w:numPr>
          <w:ilvl w:val="0"/>
          <w:numId w:val="30"/>
        </w:numPr>
        <w:ind w:left="426"/>
      </w:pPr>
      <w:r w:rsidRPr="00C064CB">
        <w:t xml:space="preserve">Minimalizacja odpadów </w:t>
      </w:r>
      <w:r>
        <w:t>– o</w:t>
      </w:r>
      <w:r w:rsidRPr="00C064CB">
        <w:t xml:space="preserve">graniczenie ilości </w:t>
      </w:r>
      <w:r w:rsidR="001C29C1">
        <w:t>wytwarzanych</w:t>
      </w:r>
      <w:r w:rsidR="0019397A">
        <w:t xml:space="preserve"> </w:t>
      </w:r>
      <w:r w:rsidRPr="00C064CB">
        <w:t>odpadów przez efektywne zarządzanie zasobami i procesami produkcyjnymi</w:t>
      </w:r>
      <w:r w:rsidR="007E3E90">
        <w:t>.</w:t>
      </w:r>
    </w:p>
    <w:p w14:paraId="1353BCF6" w14:textId="77777777" w:rsidR="00CD089A" w:rsidRDefault="00CD089A" w:rsidP="00CA6554">
      <w:pPr>
        <w:pStyle w:val="Bezodstpw"/>
      </w:pPr>
    </w:p>
    <w:p w14:paraId="0E84D700" w14:textId="5A92BBCE" w:rsidR="00CD089A" w:rsidRDefault="00CD089A" w:rsidP="00CD089A">
      <w:r>
        <w:rPr>
          <w:b/>
          <w:bCs/>
        </w:rPr>
        <w:t>W</w:t>
      </w:r>
      <w:r w:rsidRPr="00FF362D">
        <w:rPr>
          <w:b/>
          <w:bCs/>
        </w:rPr>
        <w:t xml:space="preserve"> kontekście transformacji klimatyczno-energetycznej</w:t>
      </w:r>
      <w:r>
        <w:t xml:space="preserve"> istotne jest zintegrowanie działań, które pozwolą na bardziej zrównoważone zarządzanie zasobami, redukcję emisji gazów cieplarnianych oraz ograniczenie zużycia surowców. </w:t>
      </w:r>
      <w:r w:rsidRPr="00CE3F44">
        <w:t>W sektorze energetyki, kluczowym celem GOZ jest transformacja w</w:t>
      </w:r>
      <w:r w:rsidR="00AB5919">
        <w:t> </w:t>
      </w:r>
      <w:r w:rsidRPr="00CE3F44">
        <w:t>kierunku zamknięcia cykli materiałowych i energetycznych. Oznacza to zwiększenie udziału odnawialnych źródeł energii, poprawę efektywności energetycznej oraz wdrażanie innowacyjnych technologii, które minimalizują negatywny wpływ na środowisko. Przykładem takich działań jest rozwój</w:t>
      </w:r>
      <w:r w:rsidR="00515EC2">
        <w:t xml:space="preserve"> </w:t>
      </w:r>
      <w:r w:rsidR="00FD252C">
        <w:t>wytwarzania biometanu – pochodzącego z odpadów</w:t>
      </w:r>
      <w:r w:rsidR="007E3E90">
        <w:t>.</w:t>
      </w:r>
    </w:p>
    <w:p w14:paraId="1938E63B" w14:textId="22EE7797" w:rsidR="00CD089A" w:rsidRDefault="00CD089A" w:rsidP="00CD089A">
      <w:r w:rsidRPr="00CE3F44">
        <w:t>W kontekście GOZ, istotne jest również optymalne wykorzystanie energii i materiałów. Obejmuje to</w:t>
      </w:r>
      <w:r w:rsidR="003903F9">
        <w:t> </w:t>
      </w:r>
      <w:r w:rsidRPr="00CE3F44">
        <w:t xml:space="preserve">zwiększenie efektywności systemów energetycznych, minimalizację strat ciepła oraz recykling odpadów </w:t>
      </w:r>
      <w:r w:rsidR="001C29C1">
        <w:t>poprocesowych</w:t>
      </w:r>
      <w:r w:rsidRPr="00CE3F44">
        <w:t xml:space="preserve">, takich jak popioły i żużle. Wykorzystanie ciepła odpadowego z procesów przemysłowych do produkcji energii to kolejny krok w kierunku zamknięcia cyklu materiałów. </w:t>
      </w:r>
    </w:p>
    <w:p w14:paraId="36E526FF" w14:textId="7CFB7954" w:rsidR="00CD089A" w:rsidRPr="00CE3F44" w:rsidRDefault="00CD089A" w:rsidP="00CD089A">
      <w:r w:rsidRPr="00CE3F44">
        <w:t xml:space="preserve">W przemyśle energochłonnym, takim jak produkcja cementu czy </w:t>
      </w:r>
      <w:r>
        <w:t>stali</w:t>
      </w:r>
      <w:r w:rsidRPr="00CE3F44">
        <w:t xml:space="preserve">, zwiększenie efektywności GOZ jest szczególnie istotne ze względu na wysokie emisje gazów cieplarnianych związane z procesami produkcji. Cementownie są jednym z największych źródeł emisji </w:t>
      </w:r>
      <w:r>
        <w:t>CO</w:t>
      </w:r>
      <w:r w:rsidRPr="00473488">
        <w:rPr>
          <w:vertAlign w:val="subscript"/>
        </w:rPr>
        <w:t>2</w:t>
      </w:r>
      <w:r w:rsidRPr="00CE3F44">
        <w:t>, głównie z powodu procesu wypalania klinkieru oraz spalania paliw kopalnych. W ramach GOZ wdrażane są technologie pozwalające na recykling materiałów, takie jak wykorzystanie popiołów i żużli powstałych podczas spalania, które mogą być przetwarzane na nowe materiały budowlane</w:t>
      </w:r>
      <w:r w:rsidR="00620EBD">
        <w:t>, czy</w:t>
      </w:r>
      <w:r w:rsidR="00092576">
        <w:t xml:space="preserve"> </w:t>
      </w:r>
      <w:r w:rsidR="00620EBD">
        <w:t xml:space="preserve">wykorzystanie złomu stalowego w </w:t>
      </w:r>
      <w:r w:rsidR="00092576">
        <w:t>przemy</w:t>
      </w:r>
      <w:r w:rsidR="00620EBD">
        <w:t>śle</w:t>
      </w:r>
      <w:r w:rsidR="00092576">
        <w:t xml:space="preserve"> stalow</w:t>
      </w:r>
      <w:r w:rsidR="00620EBD">
        <w:t>ym.</w:t>
      </w:r>
      <w:r w:rsidR="00092576">
        <w:t xml:space="preserve"> </w:t>
      </w:r>
      <w:r w:rsidRPr="00CE3F44">
        <w:t>Dodatkowo, stosowanie alternatywnych paliw, takich jak odpady organiczne czy biogaz, może znacznie obniżyć emisje i zmniejszyć zależność od paliw kopalnych.</w:t>
      </w:r>
      <w:r>
        <w:t xml:space="preserve"> </w:t>
      </w:r>
      <w:r w:rsidRPr="00CE3F44">
        <w:t xml:space="preserve">Technologie </w:t>
      </w:r>
      <w:r w:rsidR="00DA1E59">
        <w:t>wychwytu i</w:t>
      </w:r>
      <w:r w:rsidR="00CB6F5A">
        <w:t> </w:t>
      </w:r>
      <w:r w:rsidR="00DA1E59">
        <w:t>wykorzystania CO</w:t>
      </w:r>
      <w:r w:rsidR="00DA1E59" w:rsidRPr="00AB5919">
        <w:rPr>
          <w:vertAlign w:val="subscript"/>
        </w:rPr>
        <w:t>2</w:t>
      </w:r>
      <w:r w:rsidR="00DA1E59" w:rsidRPr="00CE3F44">
        <w:t xml:space="preserve"> (</w:t>
      </w:r>
      <w:r w:rsidR="00DA1E59">
        <w:t>CCU</w:t>
      </w:r>
      <w:r w:rsidR="00DA1E59" w:rsidRPr="00CE3F44">
        <w:t>)</w:t>
      </w:r>
      <w:r w:rsidRPr="00CE3F44">
        <w:t xml:space="preserve"> </w:t>
      </w:r>
      <w:r w:rsidR="002A4374">
        <w:t>odegrają rolę</w:t>
      </w:r>
      <w:r w:rsidRPr="00CE3F44">
        <w:t xml:space="preserve"> w</w:t>
      </w:r>
      <w:r>
        <w:t> </w:t>
      </w:r>
      <w:r w:rsidRPr="00CE3F44">
        <w:t>przemyśle energochłonnym</w:t>
      </w:r>
      <w:r w:rsidR="00731263">
        <w:t xml:space="preserve">, </w:t>
      </w:r>
      <w:r w:rsidR="00731263" w:rsidRPr="00731263">
        <w:t>przy założeniu wykorzystania wychwyconego dwutlenku węgla dla celów gospodarczych lub dekarbonizacji innych sektorów (np.</w:t>
      </w:r>
      <w:r w:rsidR="003903F9">
        <w:t> </w:t>
      </w:r>
      <w:r w:rsidR="00731263" w:rsidRPr="00731263">
        <w:t>sektora lotniczego</w:t>
      </w:r>
      <w:r w:rsidR="00620EBD">
        <w:t>)</w:t>
      </w:r>
      <w:r w:rsidRPr="00CE3F44">
        <w:t>. W przypadku przemysłu cementowego, integracja tych technologii z</w:t>
      </w:r>
      <w:r>
        <w:t> </w:t>
      </w:r>
      <w:r w:rsidRPr="00CE3F44">
        <w:t>procesami produkcji może prowadzić do znacznej poprawy efektywności i zminimalizowania wpływu na klimat.</w:t>
      </w:r>
      <w:r>
        <w:t xml:space="preserve"> Rozwój biogazu i biometanu również stanowi istotne elementy strategii GOZ. Wykorzystanie biogazu i</w:t>
      </w:r>
      <w:r w:rsidR="007E3E90">
        <w:t> </w:t>
      </w:r>
      <w:r>
        <w:t xml:space="preserve">biometanu w systemach energetycznych oraz przemysłowych przyczyni się do zamknięcia cyklu </w:t>
      </w:r>
      <w:r w:rsidR="00B92F68">
        <w:t>obiegu materii organicznej</w:t>
      </w:r>
      <w:r>
        <w:t xml:space="preserve">, zmniejszenia zależności od paliw kopalnych oraz redukcji emisji gazów cieplarnianych. </w:t>
      </w:r>
    </w:p>
    <w:p w14:paraId="2C8983DC" w14:textId="566A7B9B" w:rsidR="00683180" w:rsidRPr="00683180" w:rsidRDefault="00683180" w:rsidP="00683180">
      <w:r w:rsidRPr="00683180">
        <w:t>W kontekście</w:t>
      </w:r>
      <w:r w:rsidR="008207B4" w:rsidRPr="008207B4">
        <w:t xml:space="preserve"> recyklingu i </w:t>
      </w:r>
      <w:r w:rsidR="00BB677D">
        <w:t>zagospodarowania zużytych</w:t>
      </w:r>
      <w:r w:rsidR="008207B4" w:rsidRPr="008207B4">
        <w:t xml:space="preserve"> pomp ciepła oraz ogniw fotowoltaicznych</w:t>
      </w:r>
      <w:r w:rsidRPr="00683180">
        <w:t>, konieczne jest</w:t>
      </w:r>
      <w:r w:rsidR="008207B4" w:rsidRPr="008207B4">
        <w:t xml:space="preserve"> opracowanie skutecznych rozwiązań w zakresie ich odpowiedzialnego zarządzania po</w:t>
      </w:r>
      <w:r w:rsidR="003903F9">
        <w:t> </w:t>
      </w:r>
      <w:r w:rsidR="008207B4" w:rsidRPr="008207B4">
        <w:t>zakończeniu okresu eksploatacji.</w:t>
      </w:r>
      <w:r w:rsidRPr="00683180">
        <w:t xml:space="preserve"> Pompy ciepła, po zakończeniu okresu eksploatacji, mogą być poddawane recyklingowi, który obejmuje odzyskiwanie cennych materiałów, takich jak miedź, aluminium, stal oraz komponenty elektroniczne</w:t>
      </w:r>
      <w:r w:rsidR="00777FC4">
        <w:t>.</w:t>
      </w:r>
      <w:r w:rsidR="003E2DE5">
        <w:t xml:space="preserve"> </w:t>
      </w:r>
      <w:r w:rsidRPr="00683180">
        <w:t>Proces ten wymaga specjalistycznego podejścia, w tym bezpiecznego usuwania i recyklingu czynnika chłodniczego, który może być szkodliwy dla środowiska</w:t>
      </w:r>
      <w:r w:rsidR="00777FC4">
        <w:t>.</w:t>
      </w:r>
      <w:r w:rsidRPr="00683180">
        <w:t> </w:t>
      </w:r>
    </w:p>
    <w:p w14:paraId="4D91D7E1" w14:textId="572EEE1D" w:rsidR="00683180" w:rsidRPr="00683180" w:rsidRDefault="00683180" w:rsidP="00683180">
      <w:r w:rsidRPr="00683180">
        <w:t>Podobnie, ogniwa fotowoltaiczne, które osiągnęły koniec swojej żywotności, mogą być poddawane recyklingowi, co pozwala na odzyskiwanie surowców takich jak szkło, aluminium, miedź oraz krzem</w:t>
      </w:r>
      <w:r>
        <w:t xml:space="preserve">. </w:t>
      </w:r>
      <w:r w:rsidRPr="00683180">
        <w:t>Proces recyklingu ogniw fotowoltaicznych jest bardziej skomplikowany ze względu na obecność toksycznych metali, takich jak ołów i kadm, które wymagają specjalistycznego przetwarzania</w:t>
      </w:r>
      <w:r w:rsidR="00DA1E59">
        <w:t>.</w:t>
      </w:r>
      <w:r w:rsidRPr="00683180">
        <w:t> </w:t>
      </w:r>
    </w:p>
    <w:p w14:paraId="1015DC02" w14:textId="77777777" w:rsidR="00CD089A" w:rsidRDefault="00CD089A" w:rsidP="00CD089A">
      <w:pPr>
        <w:pStyle w:val="PaMs"/>
      </w:pPr>
      <w:r w:rsidRPr="008C4B52">
        <w:lastRenderedPageBreak/>
        <w:t>POLITYKA</w:t>
      </w:r>
    </w:p>
    <w:p w14:paraId="31A5E443" w14:textId="53223815" w:rsidR="00CD089A" w:rsidRDefault="00CD089A" w:rsidP="00CD089A">
      <w:r w:rsidRPr="00DA0D8A">
        <w:t xml:space="preserve">Polityka w zakresie </w:t>
      </w:r>
      <w:r w:rsidRPr="00473488">
        <w:rPr>
          <w:b/>
          <w:bCs/>
        </w:rPr>
        <w:t xml:space="preserve">gospodarki </w:t>
      </w:r>
      <w:r w:rsidR="007E3E90">
        <w:rPr>
          <w:b/>
          <w:bCs/>
        </w:rPr>
        <w:t xml:space="preserve">o </w:t>
      </w:r>
      <w:r w:rsidRPr="00473488">
        <w:rPr>
          <w:b/>
          <w:bCs/>
        </w:rPr>
        <w:t>obiegu zamknięt</w:t>
      </w:r>
      <w:r w:rsidR="007E3E90">
        <w:rPr>
          <w:b/>
          <w:bCs/>
        </w:rPr>
        <w:t>ym</w:t>
      </w:r>
      <w:r w:rsidRPr="00DA0D8A">
        <w:t xml:space="preserve"> ma na celu stworzenie ram prawnych, ekonomicznych i społecznych, które wspierają transformację z tradycyjnego modelu gospodarki liniowej do modelu cyrkularnego. Kluczowe obszary tej polityki obejmują legislację i regulacje, inwestycje w</w:t>
      </w:r>
      <w:r>
        <w:t> </w:t>
      </w:r>
      <w:r w:rsidRPr="00DA0D8A">
        <w:t>infrastrukturę, wspieranie innowacji i badań, zachęty ekonomiczne, edukację i świadomość społeczną</w:t>
      </w:r>
      <w:r>
        <w:t>.</w:t>
      </w:r>
    </w:p>
    <w:p w14:paraId="4432A645" w14:textId="241B25E1" w:rsidR="00CD089A" w:rsidRDefault="00CD089A" w:rsidP="00CD089A">
      <w:r w:rsidRPr="00DA0D8A">
        <w:t xml:space="preserve">Aktualne strategie krajowe, takie jak </w:t>
      </w:r>
      <w:r w:rsidRPr="00971DC1">
        <w:rPr>
          <w:i/>
          <w:iCs/>
        </w:rPr>
        <w:t>Polityka ekologiczna państwa 2030</w:t>
      </w:r>
      <w:r w:rsidRPr="00DA0D8A">
        <w:t xml:space="preserve"> oraz </w:t>
      </w:r>
      <w:r w:rsidRPr="00971DC1">
        <w:rPr>
          <w:i/>
          <w:iCs/>
        </w:rPr>
        <w:t>Krajowy plan gospodarki odpadami 2028</w:t>
      </w:r>
      <w:r w:rsidRPr="00DA0D8A">
        <w:t xml:space="preserve"> kładą duży nacisk na implementację zasad GOZ. </w:t>
      </w:r>
      <w:r w:rsidRPr="00971DC1">
        <w:rPr>
          <w:i/>
          <w:iCs/>
        </w:rPr>
        <w:t>Polityka ekologiczna państwa 2030</w:t>
      </w:r>
      <w:r w:rsidRPr="00DA0D8A">
        <w:t xml:space="preserve"> skupia się na zrównoważonym zarządzaniu zasobami i ochronie środowiska, podczas gdy </w:t>
      </w:r>
      <w:r w:rsidRPr="00971DC1">
        <w:rPr>
          <w:i/>
          <w:iCs/>
        </w:rPr>
        <w:t>Krajowy plan gospodarki odpadami 2028</w:t>
      </w:r>
      <w:r w:rsidRPr="00DA0D8A">
        <w:t xml:space="preserve"> koncentruje się na zwiększeniu recyklingu, zmniejszeniu ilości odpadów składowanych oraz promowaniu odzysku surowców.</w:t>
      </w:r>
      <w:r w:rsidR="00585A2B">
        <w:t xml:space="preserve"> Warto również</w:t>
      </w:r>
      <w:r w:rsidR="00585A2B" w:rsidRPr="00585A2B">
        <w:t xml:space="preserve"> wskazać, że zadania w zakresie pozyskiwania surowców ze złóż antropogenicznych oraz wspieranie rozwoju gospodarki o obiegu zamkniętym jest jednym z celów szczegółowych realizowanych w ramach </w:t>
      </w:r>
      <w:r w:rsidR="00585A2B" w:rsidRPr="00585A2B">
        <w:rPr>
          <w:i/>
          <w:iCs/>
        </w:rPr>
        <w:t>Polityki Surowcowej Państwa 2050</w:t>
      </w:r>
      <w:r w:rsidR="00585A2B">
        <w:t xml:space="preserve"> (</w:t>
      </w:r>
      <w:hyperlink r:id="rId71" w:history="1">
        <w:r w:rsidR="00585A2B" w:rsidRPr="00585A2B">
          <w:rPr>
            <w:rStyle w:val="Hipercze"/>
          </w:rPr>
          <w:t>link</w:t>
        </w:r>
      </w:hyperlink>
      <w:r w:rsidR="00585A2B">
        <w:t>)</w:t>
      </w:r>
      <w:r w:rsidR="00585A2B">
        <w:rPr>
          <w:i/>
          <w:iCs/>
        </w:rPr>
        <w:t>.</w:t>
      </w:r>
    </w:p>
    <w:p w14:paraId="279E3D3C" w14:textId="6850A440" w:rsidR="00CD089A" w:rsidRDefault="007E0B22" w:rsidP="001F7F05">
      <w:r>
        <w:t>Działaniom dotyczącym GOZ</w:t>
      </w:r>
      <w:r w:rsidR="00A30700">
        <w:t xml:space="preserve"> kierunek nadała także</w:t>
      </w:r>
      <w:r>
        <w:t xml:space="preserve"> </w:t>
      </w:r>
      <w:r w:rsidR="00CD089A" w:rsidRPr="00971DC1">
        <w:rPr>
          <w:i/>
          <w:iCs/>
        </w:rPr>
        <w:t>Mapa drogowa</w:t>
      </w:r>
      <w:r w:rsidR="00A30700">
        <w:rPr>
          <w:i/>
          <w:iCs/>
        </w:rPr>
        <w:t>.</w:t>
      </w:r>
      <w:r w:rsidR="00CD089A" w:rsidRPr="00971DC1">
        <w:rPr>
          <w:i/>
          <w:iCs/>
        </w:rPr>
        <w:t xml:space="preserve"> Transformacji w kierunku gospodarki o</w:t>
      </w:r>
      <w:r w:rsidR="001F7F05">
        <w:rPr>
          <w:i/>
          <w:iCs/>
        </w:rPr>
        <w:t> </w:t>
      </w:r>
      <w:r w:rsidR="00CD089A" w:rsidRPr="00971DC1">
        <w:rPr>
          <w:i/>
          <w:iCs/>
        </w:rPr>
        <w:t>obiegu zamkniętym</w:t>
      </w:r>
      <w:r w:rsidR="00CD089A">
        <w:t>, która wyznacz</w:t>
      </w:r>
      <w:r w:rsidR="00A30700">
        <w:t>yła</w:t>
      </w:r>
      <w:r w:rsidR="00CD089A">
        <w:t xml:space="preserve"> konkretne kroki i działa</w:t>
      </w:r>
      <w:r w:rsidR="001F7F05">
        <w:t>nia obszarowe.</w:t>
      </w:r>
    </w:p>
    <w:p w14:paraId="4D67BD90" w14:textId="2BC45FDC" w:rsidR="002125E1" w:rsidRPr="00C46DAA" w:rsidRDefault="002125E1" w:rsidP="002125E1">
      <w:pPr>
        <w:pStyle w:val="PaMs"/>
      </w:pPr>
      <w:r w:rsidRPr="00E03647">
        <w:t>DZIAŁANIA</w:t>
      </w:r>
    </w:p>
    <w:p w14:paraId="19CE8747" w14:textId="58CB26F7" w:rsidR="00222955" w:rsidRPr="00C46DAA" w:rsidRDefault="00222955" w:rsidP="00222955">
      <w:pPr>
        <w:pStyle w:val="Akapitzlist"/>
        <w:numPr>
          <w:ilvl w:val="0"/>
          <w:numId w:val="3"/>
        </w:numPr>
      </w:pPr>
      <w:r>
        <w:fldChar w:fldCharType="begin"/>
      </w:r>
      <w:r>
        <w:instrText xml:space="preserve"> REF _Ref203397900 \h  \* MERGEFORMAT </w:instrText>
      </w:r>
      <w:r>
        <w:fldChar w:fldCharType="separate"/>
      </w:r>
      <w:r w:rsidR="00871DD5">
        <w:t xml:space="preserve">Działanie 12. </w:t>
      </w:r>
      <w:r w:rsidR="00871DD5" w:rsidRPr="00B178F3">
        <w:t>Pakiet wsparcia rozwoju rynku biometanu i biogazu</w:t>
      </w:r>
      <w:r>
        <w:fldChar w:fldCharType="end"/>
      </w:r>
    </w:p>
    <w:p w14:paraId="5E35428E" w14:textId="6DDBFE7F" w:rsidR="007C4476" w:rsidRDefault="00B515F8" w:rsidP="003530A9">
      <w:pPr>
        <w:pStyle w:val="Akapitzlist"/>
        <w:numPr>
          <w:ilvl w:val="0"/>
          <w:numId w:val="3"/>
        </w:numPr>
        <w:rPr>
          <w:szCs w:val="20"/>
        </w:rPr>
      </w:pPr>
      <w:r w:rsidRPr="008B1E78">
        <w:fldChar w:fldCharType="begin"/>
      </w:r>
      <w:r w:rsidRPr="008B1E78">
        <w:instrText xml:space="preserve"> REF _Ref195888217 \h </w:instrText>
      </w:r>
      <w:r w:rsidR="008B1E78">
        <w:instrText xml:space="preserve"> \* MERGEFORMAT </w:instrText>
      </w:r>
      <w:r w:rsidRPr="008B1E78">
        <w:fldChar w:fldCharType="separate"/>
      </w:r>
      <w:r w:rsidR="00871DD5">
        <w:t xml:space="preserve">Działanie 68. </w:t>
      </w:r>
      <w:r w:rsidR="00871DD5" w:rsidRPr="006E75AF">
        <w:t>Wsparcie rozwoju biogazowni rolniczych</w:t>
      </w:r>
      <w:r w:rsidRPr="008B1E78">
        <w:fldChar w:fldCharType="end"/>
      </w:r>
    </w:p>
    <w:p w14:paraId="031222DA" w14:textId="1F19BD6E" w:rsidR="007C4476" w:rsidRDefault="007C4476" w:rsidP="003530A9">
      <w:pPr>
        <w:pStyle w:val="Akapitzlist"/>
        <w:numPr>
          <w:ilvl w:val="0"/>
          <w:numId w:val="3"/>
        </w:numPr>
        <w:rPr>
          <w:szCs w:val="20"/>
        </w:rPr>
      </w:pPr>
      <w:r>
        <w:rPr>
          <w:szCs w:val="20"/>
        </w:rPr>
        <w:fldChar w:fldCharType="begin"/>
      </w:r>
      <w:r>
        <w:rPr>
          <w:szCs w:val="20"/>
        </w:rPr>
        <w:instrText xml:space="preserve"> REF _Ref195887777 \h </w:instrText>
      </w:r>
      <w:r>
        <w:rPr>
          <w:szCs w:val="20"/>
        </w:rPr>
      </w:r>
      <w:r>
        <w:rPr>
          <w:szCs w:val="20"/>
        </w:rPr>
        <w:fldChar w:fldCharType="separate"/>
      </w:r>
      <w:r w:rsidR="00871DD5">
        <w:t xml:space="preserve">Działanie </w:t>
      </w:r>
      <w:r w:rsidR="00871DD5">
        <w:rPr>
          <w:noProof/>
        </w:rPr>
        <w:t>70</w:t>
      </w:r>
      <w:r w:rsidR="00871DD5">
        <w:t xml:space="preserve">. </w:t>
      </w:r>
      <w:r w:rsidR="00871DD5" w:rsidRPr="00A24CCD">
        <w:t>Ograniczenie marnotrawstwa żywności</w:t>
      </w:r>
      <w:r>
        <w:rPr>
          <w:szCs w:val="20"/>
        </w:rPr>
        <w:fldChar w:fldCharType="end"/>
      </w:r>
    </w:p>
    <w:p w14:paraId="1F7FA6B2" w14:textId="4EFDAAAD" w:rsidR="00B515F8" w:rsidRDefault="00B515F8" w:rsidP="003530A9">
      <w:pPr>
        <w:pStyle w:val="Akapitzlist"/>
        <w:numPr>
          <w:ilvl w:val="0"/>
          <w:numId w:val="3"/>
        </w:numPr>
        <w:rPr>
          <w:szCs w:val="20"/>
        </w:rPr>
      </w:pPr>
      <w:r>
        <w:rPr>
          <w:szCs w:val="20"/>
        </w:rPr>
        <w:fldChar w:fldCharType="begin"/>
      </w:r>
      <w:r>
        <w:rPr>
          <w:szCs w:val="20"/>
        </w:rPr>
        <w:instrText xml:space="preserve"> REF _Ref195888205 \h </w:instrText>
      </w:r>
      <w:r>
        <w:rPr>
          <w:szCs w:val="20"/>
        </w:rPr>
      </w:r>
      <w:r>
        <w:rPr>
          <w:szCs w:val="20"/>
        </w:rPr>
        <w:fldChar w:fldCharType="separate"/>
      </w:r>
      <w:r w:rsidR="00871DD5">
        <w:t xml:space="preserve">Działanie </w:t>
      </w:r>
      <w:r w:rsidR="00871DD5">
        <w:rPr>
          <w:noProof/>
        </w:rPr>
        <w:t>75</w:t>
      </w:r>
      <w:r w:rsidR="00871DD5">
        <w:t xml:space="preserve">. </w:t>
      </w:r>
      <w:r w:rsidR="00871DD5" w:rsidRPr="00E823DF">
        <w:t>Określanie celów i zasad prowadzenia trwale zrównoważonej gospodarki leśnej</w:t>
      </w:r>
      <w:r>
        <w:rPr>
          <w:szCs w:val="20"/>
        </w:rPr>
        <w:fldChar w:fldCharType="end"/>
      </w:r>
    </w:p>
    <w:p w14:paraId="74CC7CA9" w14:textId="53F8C883" w:rsidR="007C4476" w:rsidRDefault="00B515F8" w:rsidP="003530A9">
      <w:pPr>
        <w:pStyle w:val="Akapitzlist"/>
        <w:numPr>
          <w:ilvl w:val="0"/>
          <w:numId w:val="3"/>
        </w:numPr>
        <w:rPr>
          <w:szCs w:val="20"/>
        </w:rPr>
      </w:pPr>
      <w:r>
        <w:rPr>
          <w:szCs w:val="20"/>
        </w:rPr>
        <w:fldChar w:fldCharType="begin"/>
      </w:r>
      <w:r>
        <w:rPr>
          <w:szCs w:val="20"/>
        </w:rPr>
        <w:instrText xml:space="preserve"> REF _Ref195888170 \h </w:instrText>
      </w:r>
      <w:r>
        <w:rPr>
          <w:szCs w:val="20"/>
        </w:rPr>
      </w:r>
      <w:r>
        <w:rPr>
          <w:szCs w:val="20"/>
        </w:rPr>
        <w:fldChar w:fldCharType="separate"/>
      </w:r>
      <w:r w:rsidR="00871DD5">
        <w:t xml:space="preserve">Działanie </w:t>
      </w:r>
      <w:r w:rsidR="00871DD5">
        <w:rPr>
          <w:noProof/>
        </w:rPr>
        <w:t>84</w:t>
      </w:r>
      <w:r w:rsidR="00871DD5">
        <w:t>. Opracowanie s</w:t>
      </w:r>
      <w:r w:rsidR="00871DD5" w:rsidRPr="00F05952">
        <w:t>trategi</w:t>
      </w:r>
      <w:r w:rsidR="00871DD5">
        <w:t>i</w:t>
      </w:r>
      <w:r w:rsidR="00871DD5" w:rsidRPr="00F05952">
        <w:t xml:space="preserve"> biogospodarki</w:t>
      </w:r>
      <w:r>
        <w:rPr>
          <w:szCs w:val="20"/>
        </w:rPr>
        <w:fldChar w:fldCharType="end"/>
      </w:r>
    </w:p>
    <w:p w14:paraId="3614C5F4" w14:textId="4D899500" w:rsidR="0001104D" w:rsidRPr="0001104D" w:rsidRDefault="0001104D" w:rsidP="003530A9">
      <w:pPr>
        <w:pStyle w:val="Akapitzlist"/>
        <w:numPr>
          <w:ilvl w:val="0"/>
          <w:numId w:val="3"/>
        </w:numPr>
        <w:rPr>
          <w:szCs w:val="20"/>
        </w:rPr>
      </w:pPr>
      <w:r w:rsidRPr="0001104D">
        <w:rPr>
          <w:szCs w:val="20"/>
        </w:rPr>
        <w:fldChar w:fldCharType="begin"/>
      </w:r>
      <w:r w:rsidRPr="0001104D">
        <w:rPr>
          <w:szCs w:val="20"/>
        </w:rPr>
        <w:instrText xml:space="preserve"> REF _Ref195887659 \h </w:instrText>
      </w:r>
      <w:r>
        <w:rPr>
          <w:szCs w:val="20"/>
        </w:rPr>
        <w:instrText xml:space="preserve"> \* MERGEFORMAT </w:instrText>
      </w:r>
      <w:r w:rsidRPr="0001104D">
        <w:rPr>
          <w:szCs w:val="20"/>
        </w:rPr>
      </w:r>
      <w:r w:rsidRPr="0001104D">
        <w:rPr>
          <w:szCs w:val="20"/>
        </w:rPr>
        <w:fldChar w:fldCharType="separate"/>
      </w:r>
      <w:r w:rsidR="00871DD5" w:rsidRPr="00871DD5">
        <w:rPr>
          <w:rStyle w:val="Nagwek6Znak"/>
          <w:rFonts w:ascii="Lato" w:hAnsi="Lato"/>
          <w:b w:val="0"/>
          <w:bCs/>
        </w:rPr>
        <w:t xml:space="preserve">Działanie </w:t>
      </w:r>
      <w:r w:rsidR="00871DD5" w:rsidRPr="00871DD5">
        <w:rPr>
          <w:rStyle w:val="Nagwek6Znak"/>
          <w:rFonts w:ascii="Lato" w:hAnsi="Lato"/>
          <w:b w:val="0"/>
          <w:bCs/>
          <w:noProof/>
        </w:rPr>
        <w:t>99</w:t>
      </w:r>
      <w:r w:rsidR="00871DD5" w:rsidRPr="00871DD5">
        <w:rPr>
          <w:rStyle w:val="Nagwek6Znak"/>
          <w:rFonts w:ascii="Lato" w:hAnsi="Lato"/>
          <w:b w:val="0"/>
          <w:bCs/>
        </w:rPr>
        <w:t xml:space="preserve">. </w:t>
      </w:r>
      <w:r w:rsidR="00871DD5" w:rsidRPr="00871DD5">
        <w:rPr>
          <w:rFonts w:eastAsia="Times New Roman" w:cs="Times New Roman"/>
          <w:kern w:val="0"/>
          <w:lang w:eastAsia="pl-PL"/>
          <w14:ligatures w14:val="none"/>
        </w:rPr>
        <w:t xml:space="preserve">Ograniczenie wykorzystania </w:t>
      </w:r>
      <w:r w:rsidRPr="0001104D">
        <w:rPr>
          <w:szCs w:val="20"/>
        </w:rPr>
        <w:fldChar w:fldCharType="end"/>
      </w:r>
      <w:r w:rsidR="001C29C1">
        <w:rPr>
          <w:szCs w:val="20"/>
        </w:rPr>
        <w:t>tworzyw sztucznych</w:t>
      </w:r>
    </w:p>
    <w:p w14:paraId="3E8370F9" w14:textId="3C8BD340" w:rsidR="0001104D" w:rsidRPr="0001104D" w:rsidRDefault="0001104D" w:rsidP="003530A9">
      <w:pPr>
        <w:pStyle w:val="Akapitzlist"/>
        <w:numPr>
          <w:ilvl w:val="0"/>
          <w:numId w:val="3"/>
        </w:numPr>
        <w:rPr>
          <w:szCs w:val="20"/>
        </w:rPr>
      </w:pPr>
      <w:r w:rsidRPr="0001104D">
        <w:rPr>
          <w:szCs w:val="20"/>
        </w:rPr>
        <w:fldChar w:fldCharType="begin"/>
      </w:r>
      <w:r w:rsidRPr="0001104D">
        <w:rPr>
          <w:szCs w:val="20"/>
        </w:rPr>
        <w:instrText xml:space="preserve"> REF _Ref195887667 \h </w:instrText>
      </w:r>
      <w:r>
        <w:rPr>
          <w:szCs w:val="20"/>
        </w:rPr>
        <w:instrText xml:space="preserve"> \* MERGEFORMAT </w:instrText>
      </w:r>
      <w:r w:rsidRPr="0001104D">
        <w:rPr>
          <w:szCs w:val="20"/>
        </w:rPr>
      </w:r>
      <w:r w:rsidRPr="0001104D">
        <w:rPr>
          <w:szCs w:val="20"/>
        </w:rPr>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100</w:t>
      </w:r>
      <w:r w:rsidR="00871DD5" w:rsidRPr="00871DD5">
        <w:rPr>
          <w:rStyle w:val="Nagwek6Znak"/>
          <w:rFonts w:ascii="Lato" w:hAnsi="Lato"/>
          <w:b w:val="0"/>
        </w:rPr>
        <w:t xml:space="preserve">. </w:t>
      </w:r>
      <w:r w:rsidR="00871DD5" w:rsidRPr="00FB68C2">
        <w:t xml:space="preserve">Gospodarka </w:t>
      </w:r>
      <w:r w:rsidR="00871DD5">
        <w:t>o o</w:t>
      </w:r>
      <w:r w:rsidR="00871DD5" w:rsidRPr="00FB68C2">
        <w:t xml:space="preserve">biegu </w:t>
      </w:r>
      <w:r w:rsidR="00871DD5">
        <w:t>z</w:t>
      </w:r>
      <w:r w:rsidR="00871DD5" w:rsidRPr="00FB68C2">
        <w:t>amknięt</w:t>
      </w:r>
      <w:r w:rsidR="00871DD5">
        <w:t>ym</w:t>
      </w:r>
      <w:r w:rsidRPr="0001104D">
        <w:rPr>
          <w:szCs w:val="20"/>
        </w:rPr>
        <w:fldChar w:fldCharType="end"/>
      </w:r>
    </w:p>
    <w:p w14:paraId="25049B88" w14:textId="5487D135" w:rsidR="005C7CC6" w:rsidRPr="00B16503" w:rsidRDefault="005C7CC6" w:rsidP="005C7CC6">
      <w:pPr>
        <w:pStyle w:val="Akapitzlist"/>
        <w:numPr>
          <w:ilvl w:val="0"/>
          <w:numId w:val="3"/>
        </w:numPr>
        <w:rPr>
          <w:rStyle w:val="Nagwek6Znak"/>
          <w:rFonts w:ascii="Lato" w:hAnsi="Lato"/>
        </w:rPr>
      </w:pPr>
      <w:r w:rsidRPr="00B16503">
        <w:rPr>
          <w:rStyle w:val="Nagwek6Znak"/>
          <w:rFonts w:ascii="Lato" w:hAnsi="Lato"/>
        </w:rPr>
        <w:fldChar w:fldCharType="begin"/>
      </w:r>
      <w:r w:rsidRPr="00B16503">
        <w:rPr>
          <w:rStyle w:val="Nagwek6Znak"/>
          <w:rFonts w:ascii="Lato" w:hAnsi="Lato"/>
        </w:rPr>
        <w:instrText xml:space="preserve"> REF _Ref195890076 \h </w:instrText>
      </w:r>
      <w:r>
        <w:rPr>
          <w:rStyle w:val="Nagwek6Znak"/>
          <w:rFonts w:ascii="Lato" w:hAnsi="Lato"/>
        </w:rPr>
        <w:instrText xml:space="preserve">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117. </w:t>
      </w:r>
      <w:r w:rsidR="00871DD5" w:rsidRPr="008A5AE2">
        <w:rPr>
          <w:lang w:eastAsia="pl-PL"/>
        </w:rPr>
        <w:t>Efektywna gospodarka surowcami ważnymi dla krajowej i unijnej gospodarki</w:t>
      </w:r>
      <w:r w:rsidRPr="00B16503">
        <w:rPr>
          <w:rStyle w:val="Nagwek6Znak"/>
          <w:rFonts w:ascii="Lato" w:hAnsi="Lato"/>
        </w:rPr>
        <w:fldChar w:fldCharType="end"/>
      </w:r>
    </w:p>
    <w:p w14:paraId="7B4A515B" w14:textId="4C614552" w:rsidR="00994A61" w:rsidRPr="000559D5" w:rsidRDefault="005C7CC6" w:rsidP="00994A61">
      <w:pPr>
        <w:pStyle w:val="Akapitzlist"/>
        <w:numPr>
          <w:ilvl w:val="0"/>
          <w:numId w:val="3"/>
        </w:numPr>
        <w:rPr>
          <w:rFonts w:eastAsiaTheme="majorEastAsia" w:cstheme="majorBidi"/>
          <w:b/>
          <w:color w:val="000000" w:themeColor="text1"/>
        </w:rPr>
      </w:pPr>
      <w:r w:rsidRPr="00B16503">
        <w:rPr>
          <w:rStyle w:val="Nagwek6Znak"/>
          <w:rFonts w:ascii="Lato" w:hAnsi="Lato"/>
        </w:rPr>
        <w:fldChar w:fldCharType="begin"/>
      </w:r>
      <w:r w:rsidRPr="00B16503">
        <w:rPr>
          <w:rStyle w:val="Nagwek6Znak"/>
          <w:rFonts w:ascii="Lato" w:hAnsi="Lato"/>
        </w:rPr>
        <w:instrText xml:space="preserve"> REF _Ref195890082 \h </w:instrText>
      </w:r>
      <w:r>
        <w:rPr>
          <w:rStyle w:val="Nagwek6Znak"/>
          <w:rFonts w:ascii="Lato" w:hAnsi="Lato"/>
        </w:rPr>
        <w:instrText xml:space="preserve">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118. </w:t>
      </w:r>
      <w:r w:rsidR="00871DD5" w:rsidRPr="008A5AE2">
        <w:rPr>
          <w:lang w:eastAsia="pl-PL"/>
        </w:rPr>
        <w:t>Aktualizacja Polityki Surowcowej Państwa</w:t>
      </w:r>
      <w:r w:rsidRPr="00B16503">
        <w:rPr>
          <w:rStyle w:val="Nagwek6Znak"/>
          <w:rFonts w:ascii="Lato" w:hAnsi="Lato"/>
        </w:rPr>
        <w:fldChar w:fldCharType="end"/>
      </w:r>
    </w:p>
    <w:p w14:paraId="47BCB6CF" w14:textId="2514BB36" w:rsidR="002F5C50" w:rsidRDefault="002F5C50" w:rsidP="002F5C50">
      <w:pPr>
        <w:pStyle w:val="Nagwek3"/>
        <w:rPr>
          <w:color w:val="70AD47" w:themeColor="accent6"/>
        </w:rPr>
      </w:pPr>
      <w:bookmarkStart w:id="312" w:name="_Toc195897270"/>
      <w:bookmarkStart w:id="313" w:name="_Toc195899515"/>
      <w:bookmarkStart w:id="314" w:name="_Toc195897271"/>
      <w:bookmarkStart w:id="315" w:name="_Toc195899516"/>
      <w:bookmarkStart w:id="316" w:name="_Toc195897272"/>
      <w:bookmarkStart w:id="317" w:name="_Toc195899517"/>
      <w:bookmarkStart w:id="318" w:name="_Toc195897273"/>
      <w:bookmarkStart w:id="319" w:name="_Toc195899518"/>
      <w:bookmarkStart w:id="320" w:name="_Toc195897274"/>
      <w:bookmarkStart w:id="321" w:name="_Toc195899519"/>
      <w:bookmarkStart w:id="322" w:name="_Toc195897275"/>
      <w:bookmarkStart w:id="323" w:name="_Toc195899520"/>
      <w:bookmarkStart w:id="324" w:name="_Toc195897276"/>
      <w:bookmarkStart w:id="325" w:name="_Toc195899521"/>
      <w:bookmarkStart w:id="326" w:name="_Toc195897277"/>
      <w:bookmarkStart w:id="327" w:name="_Toc195899522"/>
      <w:bookmarkStart w:id="328" w:name="_Toc195897278"/>
      <w:bookmarkStart w:id="329" w:name="_Toc195899523"/>
      <w:bookmarkStart w:id="330" w:name="_Toc195897279"/>
      <w:bookmarkStart w:id="331" w:name="_Toc195899524"/>
      <w:bookmarkStart w:id="332" w:name="_Toc195897280"/>
      <w:bookmarkStart w:id="333" w:name="_Toc195899525"/>
      <w:bookmarkStart w:id="334" w:name="_Toc195897281"/>
      <w:bookmarkStart w:id="335" w:name="_Toc195899526"/>
      <w:bookmarkStart w:id="336" w:name="_Toc195897282"/>
      <w:bookmarkStart w:id="337" w:name="_Toc195899527"/>
      <w:bookmarkStart w:id="338" w:name="_Toc195897283"/>
      <w:bookmarkStart w:id="339" w:name="_Toc195899528"/>
      <w:bookmarkStart w:id="340" w:name="_Toc195897284"/>
      <w:bookmarkStart w:id="341" w:name="_Toc195899529"/>
      <w:bookmarkStart w:id="342" w:name="_Toc195897285"/>
      <w:bookmarkStart w:id="343" w:name="_Toc195899530"/>
      <w:bookmarkStart w:id="344" w:name="_Toc159598300"/>
      <w:bookmarkStart w:id="345" w:name="_Toc195897286"/>
      <w:bookmarkStart w:id="346" w:name="_Toc205203175"/>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F11157">
        <w:rPr>
          <w:color w:val="70AD47" w:themeColor="accent6"/>
        </w:rPr>
        <w:t>Adaptacja do zmian klimatu</w:t>
      </w:r>
      <w:bookmarkEnd w:id="344"/>
      <w:bookmarkEnd w:id="345"/>
      <w:bookmarkEnd w:id="346"/>
    </w:p>
    <w:p w14:paraId="655E0F4B" w14:textId="0AA0513C" w:rsidR="00B36A7E" w:rsidRPr="00B36A7E" w:rsidRDefault="00B36A7E" w:rsidP="00B36A7E">
      <w:r w:rsidRPr="00B36A7E">
        <w:t>Aktualnie obserwowany globalny wzrost temperatury przyczynia się do nasilenia oraz zmian częstotliwości występowania zjawisk ekstremalnych takich jak nawalne deszcze, powodzie, podtopienia, fale upałów, susze, huragany, osuwiska. Z tego względu niezbędne jest nie tylko zapobieganie zmianom klimatu (</w:t>
      </w:r>
      <w:r w:rsidRPr="00B36A7E">
        <w:rPr>
          <w:b/>
          <w:bCs/>
        </w:rPr>
        <w:t>działania mitygacyjne</w:t>
      </w:r>
      <w:r w:rsidRPr="00B36A7E">
        <w:t xml:space="preserve">), ale także podejmowanie działań mających na celu </w:t>
      </w:r>
      <w:r w:rsidRPr="00B36A7E">
        <w:rPr>
          <w:b/>
          <w:bCs/>
        </w:rPr>
        <w:t>adaptację</w:t>
      </w:r>
      <w:r w:rsidRPr="00B36A7E">
        <w:t xml:space="preserve"> do nich przez społeczeństwo, gospodarkę (w tym infrastrukturę) i środowisko. </w:t>
      </w:r>
    </w:p>
    <w:p w14:paraId="4ED98A7E" w14:textId="4E14DF52" w:rsidR="009714FB" w:rsidRDefault="00B36A7E" w:rsidP="000A541B">
      <w:r w:rsidRPr="00B36A7E">
        <w:t>W tej części nakreślono kierunki działań, mające na celu dostosowywanie społeczeństw, gospodarek i</w:t>
      </w:r>
      <w:r w:rsidR="00CB6F5A">
        <w:t> </w:t>
      </w:r>
      <w:r w:rsidRPr="00B36A7E">
        <w:t>środowiska naturalnego do nowych warunków, w obliczu rosnących wyzwań związanych ze zmianami klimatycznym</w:t>
      </w:r>
      <w:r w:rsidR="007F24C7">
        <w:t>i</w:t>
      </w:r>
      <w:r w:rsidRPr="00B36A7E">
        <w:t xml:space="preserve">, czyli </w:t>
      </w:r>
      <w:r w:rsidRPr="00B36A7E">
        <w:rPr>
          <w:b/>
          <w:bCs/>
        </w:rPr>
        <w:t>działania adaptacyjne</w:t>
      </w:r>
      <w:r w:rsidRPr="00B36A7E">
        <w:t xml:space="preserve">. </w:t>
      </w:r>
    </w:p>
    <w:p w14:paraId="42CD4973" w14:textId="450765A3" w:rsidR="001D79FD" w:rsidRPr="005B5E2B" w:rsidRDefault="00BC1B21" w:rsidP="005B5E2B">
      <w:pPr>
        <w:pStyle w:val="Nagwek4"/>
        <w:rPr>
          <w:color w:val="70AD47" w:themeColor="accent6"/>
        </w:rPr>
      </w:pPr>
      <w:bookmarkStart w:id="347" w:name="_Toc159598301"/>
      <w:bookmarkStart w:id="348" w:name="_Toc195897287"/>
      <w:bookmarkStart w:id="349" w:name="_Toc205203176"/>
      <w:r>
        <w:rPr>
          <w:color w:val="70AD47" w:themeColor="accent6"/>
        </w:rPr>
        <w:t>Dążenie do a</w:t>
      </w:r>
      <w:r w:rsidR="00746798">
        <w:rPr>
          <w:color w:val="70AD47" w:themeColor="accent6"/>
        </w:rPr>
        <w:t>daptacj</w:t>
      </w:r>
      <w:r>
        <w:rPr>
          <w:color w:val="70AD47" w:themeColor="accent6"/>
        </w:rPr>
        <w:t>i</w:t>
      </w:r>
      <w:r w:rsidR="00746798">
        <w:rPr>
          <w:color w:val="70AD47" w:themeColor="accent6"/>
        </w:rPr>
        <w:t xml:space="preserve"> do zmian </w:t>
      </w:r>
      <w:r w:rsidR="004948D8" w:rsidRPr="004948D8">
        <w:rPr>
          <w:color w:val="70AD47" w:themeColor="accent6"/>
        </w:rPr>
        <w:t>klimatu</w:t>
      </w:r>
      <w:bookmarkEnd w:id="347"/>
      <w:bookmarkEnd w:id="348"/>
      <w:bookmarkEnd w:id="349"/>
    </w:p>
    <w:p w14:paraId="483F48B8" w14:textId="46FA5A99" w:rsidR="002E2988" w:rsidRDefault="00B36A7E" w:rsidP="002E2988">
      <w:r>
        <w:t xml:space="preserve">Adaptacja do zmian klimatu to jeden z dwóch filarów globalnej polityki klimatycznej, obok mitygacji. Pierwszy raz konieczność włączenia się krajów do oceny możliwego wpływu zmian klimatu na różne dziedziny życia i stworzenia strategii ograniczenia tego wpływu poprzez dostosowanie do tych zmian dostrzeżono podczas forum Ramowej Konwencji Narodów Zjednoczonych w sprawie zmian klimatu (UNFCCC, ang. </w:t>
      </w:r>
      <w:r w:rsidRPr="009C5290">
        <w:rPr>
          <w:i/>
          <w:iCs/>
          <w:lang w:val="pt-BR"/>
        </w:rPr>
        <w:t>United Nations Framework Convention on Climate Change</w:t>
      </w:r>
      <w:r w:rsidRPr="009C5290">
        <w:rPr>
          <w:lang w:val="pt-BR"/>
        </w:rPr>
        <w:t xml:space="preserve">) w 2006 r. w Nairobi. </w:t>
      </w:r>
      <w:r>
        <w:t xml:space="preserve">W ślad za tym UE opracowała swoje dokumenty strategiczne w tym obszarze. W 2021 r. Komisja Europejska </w:t>
      </w:r>
      <w:r>
        <w:lastRenderedPageBreak/>
        <w:t xml:space="preserve">przedstawiła dokument </w:t>
      </w:r>
      <w:r>
        <w:rPr>
          <w:i/>
          <w:iCs/>
        </w:rPr>
        <w:t>Budując Europę odporną na zmianę klimatu – nowa Strategia w zakresie przystosowania do zmiany klimatu</w:t>
      </w:r>
      <w:r>
        <w:rPr>
          <w:rStyle w:val="Odwoanieprzypisudolnego"/>
          <w:i/>
          <w:iCs/>
        </w:rPr>
        <w:footnoteReference w:id="68"/>
      </w:r>
      <w:r>
        <w:t xml:space="preserve">. Główne cele formułowane na poziomie UE to: wzmocnienie bazy dowodowej z zakresu zmian klimatu, wprowadzenie adaptacji do kluczowych polityk UE, finansowanie adaptacji oraz wymiana wiedzy i dobrych praktyk. </w:t>
      </w:r>
      <w:r w:rsidR="002E2988">
        <w:t>Polska również opracowała strategię adaptacji dla sektorów i obszarów wrażliwych na zmian</w:t>
      </w:r>
      <w:r w:rsidR="00C11D04">
        <w:t>ę</w:t>
      </w:r>
      <w:r w:rsidR="002E2988">
        <w:t xml:space="preserve"> klimatu – z myślą o </w:t>
      </w:r>
      <w:r w:rsidR="002E2988" w:rsidRPr="005E3695">
        <w:t>zapewnieni</w:t>
      </w:r>
      <w:r w:rsidR="002E2988">
        <w:t>u</w:t>
      </w:r>
      <w:r w:rsidR="002E2988" w:rsidRPr="005E3695">
        <w:t xml:space="preserve"> zrównoważonego rozwoju oraz efektywnego funkcjonowania gospodarki i społeczeństwa w warunkach zmieniającego się klimatu</w:t>
      </w:r>
      <w:r w:rsidR="002E2988">
        <w:t xml:space="preserve"> zarówno w celu ograniczenia gospodarczych i społecznych </w:t>
      </w:r>
      <w:r w:rsidR="00392FA3">
        <w:t>zagro</w:t>
      </w:r>
      <w:r w:rsidR="001E761F">
        <w:t>żeń</w:t>
      </w:r>
      <w:r w:rsidR="00392FA3">
        <w:t xml:space="preserve"> </w:t>
      </w:r>
      <w:r w:rsidR="002E2988">
        <w:t xml:space="preserve">związanych ze zmianami klimatycznymi, jak również z myślą o uniknięciu kosztów wynikających z zaniechania działań na rzecz adaptacji. </w:t>
      </w:r>
    </w:p>
    <w:p w14:paraId="7CA6EA6C" w14:textId="64BB6F23" w:rsidR="00746798" w:rsidRDefault="00B36A7E" w:rsidP="00516BCA">
      <w:r>
        <w:rPr>
          <w:kern w:val="0"/>
          <w14:ligatures w14:val="none"/>
        </w:rPr>
        <w:t xml:space="preserve">Adaptacja do zmian klimatu wymaga dwutorowej implementacji. Obok działań ukierunkowanych przede wszystkim na przystosowanie do zmian klimatu, </w:t>
      </w:r>
      <w:r w:rsidR="00B028C7">
        <w:rPr>
          <w:kern w:val="0"/>
          <w14:ligatures w14:val="none"/>
        </w:rPr>
        <w:t xml:space="preserve">działania </w:t>
      </w:r>
      <w:r>
        <w:rPr>
          <w:kern w:val="0"/>
          <w14:ligatures w14:val="none"/>
        </w:rPr>
        <w:t>powinn</w:t>
      </w:r>
      <w:r w:rsidR="00B028C7">
        <w:rPr>
          <w:kern w:val="0"/>
          <w14:ligatures w14:val="none"/>
        </w:rPr>
        <w:t>y</w:t>
      </w:r>
      <w:r>
        <w:rPr>
          <w:kern w:val="0"/>
          <w14:ligatures w14:val="none"/>
        </w:rPr>
        <w:t xml:space="preserve"> opierać się o włączanie aspektów adaptacji do polityk i działań, których realizacja wynika z innych potrzeb społeczno-gospodarczych</w:t>
      </w:r>
      <w:r>
        <w:rPr>
          <w:rFonts w:ascii="Times New Roman" w:hAnsi="Times New Roman" w:cs="Times New Roman"/>
          <w:kern w:val="0"/>
          <w:sz w:val="24"/>
          <w:szCs w:val="24"/>
          <w:lang w:eastAsia="pl-PL"/>
          <w14:ligatures w14:val="none"/>
        </w:rPr>
        <w:t>.</w:t>
      </w:r>
      <w:r w:rsidR="00EA676E">
        <w:t xml:space="preserve"> </w:t>
      </w:r>
    </w:p>
    <w:p w14:paraId="316E67E7" w14:textId="40F270A6" w:rsidR="00DE4A5C" w:rsidRDefault="00E03647" w:rsidP="00E03647">
      <w:pPr>
        <w:pStyle w:val="Cele"/>
        <w:spacing w:after="80"/>
        <w:rPr>
          <w:rStyle w:val="CeleZnak"/>
          <w:b/>
        </w:rPr>
      </w:pPr>
      <w:r>
        <w:rPr>
          <w:rStyle w:val="CeleZnak"/>
          <w:b/>
        </w:rPr>
        <w:t xml:space="preserve">W celu </w:t>
      </w:r>
      <w:r w:rsidR="002E2988">
        <w:rPr>
          <w:rStyle w:val="CeleZnak"/>
          <w:b/>
        </w:rPr>
        <w:t xml:space="preserve">skuteczniejszej </w:t>
      </w:r>
      <w:r>
        <w:rPr>
          <w:rStyle w:val="CeleZnak"/>
          <w:b/>
        </w:rPr>
        <w:t xml:space="preserve">adaptacji do zmian klimatu </w:t>
      </w:r>
      <w:r w:rsidR="00B64F0D" w:rsidRPr="00B377B2">
        <w:rPr>
          <w:rStyle w:val="CeleZnak"/>
          <w:b/>
        </w:rPr>
        <w:t>Polska</w:t>
      </w:r>
      <w:r w:rsidR="00DE4A5C">
        <w:rPr>
          <w:rStyle w:val="CeleZnak"/>
          <w:b/>
        </w:rPr>
        <w:t xml:space="preserve"> będzie dążyć</w:t>
      </w:r>
      <w:r w:rsidR="00B028C7">
        <w:rPr>
          <w:rStyle w:val="CeleZnak"/>
          <w:b/>
        </w:rPr>
        <w:t>:</w:t>
      </w:r>
      <w:r w:rsidR="00DD78DD">
        <w:rPr>
          <w:rStyle w:val="CeleZnak"/>
          <w:b/>
        </w:rPr>
        <w:t xml:space="preserve"> </w:t>
      </w:r>
    </w:p>
    <w:p w14:paraId="42F363AE" w14:textId="23635D18" w:rsidR="00B64F0D" w:rsidRPr="002E2988" w:rsidRDefault="002E2988" w:rsidP="003530A9">
      <w:pPr>
        <w:pStyle w:val="Cele"/>
        <w:numPr>
          <w:ilvl w:val="0"/>
          <w:numId w:val="16"/>
        </w:numPr>
        <w:spacing w:before="80" w:after="0"/>
        <w:ind w:left="284" w:hanging="284"/>
        <w:rPr>
          <w:rStyle w:val="CeleZnak"/>
          <w:bCs/>
          <w:sz w:val="20"/>
          <w:szCs w:val="20"/>
          <w:shd w:val="clear" w:color="auto" w:fill="auto"/>
        </w:rPr>
      </w:pPr>
      <w:r w:rsidRPr="002E2988">
        <w:rPr>
          <w:rStyle w:val="CeleZnak"/>
          <w:bCs/>
          <w:sz w:val="20"/>
          <w:szCs w:val="20"/>
        </w:rPr>
        <w:t xml:space="preserve">do </w:t>
      </w:r>
      <w:r w:rsidR="00DE4A5C" w:rsidRPr="002E2988">
        <w:rPr>
          <w:rStyle w:val="CeleZnak"/>
          <w:bCs/>
          <w:sz w:val="20"/>
          <w:szCs w:val="20"/>
        </w:rPr>
        <w:t>zwiększania odporności sektora energetycznego – w ty</w:t>
      </w:r>
      <w:r w:rsidR="00DE4A5C" w:rsidRPr="002E2988">
        <w:rPr>
          <w:rStyle w:val="CeleZnak"/>
          <w:bCs/>
          <w:sz w:val="20"/>
          <w:szCs w:val="20"/>
          <w:shd w:val="clear" w:color="auto" w:fill="auto"/>
        </w:rPr>
        <w:t>m infrastruktury liniowej – na ekstremalne zjawiska pogodowe,</w:t>
      </w:r>
    </w:p>
    <w:p w14:paraId="1A4CC7D6" w14:textId="0D728796" w:rsidR="002E2988" w:rsidRPr="002E2988" w:rsidRDefault="002E2988" w:rsidP="003530A9">
      <w:pPr>
        <w:pStyle w:val="Cele"/>
        <w:numPr>
          <w:ilvl w:val="0"/>
          <w:numId w:val="16"/>
        </w:numPr>
        <w:spacing w:before="80" w:after="0"/>
        <w:ind w:left="284" w:hanging="284"/>
        <w:rPr>
          <w:sz w:val="20"/>
          <w:szCs w:val="20"/>
        </w:rPr>
      </w:pPr>
      <w:r w:rsidRPr="002E2988">
        <w:rPr>
          <w:sz w:val="20"/>
          <w:szCs w:val="20"/>
        </w:rPr>
        <w:t>aby działania polegające na utrzymaniu i powiększaniu zasobów leśnych były realizowane z</w:t>
      </w:r>
      <w:r w:rsidR="00C0395B">
        <w:rPr>
          <w:sz w:val="20"/>
          <w:szCs w:val="20"/>
        </w:rPr>
        <w:t> </w:t>
      </w:r>
      <w:r w:rsidRPr="002E2988">
        <w:rPr>
          <w:sz w:val="20"/>
          <w:szCs w:val="20"/>
        </w:rPr>
        <w:t>uwzględnieniem adaptacji do zmian klimatu, w tym m.in. poprzez dostosowywanie składu gatunkowego drzewostanów do zmieniających się warunków klimatycznych,</w:t>
      </w:r>
    </w:p>
    <w:p w14:paraId="74A9109B" w14:textId="072BA7C9" w:rsidR="002E2988" w:rsidRPr="002E2988" w:rsidRDefault="002E2988" w:rsidP="003530A9">
      <w:pPr>
        <w:pStyle w:val="Cele"/>
        <w:numPr>
          <w:ilvl w:val="0"/>
          <w:numId w:val="16"/>
        </w:numPr>
        <w:spacing w:before="80" w:after="0"/>
        <w:ind w:left="284" w:hanging="284"/>
        <w:rPr>
          <w:sz w:val="20"/>
          <w:szCs w:val="20"/>
        </w:rPr>
      </w:pPr>
      <w:r w:rsidRPr="002E2988">
        <w:rPr>
          <w:sz w:val="20"/>
          <w:szCs w:val="20"/>
        </w:rPr>
        <w:t>do zapewnienia odpowiednich zasobów wodnych</w:t>
      </w:r>
      <w:r w:rsidR="00066047" w:rsidRPr="00066047">
        <w:rPr>
          <w:sz w:val="20"/>
          <w:szCs w:val="20"/>
        </w:rPr>
        <w:t xml:space="preserve"> i zwiększenia retencjonowania</w:t>
      </w:r>
      <w:r w:rsidRPr="002E2988">
        <w:rPr>
          <w:sz w:val="20"/>
          <w:szCs w:val="20"/>
        </w:rPr>
        <w:t>,</w:t>
      </w:r>
    </w:p>
    <w:p w14:paraId="01529B3D" w14:textId="34AFB283" w:rsidR="002E2988" w:rsidRPr="002E2988" w:rsidRDefault="002E2988" w:rsidP="003530A9">
      <w:pPr>
        <w:pStyle w:val="Cele"/>
        <w:numPr>
          <w:ilvl w:val="0"/>
          <w:numId w:val="16"/>
        </w:numPr>
        <w:spacing w:before="80" w:after="0"/>
        <w:ind w:left="284" w:hanging="284"/>
        <w:rPr>
          <w:sz w:val="20"/>
          <w:szCs w:val="20"/>
        </w:rPr>
      </w:pPr>
      <w:r w:rsidRPr="002E2988">
        <w:rPr>
          <w:sz w:val="20"/>
          <w:szCs w:val="20"/>
        </w:rPr>
        <w:t>do dostosowania rolnictwa i produkcji rolnej do zmian klimatu,</w:t>
      </w:r>
    </w:p>
    <w:p w14:paraId="50BDF133" w14:textId="7DC83D76" w:rsidR="00DE4A5C" w:rsidRPr="002E2988" w:rsidRDefault="002E2988" w:rsidP="003530A9">
      <w:pPr>
        <w:pStyle w:val="Cele"/>
        <w:numPr>
          <w:ilvl w:val="0"/>
          <w:numId w:val="16"/>
        </w:numPr>
        <w:spacing w:before="80"/>
        <w:ind w:left="284" w:hanging="284"/>
        <w:rPr>
          <w:sz w:val="20"/>
          <w:szCs w:val="20"/>
        </w:rPr>
      </w:pPr>
      <w:r w:rsidRPr="002E2988">
        <w:rPr>
          <w:sz w:val="20"/>
          <w:szCs w:val="20"/>
        </w:rPr>
        <w:t>do lepszego dostępu do wiedzy i informacji celem budowania kompetencji wśród decydentów oraz</w:t>
      </w:r>
      <w:r w:rsidR="00C0395B">
        <w:rPr>
          <w:sz w:val="20"/>
          <w:szCs w:val="20"/>
        </w:rPr>
        <w:t> </w:t>
      </w:r>
      <w:r w:rsidRPr="002E2988">
        <w:rPr>
          <w:sz w:val="20"/>
          <w:szCs w:val="20"/>
        </w:rPr>
        <w:t>upowszechnienia wiedzy o działaniach adaptacyjnych</w:t>
      </w:r>
      <w:r w:rsidR="00E03647" w:rsidRPr="002E2988">
        <w:rPr>
          <w:sz w:val="20"/>
          <w:szCs w:val="20"/>
        </w:rPr>
        <w:t>.</w:t>
      </w:r>
    </w:p>
    <w:p w14:paraId="110E6F00" w14:textId="77777777" w:rsidR="00B64F0D" w:rsidRDefault="00B64F0D" w:rsidP="00E03647">
      <w:pPr>
        <w:pStyle w:val="PaMs"/>
      </w:pPr>
      <w:r w:rsidRPr="00C46DAA">
        <w:t>POLITYKA</w:t>
      </w:r>
    </w:p>
    <w:p w14:paraId="0A1B36A6" w14:textId="77777777" w:rsidR="002435E5" w:rsidRDefault="002435E5" w:rsidP="002435E5">
      <w:r w:rsidRPr="002435E5">
        <w:t xml:space="preserve">Adaptacja do zmian klimatu wymaga horyzontalnego podejścia oraz włączenia do realizacji poszczególnych polityk gospodarczych, tak aby podejmowane działania skutkowały wzmocnieniem odporności różnych dziedzin gospodarki i życia społecznego. </w:t>
      </w:r>
    </w:p>
    <w:p w14:paraId="17C2A63D" w14:textId="78D005BF" w:rsidR="004766AA" w:rsidRPr="002435E5" w:rsidRDefault="00B028C7" w:rsidP="004766AA">
      <w:r>
        <w:t xml:space="preserve">Obowiązujący od 2013 r. </w:t>
      </w:r>
      <w:r w:rsidRPr="00B028C7">
        <w:rPr>
          <w:b/>
          <w:bCs/>
          <w:i/>
          <w:iCs/>
        </w:rPr>
        <w:t>Strategiczny Plan Adaptacji dla sektorów i obszarów wrażliwych na zmian</w:t>
      </w:r>
      <w:r w:rsidR="007C2DF0">
        <w:rPr>
          <w:b/>
          <w:bCs/>
          <w:i/>
          <w:iCs/>
        </w:rPr>
        <w:t>ę</w:t>
      </w:r>
      <w:r w:rsidRPr="00B028C7">
        <w:rPr>
          <w:b/>
          <w:bCs/>
          <w:i/>
          <w:iCs/>
        </w:rPr>
        <w:t xml:space="preserve"> klimatu do roku 2020 z perspektywą do roku 2030</w:t>
      </w:r>
      <w:r>
        <w:t xml:space="preserve"> (SPA 2020) (</w:t>
      </w:r>
      <w:hyperlink r:id="rId72" w:history="1">
        <w:r w:rsidRPr="00B028C7">
          <w:rPr>
            <w:rStyle w:val="Hipercze"/>
          </w:rPr>
          <w:t>link</w:t>
        </w:r>
      </w:hyperlink>
      <w:r>
        <w:t xml:space="preserve">) będzie podlegać aktualizacji, ale niezmiennie podejmowane działania muszą obejmować różne </w:t>
      </w:r>
      <w:r w:rsidR="004766AA">
        <w:t>obszary m.in.: rolnictwo, leśnictwo, gospodarkę wodną, gospodarkę przestrzenną i budownictwo czy energetykę.</w:t>
      </w:r>
    </w:p>
    <w:p w14:paraId="5DF7F55A" w14:textId="05EACC03" w:rsidR="002435E5" w:rsidRDefault="004766AA" w:rsidP="004766AA">
      <w:r w:rsidRPr="008D3C19">
        <w:t xml:space="preserve">Poszczególne sektory mają różną </w:t>
      </w:r>
      <w:r>
        <w:t>podatność</w:t>
      </w:r>
      <w:r w:rsidRPr="008D3C19">
        <w:t xml:space="preserve"> na zmian</w:t>
      </w:r>
      <w:r w:rsidR="007C2DF0">
        <w:t>ę</w:t>
      </w:r>
      <w:r w:rsidRPr="008D3C19">
        <w:t xml:space="preserve"> klimatu i w związku z tym wymagają różnych, dostosowanych do nich działań. Adaptacja do zmian klimatu obejmuje działania bieżące stosowane m.in.</w:t>
      </w:r>
      <w:r w:rsidR="00CE4350">
        <w:t> </w:t>
      </w:r>
      <w:r w:rsidRPr="008D3C19">
        <w:t xml:space="preserve">w leśnictwie, rolnictwie, na terenach zurbanizowanych, </w:t>
      </w:r>
      <w:r>
        <w:t>a także</w:t>
      </w:r>
      <w:r w:rsidRPr="008D3C19">
        <w:t xml:space="preserve"> strategiczne planowanie inwestycji infrastrukturalnych lub zagospodarowania terenów, tak aby były one odporne na skutki zmian klimatu. Nowa infrastruktura i nowo</w:t>
      </w:r>
      <w:r>
        <w:t xml:space="preserve"> </w:t>
      </w:r>
      <w:r w:rsidRPr="008D3C19">
        <w:t xml:space="preserve">projektowane </w:t>
      </w:r>
      <w:r>
        <w:t>tereny</w:t>
      </w:r>
      <w:r w:rsidRPr="008D3C19">
        <w:t xml:space="preserve"> powinny </w:t>
      </w:r>
      <w:r>
        <w:t xml:space="preserve">być </w:t>
      </w:r>
      <w:r w:rsidRPr="008D3C19">
        <w:t>odporne na zmian</w:t>
      </w:r>
      <w:r w:rsidR="007C2DF0">
        <w:t>ę</w:t>
      </w:r>
      <w:r w:rsidRPr="008D3C19">
        <w:t xml:space="preserve"> klimatu, efektywne energetycznie oraz wpisywać się w ideę gospodarki w obiegu zamkniętym. Konieczne jest także prowadzenie działań zintegrowanych pomiędzy poszczególnymi sektorami gospodarki</w:t>
      </w:r>
      <w:r>
        <w:t xml:space="preserve"> i </w:t>
      </w:r>
      <w:r w:rsidRPr="008D3C19">
        <w:t>odpowiednie zaadresowania zadań na różnych poziomach – krajowym, regionalnym i lokalnym.</w:t>
      </w:r>
      <w:r>
        <w:t xml:space="preserve"> </w:t>
      </w:r>
      <w:r w:rsidRPr="002435E5">
        <w:t xml:space="preserve">Aktualnie obowiązujący </w:t>
      </w:r>
      <w:r w:rsidRPr="002435E5">
        <w:rPr>
          <w:i/>
          <w:iCs/>
        </w:rPr>
        <w:t>Strategiczny Plan Adaptacji dla sektorów i obszarów wrażliwych na zmiany klimatu do roku 2020 z perspektywą do roku 2030</w:t>
      </w:r>
      <w:r w:rsidRPr="002435E5">
        <w:t xml:space="preserve"> będzie podlegał aktualizacji, tak aby lepiej zaadresować tę kwestię. Poniżej wskazano główne obszary, których dotyczy adaptacja do zmian klimatu wraz z kierunkowymi działaniami</w:t>
      </w:r>
      <w:r w:rsidR="002435E5" w:rsidRPr="002435E5">
        <w:t>:</w:t>
      </w:r>
    </w:p>
    <w:p w14:paraId="36ABCFD8" w14:textId="030828E6" w:rsidR="006E4865" w:rsidRPr="006E4865" w:rsidRDefault="006E4865" w:rsidP="000625AC">
      <w:pPr>
        <w:pStyle w:val="Akapitzlist"/>
        <w:keepNext/>
        <w:numPr>
          <w:ilvl w:val="0"/>
          <w:numId w:val="33"/>
        </w:numPr>
        <w:spacing w:after="80"/>
        <w:ind w:left="425" w:hanging="357"/>
        <w:contextualSpacing w:val="0"/>
        <w:rPr>
          <w:b/>
          <w:bCs/>
        </w:rPr>
      </w:pPr>
      <w:r>
        <w:rPr>
          <w:b/>
          <w:bCs/>
        </w:rPr>
        <w:lastRenderedPageBreak/>
        <w:t>G</w:t>
      </w:r>
      <w:r w:rsidRPr="006E4865">
        <w:rPr>
          <w:b/>
          <w:bCs/>
        </w:rPr>
        <w:t>ospodarka wodna</w:t>
      </w:r>
      <w:r>
        <w:rPr>
          <w:b/>
          <w:bCs/>
        </w:rPr>
        <w:t xml:space="preserve"> i strefa wybrzeża</w:t>
      </w:r>
      <w:r w:rsidRPr="006E4865">
        <w:rPr>
          <w:b/>
          <w:bCs/>
        </w:rPr>
        <w:t xml:space="preserve"> </w:t>
      </w:r>
    </w:p>
    <w:p w14:paraId="78515D11" w14:textId="6302589E" w:rsidR="006E4865" w:rsidRDefault="00573638" w:rsidP="00573638">
      <w:pPr>
        <w:ind w:left="426"/>
      </w:pPr>
      <w:r w:rsidRPr="00573638">
        <w:t>Niezbędne jest posiadanie aktualnych planów gospodarowania wodami na obszarach dorzeczy, planów zarządzania ryzykiem powodziowym, planów utrzymania wód, map zagrożenia powodziowego, map ryzyka powodziowego oraz aktualnego planu przeciwdziałania skutkom suszy, pokrycia potrzeb komunalno-bytowych oraz wstępnej oceny ryzyka powodziowego. Ponadto zasadna jest dalsza rozbudowa monitoringu i informowania o warunkach hydrologicznych i</w:t>
      </w:r>
      <w:r>
        <w:t> </w:t>
      </w:r>
      <w:r w:rsidRPr="00573638">
        <w:t>niebezpiecznych zjawiskach hydrologicznych i meteorologicznych na terenie kraju, a także zapobieganie degradacji linii brzegowych oraz rozwój monitoringu stref przybrzeżnych</w:t>
      </w:r>
      <w:r w:rsidR="006E4865">
        <w:t xml:space="preserve">. </w:t>
      </w:r>
    </w:p>
    <w:p w14:paraId="646C5FF1" w14:textId="665D9118" w:rsidR="006E4865" w:rsidRPr="006E4865" w:rsidRDefault="006E4865" w:rsidP="000625AC">
      <w:pPr>
        <w:pStyle w:val="Akapitzlist"/>
        <w:numPr>
          <w:ilvl w:val="0"/>
          <w:numId w:val="33"/>
        </w:numPr>
        <w:spacing w:after="80"/>
        <w:ind w:left="425" w:hanging="357"/>
        <w:contextualSpacing w:val="0"/>
        <w:rPr>
          <w:b/>
          <w:bCs/>
        </w:rPr>
      </w:pPr>
      <w:r w:rsidRPr="006E4865">
        <w:rPr>
          <w:b/>
          <w:bCs/>
        </w:rPr>
        <w:t xml:space="preserve">Rolnictwo </w:t>
      </w:r>
    </w:p>
    <w:p w14:paraId="2CA989AD" w14:textId="6FFFCAB8" w:rsidR="006E4865" w:rsidRDefault="006E4865" w:rsidP="006E4865">
      <w:pPr>
        <w:pStyle w:val="Akapitzlist"/>
        <w:ind w:left="425"/>
        <w:contextualSpacing w:val="0"/>
      </w:pPr>
      <w:r>
        <w:t>Działania adaptacyjne obejmują retencję wody, działania na rzecz walki z chorobami zwierząt, wsparcie inwestycyjne, a także działa</w:t>
      </w:r>
      <w:r w:rsidR="004766AA">
        <w:t>nia</w:t>
      </w:r>
      <w:r>
        <w:t xml:space="preserve"> związan</w:t>
      </w:r>
      <w:r w:rsidR="004766AA">
        <w:t>e</w:t>
      </w:r>
      <w:r>
        <w:t xml:space="preserve"> z ochroną zdrowia gleby, zwiększania potencjału sekwestracji węgla w glebie czy ochroną bioróżnorodności. </w:t>
      </w:r>
      <w:r w:rsidR="004766AA">
        <w:t>Są one</w:t>
      </w:r>
      <w:r>
        <w:t xml:space="preserve"> realizowane w ramach Planu Strategicznego WPR na lata 2023-2027 poprzez wdrożenie ekoschematów, działań rolno-środowiskowo-klimatycznych oraz działań zalesieniowych, a także poprzez normy warunkowości (środowiskowej) WPR. Szerzej o zagadnieniu w części </w:t>
      </w:r>
      <w:r>
        <w:fldChar w:fldCharType="begin"/>
      </w:r>
      <w:r>
        <w:instrText xml:space="preserve"> REF _Ref174098009 \r \h </w:instrText>
      </w:r>
      <w:r>
        <w:fldChar w:fldCharType="separate"/>
      </w:r>
      <w:r w:rsidR="00871DD5">
        <w:t>Cel 1.2.5</w:t>
      </w:r>
      <w:r>
        <w:fldChar w:fldCharType="end"/>
      </w:r>
      <w:r>
        <w:t>.</w:t>
      </w:r>
    </w:p>
    <w:p w14:paraId="7F13859D" w14:textId="2CB01494" w:rsidR="006E4865" w:rsidRPr="006E4865" w:rsidRDefault="006E4865" w:rsidP="000625AC">
      <w:pPr>
        <w:pStyle w:val="Akapitzlist"/>
        <w:numPr>
          <w:ilvl w:val="0"/>
          <w:numId w:val="33"/>
        </w:numPr>
        <w:spacing w:after="80"/>
        <w:ind w:left="425" w:hanging="357"/>
        <w:contextualSpacing w:val="0"/>
        <w:rPr>
          <w:b/>
          <w:bCs/>
        </w:rPr>
      </w:pPr>
      <w:r w:rsidRPr="006E4865">
        <w:rPr>
          <w:b/>
          <w:bCs/>
        </w:rPr>
        <w:t xml:space="preserve">Leśnictwo </w:t>
      </w:r>
    </w:p>
    <w:p w14:paraId="4F7B1FA8" w14:textId="7CFA3AA7" w:rsidR="004766AA" w:rsidRDefault="004766AA" w:rsidP="004766AA">
      <w:pPr>
        <w:pStyle w:val="Akapitzlist"/>
        <w:ind w:left="425"/>
        <w:contextualSpacing w:val="0"/>
      </w:pPr>
      <w:r>
        <w:t xml:space="preserve">Skutki zmian klimatu mają negatywny wpływ na potencjał pochłaniania emisji gazów cieplarnianych. Do kluczowych działań sprzyjających adaptacji zaliczyć można: zwiększanie różnorodności strukturalnej i gatunkowej drzewostanów, zachowanie i zwiększanie wewnątrzgatunkowej zmienności genetycznej, zwiększanie odporności poszczególnych osobników na stresy o charakterze abiotycznym i biotycznym, przebudowa drzewostanów odznaczających się wysokim poziomem ryzyka powstania różnego rodzaju szkód, niedopuszczanie do nadmiernego wzrostu zasobności drzewostanów, zwiększanie obiektów małej retencji wodnej. Szerzej o zagadnieniu w części </w:t>
      </w:r>
      <w:r>
        <w:fldChar w:fldCharType="begin"/>
      </w:r>
      <w:r>
        <w:instrText xml:space="preserve"> REF _Ref174098020 \r \h </w:instrText>
      </w:r>
      <w:r>
        <w:fldChar w:fldCharType="separate"/>
      </w:r>
      <w:r w:rsidR="00871DD5">
        <w:t>Cel 1.3.1</w:t>
      </w:r>
      <w:r>
        <w:fldChar w:fldCharType="end"/>
      </w:r>
      <w:r>
        <w:t>.</w:t>
      </w:r>
    </w:p>
    <w:p w14:paraId="417A4E11" w14:textId="77777777" w:rsidR="004766AA" w:rsidRPr="006E4865" w:rsidRDefault="004766AA" w:rsidP="000625AC">
      <w:pPr>
        <w:pStyle w:val="Akapitzlist"/>
        <w:numPr>
          <w:ilvl w:val="0"/>
          <w:numId w:val="33"/>
        </w:numPr>
        <w:spacing w:after="80"/>
        <w:ind w:left="425" w:hanging="357"/>
        <w:contextualSpacing w:val="0"/>
        <w:rPr>
          <w:b/>
          <w:bCs/>
        </w:rPr>
      </w:pPr>
      <w:r w:rsidRPr="006E4865">
        <w:rPr>
          <w:b/>
          <w:bCs/>
        </w:rPr>
        <w:t>Transport</w:t>
      </w:r>
    </w:p>
    <w:p w14:paraId="0C11BA72" w14:textId="11F0DED3" w:rsidR="004766AA" w:rsidRDefault="004766AA" w:rsidP="004766AA">
      <w:pPr>
        <w:pStyle w:val="Akapitzlist"/>
        <w:ind w:left="425"/>
        <w:contextualSpacing w:val="0"/>
      </w:pPr>
      <w:r>
        <w:t>Realizacja polityki transportowej ma</w:t>
      </w:r>
      <w:r w:rsidR="007F24C7">
        <w:t>jąca</w:t>
      </w:r>
      <w:r>
        <w:t xml:space="preserve"> zapewnić m.in. nieprzerwaną dostępność </w:t>
      </w:r>
      <w:r w:rsidR="002F449A" w:rsidRPr="002F449A">
        <w:t>infrastruktury transportowej wymaga wdrażania norm budowlanych i projektowych, które skutkować będą odpornością infrastruktury transportu drogowego na ekstremalne zjawiska pogodowe. Dotyczą one odpowiedniego doboru materiałów, systemów odprowadzania wód i infiltracji, konstruowania dróg, linii kolejowych, wiaduktów mostów czy tuneli z uwzględnieniem potencjału powodziowego, jak również sytuowania roślinności (np. chroniącej przed nasłonecznieniem), w odpowiedniej odległości od dróg i linii kolejowych</w:t>
      </w:r>
      <w:r>
        <w:t xml:space="preserve">. </w:t>
      </w:r>
      <w:r w:rsidR="003C7D5B">
        <w:t xml:space="preserve">Również </w:t>
      </w:r>
      <w:r w:rsidR="00D431FD">
        <w:t xml:space="preserve">pojazdy i tabor kolejowy </w:t>
      </w:r>
      <w:r w:rsidR="003C7D5B">
        <w:t>wymaga</w:t>
      </w:r>
      <w:r w:rsidR="00D431FD">
        <w:t>ją dostosowania do ekstremalnych warunków po</w:t>
      </w:r>
      <w:r w:rsidR="002C5C00">
        <w:t>godowych, a przede wszystkim za</w:t>
      </w:r>
      <w:r w:rsidR="00AD4FCA">
        <w:t xml:space="preserve">pewnienia </w:t>
      </w:r>
      <w:r w:rsidR="00C23CE5">
        <w:t xml:space="preserve">wysoko efektywnego wykorzystania energii. </w:t>
      </w:r>
      <w:r w:rsidR="00AC2063">
        <w:t xml:space="preserve">Szereg wyzwań stoi także przed lotnictwem, gdyż budowa i przebudowa lotnisk powinna zapewniać </w:t>
      </w:r>
      <w:r w:rsidR="004B59D8">
        <w:t>redukcję wpływu skrajnych warunków na funkcjonalnie lotnisk.</w:t>
      </w:r>
      <w:r>
        <w:t xml:space="preserve"> </w:t>
      </w:r>
    </w:p>
    <w:p w14:paraId="1F2A59D8" w14:textId="77777777" w:rsidR="004766AA" w:rsidRPr="006E4865" w:rsidRDefault="004766AA" w:rsidP="000625AC">
      <w:pPr>
        <w:pStyle w:val="Akapitzlist"/>
        <w:numPr>
          <w:ilvl w:val="0"/>
          <w:numId w:val="33"/>
        </w:numPr>
        <w:spacing w:after="80"/>
        <w:ind w:left="425" w:hanging="357"/>
        <w:contextualSpacing w:val="0"/>
        <w:rPr>
          <w:b/>
          <w:bCs/>
        </w:rPr>
      </w:pPr>
      <w:r w:rsidRPr="006E4865">
        <w:rPr>
          <w:b/>
          <w:bCs/>
        </w:rPr>
        <w:t>Gospodarka przestrzenna, w tym</w:t>
      </w:r>
      <w:r>
        <w:rPr>
          <w:b/>
          <w:bCs/>
        </w:rPr>
        <w:t xml:space="preserve"> na</w:t>
      </w:r>
      <w:r w:rsidRPr="006E4865">
        <w:rPr>
          <w:b/>
          <w:bCs/>
        </w:rPr>
        <w:t xml:space="preserve"> obszar</w:t>
      </w:r>
      <w:r>
        <w:rPr>
          <w:b/>
          <w:bCs/>
        </w:rPr>
        <w:t>ach</w:t>
      </w:r>
      <w:r w:rsidRPr="006E4865">
        <w:rPr>
          <w:b/>
          <w:bCs/>
        </w:rPr>
        <w:t xml:space="preserve"> miejski</w:t>
      </w:r>
      <w:r>
        <w:rPr>
          <w:b/>
          <w:bCs/>
        </w:rPr>
        <w:t>ch</w:t>
      </w:r>
      <w:r w:rsidRPr="006E4865">
        <w:rPr>
          <w:b/>
          <w:bCs/>
        </w:rPr>
        <w:t xml:space="preserve"> </w:t>
      </w:r>
    </w:p>
    <w:p w14:paraId="36C57050" w14:textId="7B2F3492" w:rsidR="004766AA" w:rsidRDefault="004766AA" w:rsidP="004766AA">
      <w:pPr>
        <w:pStyle w:val="Akapitzlist"/>
        <w:ind w:left="425"/>
        <w:contextualSpacing w:val="0"/>
      </w:pPr>
      <w:r w:rsidRPr="002663C8">
        <w:t>Adaptacja do zmian klimatu w wielu obszarach wiąże się z planowaniem przestrzennym. Zabezpieczenie przed skutkami gwałtownych zjawisk pogodowych, usuwanie i unikanie tworzenia miejskich wysp ciepła, czy też adaptacja dużych inwestycji infrastrukturalnych możliwe są poprzez skuteczne planowanie przestrzenne. Jest to instrument, który może w znacznym stopniu zwiększyć efektywność i skuteczność adaptacji do zmian klimatu w Polsce.</w:t>
      </w:r>
      <w:r>
        <w:t xml:space="preserve"> </w:t>
      </w:r>
      <w:r w:rsidRPr="00671D06">
        <w:t>Adaptacja do zmian klimatu jest szczególnie istotna na obszarach miejskich ze względu na oddziaływanie zjawisk ekstremalnych na duże skupiska ludzi.</w:t>
      </w:r>
      <w:r>
        <w:t xml:space="preserve"> Skutecznie planowanie przestrzenne poprawia bezpieczeństwo mieszkańców i</w:t>
      </w:r>
      <w:r w:rsidR="00CE4350">
        <w:t> </w:t>
      </w:r>
      <w:r>
        <w:t xml:space="preserve">jakość ich życia poprzez tworzenie przestrzeni odpornych na skutki zmian klimatu. Z tego względu </w:t>
      </w:r>
      <w:r w:rsidRPr="00E34F09">
        <w:rPr>
          <w:i/>
          <w:iCs/>
        </w:rPr>
        <w:t>Krajowa Polityka Miejska</w:t>
      </w:r>
      <w:r>
        <w:t xml:space="preserve"> (</w:t>
      </w:r>
      <w:hyperlink r:id="rId73" w:history="1">
        <w:r w:rsidRPr="00E34F09">
          <w:rPr>
            <w:rStyle w:val="Hipercze"/>
          </w:rPr>
          <w:t>link</w:t>
        </w:r>
      </w:hyperlink>
      <w:r>
        <w:t xml:space="preserve">) podkreśla w sposób szczególny konieczność zabezpieczenia dostępu do wody pitnej ze względu na susze, dostosowanie infrastruktury miejskiej do opadów nawalnych (czemu nie sprzyja tzw. zabetonowanie), zapobieganie powodziom, w tym poprzez zapewnianie małej retencji, jak również ochrona terenów zalewowych. Znaczącą rolę w zwiększaniu retencji na obszarach miejskich ma rozwój niebiesko-zielonej infrastruktury, czyli </w:t>
      </w:r>
      <w:r w:rsidRPr="00671D06">
        <w:t>system rozproszonych rozwiązań o różnej skali, które służą zagospodarowaniu wód opadowych</w:t>
      </w:r>
      <w:r>
        <w:t xml:space="preserve">. Niezwykle ważna jest </w:t>
      </w:r>
      <w:r>
        <w:lastRenderedPageBreak/>
        <w:t xml:space="preserve">zieleń miejska (odpowiednio dobrana, usytuowana i pielęgnowana), która obniża temperaturę w danych przestrzeniach poprzez zacienienie i wpływa łagodząco na efekt miejskiej wyspy ciepła, poprawia jakość wody i powietrza, spowalnia spływ powierzchniowy, utrzymuje bioróżnorodność oraz ma korzystny wpływ na ludzkie zdrowie i komfort życia. Funkcjonalnym narzędziem określenia polityki adaptacyjnej i koordynacji jej wdrażania są </w:t>
      </w:r>
      <w:r w:rsidRPr="00E34F09">
        <w:rPr>
          <w:b/>
          <w:bCs/>
          <w:i/>
          <w:iCs/>
        </w:rPr>
        <w:t>miejskie plany adaptacji do zmian klimatu</w:t>
      </w:r>
      <w:r>
        <w:t xml:space="preserve"> (MPA). W ramach projektu </w:t>
      </w:r>
      <w:r w:rsidRPr="00FF69B0">
        <w:t>pn. „Opracowanie planów adaptacji do zmian klimatu w miastach powyżej 100</w:t>
      </w:r>
      <w:r w:rsidR="007B6085">
        <w:t> </w:t>
      </w:r>
      <w:r w:rsidRPr="00FF69B0">
        <w:t>tys. mieszkańców”,</w:t>
      </w:r>
      <w:r>
        <w:t xml:space="preserve"> realizowanego przez Ministerstwo Środowiska w </w:t>
      </w:r>
      <w:r w:rsidRPr="00FF69B0">
        <w:t>latach 2017-2019 wspólnie z największymi miastami w Polsce</w:t>
      </w:r>
      <w:r>
        <w:t>,</w:t>
      </w:r>
      <w:r w:rsidRPr="00FF69B0">
        <w:t xml:space="preserve"> współfinansowan</w:t>
      </w:r>
      <w:r>
        <w:t>ego</w:t>
      </w:r>
      <w:r w:rsidRPr="00FF69B0">
        <w:t xml:space="preserve"> ze środków Unii Europejskiej z</w:t>
      </w:r>
      <w:r w:rsidR="00CE4350">
        <w:t> </w:t>
      </w:r>
      <w:r w:rsidRPr="00FF69B0">
        <w:t>Programu Operacyjnego Infrastruktura i Środowisko 2014-2020</w:t>
      </w:r>
      <w:r>
        <w:t>,</w:t>
      </w:r>
      <w:r w:rsidRPr="00FF69B0">
        <w:t xml:space="preserve"> </w:t>
      </w:r>
      <w:r>
        <w:t>d</w:t>
      </w:r>
      <w:r w:rsidRPr="00FF69B0">
        <w:t>la 44 miast przygotowane zostały dokumenty zawierające diagnozę zagrożeń klimatycznych i sektorów, które są najbardziej wrażliwe na czynniki klimatyczne.</w:t>
      </w:r>
      <w:r>
        <w:t xml:space="preserve"> </w:t>
      </w:r>
      <w:r w:rsidR="000F5744">
        <w:t>Zgodnie z obowiązującym prawem, wszystkie miasta liczące co najmniej 20 tys. mieszkańców są zobowiązane do uchwalenia MPA do 2 stycznia 2028 r.</w:t>
      </w:r>
      <w:r>
        <w:t xml:space="preserve"> C</w:t>
      </w:r>
      <w:r w:rsidRPr="00A71ECC">
        <w:t xml:space="preserve">zęścią składową </w:t>
      </w:r>
      <w:r>
        <w:t>dokumentów</w:t>
      </w:r>
      <w:r w:rsidRPr="00A71ECC">
        <w:t xml:space="preserve"> będzie koncepcja zazieleniania miasta, w tym zwiększania powierzchni terenów zieleni i zadrzewień, oraz koncepcja zagospodarowania wód opadowych i roztopowych na terenie miasta</w:t>
      </w:r>
      <w:r>
        <w:t>.</w:t>
      </w:r>
    </w:p>
    <w:p w14:paraId="4F72736B" w14:textId="77777777" w:rsidR="004766AA" w:rsidRPr="006E4865" w:rsidRDefault="004766AA" w:rsidP="000625AC">
      <w:pPr>
        <w:pStyle w:val="Akapitzlist"/>
        <w:numPr>
          <w:ilvl w:val="0"/>
          <w:numId w:val="33"/>
        </w:numPr>
        <w:spacing w:after="80"/>
        <w:ind w:left="425" w:hanging="357"/>
        <w:contextualSpacing w:val="0"/>
        <w:rPr>
          <w:b/>
          <w:bCs/>
        </w:rPr>
      </w:pPr>
      <w:r w:rsidRPr="006E4865">
        <w:rPr>
          <w:b/>
          <w:bCs/>
        </w:rPr>
        <w:t>Budownictwo</w:t>
      </w:r>
    </w:p>
    <w:p w14:paraId="74C2BF36" w14:textId="3DD32FDD" w:rsidR="004766AA" w:rsidRDefault="004766AA" w:rsidP="004766AA">
      <w:pPr>
        <w:pStyle w:val="Akapitzlist"/>
        <w:ind w:left="425"/>
        <w:contextualSpacing w:val="0"/>
      </w:pPr>
      <w:r>
        <w:t>Budynki muszą być dostosowane do coraz wyższych temperatur i okresowych mro</w:t>
      </w:r>
      <w:r w:rsidR="007F24C7">
        <w:t>zów</w:t>
      </w:r>
      <w:r>
        <w:t xml:space="preserve">, ale także niespotykanych dotychczas huraganów, podwyższonych poziomów wód gruntowych i zagrożeń osuwiskami. Uciążliwość upału zwiększa znaczenie </w:t>
      </w:r>
      <w:r w:rsidR="00D92868">
        <w:t xml:space="preserve">zacienienia, </w:t>
      </w:r>
      <w:r>
        <w:t>systemów wentylacyjnych</w:t>
      </w:r>
      <w:r w:rsidR="000F660A" w:rsidRPr="00901FEA">
        <w:t xml:space="preserve"> </w:t>
      </w:r>
      <w:r w:rsidR="000F660A">
        <w:t>z</w:t>
      </w:r>
      <w:r w:rsidR="00CE4350">
        <w:t> </w:t>
      </w:r>
      <w:r w:rsidR="000F660A" w:rsidRPr="000F660A">
        <w:t>odzyskiem wilgoci</w:t>
      </w:r>
      <w:r w:rsidR="005C031D">
        <w:t xml:space="preserve"> i wilgoci</w:t>
      </w:r>
      <w:r w:rsidR="000F660A" w:rsidRPr="000F660A">
        <w:t xml:space="preserve"> oraz instalacji pom</w:t>
      </w:r>
      <w:r w:rsidR="000F660A">
        <w:t>p</w:t>
      </w:r>
      <w:r w:rsidR="000F660A" w:rsidRPr="000F660A">
        <w:t xml:space="preserve"> ciepła z możliwością chłodzenia powietrza</w:t>
      </w:r>
      <w:r>
        <w:t xml:space="preserve">. Nawalne deszcze i susze motywują do szukania rozwiązań innych niż odprowadzanie wód bezpośrednio do kanalizacji, a dla ograniczenia szkód związanych z osuwiskami najważniejszym rozwiązaniem jest nielokowanie budynków na terenach zagrożonych. Wdrażanie nowych regulacji dyrektywy </w:t>
      </w:r>
      <w:r w:rsidR="007D7402">
        <w:t>2</w:t>
      </w:r>
      <w:r w:rsidR="007D7402" w:rsidRPr="007D7402">
        <w:t>024/1275 w sprawie charakterystyki energetycznej budynków</w:t>
      </w:r>
      <w:r>
        <w:t>, której poszczególne wersje zwiększają standardy efektywności energetycznej budynków, wskazujące na coraz niższe potrzeby energetyczne oraz promują wykorzystanie odnawialnych i lokalnych źródeł energii służy redukcji emisji gazów cieplarnianych oraz przystosowuje budynki do postępujących zmian klimatu. Szerzej</w:t>
      </w:r>
      <w:r w:rsidR="00CE4350">
        <w:t> </w:t>
      </w:r>
      <w:r>
        <w:t xml:space="preserve">o zagadnieniu w części </w:t>
      </w:r>
      <w:r>
        <w:fldChar w:fldCharType="begin"/>
      </w:r>
      <w:r>
        <w:instrText xml:space="preserve"> REF _Ref174098103 \r \h </w:instrText>
      </w:r>
      <w:r>
        <w:fldChar w:fldCharType="separate"/>
      </w:r>
      <w:r w:rsidR="00871DD5">
        <w:t>Obszar 2.2</w:t>
      </w:r>
      <w:r>
        <w:fldChar w:fldCharType="end"/>
      </w:r>
      <w:r>
        <w:t>.</w:t>
      </w:r>
    </w:p>
    <w:p w14:paraId="6E2E77AC" w14:textId="77777777" w:rsidR="004766AA" w:rsidRPr="006E4865" w:rsidRDefault="004766AA" w:rsidP="000625AC">
      <w:pPr>
        <w:pStyle w:val="Akapitzlist"/>
        <w:numPr>
          <w:ilvl w:val="0"/>
          <w:numId w:val="33"/>
        </w:numPr>
        <w:spacing w:after="80"/>
        <w:ind w:left="425" w:hanging="357"/>
        <w:contextualSpacing w:val="0"/>
        <w:rPr>
          <w:b/>
          <w:bCs/>
        </w:rPr>
      </w:pPr>
      <w:r w:rsidRPr="006E4865">
        <w:rPr>
          <w:b/>
          <w:bCs/>
        </w:rPr>
        <w:t xml:space="preserve">Energetyka </w:t>
      </w:r>
    </w:p>
    <w:p w14:paraId="21822559" w14:textId="1BE93345" w:rsidR="006E4865" w:rsidRDefault="004766AA" w:rsidP="004A5B95">
      <w:pPr>
        <w:pStyle w:val="Akapitzlist"/>
        <w:ind w:left="425"/>
      </w:pPr>
      <w:r>
        <w:t>Adaptacja w sektorze energetycznym dotyczy w największym stopniu infrastruktury przesyłu i</w:t>
      </w:r>
      <w:r w:rsidR="00CE4350">
        <w:t> </w:t>
      </w:r>
      <w:r>
        <w:t xml:space="preserve">dystrybucji energii, szczególnie narażonej na ekstremalne zjawiska pogodowe. Z tego względu oprócz wdrażania standardów wspierających odporność infrastruktury liniowej, szczególnie ważne jest kablowanie sieci średnich napięć na obszarach leśnych, jak również instalowanie urządzeń wspierających identyfikację awarii. </w:t>
      </w:r>
      <w:r w:rsidR="00546256" w:rsidRPr="00546256">
        <w:t>Adaptacji do zmian klimatu sprzyja także rozwijanie energetyki rozproszonej, dzięki czemu produkcja i dostawy energii mogą odbywać się w niewielkiej odległości, a przy tym pochodzą z lokalnych zeroemisyjnych źródeł</w:t>
      </w:r>
      <w:r w:rsidR="00546256">
        <w:t>. W</w:t>
      </w:r>
      <w:r w:rsidR="00546256" w:rsidRPr="00546256">
        <w:t xml:space="preserve">ymaga </w:t>
      </w:r>
      <w:r w:rsidR="00546256">
        <w:t>to dodatkowo rozwoju</w:t>
      </w:r>
      <w:r w:rsidR="00546256" w:rsidRPr="00546256">
        <w:t xml:space="preserve"> zarządzania pracą systemu na poziomie lokalnym, ponieważ obecn</w:t>
      </w:r>
      <w:r w:rsidR="0030400A">
        <w:t>i</w:t>
      </w:r>
      <w:r w:rsidR="00546256" w:rsidRPr="00546256">
        <w:t>e wyspow</w:t>
      </w:r>
      <w:r w:rsidR="00546256">
        <w:t>a praca sieci jest utrudniona</w:t>
      </w:r>
      <w:r w:rsidR="006C3D0A">
        <w:t xml:space="preserve">. </w:t>
      </w:r>
      <w:r>
        <w:t>Istotne</w:t>
      </w:r>
      <w:r w:rsidR="00CE4350">
        <w:t> </w:t>
      </w:r>
      <w:r>
        <w:t>jest również magazynowanie energii, rozwój narzędzi zarządzania popytem oraz dodatkowych źródeł energii, które pozwolą na ciągłość dostaw przy niesprzyjającej pogodzie oraz w sytuacji zwiększonego zapotrzebowania na energię. W</w:t>
      </w:r>
      <w:r w:rsidR="001D5078">
        <w:t> </w:t>
      </w:r>
      <w:r>
        <w:t>ciepłownictwie systemowym obok rozwoju zeroemisyjnych źródeł, pozytywnym działaniem jest dostosowywanie istniejących i budowa nowych sieci w systemie niskotemperaturowym.</w:t>
      </w:r>
    </w:p>
    <w:p w14:paraId="0022E5BA" w14:textId="4E6A4E85" w:rsidR="006B025B" w:rsidRDefault="006B025B" w:rsidP="00994A61"/>
    <w:p w14:paraId="2AB93FBB" w14:textId="17F54014" w:rsidR="00906F31" w:rsidRPr="00906F31" w:rsidRDefault="00B64F0D" w:rsidP="00906F31">
      <w:pPr>
        <w:pStyle w:val="PaMs"/>
      </w:pPr>
      <w:bookmarkStart w:id="350" w:name="_Hlk173754743"/>
      <w:r w:rsidRPr="00E03647">
        <w:t>DZIAŁANIA</w:t>
      </w:r>
      <w:bookmarkEnd w:id="350"/>
    </w:p>
    <w:p w14:paraId="45212AA0" w14:textId="09595C15" w:rsidR="00906F31" w:rsidRDefault="00427A46" w:rsidP="003530A9">
      <w:pPr>
        <w:pStyle w:val="Akapitzlist"/>
        <w:numPr>
          <w:ilvl w:val="0"/>
          <w:numId w:val="3"/>
        </w:numPr>
      </w:pPr>
      <w:r>
        <w:fldChar w:fldCharType="begin"/>
      </w:r>
      <w:r>
        <w:instrText xml:space="preserve"> REF _Ref195888762 \h </w:instrText>
      </w:r>
      <w:r w:rsidR="009744E9">
        <w:instrText xml:space="preserve"> \* MERGEFORMAT </w:instrText>
      </w:r>
      <w:r>
        <w:fldChar w:fldCharType="separate"/>
      </w:r>
      <w:r w:rsidR="00871DD5">
        <w:t xml:space="preserve">Działanie 36. </w:t>
      </w:r>
      <w:r w:rsidR="00871DD5" w:rsidRPr="00685E5C">
        <w:t>Utworzenie stref czystego transport</w:t>
      </w:r>
      <w:r w:rsidR="00871DD5">
        <w:t>u</w:t>
      </w:r>
      <w:r>
        <w:fldChar w:fldCharType="end"/>
      </w:r>
    </w:p>
    <w:p w14:paraId="3BE411C2" w14:textId="45D379EE" w:rsidR="00427A46" w:rsidRDefault="00427A46" w:rsidP="003530A9">
      <w:pPr>
        <w:pStyle w:val="Akapitzlist"/>
        <w:numPr>
          <w:ilvl w:val="0"/>
          <w:numId w:val="3"/>
        </w:numPr>
      </w:pPr>
      <w:r>
        <w:fldChar w:fldCharType="begin"/>
      </w:r>
      <w:r>
        <w:instrText xml:space="preserve"> REF _Ref195888798 \h </w:instrText>
      </w:r>
      <w:r w:rsidR="000559D5">
        <w:instrText xml:space="preserve"> \* MERGEFORMAT </w:instrText>
      </w:r>
      <w:r>
        <w:fldChar w:fldCharType="separate"/>
      </w:r>
      <w:r w:rsidR="00871DD5">
        <w:t xml:space="preserve">Działanie 39. </w:t>
      </w:r>
      <w:r w:rsidR="00871DD5" w:rsidRPr="00BC1D13">
        <w:t>Modernizacja taboru i infrastruktury kolejowej oraz rozbudowa lokalnej i</w:t>
      </w:r>
      <w:r w:rsidR="00871DD5">
        <w:t> </w:t>
      </w:r>
      <w:r w:rsidR="00871DD5" w:rsidRPr="00BC1D13">
        <w:t>regionalnej infrastruktury kolejowej</w:t>
      </w:r>
      <w:r>
        <w:fldChar w:fldCharType="end"/>
      </w:r>
    </w:p>
    <w:p w14:paraId="0580B278" w14:textId="361307FB" w:rsidR="00906F31" w:rsidRDefault="00545390" w:rsidP="003530A9">
      <w:pPr>
        <w:pStyle w:val="Akapitzlist"/>
        <w:numPr>
          <w:ilvl w:val="0"/>
          <w:numId w:val="3"/>
        </w:numPr>
      </w:pPr>
      <w:r>
        <w:fldChar w:fldCharType="begin"/>
      </w:r>
      <w:r>
        <w:instrText xml:space="preserve"> REF _Ref195888674 \h </w:instrText>
      </w:r>
      <w:r w:rsidR="000559D5">
        <w:instrText xml:space="preserve"> \* MERGEFORMAT </w:instrText>
      </w:r>
      <w:r>
        <w:fldChar w:fldCharType="separate"/>
      </w:r>
      <w:r w:rsidR="00871DD5">
        <w:t xml:space="preserve">Działanie 63. </w:t>
      </w:r>
      <w:r w:rsidR="00871DD5" w:rsidRPr="004040E0">
        <w:t>Stosowanie warunkowości (środowiskowej) w ramach WPR</w:t>
      </w:r>
      <w:r>
        <w:fldChar w:fldCharType="end"/>
      </w:r>
    </w:p>
    <w:p w14:paraId="002D6703" w14:textId="7080EEF5" w:rsidR="00906F31" w:rsidRDefault="00545390" w:rsidP="003530A9">
      <w:pPr>
        <w:pStyle w:val="Akapitzlist"/>
        <w:numPr>
          <w:ilvl w:val="0"/>
          <w:numId w:val="3"/>
        </w:numPr>
      </w:pPr>
      <w:r>
        <w:fldChar w:fldCharType="begin"/>
      </w:r>
      <w:r>
        <w:instrText xml:space="preserve"> REF _Ref195888667 \h </w:instrText>
      </w:r>
      <w:r w:rsidR="000559D5">
        <w:instrText xml:space="preserve"> \* MERGEFORMAT </w:instrText>
      </w:r>
      <w:r>
        <w:fldChar w:fldCharType="separate"/>
      </w:r>
      <w:r w:rsidR="00871DD5">
        <w:t xml:space="preserve">Działanie 64. </w:t>
      </w:r>
      <w:r w:rsidR="00871DD5" w:rsidRPr="000C3864">
        <w:t>Stosowanie ekoschematów w ramach WPR</w:t>
      </w:r>
      <w:r>
        <w:fldChar w:fldCharType="end"/>
      </w:r>
    </w:p>
    <w:p w14:paraId="7651ABFF" w14:textId="5DBF3D9B" w:rsidR="00906F31" w:rsidRDefault="00545390" w:rsidP="003530A9">
      <w:pPr>
        <w:pStyle w:val="Akapitzlist"/>
        <w:numPr>
          <w:ilvl w:val="0"/>
          <w:numId w:val="3"/>
        </w:numPr>
      </w:pPr>
      <w:r>
        <w:lastRenderedPageBreak/>
        <w:fldChar w:fldCharType="begin"/>
      </w:r>
      <w:r>
        <w:instrText xml:space="preserve"> REF _Ref195888656 \h </w:instrText>
      </w:r>
      <w:r w:rsidR="000559D5">
        <w:instrText xml:space="preserve"> \* MERGEFORMAT </w:instrText>
      </w:r>
      <w:r>
        <w:fldChar w:fldCharType="separate"/>
      </w:r>
      <w:r w:rsidR="00871DD5">
        <w:t xml:space="preserve">Działanie 65. </w:t>
      </w:r>
      <w:r w:rsidR="00871DD5" w:rsidRPr="003B4C4B">
        <w:t>Działania rolno-środowiskowo-klimatyczne w ramach WPR</w:t>
      </w:r>
      <w:r>
        <w:fldChar w:fldCharType="end"/>
      </w:r>
    </w:p>
    <w:p w14:paraId="59F98F94" w14:textId="490D5C3C" w:rsidR="00906F31" w:rsidRDefault="00906F31" w:rsidP="003530A9">
      <w:pPr>
        <w:pStyle w:val="Akapitzlist"/>
        <w:numPr>
          <w:ilvl w:val="0"/>
          <w:numId w:val="3"/>
        </w:numPr>
      </w:pPr>
      <w:r>
        <w:fldChar w:fldCharType="begin"/>
      </w:r>
      <w:r>
        <w:instrText xml:space="preserve"> REF _Ref195888645 \h </w:instrText>
      </w:r>
      <w:r w:rsidR="000559D5">
        <w:instrText xml:space="preserve"> \* MERGEFORMAT </w:instrText>
      </w:r>
      <w:r>
        <w:fldChar w:fldCharType="separate"/>
      </w:r>
      <w:r w:rsidR="00871DD5">
        <w:t xml:space="preserve">Działanie 66. </w:t>
      </w:r>
      <w:r w:rsidR="00871DD5" w:rsidRPr="001462C7">
        <w:t>Wsparcie w zakresie rolnictwa ekologicznego w ramach WPR</w:t>
      </w:r>
      <w:r>
        <w:fldChar w:fldCharType="end"/>
      </w:r>
    </w:p>
    <w:p w14:paraId="628248B6" w14:textId="67A174C9" w:rsidR="00906F31" w:rsidRPr="00906F31" w:rsidRDefault="00906F31" w:rsidP="003530A9">
      <w:pPr>
        <w:pStyle w:val="Akapitzlist"/>
        <w:numPr>
          <w:ilvl w:val="0"/>
          <w:numId w:val="3"/>
        </w:numPr>
      </w:pPr>
      <w:r w:rsidRPr="00906F31">
        <w:fldChar w:fldCharType="begin"/>
      </w:r>
      <w:r w:rsidRPr="00906F31">
        <w:instrText xml:space="preserve"> REF _Ref195888548 \h  \* MERGEFORMAT </w:instrText>
      </w:r>
      <w:r w:rsidRPr="00906F31">
        <w:fldChar w:fldCharType="separate"/>
      </w:r>
      <w:r w:rsidR="00871DD5">
        <w:t xml:space="preserve">Działanie 67. </w:t>
      </w:r>
      <w:r w:rsidR="00871DD5" w:rsidRPr="00101B21">
        <w:t>Interwencje leśne i zadrzewieniowe w ramach WPR</w:t>
      </w:r>
      <w:r w:rsidRPr="00906F31">
        <w:fldChar w:fldCharType="end"/>
      </w:r>
    </w:p>
    <w:p w14:paraId="2C7CA287" w14:textId="050933E7" w:rsidR="00906F31" w:rsidRPr="000559D5" w:rsidRDefault="00906F31" w:rsidP="003530A9">
      <w:pPr>
        <w:pStyle w:val="Akapitzlist"/>
        <w:numPr>
          <w:ilvl w:val="0"/>
          <w:numId w:val="3"/>
        </w:numPr>
      </w:pPr>
      <w:r w:rsidRPr="000559D5">
        <w:fldChar w:fldCharType="begin"/>
      </w:r>
      <w:r w:rsidRPr="000559D5">
        <w:instrText xml:space="preserve"> REF _Ref195888529 \h  \* MERGEFORMAT </w:instrText>
      </w:r>
      <w:r w:rsidRPr="000559D5">
        <w:fldChar w:fldCharType="separate"/>
      </w:r>
      <w:r w:rsidR="00871DD5">
        <w:t xml:space="preserve">Działanie 74. </w:t>
      </w:r>
      <w:r w:rsidR="00871DD5" w:rsidRPr="00DC085B">
        <w:t>Przygotowanie planów gospodarowania zasobami wodnymi w lasach</w:t>
      </w:r>
      <w:r w:rsidRPr="000559D5">
        <w:fldChar w:fldCharType="end"/>
      </w:r>
    </w:p>
    <w:p w14:paraId="7162F99D" w14:textId="54B15C2D" w:rsidR="00906F31" w:rsidRPr="000559D5" w:rsidRDefault="00906F31" w:rsidP="003530A9">
      <w:pPr>
        <w:pStyle w:val="Akapitzlist"/>
        <w:numPr>
          <w:ilvl w:val="0"/>
          <w:numId w:val="3"/>
        </w:numPr>
      </w:pPr>
      <w:r w:rsidRPr="000559D5">
        <w:fldChar w:fldCharType="begin"/>
      </w:r>
      <w:r w:rsidRPr="000559D5">
        <w:instrText xml:space="preserve"> REF _Ref195888517 \h  \* MERGEFORMAT </w:instrText>
      </w:r>
      <w:r w:rsidRPr="000559D5">
        <w:fldChar w:fldCharType="separate"/>
      </w:r>
      <w:r w:rsidR="00871DD5">
        <w:t xml:space="preserve">Działanie 75. </w:t>
      </w:r>
      <w:r w:rsidR="00871DD5" w:rsidRPr="00E823DF">
        <w:t>Określanie celów i zasad prowadzenia trwale zrównoważonej gospodarki leśnej</w:t>
      </w:r>
      <w:r w:rsidRPr="000559D5">
        <w:fldChar w:fldCharType="end"/>
      </w:r>
    </w:p>
    <w:p w14:paraId="2773B998" w14:textId="502AA408" w:rsidR="00906F31" w:rsidRPr="000559D5" w:rsidRDefault="00906F31" w:rsidP="003530A9">
      <w:pPr>
        <w:pStyle w:val="Akapitzlist"/>
        <w:numPr>
          <w:ilvl w:val="0"/>
          <w:numId w:val="3"/>
        </w:numPr>
      </w:pPr>
      <w:r w:rsidRPr="000559D5">
        <w:fldChar w:fldCharType="begin"/>
      </w:r>
      <w:r w:rsidRPr="000559D5">
        <w:instrText xml:space="preserve"> REF _Ref195888472 \h  \* MERGEFORMAT </w:instrText>
      </w:r>
      <w:r w:rsidRPr="000559D5">
        <w:fldChar w:fldCharType="separate"/>
      </w:r>
      <w:r w:rsidR="00871DD5">
        <w:t xml:space="preserve">Działanie 79. </w:t>
      </w:r>
      <w:r w:rsidR="00871DD5" w:rsidRPr="001D061A">
        <w:t>Przeciwdziałanie zamieraniu lasów</w:t>
      </w:r>
      <w:r w:rsidRPr="000559D5">
        <w:fldChar w:fldCharType="end"/>
      </w:r>
    </w:p>
    <w:p w14:paraId="1C978F9C" w14:textId="09A99ACE" w:rsidR="00906F31" w:rsidRPr="000559D5" w:rsidRDefault="00906F31" w:rsidP="003530A9">
      <w:pPr>
        <w:pStyle w:val="Akapitzlist"/>
        <w:numPr>
          <w:ilvl w:val="0"/>
          <w:numId w:val="3"/>
        </w:numPr>
      </w:pPr>
      <w:r w:rsidRPr="000559D5">
        <w:fldChar w:fldCharType="begin"/>
      </w:r>
      <w:r w:rsidRPr="000559D5">
        <w:instrText xml:space="preserve"> REF _Ref195888507 \h  \* MERGEFORMAT </w:instrText>
      </w:r>
      <w:r w:rsidRPr="000559D5">
        <w:fldChar w:fldCharType="separate"/>
      </w:r>
      <w:r w:rsidR="00871DD5">
        <w:t xml:space="preserve">Działanie 80. </w:t>
      </w:r>
      <w:r w:rsidR="00871DD5" w:rsidRPr="007A566E">
        <w:t>Określenie kierunkowych zadań z zakresu ochrony przeciwpożarowej lasu</w:t>
      </w:r>
      <w:r w:rsidRPr="000559D5">
        <w:fldChar w:fldCharType="end"/>
      </w:r>
    </w:p>
    <w:p w14:paraId="13BAB976" w14:textId="35969BB3" w:rsidR="00906F31" w:rsidRPr="000559D5" w:rsidRDefault="00906F31" w:rsidP="003530A9">
      <w:pPr>
        <w:pStyle w:val="Akapitzlist"/>
        <w:numPr>
          <w:ilvl w:val="0"/>
          <w:numId w:val="3"/>
        </w:numPr>
      </w:pPr>
      <w:r w:rsidRPr="000559D5">
        <w:fldChar w:fldCharType="begin"/>
      </w:r>
      <w:r w:rsidRPr="000559D5">
        <w:instrText xml:space="preserve"> REF _Ref195888459 \h  \* MERGEFORMAT </w:instrText>
      </w:r>
      <w:r w:rsidRPr="000559D5">
        <w:fldChar w:fldCharType="separate"/>
      </w:r>
      <w:r w:rsidR="00871DD5">
        <w:t xml:space="preserve">Działanie 81. </w:t>
      </w:r>
      <w:r w:rsidR="00871DD5" w:rsidRPr="00F10E39">
        <w:t>Odtworzenie oraz zachowanie obszarów bagiennych, torfowisk i terenów podmokłych</w:t>
      </w:r>
      <w:r w:rsidRPr="000559D5">
        <w:fldChar w:fldCharType="end"/>
      </w:r>
    </w:p>
    <w:p w14:paraId="4EEB59B8" w14:textId="25975256" w:rsidR="00906F31" w:rsidRPr="000559D5" w:rsidRDefault="00906F31" w:rsidP="003530A9">
      <w:pPr>
        <w:pStyle w:val="Akapitzlist"/>
        <w:numPr>
          <w:ilvl w:val="0"/>
          <w:numId w:val="3"/>
        </w:numPr>
      </w:pPr>
      <w:r w:rsidRPr="000559D5">
        <w:fldChar w:fldCharType="begin"/>
      </w:r>
      <w:r w:rsidRPr="000559D5">
        <w:instrText xml:space="preserve"> REF _Ref195888449 \h  \* MERGEFORMAT </w:instrText>
      </w:r>
      <w:r w:rsidRPr="000559D5">
        <w:fldChar w:fldCharType="separate"/>
      </w:r>
      <w:r w:rsidR="00871DD5">
        <w:t xml:space="preserve">Działanie 82. </w:t>
      </w:r>
      <w:r w:rsidR="00871DD5" w:rsidRPr="00186118">
        <w:t>Rozwój małej retencji wodnej</w:t>
      </w:r>
      <w:r w:rsidRPr="000559D5">
        <w:fldChar w:fldCharType="end"/>
      </w:r>
    </w:p>
    <w:p w14:paraId="022A07C2" w14:textId="3332CCEB" w:rsidR="00906F31" w:rsidRPr="000559D5" w:rsidRDefault="00906F31" w:rsidP="003530A9">
      <w:pPr>
        <w:pStyle w:val="Akapitzlist"/>
        <w:numPr>
          <w:ilvl w:val="0"/>
          <w:numId w:val="3"/>
        </w:numPr>
      </w:pPr>
      <w:r w:rsidRPr="000559D5">
        <w:fldChar w:fldCharType="begin"/>
      </w:r>
      <w:r w:rsidRPr="000559D5">
        <w:instrText xml:space="preserve"> REF _Ref195888433 \h  \* MERGEFORMAT </w:instrText>
      </w:r>
      <w:r w:rsidRPr="000559D5">
        <w:fldChar w:fldCharType="separate"/>
      </w:r>
      <w:r w:rsidR="00871DD5" w:rsidRPr="00871DD5">
        <w:t xml:space="preserve">Działanie 86. Opracowanie i wdrażanie </w:t>
      </w:r>
      <w:r w:rsidR="00871DD5">
        <w:t xml:space="preserve">Krajowego Planu Odbudowy Zasobów Przyrodniczych </w:t>
      </w:r>
      <w:r w:rsidRPr="000559D5">
        <w:fldChar w:fldCharType="end"/>
      </w:r>
    </w:p>
    <w:p w14:paraId="7AE8A44E" w14:textId="7FDF4AEF" w:rsidR="00906F31" w:rsidRPr="000559D5" w:rsidRDefault="00906F31" w:rsidP="003530A9">
      <w:pPr>
        <w:pStyle w:val="Akapitzlist"/>
        <w:numPr>
          <w:ilvl w:val="0"/>
          <w:numId w:val="3"/>
        </w:numPr>
      </w:pPr>
      <w:r w:rsidRPr="000559D5">
        <w:fldChar w:fldCharType="begin"/>
      </w:r>
      <w:r w:rsidRPr="000559D5">
        <w:instrText xml:space="preserve"> REF _Ref195888384 \h  \* MERGEFORMAT </w:instrText>
      </w:r>
      <w:r w:rsidRPr="000559D5">
        <w:fldChar w:fldCharType="separate"/>
      </w:r>
      <w:r w:rsidR="00871DD5" w:rsidRPr="00871DD5">
        <w:t xml:space="preserve">Działanie 89. </w:t>
      </w:r>
      <w:r w:rsidR="00871DD5" w:rsidRPr="00173E66">
        <w:t>Instrument finansowy – Program Priorytetowy NFOŚiGW – „Moja woda”</w:t>
      </w:r>
      <w:r w:rsidRPr="000559D5">
        <w:fldChar w:fldCharType="end"/>
      </w:r>
    </w:p>
    <w:p w14:paraId="0E04E051" w14:textId="2E9A2E17" w:rsidR="00906F31" w:rsidRPr="000559D5" w:rsidRDefault="00906F31" w:rsidP="003530A9">
      <w:pPr>
        <w:pStyle w:val="Akapitzlist"/>
        <w:numPr>
          <w:ilvl w:val="0"/>
          <w:numId w:val="3"/>
        </w:numPr>
      </w:pPr>
      <w:r w:rsidRPr="000559D5">
        <w:fldChar w:fldCharType="begin"/>
      </w:r>
      <w:r w:rsidRPr="000559D5">
        <w:instrText xml:space="preserve"> REF _Ref195888378 \h  \* MERGEFORMAT </w:instrText>
      </w:r>
      <w:r w:rsidRPr="000559D5">
        <w:fldChar w:fldCharType="separate"/>
      </w:r>
      <w:r w:rsidR="00871DD5" w:rsidRPr="00871DD5">
        <w:t>Działanie 90. Wsparcie rozwoju gospodarki wodno-ściekowej</w:t>
      </w:r>
      <w:r w:rsidRPr="000559D5">
        <w:fldChar w:fldCharType="end"/>
      </w:r>
    </w:p>
    <w:p w14:paraId="0596DA8B" w14:textId="5C643750" w:rsidR="00906F31" w:rsidRPr="000559D5" w:rsidRDefault="00906F31" w:rsidP="003530A9">
      <w:pPr>
        <w:pStyle w:val="Akapitzlist"/>
        <w:numPr>
          <w:ilvl w:val="0"/>
          <w:numId w:val="3"/>
        </w:numPr>
      </w:pPr>
      <w:r w:rsidRPr="000559D5">
        <w:fldChar w:fldCharType="begin"/>
      </w:r>
      <w:r w:rsidRPr="000559D5">
        <w:instrText xml:space="preserve"> REF _Ref195888370 \h  \* MERGEFORMAT </w:instrText>
      </w:r>
      <w:r w:rsidRPr="000559D5">
        <w:fldChar w:fldCharType="separate"/>
      </w:r>
      <w:r w:rsidR="00871DD5" w:rsidRPr="00FB68C2">
        <w:t xml:space="preserve">Działanie </w:t>
      </w:r>
      <w:r w:rsidR="00871DD5">
        <w:t>92</w:t>
      </w:r>
      <w:r w:rsidR="00871DD5" w:rsidRPr="00FB68C2">
        <w:t xml:space="preserve">. </w:t>
      </w:r>
      <w:r w:rsidR="00871DD5" w:rsidRPr="00D769FE">
        <w:t>Identyfikacja i remediacja miejsc, w których występuje zanieczyszczenie powierzchni ziemi</w:t>
      </w:r>
      <w:r w:rsidRPr="000559D5">
        <w:fldChar w:fldCharType="end"/>
      </w:r>
    </w:p>
    <w:p w14:paraId="054DAA03" w14:textId="54422161" w:rsidR="000061D4" w:rsidRPr="000559D5" w:rsidRDefault="000061D4" w:rsidP="003530A9">
      <w:pPr>
        <w:pStyle w:val="Akapitzlist"/>
        <w:numPr>
          <w:ilvl w:val="0"/>
          <w:numId w:val="3"/>
        </w:numPr>
      </w:pPr>
      <w:r w:rsidRPr="000559D5">
        <w:fldChar w:fldCharType="begin"/>
      </w:r>
      <w:r w:rsidRPr="000559D5">
        <w:instrText xml:space="preserve"> REF _Ref202264672 \h  \* MERGEFORMAT </w:instrText>
      </w:r>
      <w:r w:rsidRPr="000559D5">
        <w:fldChar w:fldCharType="separate"/>
      </w:r>
      <w:r w:rsidR="00871DD5" w:rsidRPr="00871DD5">
        <w:t xml:space="preserve">Działanie 95. </w:t>
      </w:r>
      <w:r w:rsidR="00871DD5" w:rsidRPr="00AA38CA">
        <w:t>Zapobieganie procesom degradacji gruntów naturalnych oraz użytkowanych w</w:t>
      </w:r>
      <w:r w:rsidR="00871DD5" w:rsidRPr="00AA38CA">
        <w:rPr>
          <w:rFonts w:ascii="Arial" w:hAnsi="Arial" w:cs="Arial"/>
        </w:rPr>
        <w:t> </w:t>
      </w:r>
      <w:r w:rsidR="00871DD5" w:rsidRPr="00AA38CA">
        <w:t>celach rolniczych i le</w:t>
      </w:r>
      <w:r w:rsidR="00871DD5" w:rsidRPr="00871DD5">
        <w:t>ś</w:t>
      </w:r>
      <w:r w:rsidR="00871DD5" w:rsidRPr="00AA38CA">
        <w:t>nych</w:t>
      </w:r>
      <w:r w:rsidRPr="000559D5">
        <w:fldChar w:fldCharType="end"/>
      </w:r>
    </w:p>
    <w:p w14:paraId="07525089" w14:textId="092E34D2" w:rsidR="00515A94" w:rsidRPr="000559D5" w:rsidRDefault="00515A94" w:rsidP="003530A9">
      <w:pPr>
        <w:pStyle w:val="Akapitzlist"/>
        <w:numPr>
          <w:ilvl w:val="0"/>
          <w:numId w:val="3"/>
        </w:numPr>
      </w:pPr>
      <w:r w:rsidRPr="000559D5">
        <w:fldChar w:fldCharType="begin"/>
      </w:r>
      <w:r w:rsidRPr="000559D5">
        <w:instrText xml:space="preserve"> REF _Ref195888347 \h </w:instrText>
      </w:r>
      <w:r w:rsidR="00906F31" w:rsidRPr="000559D5">
        <w:instrText xml:space="preserve"> \* MERGEFORMAT </w:instrText>
      </w:r>
      <w:r w:rsidRPr="000559D5">
        <w:fldChar w:fldCharType="separate"/>
      </w:r>
      <w:r w:rsidR="00871DD5" w:rsidRPr="00871DD5">
        <w:t xml:space="preserve">Działanie 96. </w:t>
      </w:r>
      <w:r w:rsidR="00871DD5" w:rsidRPr="00AA38CA">
        <w:t>Wspieranie rekultywacji gruntów zdegradowanych i</w:t>
      </w:r>
      <w:r w:rsidR="00871DD5" w:rsidRPr="00871DD5">
        <w:rPr>
          <w:rFonts w:ascii="Arial" w:hAnsi="Arial" w:cs="Arial"/>
        </w:rPr>
        <w:t> </w:t>
      </w:r>
      <w:r w:rsidR="00871DD5" w:rsidRPr="00AA38CA">
        <w:t>zdewastowanych</w:t>
      </w:r>
      <w:r w:rsidRPr="000559D5">
        <w:fldChar w:fldCharType="end"/>
      </w:r>
    </w:p>
    <w:p w14:paraId="09F9B59C" w14:textId="3911AB7F" w:rsidR="00515A94" w:rsidRPr="000559D5" w:rsidRDefault="00515A94" w:rsidP="003530A9">
      <w:pPr>
        <w:pStyle w:val="Akapitzlist"/>
        <w:numPr>
          <w:ilvl w:val="0"/>
          <w:numId w:val="3"/>
        </w:numPr>
      </w:pPr>
      <w:r w:rsidRPr="000559D5">
        <w:fldChar w:fldCharType="begin"/>
      </w:r>
      <w:r w:rsidRPr="000559D5">
        <w:instrText xml:space="preserve"> REF _Ref195888324 \h </w:instrText>
      </w:r>
      <w:r w:rsidR="00906F31" w:rsidRPr="000559D5">
        <w:instrText xml:space="preserve"> \* MERGEFORMAT </w:instrText>
      </w:r>
      <w:r w:rsidRPr="000559D5">
        <w:fldChar w:fldCharType="separate"/>
      </w:r>
      <w:r w:rsidR="00871DD5" w:rsidRPr="00871DD5">
        <w:t>Działanie 97.</w:t>
      </w:r>
      <w:r w:rsidR="00871DD5" w:rsidRPr="00AA38CA">
        <w:t xml:space="preserve"> Instrument finansowy – Program Priorytetowy NFOŚiGW „Ochrona powierzchni ziemi”</w:t>
      </w:r>
      <w:r w:rsidRPr="000559D5">
        <w:fldChar w:fldCharType="end"/>
      </w:r>
    </w:p>
    <w:p w14:paraId="29440617" w14:textId="50226398" w:rsidR="00B515F8" w:rsidRPr="000559D5" w:rsidRDefault="00B515F8" w:rsidP="003530A9">
      <w:pPr>
        <w:pStyle w:val="Akapitzlist"/>
        <w:numPr>
          <w:ilvl w:val="0"/>
          <w:numId w:val="3"/>
        </w:numPr>
      </w:pPr>
      <w:r w:rsidRPr="000559D5">
        <w:fldChar w:fldCharType="begin"/>
      </w:r>
      <w:r w:rsidRPr="000559D5">
        <w:instrText xml:space="preserve"> REF _Ref195888272 \h  \* MERGEFORMAT </w:instrText>
      </w:r>
      <w:r w:rsidRPr="000559D5">
        <w:fldChar w:fldCharType="separate"/>
      </w:r>
      <w:r w:rsidR="00871DD5" w:rsidRPr="00871DD5">
        <w:t>Działanie 98.</w:t>
      </w:r>
      <w:r w:rsidR="00871DD5" w:rsidRPr="00AA38CA">
        <w:t xml:space="preserve"> </w:t>
      </w:r>
      <w:r w:rsidR="00871DD5" w:rsidRPr="004D6F82">
        <w:t>Instrument finansowy – Programy NFOŚiGW wspierające adaptację do zmian klimatu</w:t>
      </w:r>
      <w:r w:rsidRPr="000559D5">
        <w:fldChar w:fldCharType="end"/>
      </w:r>
    </w:p>
    <w:p w14:paraId="0614F183" w14:textId="77777777" w:rsidR="00DC3D34" w:rsidRDefault="00DC3D34" w:rsidP="00DC3D34"/>
    <w:p w14:paraId="2155F5CE" w14:textId="77777777" w:rsidR="00DC3D34" w:rsidRDefault="00DC3D34" w:rsidP="00DC3D34">
      <w:pPr>
        <w:sectPr w:rsidR="00DC3D34" w:rsidSect="0066393B">
          <w:type w:val="continuous"/>
          <w:pgSz w:w="11906" w:h="16838"/>
          <w:pgMar w:top="1417" w:right="1417" w:bottom="1417" w:left="1417" w:header="708" w:footer="708" w:gutter="0"/>
          <w:cols w:space="708"/>
          <w:docGrid w:linePitch="360"/>
        </w:sectPr>
      </w:pPr>
    </w:p>
    <w:p w14:paraId="76177AA3" w14:textId="29ADE2A5" w:rsidR="00691EA7" w:rsidRDefault="002F5F1F" w:rsidP="005A0EA7">
      <w:pPr>
        <w:pStyle w:val="Nagwek2"/>
      </w:pPr>
      <w:bookmarkStart w:id="351" w:name="_Toc159598302"/>
      <w:bookmarkStart w:id="352" w:name="_Toc195897288"/>
      <w:bookmarkStart w:id="353" w:name="_Toc205203177"/>
      <w:r w:rsidRPr="00694A4E">
        <w:rPr>
          <w:noProof/>
          <w:lang w:eastAsia="pl-PL"/>
        </w:rPr>
        <w:lastRenderedPageBreak/>
        <w:drawing>
          <wp:anchor distT="0" distB="0" distL="114300" distR="114300" simplePos="0" relativeHeight="251458048" behindDoc="0" locked="0" layoutInCell="1" allowOverlap="1" wp14:anchorId="6EF28F52" wp14:editId="51AC7B5C">
            <wp:simplePos x="0" y="0"/>
            <wp:positionH relativeFrom="margin">
              <wp:align>center</wp:align>
            </wp:positionH>
            <wp:positionV relativeFrom="paragraph">
              <wp:posOffset>-616570</wp:posOffset>
            </wp:positionV>
            <wp:extent cx="6983095" cy="4200525"/>
            <wp:effectExtent l="0" t="0" r="8255" b="9525"/>
            <wp:wrapNone/>
            <wp:docPr id="9" name="Obraz 8" descr="Obraz zawierający roślina, donica, roślina domowa, zioło&#10;&#10;Opis wygenerowany automatycznie">
              <a:extLst xmlns:a="http://schemas.openxmlformats.org/drawingml/2006/main">
                <a:ext uri="{FF2B5EF4-FFF2-40B4-BE49-F238E27FC236}">
                  <a16:creationId xmlns:a16="http://schemas.microsoft.com/office/drawing/2014/main" id="{36223417-3A6E-79A3-E3B0-F15469B9E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descr="Obraz zawierający roślina, donica, roślina domowa, zioło&#10;&#10;Opis wygenerowany automatycznie">
                      <a:extLst>
                        <a:ext uri="{FF2B5EF4-FFF2-40B4-BE49-F238E27FC236}">
                          <a16:creationId xmlns:a16="http://schemas.microsoft.com/office/drawing/2014/main" id="{36223417-3A6E-79A3-E3B0-F15469B9EF54}"/>
                        </a:ext>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a:stretch/>
                  </pic:blipFill>
                  <pic:spPr bwMode="auto">
                    <a:xfrm>
                      <a:off x="0" y="0"/>
                      <a:ext cx="6983095" cy="420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EA7">
        <w:t>Poprawa e</w:t>
      </w:r>
      <w:r w:rsidR="00691EA7">
        <w:t>fektywno</w:t>
      </w:r>
      <w:r w:rsidR="005A0EA7">
        <w:t xml:space="preserve">ści </w:t>
      </w:r>
      <w:r w:rsidR="00691EA7">
        <w:t>energetyc</w:t>
      </w:r>
      <w:r w:rsidR="005A0EA7">
        <w:t>znej</w:t>
      </w:r>
      <w:bookmarkEnd w:id="351"/>
      <w:bookmarkEnd w:id="352"/>
      <w:bookmarkEnd w:id="353"/>
    </w:p>
    <w:p w14:paraId="6C2D9953" w14:textId="7ADDCA7C" w:rsidR="00E23B70" w:rsidRDefault="00E23B70" w:rsidP="007F22F4"/>
    <w:p w14:paraId="783F0275" w14:textId="77777777" w:rsidR="00E23B70" w:rsidRDefault="00E23B70" w:rsidP="007F22F4"/>
    <w:p w14:paraId="69E9057F" w14:textId="77777777" w:rsidR="00E23B70" w:rsidRDefault="00E23B70" w:rsidP="007F22F4"/>
    <w:p w14:paraId="1E907E73" w14:textId="77777777" w:rsidR="00E23B70" w:rsidRDefault="00E23B70" w:rsidP="007F22F4"/>
    <w:p w14:paraId="16DA99EA" w14:textId="70C6CE40" w:rsidR="00E23B70" w:rsidRDefault="00E23B70" w:rsidP="007F22F4"/>
    <w:p w14:paraId="107BC0F4" w14:textId="18F85BD4" w:rsidR="00E23B70" w:rsidRDefault="00E23B70" w:rsidP="007F22F4"/>
    <w:p w14:paraId="588BB4FE" w14:textId="4FAC58D3" w:rsidR="00E23B70" w:rsidRDefault="00E23B70" w:rsidP="007F22F4"/>
    <w:p w14:paraId="69099EDF" w14:textId="77777777" w:rsidR="00E23B70" w:rsidRDefault="00E23B70" w:rsidP="007F22F4"/>
    <w:p w14:paraId="5334FA95" w14:textId="77777777" w:rsidR="00E23B70" w:rsidRDefault="00E23B70" w:rsidP="007F22F4"/>
    <w:p w14:paraId="285E4CEC" w14:textId="128B0CBC" w:rsidR="00E23B70" w:rsidRDefault="00E23B70" w:rsidP="007F22F4"/>
    <w:p w14:paraId="2328376E" w14:textId="00110BC3" w:rsidR="00E23B70" w:rsidRDefault="00E23B70" w:rsidP="007F22F4"/>
    <w:p w14:paraId="04831091" w14:textId="7B743626" w:rsidR="009A2A0C" w:rsidRDefault="009B599C" w:rsidP="007F22F4">
      <w:r>
        <w:rPr>
          <w:noProof/>
          <w:lang w:eastAsia="pl-PL"/>
        </w:rPr>
        <mc:AlternateContent>
          <mc:Choice Requires="wps">
            <w:drawing>
              <wp:anchor distT="0" distB="0" distL="114300" distR="114300" simplePos="0" relativeHeight="251416064" behindDoc="0" locked="0" layoutInCell="1" allowOverlap="1" wp14:anchorId="1AF90BD6" wp14:editId="7272EA70">
                <wp:simplePos x="0" y="0"/>
                <wp:positionH relativeFrom="margin">
                  <wp:posOffset>-612716</wp:posOffset>
                </wp:positionH>
                <wp:positionV relativeFrom="paragraph">
                  <wp:posOffset>157302</wp:posOffset>
                </wp:positionV>
                <wp:extent cx="6983730" cy="1658679"/>
                <wp:effectExtent l="0" t="0" r="7620" b="0"/>
                <wp:wrapNone/>
                <wp:docPr id="567072533" name="Prostokąt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1658679"/>
                        </a:xfrm>
                        <a:prstGeom prst="rect">
                          <a:avLst/>
                        </a:prstGeom>
                        <a:solidFill>
                          <a:schemeClr val="accent5">
                            <a:lumMod val="40000"/>
                            <a:lumOff val="60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030D74" w14:textId="500A3F99" w:rsidR="00C36C5C" w:rsidRPr="005A0EA7" w:rsidRDefault="00C36C5C" w:rsidP="00E23B70">
                            <w:pPr>
                              <w:spacing w:after="0"/>
                              <w:ind w:left="979"/>
                              <w:jc w:val="left"/>
                              <w:rPr>
                                <w:rFonts w:ascii="Bahnschrift" w:hAnsi="Bahnschrift"/>
                                <w:kern w:val="24"/>
                                <w:sz w:val="52"/>
                                <w:szCs w:val="52"/>
                                <w14:ligatures w14:val="none"/>
                              </w:rPr>
                            </w:pPr>
                            <w:r w:rsidRPr="005A0EA7">
                              <w:rPr>
                                <w:rFonts w:ascii="Bahnschrift" w:hAnsi="Bahnschrift"/>
                                <w:color w:val="000000" w:themeColor="text1"/>
                                <w:kern w:val="24"/>
                                <w:sz w:val="52"/>
                                <w:szCs w:val="52"/>
                              </w:rPr>
                              <w:t xml:space="preserve">Wymiar 2. </w:t>
                            </w:r>
                            <w:r w:rsidRPr="005A0EA7">
                              <w:rPr>
                                <w:rFonts w:ascii="Bahnschrift" w:hAnsi="Bahnschrift"/>
                                <w:kern w:val="24"/>
                                <w:sz w:val="56"/>
                                <w:szCs w:val="56"/>
                              </w:rPr>
                              <w:br/>
                            </w:r>
                            <w:r w:rsidRPr="005A0EA7">
                              <w:rPr>
                                <w:rFonts w:ascii="Bahnschrift" w:hAnsi="Bahnschrift"/>
                                <w:color w:val="000000" w:themeColor="text1"/>
                                <w:kern w:val="24"/>
                                <w:sz w:val="52"/>
                                <w:szCs w:val="52"/>
                                <w14:ligatures w14:val="none"/>
                              </w:rPr>
                              <w:t>Poprawa efektywności energetycznej</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AF90BD6" id="Prostokąt 55" o:spid="_x0000_s1103" style="position:absolute;left:0;text-align:left;margin-left:-48.25pt;margin-top:12.4pt;width:549.9pt;height:130.6pt;z-index:25141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" fillcolor="#bdd6ee [1304]" stroked="f" strokeweight="1pt">
                <v:fill opacity="52428f"/>
                <v:textbox>
                  <w:txbxContent>
                    <w:p w14:paraId="60030D74" w14:textId="500A3F99" w:rsidR="00C36C5C" w:rsidRPr="005A0EA7" w:rsidRDefault="00C36C5C" w:rsidP="00E23B70">
                      <w:pPr>
                        <w:spacing w:after="0"/>
                        <w:ind w:left="979"/>
                        <w:jc w:val="left"/>
                        <w:rPr>
                          <w:rFonts w:ascii="Bahnschrift" w:hAnsi="Bahnschrift"/>
                          <w:kern w:val="24"/>
                          <w:sz w:val="52"/>
                          <w:szCs w:val="52"/>
                          <w14:ligatures w14:val="none"/>
                        </w:rPr>
                      </w:pPr>
                      <w:r w:rsidRPr="005A0EA7">
                        <w:rPr>
                          <w:rFonts w:ascii="Bahnschrift" w:hAnsi="Bahnschrift"/>
                          <w:color w:val="000000" w:themeColor="text1"/>
                          <w:kern w:val="24"/>
                          <w:sz w:val="52"/>
                          <w:szCs w:val="52"/>
                        </w:rPr>
                        <w:t xml:space="preserve">Wymiar 2. </w:t>
                      </w:r>
                      <w:r w:rsidRPr="005A0EA7">
                        <w:rPr>
                          <w:rFonts w:ascii="Bahnschrift" w:hAnsi="Bahnschrift"/>
                          <w:kern w:val="24"/>
                          <w:sz w:val="56"/>
                          <w:szCs w:val="56"/>
                        </w:rPr>
                        <w:br/>
                      </w:r>
                      <w:r w:rsidRPr="005A0EA7">
                        <w:rPr>
                          <w:rFonts w:ascii="Bahnschrift" w:hAnsi="Bahnschrift"/>
                          <w:color w:val="000000" w:themeColor="text1"/>
                          <w:kern w:val="24"/>
                          <w:sz w:val="52"/>
                          <w:szCs w:val="52"/>
                          <w14:ligatures w14:val="none"/>
                        </w:rPr>
                        <w:t>Poprawa efektywności energetycznej</w:t>
                      </w:r>
                    </w:p>
                  </w:txbxContent>
                </v:textbox>
                <w10:wrap anchorx="margin"/>
              </v:rect>
            </w:pict>
          </mc:Fallback>
        </mc:AlternateContent>
      </w:r>
    </w:p>
    <w:p w14:paraId="1DAC1EB1" w14:textId="79DD5FBF" w:rsidR="00E23B70" w:rsidRDefault="00E23B70" w:rsidP="007F22F4"/>
    <w:p w14:paraId="0AB6EC24" w14:textId="386117EA" w:rsidR="00E23B70" w:rsidRDefault="00E23B70" w:rsidP="007F22F4"/>
    <w:p w14:paraId="2BC98A1E" w14:textId="3F66DBA4" w:rsidR="00E23B70" w:rsidRDefault="00E23B70" w:rsidP="007F22F4"/>
    <w:p w14:paraId="2629B063" w14:textId="0617937C" w:rsidR="00E23B70" w:rsidRDefault="00E23B70" w:rsidP="007F22F4"/>
    <w:p w14:paraId="1864B29F" w14:textId="34C79076" w:rsidR="00E23B70" w:rsidRDefault="00E23B70" w:rsidP="007F22F4"/>
    <w:p w14:paraId="6C652602" w14:textId="77777777" w:rsidR="009B599C" w:rsidRDefault="009B599C" w:rsidP="009B599C"/>
    <w:p w14:paraId="631C9364" w14:textId="3AADB752" w:rsidR="00C20B2E" w:rsidRDefault="00C20B2E" w:rsidP="009A2A0C">
      <w:pPr>
        <w:spacing w:before="480"/>
      </w:pPr>
      <w:r w:rsidRPr="00333A5C">
        <w:t xml:space="preserve">Poprawa efektywności energetycznej jest działaniem </w:t>
      </w:r>
      <w:r w:rsidR="0038159D" w:rsidRPr="00333A5C">
        <w:t xml:space="preserve">przynoszącym </w:t>
      </w:r>
      <w:r w:rsidR="0038159D">
        <w:t>korzyści</w:t>
      </w:r>
      <w:r w:rsidR="0038159D" w:rsidRPr="00333A5C">
        <w:t xml:space="preserve"> </w:t>
      </w:r>
      <w:r w:rsidR="0038159D">
        <w:t>w wielu obszarach</w:t>
      </w:r>
      <w:r w:rsidR="0038159D" w:rsidRPr="00333A5C">
        <w:t xml:space="preserve"> gospodarki</w:t>
      </w:r>
      <w:r w:rsidR="0038159D">
        <w:t xml:space="preserve"> i społeczeństwa</w:t>
      </w:r>
      <w:r w:rsidR="0038159D" w:rsidRPr="00333A5C">
        <w:t xml:space="preserve">. </w:t>
      </w:r>
      <w:r w:rsidR="0038159D" w:rsidRPr="004B4B69">
        <w:t xml:space="preserve">Efektywność energetyczna </w:t>
      </w:r>
      <w:r w:rsidR="0038159D">
        <w:t>to</w:t>
      </w:r>
      <w:r w:rsidR="0038159D" w:rsidRPr="004B4B69">
        <w:t xml:space="preserve"> nie tylko redukcja zużycia energii, ale również zwiększenie jej wydajności, co prowadzi do obniżenia kosztów operacyjnych, poprawy konkurencyjności gospodarczej oraz zmniejszenia negatywnego wpływu na środowisko</w:t>
      </w:r>
      <w:r w:rsidRPr="00333A5C">
        <w:t xml:space="preserve">. </w:t>
      </w:r>
    </w:p>
    <w:p w14:paraId="6DDDDC05" w14:textId="54C7EB63" w:rsidR="00BD2318" w:rsidRDefault="00BD2318" w:rsidP="00D30727">
      <w:r>
        <w:t>Stosowanie</w:t>
      </w:r>
      <w:r w:rsidR="0038159D">
        <w:t xml:space="preserve"> zasady </w:t>
      </w:r>
      <w:r w:rsidR="0038159D" w:rsidRPr="0038159D">
        <w:rPr>
          <w:b/>
          <w:bCs/>
        </w:rPr>
        <w:t>„</w:t>
      </w:r>
      <w:r w:rsidR="0038159D" w:rsidRPr="004B4B69">
        <w:rPr>
          <w:b/>
          <w:bCs/>
        </w:rPr>
        <w:t>efektywność energetyczna przede wszystkim"</w:t>
      </w:r>
      <w:r>
        <w:t xml:space="preserve"> – czyli p</w:t>
      </w:r>
      <w:r w:rsidR="0038159D" w:rsidRPr="004B4B69">
        <w:t>riorytetowe traktowanie działań mających na celu zmniejszenie zapotrzebowania na energię przed podejmowaniem decyzji o</w:t>
      </w:r>
      <w:r>
        <w:t> </w:t>
      </w:r>
      <w:r w:rsidR="0038159D" w:rsidRPr="004B4B69">
        <w:t>zwiększeniu podaży energii</w:t>
      </w:r>
      <w:r w:rsidR="0038159D">
        <w:t xml:space="preserve"> </w:t>
      </w:r>
      <w:r>
        <w:t xml:space="preserve">– pozwala na </w:t>
      </w:r>
      <w:r w:rsidRPr="004B4B69">
        <w:t>maksymalne wykorzystanie dostępnych zasobów energetycznych przy jednoczesnym minimalizowaniu strat energii na każdym etapie jej przetwarzania i</w:t>
      </w:r>
      <w:r>
        <w:t> </w:t>
      </w:r>
      <w:r w:rsidRPr="004B4B69">
        <w:t>użytkowania</w:t>
      </w:r>
      <w:r>
        <w:t>.</w:t>
      </w:r>
    </w:p>
    <w:p w14:paraId="4BEA678F" w14:textId="107AB3BA" w:rsidR="00D92449" w:rsidRDefault="00BD2318" w:rsidP="00D30727">
      <w:r>
        <w:t xml:space="preserve">Redukcja potrzeb energetycznych wzmacnia także bezpieczeństwo energetyczne, a uwzględnianie </w:t>
      </w:r>
      <w:r w:rsidRPr="00F15918">
        <w:rPr>
          <w:b/>
          <w:bCs/>
        </w:rPr>
        <w:t>zasady „efektywność energetyczna przede wszystkim”</w:t>
      </w:r>
      <w:r>
        <w:t xml:space="preserve"> w planowaniu polityk i inwestycji powoduje, że</w:t>
      </w:r>
      <w:r w:rsidR="002C36E7">
        <w:t> </w:t>
      </w:r>
      <w:r w:rsidR="00D30727">
        <w:t>efektywność energetyczna może być traktowana</w:t>
      </w:r>
      <w:r w:rsidR="00CE4B29">
        <w:t xml:space="preserve"> w niektórych przypadkach</w:t>
      </w:r>
      <w:r w:rsidR="00D30727">
        <w:t xml:space="preserve"> jak</w:t>
      </w:r>
      <w:r w:rsidR="00CE4B29">
        <w:t>o</w:t>
      </w:r>
      <w:r w:rsidR="00D30727">
        <w:t xml:space="preserve"> źródło energii</w:t>
      </w:r>
      <w:r w:rsidR="00546256">
        <w:t xml:space="preserve"> (wirtualnie)</w:t>
      </w:r>
      <w:r w:rsidR="00D30727">
        <w:t xml:space="preserve">. Korzyści płynące ze zmniejszonego zużycia energii powodują, że </w:t>
      </w:r>
      <w:r w:rsidR="00ED6AA4">
        <w:t xml:space="preserve">dążenie do wzrostu efektywności energetycznej </w:t>
      </w:r>
      <w:r w:rsidR="00122156">
        <w:t>określone</w:t>
      </w:r>
      <w:r w:rsidR="00ED6AA4">
        <w:t xml:space="preserve"> zostało </w:t>
      </w:r>
      <w:r w:rsidR="009A1852">
        <w:rPr>
          <w:b/>
          <w:bCs/>
        </w:rPr>
        <w:t>drugim</w:t>
      </w:r>
      <w:r w:rsidR="00122156" w:rsidRPr="00122156">
        <w:rPr>
          <w:b/>
          <w:bCs/>
        </w:rPr>
        <w:t> </w:t>
      </w:r>
      <w:r w:rsidR="00ED6AA4" w:rsidRPr="00122156">
        <w:rPr>
          <w:b/>
          <w:bCs/>
        </w:rPr>
        <w:t>wymiar</w:t>
      </w:r>
      <w:r w:rsidR="00122156">
        <w:rPr>
          <w:b/>
          <w:bCs/>
        </w:rPr>
        <w:t>em</w:t>
      </w:r>
      <w:r w:rsidR="00ED6AA4" w:rsidRPr="00122156">
        <w:rPr>
          <w:b/>
          <w:bCs/>
        </w:rPr>
        <w:t xml:space="preserve"> unii energetycznej</w:t>
      </w:r>
      <w:r w:rsidR="00ED6AA4">
        <w:t>.</w:t>
      </w:r>
    </w:p>
    <w:p w14:paraId="22A77FA8" w14:textId="25BC68BD" w:rsidR="007F22F4" w:rsidRDefault="00122156" w:rsidP="007F22F4">
      <w:r>
        <w:t xml:space="preserve">W tej części KPEiK </w:t>
      </w:r>
      <w:r w:rsidRPr="003772B3">
        <w:t xml:space="preserve">ujęto </w:t>
      </w:r>
      <w:r>
        <w:t xml:space="preserve">założenia i cele </w:t>
      </w:r>
      <w:r w:rsidRPr="003772B3">
        <w:t>związane z</w:t>
      </w:r>
      <w:r>
        <w:t xml:space="preserve"> osiągnięciem określonych poziomów zużycia energii w całej gospodarce, z uwzględnieniem wzorcowej roli administracji publicznej, a także określono cele w obszarze zużycia energii przez budynki (nowe i istniejące), gdyż odpowiadają one za największe ilości zużywanej energii w Europie. </w:t>
      </w:r>
    </w:p>
    <w:p w14:paraId="1AE1AFB6" w14:textId="5EA94131" w:rsidR="00DC3D34" w:rsidRPr="00043521" w:rsidRDefault="002B5CFB" w:rsidP="00404B36">
      <w:pPr>
        <w:pStyle w:val="Nagwek3"/>
        <w:rPr>
          <w:color w:val="4472C4" w:themeColor="accent1"/>
        </w:rPr>
      </w:pPr>
      <w:bookmarkStart w:id="354" w:name="_Toc159598303"/>
      <w:bookmarkStart w:id="355" w:name="_Toc195897289"/>
      <w:bookmarkStart w:id="356" w:name="_Toc205203178"/>
      <w:r w:rsidRPr="00043521">
        <w:rPr>
          <w:color w:val="4472C4" w:themeColor="accent1"/>
        </w:rPr>
        <w:lastRenderedPageBreak/>
        <w:t>Poprawa efektywności energetycznej w</w:t>
      </w:r>
      <w:r w:rsidR="008F7850" w:rsidRPr="00043521">
        <w:rPr>
          <w:color w:val="4472C4" w:themeColor="accent1"/>
        </w:rPr>
        <w:t> </w:t>
      </w:r>
      <w:r w:rsidRPr="00043521">
        <w:rPr>
          <w:color w:val="4472C4" w:themeColor="accent1"/>
        </w:rPr>
        <w:t>gospodarce</w:t>
      </w:r>
      <w:bookmarkEnd w:id="354"/>
      <w:bookmarkEnd w:id="355"/>
      <w:bookmarkEnd w:id="356"/>
    </w:p>
    <w:p w14:paraId="5FADB13D" w14:textId="1BABF005" w:rsidR="009714FB" w:rsidRDefault="00DE0CED" w:rsidP="009714FB">
      <w:r>
        <w:rPr>
          <w:noProof/>
          <w:lang w:eastAsia="pl-PL"/>
        </w:rPr>
        <mc:AlternateContent>
          <mc:Choice Requires="wps">
            <w:drawing>
              <wp:anchor distT="0" distB="0" distL="114300" distR="114300" simplePos="0" relativeHeight="251469312" behindDoc="1" locked="0" layoutInCell="1" allowOverlap="1" wp14:anchorId="3AB3A361" wp14:editId="266ACC68">
                <wp:simplePos x="0" y="0"/>
                <wp:positionH relativeFrom="margin">
                  <wp:align>right</wp:align>
                </wp:positionH>
                <wp:positionV relativeFrom="paragraph">
                  <wp:posOffset>2540</wp:posOffset>
                </wp:positionV>
                <wp:extent cx="2663825" cy="1045845"/>
                <wp:effectExtent l="19050" t="57150" r="117475" b="78105"/>
                <wp:wrapThrough wrapText="bothSides">
                  <wp:wrapPolygon edited="0">
                    <wp:start x="772" y="-1249"/>
                    <wp:lineTo x="-154" y="-832"/>
                    <wp:lineTo x="-154" y="19561"/>
                    <wp:lineTo x="618" y="22890"/>
                    <wp:lineTo x="21626" y="22890"/>
                    <wp:lineTo x="21780" y="22474"/>
                    <wp:lineTo x="22398" y="19561"/>
                    <wp:lineTo x="22398" y="2081"/>
                    <wp:lineTo x="22089" y="-832"/>
                    <wp:lineTo x="21626" y="-1249"/>
                    <wp:lineTo x="772" y="-1249"/>
                  </wp:wrapPolygon>
                </wp:wrapThrough>
                <wp:docPr id="1365260925" name="Prostokąt: zaokrąglone rogi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3825" cy="1045845"/>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166F5" w14:textId="0E90D3D4" w:rsidR="00C36C5C" w:rsidRPr="00A35815" w:rsidRDefault="00C36C5C" w:rsidP="00D24C7B">
                            <w:pPr>
                              <w:pStyle w:val="Ramka"/>
                            </w:pPr>
                            <w:r w:rsidRPr="00A35815">
                              <w:rPr>
                                <w:i/>
                                <w:iCs/>
                              </w:rPr>
                              <w:t>W uproszczeniu</w:t>
                            </w:r>
                            <w:r>
                              <w:t xml:space="preserve"> – </w:t>
                            </w:r>
                            <w:r w:rsidRPr="00F5568A">
                              <w:rPr>
                                <w:b/>
                                <w:bCs/>
                              </w:rPr>
                              <w:t>energia pierwotna</w:t>
                            </w:r>
                            <w:r w:rsidRPr="00A35815">
                              <w:t xml:space="preserve"> to </w:t>
                            </w:r>
                            <w:r>
                              <w:t xml:space="preserve">energia surowców lub OZE, zaś </w:t>
                            </w:r>
                            <w:r w:rsidRPr="00F77EB7">
                              <w:rPr>
                                <w:b/>
                                <w:bCs/>
                              </w:rPr>
                              <w:t>finalne zużycie energii</w:t>
                            </w:r>
                            <w:r>
                              <w:t xml:space="preserve"> (lub </w:t>
                            </w:r>
                            <w:r w:rsidRPr="00F77EB7">
                              <w:t>energia finalna</w:t>
                            </w:r>
                            <w:r>
                              <w:rPr>
                                <w:b/>
                                <w:bCs/>
                              </w:rPr>
                              <w:t>)</w:t>
                            </w:r>
                            <w:r>
                              <w:t xml:space="preserve"> to taka energia, która została dostarczona do odbiorcy końcowego, z wyłączeniem </w:t>
                            </w:r>
                            <w:r w:rsidRPr="00F5568A">
                              <w:t>potrzeb przemian energetycznych</w:t>
                            </w:r>
                            <w:r>
                              <w:t xml:space="preserve"> i strat.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AB3A361" id="Prostokąt: zaokrąglone rogi 54" o:spid="_x0000_s1104" style="position:absolute;left:0;text-align:left;margin-left:158.55pt;margin-top:.2pt;width:209.75pt;height:82.35pt;z-index:-251847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" fillcolor="white [3212]" strokecolor="#5b9bd5 [3208]">
                <v:stroke joinstyle="miter"/>
                <v:shadow on="t" color="black" opacity="26214f" origin="-.5" offset="3pt,0"/>
                <v:path arrowok="t"/>
                <v:textbox style="mso-fit-shape-to-text:t" inset="2mm,2.5mm,2mm,0">
                  <w:txbxContent>
                    <w:p w14:paraId="4C8166F5" w14:textId="0E90D3D4" w:rsidR="00C36C5C" w:rsidRPr="00A35815" w:rsidRDefault="00C36C5C" w:rsidP="00D24C7B">
                      <w:pPr>
                        <w:pStyle w:val="Ramka"/>
                      </w:pPr>
                      <w:r w:rsidRPr="00A35815">
                        <w:rPr>
                          <w:i/>
                          <w:iCs/>
                        </w:rPr>
                        <w:t>W uproszczeniu</w:t>
                      </w:r>
                      <w:r>
                        <w:t xml:space="preserve"> – </w:t>
                      </w:r>
                      <w:r w:rsidRPr="00F5568A">
                        <w:rPr>
                          <w:b/>
                          <w:bCs/>
                        </w:rPr>
                        <w:t>energia pierwotna</w:t>
                      </w:r>
                      <w:r w:rsidRPr="00A35815">
                        <w:t xml:space="preserve"> to </w:t>
                      </w:r>
                      <w:r>
                        <w:t xml:space="preserve">energia surowców lub OZE, zaś </w:t>
                      </w:r>
                      <w:r w:rsidRPr="00F77EB7">
                        <w:rPr>
                          <w:b/>
                          <w:bCs/>
                        </w:rPr>
                        <w:t>finalne zużycie energii</w:t>
                      </w:r>
                      <w:r>
                        <w:t xml:space="preserve"> (lub </w:t>
                      </w:r>
                      <w:r w:rsidRPr="00F77EB7">
                        <w:t>energia finalna</w:t>
                      </w:r>
                      <w:r>
                        <w:rPr>
                          <w:b/>
                          <w:bCs/>
                        </w:rPr>
                        <w:t>)</w:t>
                      </w:r>
                      <w:r>
                        <w:t xml:space="preserve"> to taka energia, która została dostarczona do odbiorcy końcowego, z wyłączeniem </w:t>
                      </w:r>
                      <w:r w:rsidRPr="00F5568A">
                        <w:t>potrzeb przemian energetycznych</w:t>
                      </w:r>
                      <w:r>
                        <w:t xml:space="preserve"> i strat.</w:t>
                      </w:r>
                    </w:p>
                  </w:txbxContent>
                </v:textbox>
                <w10:wrap type="through" anchorx="margin"/>
              </v:roundrect>
            </w:pict>
          </mc:Fallback>
        </mc:AlternateContent>
      </w:r>
      <w:r w:rsidR="009714FB">
        <w:t>W tej części wskazano</w:t>
      </w:r>
      <w:r w:rsidR="0067469F">
        <w:t xml:space="preserve"> cele ogólne, dotyczące całej gospodarki w zakresie wielkości zużycia energii pierwotnej</w:t>
      </w:r>
      <w:r w:rsidR="00A35815">
        <w:t xml:space="preserve"> </w:t>
      </w:r>
      <w:r w:rsidR="00F77EB7">
        <w:t xml:space="preserve">(ang. </w:t>
      </w:r>
      <w:r w:rsidR="00F77EB7" w:rsidRPr="00F77EB7">
        <w:rPr>
          <w:i/>
          <w:iCs/>
        </w:rPr>
        <w:t>primary energy consumption</w:t>
      </w:r>
      <w:r w:rsidR="00F77EB7">
        <w:t xml:space="preserve">, PEC) </w:t>
      </w:r>
      <w:r w:rsidR="00A35815">
        <w:t xml:space="preserve">oraz </w:t>
      </w:r>
      <w:r w:rsidR="0067469F">
        <w:t>finalnego zużycia energii</w:t>
      </w:r>
      <w:r w:rsidR="00F77EB7">
        <w:t xml:space="preserve"> (ang. </w:t>
      </w:r>
      <w:r w:rsidR="00F77EB7" w:rsidRPr="00F77EB7">
        <w:rPr>
          <w:i/>
          <w:iCs/>
        </w:rPr>
        <w:t>final energy consumption</w:t>
      </w:r>
      <w:r w:rsidR="00F77EB7">
        <w:t>, FEC)</w:t>
      </w:r>
      <w:r w:rsidR="0067469F">
        <w:t>, a</w:t>
      </w:r>
      <w:r w:rsidR="00D56773">
        <w:t xml:space="preserve"> </w:t>
      </w:r>
      <w:r w:rsidR="0067469F">
        <w:t>także oszczędności energii osiąganych w</w:t>
      </w:r>
      <w:r w:rsidR="00122156">
        <w:t> </w:t>
      </w:r>
      <w:r w:rsidR="0067469F">
        <w:t xml:space="preserve">każdym roku. </w:t>
      </w:r>
      <w:r w:rsidR="00D30727" w:rsidRPr="00CA7FC2">
        <w:t>Przedstawion</w:t>
      </w:r>
      <w:r w:rsidR="00D30727">
        <w:t>e zostały również zadania sektora publicznego w ramach pełnienia</w:t>
      </w:r>
      <w:r w:rsidR="00D30727" w:rsidRPr="00F36D02">
        <w:t xml:space="preserve"> wzorcow</w:t>
      </w:r>
      <w:r w:rsidR="00D30727">
        <w:t>ej</w:t>
      </w:r>
      <w:r w:rsidR="00D30727" w:rsidRPr="00F36D02">
        <w:t xml:space="preserve"> rol</w:t>
      </w:r>
      <w:r w:rsidR="00F15918">
        <w:t>i</w:t>
      </w:r>
      <w:r w:rsidR="00D30727" w:rsidRPr="00CA7FC2">
        <w:t xml:space="preserve"> </w:t>
      </w:r>
      <w:r w:rsidR="00D30727" w:rsidRPr="00F36D02">
        <w:t>administracji publicznej w </w:t>
      </w:r>
      <w:r w:rsidR="00D30727" w:rsidRPr="00CA7FC2">
        <w:t xml:space="preserve">obszarze </w:t>
      </w:r>
      <w:r w:rsidR="00D30727" w:rsidRPr="00F36D02">
        <w:t>popraw</w:t>
      </w:r>
      <w:r w:rsidR="00D30727" w:rsidRPr="00CA7FC2">
        <w:t>y</w:t>
      </w:r>
      <w:r w:rsidR="00D30727" w:rsidRPr="00F36D02">
        <w:t xml:space="preserve"> efektywności energetycznej</w:t>
      </w:r>
      <w:r w:rsidR="0067469F">
        <w:t>.</w:t>
      </w:r>
    </w:p>
    <w:p w14:paraId="1750EE90" w14:textId="27F69193" w:rsidR="00A10FDD" w:rsidRDefault="00A10FDD" w:rsidP="009714FB">
      <w:r w:rsidRPr="00CA7FC2">
        <w:t xml:space="preserve">Dyrektywa </w:t>
      </w:r>
      <w:r>
        <w:t xml:space="preserve">2023/1791 w sprawie efektywności energetycznej – tzw. dyrektywa EED </w:t>
      </w:r>
      <w:r w:rsidRPr="00CA7FC2">
        <w:t>ustanawia ramy środków mających na celu popraw</w:t>
      </w:r>
      <w:r>
        <w:t>ę</w:t>
      </w:r>
      <w:r w:rsidRPr="00CA7FC2">
        <w:t xml:space="preserve"> efektywności energetycznej w całej UE, aby zapewnić osiągnięcie unijnego celu w zakresie efektywności energetycznej na 2030</w:t>
      </w:r>
      <w:r>
        <w:t xml:space="preserve"> r. Unijny cel określono jako redukcję </w:t>
      </w:r>
      <w:r w:rsidRPr="00DD4455">
        <w:t>zużycia</w:t>
      </w:r>
      <w:r>
        <w:t xml:space="preserve"> energii</w:t>
      </w:r>
      <w:r w:rsidRPr="00DD4455">
        <w:t xml:space="preserve"> </w:t>
      </w:r>
      <w:r>
        <w:t xml:space="preserve">finalnej </w:t>
      </w:r>
      <w:r w:rsidRPr="00A10FDD">
        <w:rPr>
          <w:b/>
          <w:bCs/>
        </w:rPr>
        <w:t xml:space="preserve">o 11,7% </w:t>
      </w:r>
      <w:r w:rsidRPr="00817D26">
        <w:rPr>
          <w:b/>
          <w:bCs/>
        </w:rPr>
        <w:t>w odniesieniu do prognoz tzw. scenariusza referencyjnego PRIMES 2020</w:t>
      </w:r>
      <w:r>
        <w:rPr>
          <w:b/>
          <w:bCs/>
        </w:rPr>
        <w:t xml:space="preserve"> </w:t>
      </w:r>
      <w:r>
        <w:t>opracowanego przez Komisję Europejską</w:t>
      </w:r>
      <w:r>
        <w:rPr>
          <w:rStyle w:val="Odwoanieprzypisudolnego"/>
        </w:rPr>
        <w:footnoteReference w:id="69"/>
      </w:r>
      <w:r>
        <w:t xml:space="preserve">. Ponadto państwa członkowskie mają wspólnie zapewnić, aby zużycie </w:t>
      </w:r>
      <w:r w:rsidR="00474177">
        <w:t xml:space="preserve">w UE w 2030 r. </w:t>
      </w:r>
      <w:r>
        <w:t>energii</w:t>
      </w:r>
      <w:r w:rsidR="00A1196A">
        <w:t xml:space="preserve"> finalnej nie przekroczyło 763 Mtoe</w:t>
      </w:r>
      <w:r w:rsidR="00474177">
        <w:t>, a</w:t>
      </w:r>
      <w:r w:rsidR="00A1196A">
        <w:t xml:space="preserve"> w zakresie energii </w:t>
      </w:r>
      <w:r>
        <w:t xml:space="preserve">pierwotnej nie </w:t>
      </w:r>
      <w:r w:rsidR="00A1196A">
        <w:t>było większe niż</w:t>
      </w:r>
      <w:r>
        <w:t xml:space="preserve"> 992,5 Mtoe</w:t>
      </w:r>
      <w:r w:rsidR="00474177">
        <w:t>.</w:t>
      </w:r>
      <w:r>
        <w:t xml:space="preserve"> </w:t>
      </w:r>
      <w:r w:rsidR="00F4429F">
        <w:t xml:space="preserve">Każde państwo członkowskie wyznacza </w:t>
      </w:r>
      <w:r w:rsidR="00F4429F" w:rsidRPr="00F4429F">
        <w:rPr>
          <w:u w:val="single"/>
        </w:rPr>
        <w:t>orientacyjn</w:t>
      </w:r>
      <w:r w:rsidR="00A1196A">
        <w:rPr>
          <w:u w:val="single"/>
        </w:rPr>
        <w:t>e</w:t>
      </w:r>
      <w:r w:rsidR="00F4429F">
        <w:t xml:space="preserve"> krajow</w:t>
      </w:r>
      <w:r w:rsidR="00A1196A">
        <w:t>e</w:t>
      </w:r>
      <w:r w:rsidR="00F4429F">
        <w:t xml:space="preserve"> wkład</w:t>
      </w:r>
      <w:r w:rsidR="00A1196A">
        <w:t>y</w:t>
      </w:r>
      <w:r w:rsidR="00F4429F">
        <w:t xml:space="preserve"> w zakresie zużycia energii finalnej </w:t>
      </w:r>
      <w:r w:rsidR="00DE71B3">
        <w:t>oraz</w:t>
      </w:r>
      <w:r w:rsidR="00F4429F">
        <w:t xml:space="preserve"> energii pierwotnej</w:t>
      </w:r>
      <w:r w:rsidR="00F4429F">
        <w:rPr>
          <w:rStyle w:val="Odwoanieprzypisudolnego"/>
        </w:rPr>
        <w:footnoteReference w:id="70"/>
      </w:r>
      <w:r w:rsidR="00F4429F">
        <w:t>.</w:t>
      </w:r>
      <w:r w:rsidR="00DE71B3">
        <w:t xml:space="preserve"> </w:t>
      </w:r>
      <w:r w:rsidR="00474177">
        <w:t>O</w:t>
      </w:r>
      <w:r w:rsidR="00A1196A">
        <w:t xml:space="preserve">publikowana w grudniu 2023 r. </w:t>
      </w:r>
      <w:r w:rsidR="00474177">
        <w:t xml:space="preserve">ocena KE </w:t>
      </w:r>
      <w:r w:rsidR="00A1196A">
        <w:t xml:space="preserve">wskazuje, że wiele państw członkowskich stoi przed </w:t>
      </w:r>
      <w:r w:rsidR="00474177">
        <w:t xml:space="preserve">znacznymi </w:t>
      </w:r>
      <w:r w:rsidR="00A1196A">
        <w:t>wyzwaniami w zakresie sprostania poziom</w:t>
      </w:r>
      <w:r w:rsidR="007B6085">
        <w:t>owi</w:t>
      </w:r>
      <w:r w:rsidR="00A1196A">
        <w:t xml:space="preserve"> ambicji wkładów krajowych do realizacji </w:t>
      </w:r>
      <w:r w:rsidR="00C80842">
        <w:t>tych</w:t>
      </w:r>
      <w:r w:rsidR="00A1196A">
        <w:t xml:space="preserve"> celów</w:t>
      </w:r>
      <w:r w:rsidR="00DE71B3">
        <w:rPr>
          <w:rStyle w:val="Odwoanieprzypisudolnego"/>
        </w:rPr>
        <w:footnoteReference w:id="71"/>
      </w:r>
      <w:r w:rsidR="00DE71B3">
        <w:t>.</w:t>
      </w:r>
    </w:p>
    <w:p w14:paraId="76A1D473" w14:textId="2CFF0F16" w:rsidR="007D6B8F" w:rsidRDefault="00AE2526" w:rsidP="009714FB">
      <w:r>
        <w:t>Poniżej przedstawiono ścieżk</w:t>
      </w:r>
      <w:r w:rsidR="00DD6FAA">
        <w:t>i</w:t>
      </w:r>
      <w:r>
        <w:t xml:space="preserve"> zużycia energii pierwotnej i finalnej według scenariusza W</w:t>
      </w:r>
      <w:r w:rsidR="00D56773">
        <w:t>A</w:t>
      </w:r>
      <w:r>
        <w:t>M oraz w scenariuszach PRIMES 2007 i PRIMES 2020</w:t>
      </w:r>
      <w:r w:rsidR="00D30727">
        <w:t xml:space="preserve"> dla Polski</w:t>
      </w:r>
      <w:r>
        <w:t xml:space="preserve"> (z korektą dla 2030 r. przekazaną prze</w:t>
      </w:r>
      <w:r w:rsidR="00DD6FAA">
        <w:t>z</w:t>
      </w:r>
      <w:r>
        <w:t xml:space="preserve"> Komisję Europejską w </w:t>
      </w:r>
      <w:r w:rsidR="00DD6FAA">
        <w:t>styczniu</w:t>
      </w:r>
      <w:r>
        <w:t xml:space="preserve"> 202</w:t>
      </w:r>
      <w:r w:rsidR="00DD6FAA">
        <w:t>4</w:t>
      </w:r>
      <w:r>
        <w:t xml:space="preserve"> r.)</w:t>
      </w:r>
      <w:r w:rsidR="00F4429F">
        <w:t xml:space="preserve"> oraz wartości wynikające dla Polski z formuły określonej w załączniku I do</w:t>
      </w:r>
      <w:r w:rsidR="009A2A0C">
        <w:t> </w:t>
      </w:r>
      <w:r w:rsidR="00F4429F">
        <w:t>dyrektywy EED.</w:t>
      </w:r>
      <w:r w:rsidR="00F15918">
        <w:t xml:space="preserve"> </w:t>
      </w:r>
    </w:p>
    <w:p w14:paraId="1F68EDB2" w14:textId="59398412" w:rsidR="007D6B8F" w:rsidRDefault="007D6B8F" w:rsidP="001D379F">
      <w:pPr>
        <w:spacing w:before="360"/>
      </w:pPr>
      <w:r>
        <w:t xml:space="preserve">Jednocześnie podkreślić </w:t>
      </w:r>
      <w:r w:rsidR="00CE4B29">
        <w:t xml:space="preserve">należy </w:t>
      </w:r>
      <w:r>
        <w:t xml:space="preserve">znaczenie zasady </w:t>
      </w:r>
      <w:r w:rsidRPr="005A55CD">
        <w:rPr>
          <w:b/>
          <w:bCs/>
        </w:rPr>
        <w:t>„efektywność energetyczna przede wszystkim”</w:t>
      </w:r>
      <w:r>
        <w:t xml:space="preserve">, </w:t>
      </w:r>
      <w:r w:rsidR="005A55CD">
        <w:t>wprowadzonej</w:t>
      </w:r>
      <w:r>
        <w:t xml:space="preserve"> w rozporządzeniu UE 2018/1999</w:t>
      </w:r>
      <w:r w:rsidR="00B537B7">
        <w:t>,</w:t>
      </w:r>
      <w:r>
        <w:t xml:space="preserve"> </w:t>
      </w:r>
      <w:r w:rsidR="00B537B7">
        <w:t xml:space="preserve">zgodnie z którą </w:t>
      </w:r>
      <w:r w:rsidR="00B537B7" w:rsidRPr="00B537B7">
        <w:t>przed podjęciem decyzji dotyczących planowania, polityki i inwestycji należy przeanalizować, czy</w:t>
      </w:r>
      <w:r w:rsidR="00B537B7">
        <w:t xml:space="preserve"> </w:t>
      </w:r>
      <w:r w:rsidR="00AC2BBA">
        <w:t xml:space="preserve">cele zostaną osiągnięte w taki sposób, aby produkowane i wykorzystywane było tylko tyle energii, ile potrzeba. Jednocześnie zastosowane rozwiązania powinny być </w:t>
      </w:r>
      <w:r w:rsidR="001D0CAF" w:rsidRPr="00B537B7">
        <w:t>racjonalne pod względem technicznym, ekonomicznym i ekologicznym</w:t>
      </w:r>
      <w:r w:rsidR="00B25FD0">
        <w:t>. Zasadę należy stosować, uwzględniając podejście oparte na efektywności i integracji systemu, jak również brać pod uwagę perspektywę społeczną i zdrowotną</w:t>
      </w:r>
      <w:r>
        <w:t>. W rezultacie zasada „efektywność energetyczna przede wszystkim” powinna przyczynić się do zwiększenia efektywności poszczególnych sektorów i</w:t>
      </w:r>
      <w:r w:rsidR="009A2A0C">
        <w:t xml:space="preserve"> </w:t>
      </w:r>
      <w:r>
        <w:t>całego systemu energetycznego.</w:t>
      </w:r>
    </w:p>
    <w:p w14:paraId="15D637DE" w14:textId="5C60A732" w:rsidR="007C7FC4" w:rsidRDefault="006C06C3" w:rsidP="006C06C3">
      <w:pPr>
        <w:pStyle w:val="odesaniedoza"/>
      </w:pPr>
      <w:r>
        <w:t>Szczegółowe</w:t>
      </w:r>
      <w:r w:rsidR="007C7FC4">
        <w:t xml:space="preserve"> wyniki prognoz dotyczących finalnego zużycia energii i zużycia energii </w:t>
      </w:r>
      <w:r>
        <w:t>pierwotnej</w:t>
      </w:r>
      <w:r w:rsidR="007C7FC4">
        <w:t xml:space="preserve"> znajdują się </w:t>
      </w:r>
      <w:r w:rsidR="007C7FC4" w:rsidRPr="006C06C3">
        <w:t>w</w:t>
      </w:r>
      <w:r w:rsidR="001D5078">
        <w:t> </w:t>
      </w:r>
      <w:r w:rsidR="007C7FC4">
        <w:t>załącznik</w:t>
      </w:r>
      <w:r>
        <w:t>u</w:t>
      </w:r>
      <w:r w:rsidR="007C7FC4">
        <w:t xml:space="preserve"> 1 do KPEiK</w:t>
      </w:r>
      <w:r w:rsidRPr="006C06C3">
        <w:t xml:space="preserve"> </w:t>
      </w:r>
      <w:r>
        <w:t>w rozdziale 2. Wymiar „efektywność energetyczna”</w:t>
      </w:r>
      <w:r w:rsidR="007C7FC4">
        <w:t>.</w:t>
      </w:r>
    </w:p>
    <w:p w14:paraId="30699D07" w14:textId="3532F387" w:rsidR="00A06854" w:rsidRDefault="00202A32" w:rsidP="0006322E">
      <w:r>
        <w:rPr>
          <w:noProof/>
        </w:rPr>
        <w:lastRenderedPageBreak/>
        <mc:AlternateContent>
          <mc:Choice Requires="wps">
            <w:drawing>
              <wp:anchor distT="0" distB="0" distL="114300" distR="114300" simplePos="0" relativeHeight="251748864" behindDoc="1" locked="0" layoutInCell="1" allowOverlap="1" wp14:anchorId="4BEB31A6" wp14:editId="265A3DA1">
                <wp:simplePos x="0" y="0"/>
                <wp:positionH relativeFrom="column">
                  <wp:posOffset>0</wp:posOffset>
                </wp:positionH>
                <wp:positionV relativeFrom="paragraph">
                  <wp:posOffset>5262245</wp:posOffset>
                </wp:positionV>
                <wp:extent cx="5760720" cy="635"/>
                <wp:effectExtent l="0" t="0" r="0" b="0"/>
                <wp:wrapTight wrapText="bothSides">
                  <wp:wrapPolygon edited="0">
                    <wp:start x="0" y="0"/>
                    <wp:lineTo x="0" y="21600"/>
                    <wp:lineTo x="21600" y="21600"/>
                    <wp:lineTo x="21600" y="0"/>
                  </wp:wrapPolygon>
                </wp:wrapTight>
                <wp:docPr id="612581345" name="Pole tekstowe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6938E37" w14:textId="086CDF81" w:rsidR="00202A32" w:rsidRPr="00026BCA" w:rsidRDefault="00202A32" w:rsidP="00202A32">
                            <w:pPr>
                              <w:pStyle w:val="Legenda"/>
                              <w:rPr>
                                <w:noProof/>
                                <w:szCs w:val="22"/>
                              </w:rPr>
                            </w:pPr>
                            <w:bookmarkStart w:id="357" w:name="_Toc205204450"/>
                            <w:r>
                              <w:t xml:space="preserve">Wykres </w:t>
                            </w:r>
                            <w:fldSimple w:instr=" SEQ Wykres \* ARABIC ">
                              <w:r w:rsidR="00871DD5">
                                <w:rPr>
                                  <w:noProof/>
                                </w:rPr>
                                <w:t>12</w:t>
                              </w:r>
                            </w:fldSimple>
                            <w:r>
                              <w:t xml:space="preserve">. </w:t>
                            </w:r>
                            <w:r w:rsidRPr="00202A32">
                              <w:t>Zużycie energii pierwotnej (PEC) i finalne zużycie energii (FEC) do 2030 r</w:t>
                            </w:r>
                            <w:r w:rsidR="002428DA">
                              <w:t>.</w:t>
                            </w:r>
                            <w:bookmarkEnd w:id="3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EB31A6" id="_x0000_s1105" type="#_x0000_t202" style="position:absolute;left:0;text-align:left;margin-left:0;margin-top:414.35pt;width:453.6pt;height:.05pt;z-index:-25156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" stroked="f">
                <v:textbox style="mso-fit-shape-to-text:t" inset="0,0,0,0">
                  <w:txbxContent>
                    <w:p w14:paraId="76938E37" w14:textId="086CDF81" w:rsidR="00202A32" w:rsidRPr="00026BCA" w:rsidRDefault="00202A32" w:rsidP="00202A32">
                      <w:pPr>
                        <w:pStyle w:val="Legenda"/>
                        <w:rPr>
                          <w:noProof/>
                          <w:szCs w:val="22"/>
                        </w:rPr>
                      </w:pPr>
                      <w:bookmarkStart w:id="368" w:name="_Toc205204450"/>
                      <w:r>
                        <w:t xml:space="preserve">Wykres </w:t>
                      </w:r>
                      <w:r w:rsidR="000559D5">
                        <w:fldChar w:fldCharType="begin"/>
                      </w:r>
                      <w:r w:rsidR="000559D5">
                        <w:instrText xml:space="preserve"> SEQ Wykres \* ARABIC </w:instrText>
                      </w:r>
                      <w:r w:rsidR="000559D5">
                        <w:fldChar w:fldCharType="separate"/>
                      </w:r>
                      <w:r w:rsidR="00871DD5">
                        <w:rPr>
                          <w:noProof/>
                        </w:rPr>
                        <w:t>12</w:t>
                      </w:r>
                      <w:r w:rsidR="000559D5">
                        <w:rPr>
                          <w:noProof/>
                        </w:rPr>
                        <w:fldChar w:fldCharType="end"/>
                      </w:r>
                      <w:r>
                        <w:t xml:space="preserve">. </w:t>
                      </w:r>
                      <w:r w:rsidRPr="00202A32">
                        <w:t>Zużycie energii pierwotnej (PEC) i finalne zużycie energii (FEC) do 2030 r</w:t>
                      </w:r>
                      <w:r w:rsidR="002428DA">
                        <w:t>.</w:t>
                      </w:r>
                      <w:bookmarkEnd w:id="368"/>
                    </w:p>
                  </w:txbxContent>
                </v:textbox>
                <w10:wrap type="tight"/>
              </v:shape>
            </w:pict>
          </mc:Fallback>
        </mc:AlternateContent>
      </w:r>
      <w:r w:rsidR="004703D7">
        <w:rPr>
          <w:noProof/>
          <w:lang w:eastAsia="pl-PL"/>
        </w:rPr>
        <w:drawing>
          <wp:anchor distT="0" distB="0" distL="114300" distR="114300" simplePos="0" relativeHeight="251873792" behindDoc="0" locked="0" layoutInCell="1" allowOverlap="1" wp14:anchorId="1F95ECBF" wp14:editId="644126CA">
            <wp:simplePos x="0" y="0"/>
            <wp:positionH relativeFrom="margin">
              <wp:align>right</wp:align>
            </wp:positionH>
            <wp:positionV relativeFrom="paragraph">
              <wp:posOffset>264795</wp:posOffset>
            </wp:positionV>
            <wp:extent cx="5760720" cy="4940300"/>
            <wp:effectExtent l="0" t="0" r="0" b="0"/>
            <wp:wrapTight wrapText="bothSides">
              <wp:wrapPolygon edited="0">
                <wp:start x="0" y="0"/>
                <wp:lineTo x="0" y="21489"/>
                <wp:lineTo x="21500" y="21489"/>
                <wp:lineTo x="21500" y="0"/>
                <wp:lineTo x="0" y="0"/>
              </wp:wrapPolygon>
            </wp:wrapTight>
            <wp:docPr id="83569624" name="Wykres 1">
              <a:extLst xmlns:a="http://schemas.openxmlformats.org/drawingml/2006/main">
                <a:ext uri="{FF2B5EF4-FFF2-40B4-BE49-F238E27FC236}">
                  <a16:creationId xmlns:a16="http://schemas.microsoft.com/office/drawing/2014/main" id="{E374219A-CE5C-9AE9-4648-D87CB6D04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bookmarkStart w:id="358" w:name="_Toc159598304"/>
    </w:p>
    <w:p w14:paraId="64B4959B" w14:textId="41EE04AB" w:rsidR="0006322E" w:rsidRDefault="0006322E" w:rsidP="0006322E">
      <w:pPr>
        <w:pStyle w:val="Legenda"/>
        <w:keepNext/>
      </w:pPr>
    </w:p>
    <w:p w14:paraId="2A0BAB8A" w14:textId="439FBB61" w:rsidR="0095724F" w:rsidRDefault="0095724F" w:rsidP="0095724F">
      <w:pPr>
        <w:pStyle w:val="Legenda"/>
        <w:keepNext/>
      </w:pPr>
      <w:bookmarkStart w:id="359" w:name="_Toc205204369"/>
      <w:r>
        <w:t xml:space="preserve">Tabela </w:t>
      </w:r>
      <w:fldSimple w:instr=" SEQ Tabela \* ARABIC ">
        <w:r w:rsidR="00871DD5">
          <w:rPr>
            <w:noProof/>
          </w:rPr>
          <w:t>3</w:t>
        </w:r>
      </w:fldSimple>
      <w:r>
        <w:t xml:space="preserve">. </w:t>
      </w:r>
      <w:r w:rsidRPr="000C26B9">
        <w:t>Zużycie energii pierwotnej [Mtoe] oraz Finalne zużycie energii [Mtoe]</w:t>
      </w:r>
      <w:bookmarkEnd w:id="359"/>
    </w:p>
    <w:tbl>
      <w:tblPr>
        <w:tblpPr w:leftFromText="141" w:rightFromText="141" w:vertAnchor="text" w:horzAnchor="margin" w:tblpY="318"/>
        <w:tblW w:w="4105" w:type="dxa"/>
        <w:tblLayout w:type="fixed"/>
        <w:tblCellMar>
          <w:left w:w="70" w:type="dxa"/>
          <w:right w:w="70" w:type="dxa"/>
        </w:tblCellMar>
        <w:tblLook w:val="04A0" w:firstRow="1" w:lastRow="0" w:firstColumn="1" w:lastColumn="0" w:noHBand="0" w:noVBand="1"/>
      </w:tblPr>
      <w:tblGrid>
        <w:gridCol w:w="1985"/>
        <w:gridCol w:w="706"/>
        <w:gridCol w:w="707"/>
        <w:gridCol w:w="707"/>
      </w:tblGrid>
      <w:tr w:rsidR="00A06854" w:rsidRPr="00067A39" w14:paraId="4D8202D6" w14:textId="77777777" w:rsidTr="00BB74D4">
        <w:trPr>
          <w:trHeight w:val="283"/>
        </w:trPr>
        <w:tc>
          <w:tcPr>
            <w:tcW w:w="1985" w:type="dxa"/>
            <w:tcBorders>
              <w:left w:val="nil"/>
              <w:bottom w:val="single" w:sz="4" w:space="0" w:color="A6A6A6" w:themeColor="background1" w:themeShade="A6"/>
              <w:right w:val="single" w:sz="4" w:space="0" w:color="A6A6A6" w:themeColor="background1" w:themeShade="A6"/>
            </w:tcBorders>
            <w:noWrap/>
            <w:vAlign w:val="center"/>
            <w:hideMark/>
          </w:tcPr>
          <w:p w14:paraId="55B29E47" w14:textId="77777777" w:rsidR="00A06854" w:rsidRPr="00067A39" w:rsidRDefault="00A06854" w:rsidP="00A06854">
            <w:pPr>
              <w:spacing w:after="0"/>
              <w:jc w:val="right"/>
              <w:rPr>
                <w:lang w:eastAsia="pl-PL"/>
              </w:rPr>
            </w:pPr>
          </w:p>
        </w:tc>
        <w:tc>
          <w:tcPr>
            <w:tcW w:w="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5E0B3" w:themeFill="accent6" w:themeFillTint="66"/>
            <w:noWrap/>
            <w:vAlign w:val="center"/>
            <w:hideMark/>
          </w:tcPr>
          <w:p w14:paraId="406EF730" w14:textId="77777777" w:rsidR="00A06854" w:rsidRPr="00067A39" w:rsidRDefault="00A06854" w:rsidP="00A06854">
            <w:pPr>
              <w:spacing w:after="0" w:line="240" w:lineRule="auto"/>
              <w:jc w:val="right"/>
              <w:rPr>
                <w:rFonts w:eastAsia="Times New Roman" w:cs="Times New Roman"/>
                <w:b/>
                <w:bCs/>
                <w:color w:val="000000"/>
                <w:kern w:val="0"/>
                <w:sz w:val="18"/>
                <w:szCs w:val="18"/>
                <w:lang w:eastAsia="pl-PL"/>
                <w14:ligatures w14:val="none"/>
              </w:rPr>
            </w:pPr>
            <w:r w:rsidRPr="00067A39">
              <w:rPr>
                <w:rFonts w:eastAsia="Times New Roman" w:cs="Times New Roman"/>
                <w:b/>
                <w:bCs/>
                <w:color w:val="000000"/>
                <w:kern w:val="0"/>
                <w:sz w:val="18"/>
                <w:szCs w:val="18"/>
                <w:lang w:eastAsia="pl-PL"/>
                <w14:ligatures w14:val="none"/>
              </w:rPr>
              <w:t>2020</w:t>
            </w:r>
          </w:p>
        </w:tc>
        <w:tc>
          <w:tcPr>
            <w:tcW w:w="70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5E0B3" w:themeFill="accent6" w:themeFillTint="66"/>
            <w:noWrap/>
            <w:vAlign w:val="center"/>
            <w:hideMark/>
          </w:tcPr>
          <w:p w14:paraId="7C0DCDC4" w14:textId="77777777" w:rsidR="00A06854" w:rsidRPr="00067A39" w:rsidRDefault="00A06854" w:rsidP="00A06854">
            <w:pPr>
              <w:spacing w:after="0" w:line="240" w:lineRule="auto"/>
              <w:jc w:val="right"/>
              <w:rPr>
                <w:rFonts w:eastAsia="Times New Roman" w:cs="Times New Roman"/>
                <w:b/>
                <w:bCs/>
                <w:color w:val="000000"/>
                <w:kern w:val="0"/>
                <w:sz w:val="18"/>
                <w:szCs w:val="18"/>
                <w:lang w:eastAsia="pl-PL"/>
                <w14:ligatures w14:val="none"/>
              </w:rPr>
            </w:pPr>
            <w:r w:rsidRPr="00067A39">
              <w:rPr>
                <w:rFonts w:eastAsia="Times New Roman" w:cs="Times New Roman"/>
                <w:b/>
                <w:bCs/>
                <w:color w:val="000000"/>
                <w:kern w:val="0"/>
                <w:sz w:val="18"/>
                <w:szCs w:val="18"/>
                <w:lang w:eastAsia="pl-PL"/>
                <w14:ligatures w14:val="none"/>
              </w:rPr>
              <w:t>2030</w:t>
            </w:r>
          </w:p>
        </w:tc>
        <w:tc>
          <w:tcPr>
            <w:tcW w:w="70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5E0B3" w:themeFill="accent6" w:themeFillTint="66"/>
            <w:noWrap/>
            <w:vAlign w:val="center"/>
            <w:hideMark/>
          </w:tcPr>
          <w:p w14:paraId="389BD688" w14:textId="77777777" w:rsidR="00A06854" w:rsidRPr="00067A39" w:rsidRDefault="00A06854" w:rsidP="00A06854">
            <w:pPr>
              <w:spacing w:after="0" w:line="240" w:lineRule="auto"/>
              <w:jc w:val="right"/>
              <w:rPr>
                <w:rFonts w:eastAsia="Times New Roman" w:cs="Times New Roman"/>
                <w:b/>
                <w:bCs/>
                <w:color w:val="000000"/>
                <w:kern w:val="0"/>
                <w:sz w:val="18"/>
                <w:szCs w:val="18"/>
                <w:lang w:eastAsia="pl-PL"/>
                <w14:ligatures w14:val="none"/>
              </w:rPr>
            </w:pPr>
            <w:r w:rsidRPr="00067A39">
              <w:rPr>
                <w:rFonts w:eastAsia="Times New Roman" w:cs="Times New Roman"/>
                <w:b/>
                <w:bCs/>
                <w:color w:val="000000"/>
                <w:kern w:val="0"/>
                <w:sz w:val="18"/>
                <w:szCs w:val="18"/>
                <w:lang w:eastAsia="pl-PL"/>
                <w14:ligatures w14:val="none"/>
              </w:rPr>
              <w:t>2040</w:t>
            </w:r>
          </w:p>
        </w:tc>
      </w:tr>
      <w:tr w:rsidR="00C35CE2" w:rsidRPr="00067A39" w14:paraId="2CAD6C6E" w14:textId="77777777" w:rsidTr="00BB74D4">
        <w:trPr>
          <w:trHeight w:val="352"/>
        </w:trPr>
        <w:tc>
          <w:tcPr>
            <w:tcW w:w="1985"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hideMark/>
          </w:tcPr>
          <w:p w14:paraId="0FB3A702"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067A39">
              <w:rPr>
                <w:rFonts w:eastAsia="Times New Roman" w:cs="Times New Roman"/>
                <w:color w:val="000000"/>
                <w:kern w:val="0"/>
                <w:sz w:val="19"/>
                <w:szCs w:val="19"/>
                <w:lang w:eastAsia="pl-PL"/>
                <w14:ligatures w14:val="none"/>
              </w:rPr>
              <w:t>PRIMES 2007</w:t>
            </w:r>
          </w:p>
        </w:tc>
        <w:tc>
          <w:tcPr>
            <w:tcW w:w="706"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tcPr>
          <w:p w14:paraId="7A1AB457" w14:textId="26938D20"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109,8</w:t>
            </w:r>
          </w:p>
        </w:tc>
        <w:tc>
          <w:tcPr>
            <w:tcW w:w="707"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tcPr>
          <w:p w14:paraId="6D856BC8" w14:textId="0599C1B2"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118,6</w:t>
            </w:r>
          </w:p>
        </w:tc>
        <w:tc>
          <w:tcPr>
            <w:tcW w:w="707"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tcPr>
          <w:p w14:paraId="3284D35D" w14:textId="76A87E8F"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119,8</w:t>
            </w:r>
            <w:r>
              <w:rPr>
                <w:sz w:val="19"/>
                <w:szCs w:val="19"/>
              </w:rPr>
              <w:t>*</w:t>
            </w:r>
          </w:p>
        </w:tc>
      </w:tr>
      <w:tr w:rsidR="00C35CE2" w:rsidRPr="00067A39" w14:paraId="6F04165E" w14:textId="77777777" w:rsidTr="00BB74D4">
        <w:trPr>
          <w:trHeight w:val="352"/>
        </w:trPr>
        <w:tc>
          <w:tcPr>
            <w:tcW w:w="1985" w:type="dxa"/>
            <w:tcBorders>
              <w:left w:val="single" w:sz="4" w:space="0" w:color="A6A6A6" w:themeColor="background1" w:themeShade="A6"/>
              <w:right w:val="single" w:sz="4" w:space="0" w:color="A6A6A6" w:themeColor="background1" w:themeShade="A6"/>
            </w:tcBorders>
            <w:noWrap/>
            <w:vAlign w:val="center"/>
            <w:hideMark/>
          </w:tcPr>
          <w:p w14:paraId="1425830B"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067A39">
              <w:rPr>
                <w:rFonts w:eastAsia="Times New Roman" w:cs="Times New Roman"/>
                <w:color w:val="000000"/>
                <w:kern w:val="0"/>
                <w:sz w:val="19"/>
                <w:szCs w:val="19"/>
                <w:lang w:eastAsia="pl-PL"/>
                <w14:ligatures w14:val="none"/>
              </w:rPr>
              <w:t>PRIMES 2020</w:t>
            </w:r>
          </w:p>
        </w:tc>
        <w:tc>
          <w:tcPr>
            <w:tcW w:w="706" w:type="dxa"/>
            <w:tcBorders>
              <w:left w:val="single" w:sz="4" w:space="0" w:color="A6A6A6" w:themeColor="background1" w:themeShade="A6"/>
              <w:right w:val="single" w:sz="4" w:space="0" w:color="A6A6A6" w:themeColor="background1" w:themeShade="A6"/>
            </w:tcBorders>
            <w:noWrap/>
            <w:vAlign w:val="center"/>
          </w:tcPr>
          <w:p w14:paraId="7E20F09E" w14:textId="390C3D4B"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85,7</w:t>
            </w:r>
          </w:p>
        </w:tc>
        <w:tc>
          <w:tcPr>
            <w:tcW w:w="707" w:type="dxa"/>
            <w:tcBorders>
              <w:left w:val="single" w:sz="4" w:space="0" w:color="A6A6A6" w:themeColor="background1" w:themeShade="A6"/>
              <w:right w:val="single" w:sz="4" w:space="0" w:color="A6A6A6" w:themeColor="background1" w:themeShade="A6"/>
            </w:tcBorders>
            <w:noWrap/>
            <w:vAlign w:val="center"/>
          </w:tcPr>
          <w:p w14:paraId="50BBE35F" w14:textId="25983E24"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93,3</w:t>
            </w:r>
          </w:p>
        </w:tc>
        <w:tc>
          <w:tcPr>
            <w:tcW w:w="707" w:type="dxa"/>
            <w:tcBorders>
              <w:left w:val="single" w:sz="4" w:space="0" w:color="A6A6A6" w:themeColor="background1" w:themeShade="A6"/>
              <w:right w:val="single" w:sz="4" w:space="0" w:color="A6A6A6" w:themeColor="background1" w:themeShade="A6"/>
            </w:tcBorders>
            <w:noWrap/>
            <w:vAlign w:val="center"/>
          </w:tcPr>
          <w:p w14:paraId="530E84A9" w14:textId="5C94A106"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81,0</w:t>
            </w:r>
          </w:p>
        </w:tc>
      </w:tr>
      <w:tr w:rsidR="00C35CE2" w:rsidRPr="00067A39" w14:paraId="00BF3453" w14:textId="77777777" w:rsidTr="00BB74D4">
        <w:trPr>
          <w:trHeight w:val="352"/>
        </w:trPr>
        <w:tc>
          <w:tcPr>
            <w:tcW w:w="1985" w:type="dxa"/>
            <w:tcBorders>
              <w:left w:val="single" w:sz="4" w:space="0" w:color="A6A6A6" w:themeColor="background1" w:themeShade="A6"/>
              <w:right w:val="single" w:sz="4" w:space="0" w:color="A6A6A6" w:themeColor="background1" w:themeShade="A6"/>
            </w:tcBorders>
            <w:noWrap/>
            <w:vAlign w:val="center"/>
            <w:hideMark/>
          </w:tcPr>
          <w:p w14:paraId="0ADAFF39"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Pr>
                <w:rFonts w:eastAsia="Times New Roman" w:cs="Times New Roman"/>
                <w:color w:val="000000"/>
                <w:kern w:val="0"/>
                <w:sz w:val="19"/>
                <w:szCs w:val="19"/>
                <w:lang w:eastAsia="pl-PL"/>
                <w14:ligatures w14:val="none"/>
              </w:rPr>
              <w:t>Według</w:t>
            </w:r>
            <w:r w:rsidRPr="00067A39">
              <w:rPr>
                <w:rFonts w:eastAsia="Times New Roman" w:cs="Times New Roman"/>
                <w:color w:val="000000"/>
                <w:kern w:val="0"/>
                <w:sz w:val="19"/>
                <w:szCs w:val="19"/>
                <w:lang w:eastAsia="pl-PL"/>
                <w14:ligatures w14:val="none"/>
              </w:rPr>
              <w:t xml:space="preserve"> formuły EED</w:t>
            </w:r>
          </w:p>
        </w:tc>
        <w:tc>
          <w:tcPr>
            <w:tcW w:w="706" w:type="dxa"/>
            <w:tcBorders>
              <w:left w:val="single" w:sz="4" w:space="0" w:color="A6A6A6" w:themeColor="background1" w:themeShade="A6"/>
              <w:right w:val="single" w:sz="4" w:space="0" w:color="A6A6A6" w:themeColor="background1" w:themeShade="A6"/>
            </w:tcBorders>
            <w:noWrap/>
            <w:vAlign w:val="center"/>
          </w:tcPr>
          <w:p w14:paraId="0E7DF6EA" w14:textId="4CF25AFD"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96,9</w:t>
            </w:r>
            <w:r>
              <w:rPr>
                <w:sz w:val="19"/>
                <w:szCs w:val="19"/>
              </w:rPr>
              <w:t>*</w:t>
            </w:r>
            <w:r w:rsidRPr="00A06854">
              <w:rPr>
                <w:sz w:val="19"/>
                <w:szCs w:val="19"/>
              </w:rPr>
              <w:t>*</w:t>
            </w:r>
          </w:p>
        </w:tc>
        <w:tc>
          <w:tcPr>
            <w:tcW w:w="707" w:type="dxa"/>
            <w:tcBorders>
              <w:left w:val="single" w:sz="4" w:space="0" w:color="A6A6A6" w:themeColor="background1" w:themeShade="A6"/>
              <w:right w:val="single" w:sz="4" w:space="0" w:color="A6A6A6" w:themeColor="background1" w:themeShade="A6"/>
            </w:tcBorders>
            <w:noWrap/>
            <w:vAlign w:val="center"/>
          </w:tcPr>
          <w:p w14:paraId="1176343F" w14:textId="089986C3"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79,9</w:t>
            </w:r>
          </w:p>
        </w:tc>
        <w:tc>
          <w:tcPr>
            <w:tcW w:w="707" w:type="dxa"/>
            <w:tcBorders>
              <w:left w:val="single" w:sz="4" w:space="0" w:color="A6A6A6" w:themeColor="background1" w:themeShade="A6"/>
              <w:right w:val="single" w:sz="4" w:space="0" w:color="A6A6A6" w:themeColor="background1" w:themeShade="A6"/>
            </w:tcBorders>
            <w:noWrap/>
            <w:vAlign w:val="center"/>
          </w:tcPr>
          <w:p w14:paraId="7EBF0211" w14:textId="02A1EB10"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Pr>
                <w:rFonts w:eastAsia="Times New Roman" w:cs="Times New Roman"/>
                <w:color w:val="000000"/>
                <w:kern w:val="0"/>
                <w:sz w:val="19"/>
                <w:szCs w:val="19"/>
                <w:lang w:eastAsia="pl-PL"/>
                <w14:ligatures w14:val="none"/>
              </w:rPr>
              <w:t>–</w:t>
            </w:r>
          </w:p>
        </w:tc>
      </w:tr>
      <w:tr w:rsidR="00C35CE2" w:rsidRPr="00067A39" w14:paraId="4A1F545D" w14:textId="77777777" w:rsidTr="00BB74D4">
        <w:trPr>
          <w:trHeight w:val="352"/>
        </w:trPr>
        <w:tc>
          <w:tcPr>
            <w:tcW w:w="1985"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247083A"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067A39">
              <w:rPr>
                <w:rFonts w:eastAsia="Times New Roman" w:cs="Times New Roman"/>
                <w:color w:val="000000"/>
                <w:kern w:val="0"/>
                <w:sz w:val="19"/>
                <w:szCs w:val="19"/>
                <w:lang w:eastAsia="pl-PL"/>
                <w14:ligatures w14:val="none"/>
              </w:rPr>
              <w:t>Prognoza KPEiK</w:t>
            </w:r>
          </w:p>
        </w:tc>
        <w:tc>
          <w:tcPr>
            <w:tcW w:w="706"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A137C21" w14:textId="04D39B12"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A06854">
              <w:rPr>
                <w:sz w:val="19"/>
                <w:szCs w:val="19"/>
              </w:rPr>
              <w:t>96,9</w:t>
            </w:r>
            <w:r>
              <w:rPr>
                <w:sz w:val="19"/>
                <w:szCs w:val="19"/>
              </w:rPr>
              <w:t>*</w:t>
            </w:r>
            <w:r w:rsidRPr="00A06854">
              <w:rPr>
                <w:sz w:val="19"/>
                <w:szCs w:val="19"/>
              </w:rPr>
              <w:t>*</w:t>
            </w:r>
          </w:p>
        </w:tc>
        <w:tc>
          <w:tcPr>
            <w:tcW w:w="707"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88DC1E0" w14:textId="58B1BBEC" w:rsidR="00C35CE2" w:rsidRPr="00067A39" w:rsidRDefault="00AF6139" w:rsidP="00C35CE2">
            <w:pPr>
              <w:spacing w:after="0" w:line="240" w:lineRule="auto"/>
              <w:jc w:val="right"/>
              <w:rPr>
                <w:rFonts w:eastAsia="Times New Roman" w:cs="Times New Roman"/>
                <w:color w:val="000000"/>
                <w:kern w:val="0"/>
                <w:sz w:val="19"/>
                <w:szCs w:val="19"/>
                <w:lang w:eastAsia="pl-PL"/>
                <w14:ligatures w14:val="none"/>
              </w:rPr>
            </w:pPr>
            <w:r>
              <w:rPr>
                <w:sz w:val="19"/>
                <w:szCs w:val="19"/>
              </w:rPr>
              <w:t>79,6</w:t>
            </w:r>
          </w:p>
        </w:tc>
        <w:tc>
          <w:tcPr>
            <w:tcW w:w="707"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1537795" w14:textId="06B02172" w:rsidR="00C35CE2" w:rsidRPr="00067A39" w:rsidRDefault="00AF6139" w:rsidP="00C35CE2">
            <w:pPr>
              <w:spacing w:after="0" w:line="240" w:lineRule="auto"/>
              <w:jc w:val="right"/>
              <w:rPr>
                <w:rFonts w:eastAsia="Times New Roman" w:cs="Times New Roman"/>
                <w:color w:val="000000"/>
                <w:kern w:val="0"/>
                <w:sz w:val="19"/>
                <w:szCs w:val="19"/>
                <w:lang w:eastAsia="pl-PL"/>
                <w14:ligatures w14:val="none"/>
              </w:rPr>
            </w:pPr>
            <w:r>
              <w:rPr>
                <w:sz w:val="19"/>
                <w:szCs w:val="19"/>
              </w:rPr>
              <w:t>67,2</w:t>
            </w:r>
          </w:p>
        </w:tc>
      </w:tr>
      <w:tr w:rsidR="00FF57E5" w:rsidRPr="00067A39" w14:paraId="6C39E0AE" w14:textId="77777777" w:rsidTr="00BB74D4">
        <w:trPr>
          <w:trHeight w:val="352"/>
        </w:trPr>
        <w:tc>
          <w:tcPr>
            <w:tcW w:w="4105" w:type="dxa"/>
            <w:gridSpan w:val="4"/>
            <w:tcBorders>
              <w:top w:val="single" w:sz="4" w:space="0" w:color="A6A6A6" w:themeColor="background1" w:themeShade="A6"/>
            </w:tcBorders>
            <w:noWrap/>
            <w:vAlign w:val="center"/>
          </w:tcPr>
          <w:p w14:paraId="6C614FA8" w14:textId="2352BF41" w:rsidR="00FF57E5" w:rsidRPr="0062270D" w:rsidRDefault="00FF57E5" w:rsidP="00FF57E5">
            <w:pPr>
              <w:spacing w:after="0" w:line="240" w:lineRule="auto"/>
              <w:jc w:val="center"/>
              <w:rPr>
                <w:i/>
                <w:iCs/>
                <w:sz w:val="18"/>
                <w:szCs w:val="18"/>
              </w:rPr>
            </w:pPr>
            <w:r w:rsidRPr="00FF57E5">
              <w:rPr>
                <w:i/>
                <w:iCs/>
                <w:sz w:val="18"/>
                <w:szCs w:val="18"/>
              </w:rPr>
              <w:t>*</w:t>
            </w:r>
            <w:r>
              <w:rPr>
                <w:i/>
                <w:iCs/>
                <w:sz w:val="18"/>
                <w:szCs w:val="18"/>
              </w:rPr>
              <w:t xml:space="preserve"> w</w:t>
            </w:r>
            <w:r w:rsidRPr="00FF57E5">
              <w:rPr>
                <w:i/>
                <w:iCs/>
                <w:sz w:val="18"/>
                <w:szCs w:val="18"/>
              </w:rPr>
              <w:t xml:space="preserve">artość </w:t>
            </w:r>
            <w:r>
              <w:rPr>
                <w:i/>
                <w:iCs/>
                <w:sz w:val="18"/>
                <w:szCs w:val="18"/>
              </w:rPr>
              <w:t>ekstrapolowana **</w:t>
            </w:r>
            <w:r w:rsidRPr="0062270D">
              <w:rPr>
                <w:i/>
                <w:iCs/>
                <w:sz w:val="18"/>
                <w:szCs w:val="18"/>
              </w:rPr>
              <w:t>dane historyczne</w:t>
            </w:r>
          </w:p>
        </w:tc>
      </w:tr>
    </w:tbl>
    <w:p w14:paraId="4C8677A9" w14:textId="227215CE" w:rsidR="007A162C" w:rsidRDefault="007A162C" w:rsidP="007A162C">
      <w:pPr>
        <w:pStyle w:val="Legenda"/>
        <w:keepNext/>
      </w:pPr>
    </w:p>
    <w:tbl>
      <w:tblPr>
        <w:tblpPr w:leftFromText="141" w:rightFromText="141" w:vertAnchor="text" w:horzAnchor="page" w:tblpX="5809" w:tblpY="-107"/>
        <w:tblW w:w="4105" w:type="dxa"/>
        <w:tblLayout w:type="fixed"/>
        <w:tblCellMar>
          <w:left w:w="70" w:type="dxa"/>
          <w:right w:w="70" w:type="dxa"/>
        </w:tblCellMar>
        <w:tblLook w:val="04A0" w:firstRow="1" w:lastRow="0" w:firstColumn="1" w:lastColumn="0" w:noHBand="0" w:noVBand="1"/>
      </w:tblPr>
      <w:tblGrid>
        <w:gridCol w:w="1985"/>
        <w:gridCol w:w="706"/>
        <w:gridCol w:w="707"/>
        <w:gridCol w:w="707"/>
      </w:tblGrid>
      <w:tr w:rsidR="00A06854" w:rsidRPr="00067A39" w14:paraId="3CF85CFA" w14:textId="77777777" w:rsidTr="00BB74D4">
        <w:trPr>
          <w:trHeight w:val="283"/>
        </w:trPr>
        <w:tc>
          <w:tcPr>
            <w:tcW w:w="1985" w:type="dxa"/>
            <w:tcBorders>
              <w:left w:val="nil"/>
              <w:bottom w:val="single" w:sz="4" w:space="0" w:color="A6A6A6" w:themeColor="background1" w:themeShade="A6"/>
              <w:right w:val="single" w:sz="4" w:space="0" w:color="A6A6A6" w:themeColor="background1" w:themeShade="A6"/>
            </w:tcBorders>
            <w:noWrap/>
            <w:vAlign w:val="center"/>
            <w:hideMark/>
          </w:tcPr>
          <w:p w14:paraId="38FA3E9A" w14:textId="77777777" w:rsidR="00A06854" w:rsidRPr="00067A39" w:rsidRDefault="00A06854" w:rsidP="004818E0">
            <w:pPr>
              <w:spacing w:after="0"/>
              <w:jc w:val="right"/>
              <w:rPr>
                <w:lang w:eastAsia="pl-PL"/>
              </w:rPr>
            </w:pPr>
          </w:p>
        </w:tc>
        <w:tc>
          <w:tcPr>
            <w:tcW w:w="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5E0B3" w:themeFill="accent6" w:themeFillTint="66"/>
            <w:noWrap/>
            <w:vAlign w:val="center"/>
            <w:hideMark/>
          </w:tcPr>
          <w:p w14:paraId="73407C2C" w14:textId="77777777" w:rsidR="00A06854" w:rsidRPr="00067A39" w:rsidRDefault="00A06854" w:rsidP="004818E0">
            <w:pPr>
              <w:spacing w:after="0" w:line="240" w:lineRule="auto"/>
              <w:jc w:val="right"/>
              <w:rPr>
                <w:rFonts w:eastAsia="Times New Roman" w:cs="Times New Roman"/>
                <w:b/>
                <w:bCs/>
                <w:color w:val="000000"/>
                <w:kern w:val="0"/>
                <w:sz w:val="18"/>
                <w:szCs w:val="18"/>
                <w:lang w:eastAsia="pl-PL"/>
                <w14:ligatures w14:val="none"/>
              </w:rPr>
            </w:pPr>
            <w:r w:rsidRPr="00067A39">
              <w:rPr>
                <w:rFonts w:eastAsia="Times New Roman" w:cs="Times New Roman"/>
                <w:b/>
                <w:bCs/>
                <w:color w:val="000000"/>
                <w:kern w:val="0"/>
                <w:sz w:val="18"/>
                <w:szCs w:val="18"/>
                <w:lang w:eastAsia="pl-PL"/>
                <w14:ligatures w14:val="none"/>
              </w:rPr>
              <w:t>2020</w:t>
            </w:r>
          </w:p>
        </w:tc>
        <w:tc>
          <w:tcPr>
            <w:tcW w:w="70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5E0B3" w:themeFill="accent6" w:themeFillTint="66"/>
            <w:noWrap/>
            <w:vAlign w:val="center"/>
            <w:hideMark/>
          </w:tcPr>
          <w:p w14:paraId="0BE8A936" w14:textId="77777777" w:rsidR="00A06854" w:rsidRPr="00067A39" w:rsidRDefault="00A06854" w:rsidP="004818E0">
            <w:pPr>
              <w:spacing w:after="0" w:line="240" w:lineRule="auto"/>
              <w:jc w:val="right"/>
              <w:rPr>
                <w:rFonts w:eastAsia="Times New Roman" w:cs="Times New Roman"/>
                <w:b/>
                <w:bCs/>
                <w:color w:val="000000"/>
                <w:kern w:val="0"/>
                <w:sz w:val="18"/>
                <w:szCs w:val="18"/>
                <w:lang w:eastAsia="pl-PL"/>
                <w14:ligatures w14:val="none"/>
              </w:rPr>
            </w:pPr>
            <w:r w:rsidRPr="00067A39">
              <w:rPr>
                <w:rFonts w:eastAsia="Times New Roman" w:cs="Times New Roman"/>
                <w:b/>
                <w:bCs/>
                <w:color w:val="000000"/>
                <w:kern w:val="0"/>
                <w:sz w:val="18"/>
                <w:szCs w:val="18"/>
                <w:lang w:eastAsia="pl-PL"/>
                <w14:ligatures w14:val="none"/>
              </w:rPr>
              <w:t>2030</w:t>
            </w:r>
          </w:p>
        </w:tc>
        <w:tc>
          <w:tcPr>
            <w:tcW w:w="70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5E0B3" w:themeFill="accent6" w:themeFillTint="66"/>
            <w:noWrap/>
            <w:vAlign w:val="center"/>
            <w:hideMark/>
          </w:tcPr>
          <w:p w14:paraId="77B02E97" w14:textId="77777777" w:rsidR="00A06854" w:rsidRPr="00067A39" w:rsidRDefault="00A06854" w:rsidP="004818E0">
            <w:pPr>
              <w:spacing w:after="0" w:line="240" w:lineRule="auto"/>
              <w:jc w:val="right"/>
              <w:rPr>
                <w:rFonts w:eastAsia="Times New Roman" w:cs="Times New Roman"/>
                <w:b/>
                <w:bCs/>
                <w:color w:val="000000"/>
                <w:kern w:val="0"/>
                <w:sz w:val="18"/>
                <w:szCs w:val="18"/>
                <w:lang w:eastAsia="pl-PL"/>
                <w14:ligatures w14:val="none"/>
              </w:rPr>
            </w:pPr>
            <w:r w:rsidRPr="00067A39">
              <w:rPr>
                <w:rFonts w:eastAsia="Times New Roman" w:cs="Times New Roman"/>
                <w:b/>
                <w:bCs/>
                <w:color w:val="000000"/>
                <w:kern w:val="0"/>
                <w:sz w:val="18"/>
                <w:szCs w:val="18"/>
                <w:lang w:eastAsia="pl-PL"/>
                <w14:ligatures w14:val="none"/>
              </w:rPr>
              <w:t>2040</w:t>
            </w:r>
          </w:p>
        </w:tc>
      </w:tr>
      <w:tr w:rsidR="00C35CE2" w:rsidRPr="00067A39" w14:paraId="0F35E63E" w14:textId="77777777" w:rsidTr="00BB74D4">
        <w:trPr>
          <w:trHeight w:val="352"/>
        </w:trPr>
        <w:tc>
          <w:tcPr>
            <w:tcW w:w="1985"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hideMark/>
          </w:tcPr>
          <w:p w14:paraId="1F13C20E"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067A39">
              <w:rPr>
                <w:rFonts w:eastAsia="Times New Roman" w:cs="Times New Roman"/>
                <w:color w:val="000000"/>
                <w:kern w:val="0"/>
                <w:sz w:val="19"/>
                <w:szCs w:val="19"/>
                <w:lang w:eastAsia="pl-PL"/>
                <w14:ligatures w14:val="none"/>
              </w:rPr>
              <w:t>PRIMES 2007</w:t>
            </w:r>
          </w:p>
        </w:tc>
        <w:tc>
          <w:tcPr>
            <w:tcW w:w="706"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tcPr>
          <w:p w14:paraId="540867C1" w14:textId="143AF0A9"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77,4</w:t>
            </w:r>
          </w:p>
        </w:tc>
        <w:tc>
          <w:tcPr>
            <w:tcW w:w="707"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tcPr>
          <w:p w14:paraId="61813AB1" w14:textId="342F48DB"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85,5</w:t>
            </w:r>
          </w:p>
        </w:tc>
        <w:tc>
          <w:tcPr>
            <w:tcW w:w="707" w:type="dxa"/>
            <w:tcBorders>
              <w:top w:val="single" w:sz="4" w:space="0" w:color="A6A6A6" w:themeColor="background1" w:themeShade="A6"/>
              <w:left w:val="single" w:sz="4" w:space="0" w:color="A6A6A6" w:themeColor="background1" w:themeShade="A6"/>
              <w:right w:val="single" w:sz="4" w:space="0" w:color="A6A6A6" w:themeColor="background1" w:themeShade="A6"/>
            </w:tcBorders>
            <w:noWrap/>
            <w:vAlign w:val="center"/>
          </w:tcPr>
          <w:p w14:paraId="35B58180" w14:textId="150ABBA6"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86,8*</w:t>
            </w:r>
          </w:p>
        </w:tc>
      </w:tr>
      <w:tr w:rsidR="00C35CE2" w:rsidRPr="00067A39" w14:paraId="639A4D7F" w14:textId="77777777" w:rsidTr="00BB74D4">
        <w:trPr>
          <w:trHeight w:val="352"/>
        </w:trPr>
        <w:tc>
          <w:tcPr>
            <w:tcW w:w="1985" w:type="dxa"/>
            <w:tcBorders>
              <w:left w:val="single" w:sz="4" w:space="0" w:color="A6A6A6" w:themeColor="background1" w:themeShade="A6"/>
              <w:right w:val="single" w:sz="4" w:space="0" w:color="A6A6A6" w:themeColor="background1" w:themeShade="A6"/>
            </w:tcBorders>
            <w:noWrap/>
            <w:vAlign w:val="center"/>
            <w:hideMark/>
          </w:tcPr>
          <w:p w14:paraId="21CE8ABA"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067A39">
              <w:rPr>
                <w:rFonts w:eastAsia="Times New Roman" w:cs="Times New Roman"/>
                <w:color w:val="000000"/>
                <w:kern w:val="0"/>
                <w:sz w:val="19"/>
                <w:szCs w:val="19"/>
                <w:lang w:eastAsia="pl-PL"/>
                <w14:ligatures w14:val="none"/>
              </w:rPr>
              <w:t>PRIMES 2020</w:t>
            </w:r>
          </w:p>
        </w:tc>
        <w:tc>
          <w:tcPr>
            <w:tcW w:w="706" w:type="dxa"/>
            <w:tcBorders>
              <w:left w:val="single" w:sz="4" w:space="0" w:color="A6A6A6" w:themeColor="background1" w:themeShade="A6"/>
              <w:right w:val="single" w:sz="4" w:space="0" w:color="A6A6A6" w:themeColor="background1" w:themeShade="A6"/>
            </w:tcBorders>
            <w:noWrap/>
            <w:vAlign w:val="center"/>
          </w:tcPr>
          <w:p w14:paraId="0BACCFE0" w14:textId="57CD8AB9"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62,7</w:t>
            </w:r>
          </w:p>
        </w:tc>
        <w:tc>
          <w:tcPr>
            <w:tcW w:w="707" w:type="dxa"/>
            <w:tcBorders>
              <w:left w:val="single" w:sz="4" w:space="0" w:color="A6A6A6" w:themeColor="background1" w:themeShade="A6"/>
              <w:right w:val="single" w:sz="4" w:space="0" w:color="A6A6A6" w:themeColor="background1" w:themeShade="A6"/>
            </w:tcBorders>
            <w:noWrap/>
            <w:vAlign w:val="center"/>
          </w:tcPr>
          <w:p w14:paraId="7FAF70BB" w14:textId="034FB6A0"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67,2</w:t>
            </w:r>
          </w:p>
        </w:tc>
        <w:tc>
          <w:tcPr>
            <w:tcW w:w="707" w:type="dxa"/>
            <w:tcBorders>
              <w:left w:val="single" w:sz="4" w:space="0" w:color="A6A6A6" w:themeColor="background1" w:themeShade="A6"/>
              <w:right w:val="single" w:sz="4" w:space="0" w:color="A6A6A6" w:themeColor="background1" w:themeShade="A6"/>
            </w:tcBorders>
            <w:noWrap/>
            <w:vAlign w:val="center"/>
          </w:tcPr>
          <w:p w14:paraId="0884A428" w14:textId="241DBC51"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64,8</w:t>
            </w:r>
          </w:p>
        </w:tc>
      </w:tr>
      <w:tr w:rsidR="00C35CE2" w:rsidRPr="00067A39" w14:paraId="3DE65F80" w14:textId="77777777" w:rsidTr="00BB74D4">
        <w:trPr>
          <w:trHeight w:val="352"/>
        </w:trPr>
        <w:tc>
          <w:tcPr>
            <w:tcW w:w="1985" w:type="dxa"/>
            <w:tcBorders>
              <w:left w:val="single" w:sz="4" w:space="0" w:color="A6A6A6" w:themeColor="background1" w:themeShade="A6"/>
              <w:right w:val="single" w:sz="4" w:space="0" w:color="A6A6A6" w:themeColor="background1" w:themeShade="A6"/>
            </w:tcBorders>
            <w:noWrap/>
            <w:vAlign w:val="center"/>
            <w:hideMark/>
          </w:tcPr>
          <w:p w14:paraId="319BFF78"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Pr>
                <w:rFonts w:eastAsia="Times New Roman" w:cs="Times New Roman"/>
                <w:color w:val="000000"/>
                <w:kern w:val="0"/>
                <w:sz w:val="19"/>
                <w:szCs w:val="19"/>
                <w:lang w:eastAsia="pl-PL"/>
                <w14:ligatures w14:val="none"/>
              </w:rPr>
              <w:t>Według</w:t>
            </w:r>
            <w:r w:rsidRPr="00067A39">
              <w:rPr>
                <w:rFonts w:eastAsia="Times New Roman" w:cs="Times New Roman"/>
                <w:color w:val="000000"/>
                <w:kern w:val="0"/>
                <w:sz w:val="19"/>
                <w:szCs w:val="19"/>
                <w:lang w:eastAsia="pl-PL"/>
                <w14:ligatures w14:val="none"/>
              </w:rPr>
              <w:t xml:space="preserve"> formuły EED</w:t>
            </w:r>
          </w:p>
        </w:tc>
        <w:tc>
          <w:tcPr>
            <w:tcW w:w="706" w:type="dxa"/>
            <w:tcBorders>
              <w:left w:val="single" w:sz="4" w:space="0" w:color="A6A6A6" w:themeColor="background1" w:themeShade="A6"/>
              <w:right w:val="single" w:sz="4" w:space="0" w:color="A6A6A6" w:themeColor="background1" w:themeShade="A6"/>
            </w:tcBorders>
            <w:noWrap/>
            <w:vAlign w:val="center"/>
          </w:tcPr>
          <w:p w14:paraId="48A45B83" w14:textId="4D8D9DA4"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71,1**</w:t>
            </w:r>
          </w:p>
        </w:tc>
        <w:tc>
          <w:tcPr>
            <w:tcW w:w="707" w:type="dxa"/>
            <w:tcBorders>
              <w:left w:val="single" w:sz="4" w:space="0" w:color="A6A6A6" w:themeColor="background1" w:themeShade="A6"/>
              <w:right w:val="single" w:sz="4" w:space="0" w:color="A6A6A6" w:themeColor="background1" w:themeShade="A6"/>
            </w:tcBorders>
            <w:noWrap/>
            <w:vAlign w:val="center"/>
          </w:tcPr>
          <w:p w14:paraId="64577DEA" w14:textId="4CE58E52"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58,5</w:t>
            </w:r>
          </w:p>
        </w:tc>
        <w:tc>
          <w:tcPr>
            <w:tcW w:w="707" w:type="dxa"/>
            <w:tcBorders>
              <w:left w:val="single" w:sz="4" w:space="0" w:color="A6A6A6" w:themeColor="background1" w:themeShade="A6"/>
              <w:right w:val="single" w:sz="4" w:space="0" w:color="A6A6A6" w:themeColor="background1" w:themeShade="A6"/>
            </w:tcBorders>
            <w:noWrap/>
            <w:vAlign w:val="center"/>
          </w:tcPr>
          <w:p w14:paraId="0B86653C" w14:textId="4E95F5DB" w:rsidR="00C35CE2" w:rsidRPr="00067A39" w:rsidRDefault="00B739CC" w:rsidP="00C35CE2">
            <w:pPr>
              <w:spacing w:after="0" w:line="240" w:lineRule="auto"/>
              <w:jc w:val="right"/>
              <w:rPr>
                <w:rFonts w:eastAsia="Times New Roman" w:cs="Times New Roman"/>
                <w:color w:val="000000"/>
                <w:kern w:val="0"/>
                <w:sz w:val="19"/>
                <w:szCs w:val="19"/>
                <w:lang w:eastAsia="pl-PL"/>
                <w14:ligatures w14:val="none"/>
              </w:rPr>
            </w:pPr>
            <w:r>
              <w:rPr>
                <w:sz w:val="19"/>
                <w:szCs w:val="19"/>
              </w:rPr>
              <w:t>–</w:t>
            </w:r>
          </w:p>
        </w:tc>
      </w:tr>
      <w:tr w:rsidR="00C35CE2" w:rsidRPr="00067A39" w14:paraId="769CAC45" w14:textId="77777777" w:rsidTr="00BB74D4">
        <w:trPr>
          <w:trHeight w:val="352"/>
        </w:trPr>
        <w:tc>
          <w:tcPr>
            <w:tcW w:w="1985"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9EA8DE3" w14:textId="77777777"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067A39">
              <w:rPr>
                <w:rFonts w:eastAsia="Times New Roman" w:cs="Times New Roman"/>
                <w:color w:val="000000"/>
                <w:kern w:val="0"/>
                <w:sz w:val="19"/>
                <w:szCs w:val="19"/>
                <w:lang w:eastAsia="pl-PL"/>
                <w14:ligatures w14:val="none"/>
              </w:rPr>
              <w:t>Prognoza KPEiK</w:t>
            </w:r>
          </w:p>
        </w:tc>
        <w:tc>
          <w:tcPr>
            <w:tcW w:w="706"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65215E1" w14:textId="78FE7901"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71,1**</w:t>
            </w:r>
          </w:p>
        </w:tc>
        <w:tc>
          <w:tcPr>
            <w:tcW w:w="707"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61E3F77" w14:textId="5575145F" w:rsidR="00C35CE2" w:rsidRPr="00067A39" w:rsidRDefault="00C35CE2" w:rsidP="00C35CE2">
            <w:pPr>
              <w:spacing w:after="0" w:line="240" w:lineRule="auto"/>
              <w:jc w:val="right"/>
              <w:rPr>
                <w:rFonts w:eastAsia="Times New Roman" w:cs="Times New Roman"/>
                <w:color w:val="000000"/>
                <w:kern w:val="0"/>
                <w:sz w:val="19"/>
                <w:szCs w:val="19"/>
                <w:lang w:eastAsia="pl-PL"/>
                <w14:ligatures w14:val="none"/>
              </w:rPr>
            </w:pPr>
            <w:r w:rsidRPr="004818E0">
              <w:rPr>
                <w:sz w:val="19"/>
                <w:szCs w:val="19"/>
              </w:rPr>
              <w:t>64,1</w:t>
            </w:r>
          </w:p>
        </w:tc>
        <w:tc>
          <w:tcPr>
            <w:tcW w:w="707" w:type="dxa"/>
            <w:tcBorders>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1759331" w14:textId="2DFFBB7A" w:rsidR="00C35CE2" w:rsidRPr="00067A39" w:rsidRDefault="00AF6139" w:rsidP="00C35CE2">
            <w:pPr>
              <w:spacing w:after="0" w:line="240" w:lineRule="auto"/>
              <w:jc w:val="right"/>
              <w:rPr>
                <w:rFonts w:eastAsia="Times New Roman" w:cs="Times New Roman"/>
                <w:color w:val="000000"/>
                <w:kern w:val="0"/>
                <w:sz w:val="19"/>
                <w:szCs w:val="19"/>
                <w:lang w:eastAsia="pl-PL"/>
                <w14:ligatures w14:val="none"/>
              </w:rPr>
            </w:pPr>
            <w:r>
              <w:rPr>
                <w:sz w:val="19"/>
                <w:szCs w:val="19"/>
              </w:rPr>
              <w:t>50,0</w:t>
            </w:r>
          </w:p>
        </w:tc>
      </w:tr>
      <w:tr w:rsidR="00C35CE2" w:rsidRPr="00067A39" w14:paraId="5DC26C00" w14:textId="77777777" w:rsidTr="00BB74D4">
        <w:trPr>
          <w:trHeight w:val="352"/>
        </w:trPr>
        <w:tc>
          <w:tcPr>
            <w:tcW w:w="4105" w:type="dxa"/>
            <w:gridSpan w:val="4"/>
            <w:tcBorders>
              <w:top w:val="single" w:sz="4" w:space="0" w:color="A6A6A6" w:themeColor="background1" w:themeShade="A6"/>
            </w:tcBorders>
            <w:noWrap/>
            <w:vAlign w:val="center"/>
          </w:tcPr>
          <w:p w14:paraId="05E5D8FF" w14:textId="1B098741" w:rsidR="00C35CE2" w:rsidRPr="0062270D" w:rsidRDefault="00C35CE2" w:rsidP="00C35CE2">
            <w:pPr>
              <w:spacing w:after="0" w:line="240" w:lineRule="auto"/>
              <w:jc w:val="center"/>
              <w:rPr>
                <w:i/>
                <w:iCs/>
                <w:sz w:val="18"/>
                <w:szCs w:val="18"/>
              </w:rPr>
            </w:pPr>
            <w:r w:rsidRPr="00FF57E5">
              <w:rPr>
                <w:i/>
                <w:iCs/>
                <w:sz w:val="18"/>
                <w:szCs w:val="18"/>
              </w:rPr>
              <w:t>*</w:t>
            </w:r>
            <w:r>
              <w:rPr>
                <w:i/>
                <w:iCs/>
                <w:sz w:val="18"/>
                <w:szCs w:val="18"/>
              </w:rPr>
              <w:t xml:space="preserve"> w</w:t>
            </w:r>
            <w:r w:rsidRPr="00FF57E5">
              <w:rPr>
                <w:i/>
                <w:iCs/>
                <w:sz w:val="18"/>
                <w:szCs w:val="18"/>
              </w:rPr>
              <w:t xml:space="preserve">artość </w:t>
            </w:r>
            <w:r>
              <w:rPr>
                <w:i/>
                <w:iCs/>
                <w:sz w:val="18"/>
                <w:szCs w:val="18"/>
              </w:rPr>
              <w:t>ekstrapolowana **</w:t>
            </w:r>
            <w:r w:rsidRPr="0062270D">
              <w:rPr>
                <w:i/>
                <w:iCs/>
                <w:sz w:val="18"/>
                <w:szCs w:val="18"/>
              </w:rPr>
              <w:t>dane historyczne</w:t>
            </w:r>
          </w:p>
        </w:tc>
      </w:tr>
    </w:tbl>
    <w:p w14:paraId="6BFF7D41" w14:textId="77777777" w:rsidR="00A06854" w:rsidRDefault="00A06854" w:rsidP="00A06854"/>
    <w:p w14:paraId="4472F9ED" w14:textId="77777777" w:rsidR="00A06854" w:rsidRDefault="00A06854" w:rsidP="00A06854"/>
    <w:p w14:paraId="11322CC9" w14:textId="77777777" w:rsidR="00A06854" w:rsidRDefault="00A06854" w:rsidP="00A06854"/>
    <w:p w14:paraId="188FC5CC" w14:textId="77777777" w:rsidR="00A06854" w:rsidRDefault="00A06854" w:rsidP="00A06854"/>
    <w:p w14:paraId="7075BDE2" w14:textId="4A078C25" w:rsidR="00A06854" w:rsidRDefault="00A06854" w:rsidP="00A06854"/>
    <w:p w14:paraId="1EB77B37" w14:textId="77777777" w:rsidR="00C35CE2" w:rsidRDefault="00C35CE2" w:rsidP="00C35CE2"/>
    <w:p w14:paraId="2646AADF" w14:textId="77777777" w:rsidR="00C35CE2" w:rsidRDefault="00C35CE2" w:rsidP="00C35CE2"/>
    <w:p w14:paraId="10384144" w14:textId="03FC5D8C" w:rsidR="00C35CE2" w:rsidRDefault="00C35CE2" w:rsidP="00C35CE2">
      <w:r>
        <w:br w:type="page"/>
      </w:r>
    </w:p>
    <w:p w14:paraId="533BB46A" w14:textId="07107DD1" w:rsidR="00A160DC" w:rsidRPr="00043521" w:rsidRDefault="00A160DC" w:rsidP="00A160DC">
      <w:pPr>
        <w:pStyle w:val="Nagwek4"/>
        <w:rPr>
          <w:color w:val="4472C4" w:themeColor="accent1"/>
        </w:rPr>
      </w:pPr>
      <w:bookmarkStart w:id="360" w:name="_Toc195897290"/>
      <w:bookmarkStart w:id="361" w:name="_Toc205203179"/>
      <w:r>
        <w:rPr>
          <w:color w:val="4472C4" w:themeColor="accent1"/>
        </w:rPr>
        <w:lastRenderedPageBreak/>
        <w:t xml:space="preserve">Wkład Polski </w:t>
      </w:r>
      <w:r w:rsidRPr="00043521">
        <w:rPr>
          <w:color w:val="4472C4" w:themeColor="accent1"/>
        </w:rPr>
        <w:t>w zakresie zużycia energii pierwotnej</w:t>
      </w:r>
      <w:bookmarkEnd w:id="360"/>
      <w:bookmarkEnd w:id="361"/>
    </w:p>
    <w:p w14:paraId="34851FD3" w14:textId="4E833AAA" w:rsidR="00A160DC" w:rsidRDefault="00A160DC" w:rsidP="00A160DC">
      <w:r>
        <w:rPr>
          <w:noProof/>
          <w:lang w:eastAsia="pl-PL"/>
        </w:rPr>
        <mc:AlternateContent>
          <mc:Choice Requires="wps">
            <w:drawing>
              <wp:anchor distT="0" distB="0" distL="114300" distR="114300" simplePos="0" relativeHeight="251553280" behindDoc="1" locked="0" layoutInCell="1" allowOverlap="1" wp14:anchorId="701A28F9" wp14:editId="5B953158">
                <wp:simplePos x="0" y="0"/>
                <wp:positionH relativeFrom="margin">
                  <wp:align>right</wp:align>
                </wp:positionH>
                <wp:positionV relativeFrom="paragraph">
                  <wp:posOffset>64770</wp:posOffset>
                </wp:positionV>
                <wp:extent cx="2842260" cy="1341755"/>
                <wp:effectExtent l="19050" t="57150" r="91440" b="66040"/>
                <wp:wrapSquare wrapText="bothSides"/>
                <wp:docPr id="1513567069" name="Prostokąt: zaokrąglone rogi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1341755"/>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640BCB" w14:textId="2B46FDAE" w:rsidR="00C36C5C" w:rsidRPr="004E21CF" w:rsidRDefault="00C36C5C" w:rsidP="00A160DC">
                            <w:pPr>
                              <w:pStyle w:val="Ramka"/>
                            </w:pPr>
                            <w:r w:rsidRPr="00ED5C0A">
                              <w:t>Energia pierwotna</w:t>
                            </w:r>
                            <w:r>
                              <w:t xml:space="preserve"> to energia z</w:t>
                            </w:r>
                            <w:r w:rsidRPr="00D24C7B">
                              <w:t>awart</w:t>
                            </w:r>
                            <w:r>
                              <w:t>a</w:t>
                            </w:r>
                            <w:r w:rsidRPr="00D24C7B">
                              <w:t xml:space="preserve"> w</w:t>
                            </w:r>
                            <w:r>
                              <w:t> </w:t>
                            </w:r>
                            <w:r w:rsidRPr="00D24C7B">
                              <w:t>pierwotnych nośnikach energii</w:t>
                            </w:r>
                            <w:r>
                              <w:t xml:space="preserve"> – w</w:t>
                            </w:r>
                            <w:r w:rsidRPr="00D24C7B">
                              <w:t xml:space="preserve"> węglu, ropie naftowej, gazie ziemnym oraz</w:t>
                            </w:r>
                            <w:r>
                              <w:t xml:space="preserve"> energia</w:t>
                            </w:r>
                            <w:r w:rsidRPr="00D24C7B">
                              <w:t xml:space="preserve"> pozyskiwan</w:t>
                            </w:r>
                            <w:r>
                              <w:t>a</w:t>
                            </w:r>
                            <w:r w:rsidRPr="00D24C7B">
                              <w:t xml:space="preserve"> bezpośrednio ze środowiska</w:t>
                            </w:r>
                            <w:r>
                              <w:t xml:space="preserve"> – </w:t>
                            </w:r>
                            <w:r w:rsidRPr="00D24C7B">
                              <w:t>energ</w:t>
                            </w:r>
                            <w:r>
                              <w:t>ia</w:t>
                            </w:r>
                            <w:r w:rsidRPr="00D24C7B">
                              <w:t xml:space="preserve"> wody, wiatru, słonecz</w:t>
                            </w:r>
                            <w:r>
                              <w:t>na</w:t>
                            </w:r>
                            <w:r w:rsidRPr="00D24C7B">
                              <w:t>, geotermaln</w:t>
                            </w:r>
                            <w:r>
                              <w:t>a</w:t>
                            </w:r>
                            <w:r w:rsidRPr="00D24C7B">
                              <w:t xml:space="preserve"> wykorzystywan</w:t>
                            </w:r>
                            <w:r>
                              <w:t>a</w:t>
                            </w:r>
                            <w:r w:rsidRPr="00D24C7B">
                              <w:t xml:space="preserve"> do wytwarzania energii elektrycznej, ciepła lub chłodu</w:t>
                            </w:r>
                            <w:r>
                              <w:t xml:space="preserve"> oraz</w:t>
                            </w:r>
                            <w:r w:rsidRPr="00D24C7B">
                              <w:t xml:space="preserve"> biomas</w:t>
                            </w:r>
                            <w:r>
                              <w:t>a</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701A28F9" id="Prostokąt: zaokrąglone rogi 53" o:spid="_x0000_s1106" style="position:absolute;left:0;text-align:left;margin-left:172.6pt;margin-top:5.1pt;width:223.8pt;height:105.65pt;z-index:-251763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" fillcolor="white [3212]" strokecolor="#5b9bd5 [3208]">
                <v:stroke joinstyle="miter"/>
                <v:shadow on="t" color="black" opacity="26214f" origin="-.5" offset="3pt,0"/>
                <v:path arrowok="t"/>
                <v:textbox style="mso-fit-shape-to-text:t" inset="2mm,2.5mm,2mm,0">
                  <w:txbxContent>
                    <w:p w14:paraId="02640BCB" w14:textId="2B46FDAE" w:rsidR="00C36C5C" w:rsidRPr="004E21CF" w:rsidRDefault="00C36C5C" w:rsidP="00A160DC">
                      <w:pPr>
                        <w:pStyle w:val="Ramka"/>
                      </w:pPr>
                      <w:r w:rsidRPr="00ED5C0A">
                        <w:t>Energia pierwotna</w:t>
                      </w:r>
                      <w:r>
                        <w:t xml:space="preserve"> to energia z</w:t>
                      </w:r>
                      <w:r w:rsidRPr="00D24C7B">
                        <w:t>awart</w:t>
                      </w:r>
                      <w:r>
                        <w:t>a</w:t>
                      </w:r>
                      <w:r w:rsidRPr="00D24C7B">
                        <w:t xml:space="preserve"> w</w:t>
                      </w:r>
                      <w:r>
                        <w:t> </w:t>
                      </w:r>
                      <w:r w:rsidRPr="00D24C7B">
                        <w:t>pierwotnych nośnikach energii</w:t>
                      </w:r>
                      <w:r>
                        <w:t xml:space="preserve"> – w</w:t>
                      </w:r>
                      <w:r w:rsidRPr="00D24C7B">
                        <w:t xml:space="preserve"> węglu, ropie naftowej, gazie ziemnym oraz</w:t>
                      </w:r>
                      <w:r>
                        <w:t xml:space="preserve"> energia</w:t>
                      </w:r>
                      <w:r w:rsidRPr="00D24C7B">
                        <w:t xml:space="preserve"> pozyskiwan</w:t>
                      </w:r>
                      <w:r>
                        <w:t>a</w:t>
                      </w:r>
                      <w:r w:rsidRPr="00D24C7B">
                        <w:t xml:space="preserve"> bezpośrednio ze środowiska</w:t>
                      </w:r>
                      <w:r>
                        <w:t xml:space="preserve"> – </w:t>
                      </w:r>
                      <w:r w:rsidRPr="00D24C7B">
                        <w:t>energ</w:t>
                      </w:r>
                      <w:r>
                        <w:t>ia</w:t>
                      </w:r>
                      <w:r w:rsidRPr="00D24C7B">
                        <w:t xml:space="preserve"> wody, wiatru, słonecz</w:t>
                      </w:r>
                      <w:r>
                        <w:t>na</w:t>
                      </w:r>
                      <w:r w:rsidRPr="00D24C7B">
                        <w:t>, geotermaln</w:t>
                      </w:r>
                      <w:r>
                        <w:t>a</w:t>
                      </w:r>
                      <w:r w:rsidRPr="00D24C7B">
                        <w:t xml:space="preserve"> wykorzystywan</w:t>
                      </w:r>
                      <w:r>
                        <w:t>a</w:t>
                      </w:r>
                      <w:r w:rsidRPr="00D24C7B">
                        <w:t xml:space="preserve"> do wytwarzania energii elektrycznej, ciepła lub chłodu</w:t>
                      </w:r>
                      <w:r>
                        <w:t xml:space="preserve"> oraz</w:t>
                      </w:r>
                      <w:r w:rsidRPr="00D24C7B">
                        <w:t xml:space="preserve"> biomas</w:t>
                      </w:r>
                      <w:r>
                        <w:t>a</w:t>
                      </w:r>
                    </w:p>
                  </w:txbxContent>
                </v:textbox>
                <w10:wrap type="square" anchorx="margin"/>
              </v:roundrect>
            </w:pict>
          </mc:Fallback>
        </mc:AlternateContent>
      </w:r>
      <w:r>
        <w:t>Dyrektywa EED wskazuje, że p</w:t>
      </w:r>
      <w:r w:rsidRPr="00817D26">
        <w:t xml:space="preserve">aństwa członkowskie </w:t>
      </w:r>
      <w:r>
        <w:t xml:space="preserve">UE </w:t>
      </w:r>
      <w:r w:rsidRPr="00817D26">
        <w:t xml:space="preserve">wspólnie </w:t>
      </w:r>
      <w:r>
        <w:t>mają przyczynić się do osiągnięcia orientacyjnego celu, by zużycie energii pierwotnej w Unii nie przekraczało 992,5 Mtoe w 2030 r.</w:t>
      </w:r>
      <w:r w:rsidRPr="003E6B85">
        <w:rPr>
          <w:rStyle w:val="Odwoanieprzypisudolnego"/>
        </w:rPr>
        <w:t xml:space="preserve"> </w:t>
      </w:r>
      <w:r>
        <w:rPr>
          <w:rStyle w:val="Odwoanieprzypisudolnego"/>
        </w:rPr>
        <w:footnoteReference w:id="72"/>
      </w:r>
    </w:p>
    <w:p w14:paraId="7222A8E8" w14:textId="02FB0DCC" w:rsidR="00A160DC" w:rsidRDefault="00A160DC" w:rsidP="00A160DC">
      <w:r>
        <w:t>Krajowe wkłady do realizacji celu UE powinny być określone na podstawie jednej z metodyk określonych w dyrektywie EED, w tym na podstawie formuły z załącznika I do EED, która uwzględnia dotychczasowe działania w zakresie poprawy efektywności energetycznej, PKB na</w:t>
      </w:r>
      <w:r w:rsidR="001D5078">
        <w:t> </w:t>
      </w:r>
      <w:r>
        <w:t xml:space="preserve">mieszkańca, energochłonność i potencjał opłacalnej oszczędności energii. </w:t>
      </w:r>
      <w:r w:rsidRPr="00C728BB">
        <w:rPr>
          <w:b/>
          <w:bCs/>
        </w:rPr>
        <w:t xml:space="preserve">Dla Polski </w:t>
      </w:r>
      <w:r w:rsidRPr="00FE4AD2">
        <w:rPr>
          <w:b/>
          <w:bCs/>
        </w:rPr>
        <w:t xml:space="preserve">orientacyjny </w:t>
      </w:r>
      <w:r>
        <w:rPr>
          <w:b/>
          <w:bCs/>
        </w:rPr>
        <w:t>wkład krajowy</w:t>
      </w:r>
      <w:r w:rsidRPr="00FE4AD2">
        <w:rPr>
          <w:b/>
          <w:bCs/>
        </w:rPr>
        <w:t xml:space="preserve"> </w:t>
      </w:r>
      <w:r>
        <w:rPr>
          <w:b/>
          <w:bCs/>
        </w:rPr>
        <w:t xml:space="preserve">powinien </w:t>
      </w:r>
      <w:r w:rsidR="00827731">
        <w:rPr>
          <w:b/>
          <w:bCs/>
        </w:rPr>
        <w:t xml:space="preserve">prowadzić do </w:t>
      </w:r>
      <w:r w:rsidRPr="00FE4AD2">
        <w:rPr>
          <w:b/>
          <w:bCs/>
        </w:rPr>
        <w:t>ograniczeni</w:t>
      </w:r>
      <w:r w:rsidR="00743F81">
        <w:rPr>
          <w:b/>
          <w:bCs/>
        </w:rPr>
        <w:t>a</w:t>
      </w:r>
      <w:r w:rsidRPr="00FE4AD2">
        <w:rPr>
          <w:b/>
          <w:bCs/>
        </w:rPr>
        <w:t xml:space="preserve"> zużycia energii pierwotnej o </w:t>
      </w:r>
      <w:r>
        <w:rPr>
          <w:b/>
          <w:bCs/>
        </w:rPr>
        <w:t>14,4</w:t>
      </w:r>
      <w:r w:rsidRPr="00FE4AD2">
        <w:rPr>
          <w:b/>
          <w:bCs/>
        </w:rPr>
        <w:t>% w porównaniu do prognozy w scenariuszu PRIMES 2020</w:t>
      </w:r>
      <w:r>
        <w:rPr>
          <w:b/>
          <w:bCs/>
        </w:rPr>
        <w:t>.</w:t>
      </w:r>
      <w:r>
        <w:t xml:space="preserve"> </w:t>
      </w:r>
    </w:p>
    <w:p w14:paraId="36B6C285" w14:textId="039711D6" w:rsidR="00A160DC" w:rsidRDefault="00A160DC" w:rsidP="00A160DC">
      <w:r>
        <w:t xml:space="preserve">W KPEiK z 2019 r. cel Polski w tym zakresie wynosił </w:t>
      </w:r>
      <w:r w:rsidR="006B1B29">
        <w:t>-</w:t>
      </w:r>
      <w:r>
        <w:t xml:space="preserve">23% w stosunku do PRIMES 2007 (-27,3 Mtoe). Aktualny poziom oczekiwany dla Polski na podstawie formuły z EED wynosi w odniesieniu do PRIMES 2007 aż </w:t>
      </w:r>
      <w:r w:rsidR="006B1B29">
        <w:t>-</w:t>
      </w:r>
      <w:r>
        <w:t>32%. W wartościach bezwzględnych oznacza to, że zużycie energii pierwotnej powinno być w 2030 r. niższe niż w 2020 r., w którym nastąpiło spowolnienie gospodarcze wywołane pandemią COVID–19.</w:t>
      </w:r>
    </w:p>
    <w:p w14:paraId="77C4DA1F" w14:textId="43C51057" w:rsidR="00A160DC" w:rsidRDefault="00A160DC" w:rsidP="00C35CE2">
      <w:pPr>
        <w:pStyle w:val="Cele"/>
        <w:pBdr>
          <w:left w:val="single" w:sz="24" w:space="0" w:color="F2F2F2" w:themeColor="background1" w:themeShade="F2"/>
        </w:pBdr>
      </w:pPr>
      <w:r>
        <w:rPr>
          <w:rStyle w:val="CeleZnak"/>
          <w:b/>
        </w:rPr>
        <w:t xml:space="preserve">Polska będzie dążyć do osiągnięcia w 2030 r. redukcji zużycia </w:t>
      </w:r>
      <w:r w:rsidRPr="00CE432B">
        <w:rPr>
          <w:rStyle w:val="CeleZnak"/>
          <w:b/>
          <w:u w:val="single"/>
        </w:rPr>
        <w:t>energii pierwotnej</w:t>
      </w:r>
      <w:r>
        <w:rPr>
          <w:rStyle w:val="CeleZnak"/>
          <w:b/>
        </w:rPr>
        <w:t xml:space="preserve"> na</w:t>
      </w:r>
      <w:r w:rsidR="00EF18C3">
        <w:rPr>
          <w:rStyle w:val="CeleZnak"/>
          <w:b/>
        </w:rPr>
        <w:t> </w:t>
      </w:r>
      <w:r>
        <w:rPr>
          <w:rStyle w:val="CeleZnak"/>
          <w:b/>
        </w:rPr>
        <w:t>poziomie 14,</w:t>
      </w:r>
      <w:r w:rsidR="000C477A">
        <w:rPr>
          <w:rStyle w:val="CeleZnak"/>
          <w:b/>
        </w:rPr>
        <w:t>7</w:t>
      </w:r>
      <w:r>
        <w:rPr>
          <w:rStyle w:val="CeleZnak"/>
          <w:b/>
        </w:rPr>
        <w:t>% (</w:t>
      </w:r>
      <w:r>
        <w:rPr>
          <w:rStyle w:val="CeleZnak"/>
          <w:b/>
        </w:rPr>
        <w:noBreakHyphen/>
        <w:t>13,</w:t>
      </w:r>
      <w:r w:rsidR="000C477A">
        <w:rPr>
          <w:rStyle w:val="CeleZnak"/>
          <w:b/>
        </w:rPr>
        <w:t>7</w:t>
      </w:r>
      <w:r>
        <w:rPr>
          <w:rStyle w:val="CeleZnak"/>
          <w:b/>
        </w:rPr>
        <w:t xml:space="preserve"> Mtoe) w </w:t>
      </w:r>
      <w:r w:rsidRPr="00AE2526">
        <w:rPr>
          <w:rStyle w:val="CeleZnak"/>
          <w:b/>
        </w:rPr>
        <w:t xml:space="preserve">porównaniu </w:t>
      </w:r>
      <w:r>
        <w:rPr>
          <w:rStyle w:val="CeleZnak"/>
          <w:b/>
        </w:rPr>
        <w:t xml:space="preserve">do prognoz </w:t>
      </w:r>
      <w:r w:rsidRPr="00AE2526">
        <w:rPr>
          <w:rStyle w:val="CeleZnak"/>
          <w:b/>
        </w:rPr>
        <w:t>PRIMES2020</w:t>
      </w:r>
      <w:r>
        <w:rPr>
          <w:rStyle w:val="CeleZnak"/>
          <w:b/>
        </w:rPr>
        <w:t>, tj.</w:t>
      </w:r>
      <w:r w:rsidR="000D39F6">
        <w:rPr>
          <w:rStyle w:val="CeleZnak"/>
          <w:b/>
        </w:rPr>
        <w:t> </w:t>
      </w:r>
      <w:r>
        <w:rPr>
          <w:rStyle w:val="CeleZnak"/>
          <w:b/>
        </w:rPr>
        <w:t>zredukowanie zużycia do poziomu 79,</w:t>
      </w:r>
      <w:r w:rsidR="004E1E9C">
        <w:rPr>
          <w:rStyle w:val="CeleZnak"/>
          <w:b/>
        </w:rPr>
        <w:t>6</w:t>
      </w:r>
      <w:r w:rsidR="008F4DD0">
        <w:rPr>
          <w:rStyle w:val="CeleZnak"/>
          <w:b/>
        </w:rPr>
        <w:t> </w:t>
      </w:r>
      <w:r>
        <w:rPr>
          <w:rStyle w:val="CeleZnak"/>
          <w:b/>
        </w:rPr>
        <w:t>Mtoe – jako wkład orientacyjny do celu UE</w:t>
      </w:r>
      <w:r w:rsidR="00B739CC">
        <w:rPr>
          <w:rStyle w:val="Odwoanieprzypisudolnego"/>
          <w:bCs/>
          <w:shd w:val="clear" w:color="auto" w:fill="D9D9D9" w:themeFill="background1" w:themeFillShade="D9"/>
        </w:rPr>
        <w:footnoteReference w:id="73"/>
      </w:r>
      <w:r w:rsidRPr="009D513F">
        <w:rPr>
          <w:rStyle w:val="CeleZnak"/>
          <w:bCs/>
        </w:rPr>
        <w:t>.</w:t>
      </w:r>
      <w:r>
        <w:rPr>
          <w:rStyle w:val="CeleZnak"/>
          <w:b/>
        </w:rPr>
        <w:t xml:space="preserve"> </w:t>
      </w:r>
    </w:p>
    <w:p w14:paraId="6CEEA38A" w14:textId="6D034A84" w:rsidR="00A160DC" w:rsidRDefault="00885E7D" w:rsidP="00A160DC">
      <w:pPr>
        <w:spacing w:after="240"/>
      </w:pPr>
      <w:r>
        <w:t>Poniżej przedstawiono dane historyczna oraz orientacyjną trajektorię według formuły EED, a na rysunku zestawiono prognozę KPEiK z orientacyjną trajektorię według formuły EED</w:t>
      </w:r>
      <w:r w:rsidR="00A160DC">
        <w:t>.</w:t>
      </w:r>
    </w:p>
    <w:p w14:paraId="7A690FA2" w14:textId="2480752A" w:rsidR="008B3F1F" w:rsidRPr="008B3F1F" w:rsidRDefault="008B3F1F" w:rsidP="008B3F1F">
      <w:pPr>
        <w:pStyle w:val="Legenda"/>
        <w:keepNext/>
        <w:jc w:val="left"/>
        <w:rPr>
          <w:szCs w:val="20"/>
        </w:rPr>
      </w:pPr>
      <w:bookmarkStart w:id="362" w:name="_Toc205204370"/>
      <w:r w:rsidRPr="008B3F1F">
        <w:t xml:space="preserve">Tabela </w:t>
      </w:r>
      <w:fldSimple w:instr=" SEQ Tabela \* ARABIC ">
        <w:r w:rsidR="00871DD5">
          <w:rPr>
            <w:noProof/>
          </w:rPr>
          <w:t>4</w:t>
        </w:r>
      </w:fldSimple>
      <w:r w:rsidRPr="008B3F1F">
        <w:t xml:space="preserve">. </w:t>
      </w:r>
      <w:r w:rsidRPr="008B3F1F">
        <w:rPr>
          <w:szCs w:val="20"/>
        </w:rPr>
        <w:t>Historyczne zużycie energii pierwotnej w latach 2012-2021 [ktoe], uwzględnione przy wyznaczaniu orientacyjnej trajektorii wkładu krajowego</w:t>
      </w:r>
      <w:bookmarkEnd w:id="362"/>
    </w:p>
    <w:tbl>
      <w:tblPr>
        <w:tblStyle w:val="Tabela-Siatka"/>
        <w:tblW w:w="9209" w:type="dxa"/>
        <w:tblLook w:val="04A0" w:firstRow="1" w:lastRow="0" w:firstColumn="1" w:lastColumn="0" w:noHBand="0" w:noVBand="1"/>
      </w:tblPr>
      <w:tblGrid>
        <w:gridCol w:w="906"/>
        <w:gridCol w:w="906"/>
        <w:gridCol w:w="906"/>
        <w:gridCol w:w="906"/>
        <w:gridCol w:w="906"/>
        <w:gridCol w:w="906"/>
        <w:gridCol w:w="906"/>
        <w:gridCol w:w="906"/>
        <w:gridCol w:w="907"/>
        <w:gridCol w:w="1054"/>
      </w:tblGrid>
      <w:tr w:rsidR="00A160DC" w:rsidRPr="009307B2" w14:paraId="10556D65" w14:textId="77777777">
        <w:trPr>
          <w:trHeight w:val="244"/>
        </w:trPr>
        <w:tc>
          <w:tcPr>
            <w:tcW w:w="906" w:type="dxa"/>
            <w:shd w:val="clear" w:color="auto" w:fill="BDD6EE" w:themeFill="accent5" w:themeFillTint="66"/>
            <w:vAlign w:val="center"/>
          </w:tcPr>
          <w:p w14:paraId="5A5FE056" w14:textId="77777777" w:rsidR="00A160DC" w:rsidRPr="00292793" w:rsidRDefault="00A160DC">
            <w:pPr>
              <w:jc w:val="center"/>
              <w:rPr>
                <w:b/>
                <w:bCs/>
                <w:sz w:val="18"/>
                <w:szCs w:val="20"/>
              </w:rPr>
            </w:pPr>
            <w:r w:rsidRPr="00292793">
              <w:rPr>
                <w:b/>
                <w:bCs/>
                <w:sz w:val="18"/>
                <w:szCs w:val="20"/>
              </w:rPr>
              <w:t>2012</w:t>
            </w:r>
          </w:p>
        </w:tc>
        <w:tc>
          <w:tcPr>
            <w:tcW w:w="906" w:type="dxa"/>
            <w:shd w:val="clear" w:color="auto" w:fill="BDD6EE" w:themeFill="accent5" w:themeFillTint="66"/>
            <w:vAlign w:val="center"/>
          </w:tcPr>
          <w:p w14:paraId="2B2E1FDB" w14:textId="77777777" w:rsidR="00A160DC" w:rsidRPr="00292793" w:rsidRDefault="00A160DC">
            <w:pPr>
              <w:jc w:val="center"/>
              <w:rPr>
                <w:b/>
                <w:bCs/>
                <w:sz w:val="18"/>
                <w:szCs w:val="20"/>
              </w:rPr>
            </w:pPr>
            <w:r w:rsidRPr="00292793">
              <w:rPr>
                <w:b/>
                <w:bCs/>
                <w:sz w:val="18"/>
                <w:szCs w:val="20"/>
              </w:rPr>
              <w:t>2013</w:t>
            </w:r>
          </w:p>
        </w:tc>
        <w:tc>
          <w:tcPr>
            <w:tcW w:w="906" w:type="dxa"/>
            <w:shd w:val="clear" w:color="auto" w:fill="BDD6EE" w:themeFill="accent5" w:themeFillTint="66"/>
            <w:vAlign w:val="center"/>
          </w:tcPr>
          <w:p w14:paraId="2388DB85" w14:textId="77777777" w:rsidR="00A160DC" w:rsidRPr="00292793" w:rsidRDefault="00A160DC">
            <w:pPr>
              <w:jc w:val="center"/>
              <w:rPr>
                <w:b/>
                <w:bCs/>
                <w:sz w:val="18"/>
                <w:szCs w:val="20"/>
              </w:rPr>
            </w:pPr>
            <w:r w:rsidRPr="00292793">
              <w:rPr>
                <w:b/>
                <w:bCs/>
                <w:sz w:val="18"/>
                <w:szCs w:val="20"/>
              </w:rPr>
              <w:t>2014</w:t>
            </w:r>
          </w:p>
        </w:tc>
        <w:tc>
          <w:tcPr>
            <w:tcW w:w="906" w:type="dxa"/>
            <w:shd w:val="clear" w:color="auto" w:fill="BDD6EE" w:themeFill="accent5" w:themeFillTint="66"/>
            <w:vAlign w:val="center"/>
          </w:tcPr>
          <w:p w14:paraId="545A3151" w14:textId="77777777" w:rsidR="00A160DC" w:rsidRPr="00292793" w:rsidRDefault="00A160DC">
            <w:pPr>
              <w:jc w:val="center"/>
              <w:rPr>
                <w:b/>
                <w:bCs/>
                <w:sz w:val="18"/>
                <w:szCs w:val="20"/>
              </w:rPr>
            </w:pPr>
            <w:r w:rsidRPr="00292793">
              <w:rPr>
                <w:b/>
                <w:bCs/>
                <w:sz w:val="18"/>
                <w:szCs w:val="20"/>
              </w:rPr>
              <w:t>2015</w:t>
            </w:r>
          </w:p>
        </w:tc>
        <w:tc>
          <w:tcPr>
            <w:tcW w:w="906" w:type="dxa"/>
            <w:shd w:val="clear" w:color="auto" w:fill="BDD6EE" w:themeFill="accent5" w:themeFillTint="66"/>
            <w:vAlign w:val="center"/>
          </w:tcPr>
          <w:p w14:paraId="2322CC84" w14:textId="77777777" w:rsidR="00A160DC" w:rsidRPr="00292793" w:rsidRDefault="00A160DC">
            <w:pPr>
              <w:jc w:val="center"/>
              <w:rPr>
                <w:b/>
                <w:bCs/>
                <w:sz w:val="18"/>
                <w:szCs w:val="20"/>
              </w:rPr>
            </w:pPr>
            <w:r w:rsidRPr="00292793">
              <w:rPr>
                <w:b/>
                <w:bCs/>
                <w:sz w:val="18"/>
                <w:szCs w:val="20"/>
              </w:rPr>
              <w:t>2016</w:t>
            </w:r>
          </w:p>
        </w:tc>
        <w:tc>
          <w:tcPr>
            <w:tcW w:w="906" w:type="dxa"/>
            <w:shd w:val="clear" w:color="auto" w:fill="BDD6EE" w:themeFill="accent5" w:themeFillTint="66"/>
            <w:vAlign w:val="center"/>
          </w:tcPr>
          <w:p w14:paraId="090CA080" w14:textId="77777777" w:rsidR="00A160DC" w:rsidRPr="00292793" w:rsidRDefault="00A160DC">
            <w:pPr>
              <w:jc w:val="center"/>
              <w:rPr>
                <w:b/>
                <w:bCs/>
                <w:sz w:val="18"/>
                <w:szCs w:val="20"/>
              </w:rPr>
            </w:pPr>
            <w:r w:rsidRPr="00292793">
              <w:rPr>
                <w:b/>
                <w:bCs/>
                <w:sz w:val="18"/>
                <w:szCs w:val="20"/>
              </w:rPr>
              <w:t>2017</w:t>
            </w:r>
          </w:p>
        </w:tc>
        <w:tc>
          <w:tcPr>
            <w:tcW w:w="906" w:type="dxa"/>
            <w:shd w:val="clear" w:color="auto" w:fill="BDD6EE" w:themeFill="accent5" w:themeFillTint="66"/>
            <w:vAlign w:val="center"/>
          </w:tcPr>
          <w:p w14:paraId="4475F8FC" w14:textId="77777777" w:rsidR="00A160DC" w:rsidRPr="00292793" w:rsidRDefault="00A160DC">
            <w:pPr>
              <w:jc w:val="center"/>
              <w:rPr>
                <w:b/>
                <w:bCs/>
                <w:sz w:val="18"/>
                <w:szCs w:val="20"/>
              </w:rPr>
            </w:pPr>
            <w:r w:rsidRPr="00292793">
              <w:rPr>
                <w:b/>
                <w:bCs/>
                <w:sz w:val="18"/>
                <w:szCs w:val="20"/>
              </w:rPr>
              <w:t>2018</w:t>
            </w:r>
          </w:p>
        </w:tc>
        <w:tc>
          <w:tcPr>
            <w:tcW w:w="906" w:type="dxa"/>
            <w:shd w:val="clear" w:color="auto" w:fill="BDD6EE" w:themeFill="accent5" w:themeFillTint="66"/>
            <w:vAlign w:val="center"/>
          </w:tcPr>
          <w:p w14:paraId="7CDDB502" w14:textId="77777777" w:rsidR="00A160DC" w:rsidRPr="00292793" w:rsidRDefault="00A160DC">
            <w:pPr>
              <w:jc w:val="center"/>
              <w:rPr>
                <w:b/>
                <w:bCs/>
                <w:sz w:val="18"/>
                <w:szCs w:val="20"/>
              </w:rPr>
            </w:pPr>
            <w:r w:rsidRPr="00292793">
              <w:rPr>
                <w:b/>
                <w:bCs/>
                <w:sz w:val="18"/>
                <w:szCs w:val="20"/>
              </w:rPr>
              <w:t>2019</w:t>
            </w:r>
          </w:p>
        </w:tc>
        <w:tc>
          <w:tcPr>
            <w:tcW w:w="907" w:type="dxa"/>
            <w:shd w:val="clear" w:color="auto" w:fill="BDD6EE" w:themeFill="accent5" w:themeFillTint="66"/>
            <w:vAlign w:val="center"/>
          </w:tcPr>
          <w:p w14:paraId="60760948" w14:textId="77777777" w:rsidR="00A160DC" w:rsidRPr="00292793" w:rsidRDefault="00A160DC">
            <w:pPr>
              <w:jc w:val="center"/>
              <w:rPr>
                <w:b/>
                <w:bCs/>
                <w:sz w:val="18"/>
                <w:szCs w:val="20"/>
              </w:rPr>
            </w:pPr>
            <w:r w:rsidRPr="00292793">
              <w:rPr>
                <w:b/>
                <w:bCs/>
                <w:sz w:val="18"/>
                <w:szCs w:val="20"/>
              </w:rPr>
              <w:t>2020</w:t>
            </w:r>
          </w:p>
        </w:tc>
        <w:tc>
          <w:tcPr>
            <w:tcW w:w="1054" w:type="dxa"/>
            <w:shd w:val="clear" w:color="auto" w:fill="BDD6EE" w:themeFill="accent5" w:themeFillTint="66"/>
            <w:vAlign w:val="center"/>
          </w:tcPr>
          <w:p w14:paraId="2B4EFD3A" w14:textId="77777777" w:rsidR="00A160DC" w:rsidRPr="00292793" w:rsidRDefault="00A160DC">
            <w:pPr>
              <w:jc w:val="center"/>
              <w:rPr>
                <w:b/>
                <w:bCs/>
                <w:sz w:val="18"/>
                <w:szCs w:val="20"/>
              </w:rPr>
            </w:pPr>
            <w:r w:rsidRPr="00292793">
              <w:rPr>
                <w:b/>
                <w:bCs/>
                <w:sz w:val="18"/>
                <w:szCs w:val="20"/>
              </w:rPr>
              <w:t>2021</w:t>
            </w:r>
          </w:p>
        </w:tc>
      </w:tr>
      <w:tr w:rsidR="00A160DC" w:rsidRPr="009307B2" w14:paraId="3AE5EC93" w14:textId="77777777" w:rsidTr="004E542E">
        <w:trPr>
          <w:trHeight w:val="274"/>
        </w:trPr>
        <w:tc>
          <w:tcPr>
            <w:tcW w:w="906" w:type="dxa"/>
            <w:vAlign w:val="center"/>
          </w:tcPr>
          <w:p w14:paraId="38526E92" w14:textId="77777777" w:rsidR="00A160DC" w:rsidRPr="00BD4DED" w:rsidRDefault="00A160DC">
            <w:pPr>
              <w:jc w:val="center"/>
              <w:rPr>
                <w:sz w:val="18"/>
                <w:szCs w:val="18"/>
              </w:rPr>
            </w:pPr>
            <w:r w:rsidRPr="00BD4DED">
              <w:rPr>
                <w:sz w:val="18"/>
                <w:szCs w:val="18"/>
              </w:rPr>
              <w:t>92 797</w:t>
            </w:r>
          </w:p>
        </w:tc>
        <w:tc>
          <w:tcPr>
            <w:tcW w:w="906" w:type="dxa"/>
            <w:vAlign w:val="center"/>
          </w:tcPr>
          <w:p w14:paraId="4D689754" w14:textId="77777777" w:rsidR="00A160DC" w:rsidRPr="00BD4DED" w:rsidRDefault="00A160DC">
            <w:pPr>
              <w:jc w:val="center"/>
              <w:rPr>
                <w:sz w:val="18"/>
                <w:szCs w:val="18"/>
              </w:rPr>
            </w:pPr>
            <w:r w:rsidRPr="00BD4DED">
              <w:rPr>
                <w:sz w:val="18"/>
                <w:szCs w:val="18"/>
              </w:rPr>
              <w:t>93 402</w:t>
            </w:r>
          </w:p>
        </w:tc>
        <w:tc>
          <w:tcPr>
            <w:tcW w:w="906" w:type="dxa"/>
            <w:vAlign w:val="center"/>
          </w:tcPr>
          <w:p w14:paraId="40824583" w14:textId="77777777" w:rsidR="00A160DC" w:rsidRPr="00BD4DED" w:rsidRDefault="00A160DC">
            <w:pPr>
              <w:jc w:val="center"/>
              <w:rPr>
                <w:sz w:val="18"/>
                <w:szCs w:val="18"/>
              </w:rPr>
            </w:pPr>
            <w:r w:rsidRPr="00BD4DED">
              <w:rPr>
                <w:sz w:val="18"/>
                <w:szCs w:val="18"/>
              </w:rPr>
              <w:t>89 494</w:t>
            </w:r>
          </w:p>
        </w:tc>
        <w:tc>
          <w:tcPr>
            <w:tcW w:w="906" w:type="dxa"/>
            <w:vAlign w:val="center"/>
          </w:tcPr>
          <w:p w14:paraId="60B17DD1" w14:textId="77777777" w:rsidR="00A160DC" w:rsidRPr="00BD4DED" w:rsidRDefault="00A160DC">
            <w:pPr>
              <w:jc w:val="center"/>
              <w:rPr>
                <w:sz w:val="18"/>
                <w:szCs w:val="18"/>
              </w:rPr>
            </w:pPr>
            <w:r w:rsidRPr="00BD4DED">
              <w:rPr>
                <w:sz w:val="18"/>
                <w:szCs w:val="18"/>
              </w:rPr>
              <w:t>90 054</w:t>
            </w:r>
          </w:p>
        </w:tc>
        <w:tc>
          <w:tcPr>
            <w:tcW w:w="906" w:type="dxa"/>
            <w:vAlign w:val="center"/>
          </w:tcPr>
          <w:p w14:paraId="1434A2DB" w14:textId="77777777" w:rsidR="00A160DC" w:rsidRPr="00BD4DED" w:rsidRDefault="00A160DC">
            <w:pPr>
              <w:jc w:val="center"/>
              <w:rPr>
                <w:sz w:val="18"/>
                <w:szCs w:val="18"/>
              </w:rPr>
            </w:pPr>
            <w:r w:rsidRPr="00BD4DED">
              <w:rPr>
                <w:sz w:val="18"/>
                <w:szCs w:val="18"/>
              </w:rPr>
              <w:t>94 832</w:t>
            </w:r>
          </w:p>
        </w:tc>
        <w:tc>
          <w:tcPr>
            <w:tcW w:w="906" w:type="dxa"/>
            <w:vAlign w:val="center"/>
          </w:tcPr>
          <w:p w14:paraId="42585C90" w14:textId="77777777" w:rsidR="00A160DC" w:rsidRPr="00BD4DED" w:rsidRDefault="00A160DC">
            <w:pPr>
              <w:jc w:val="center"/>
              <w:rPr>
                <w:sz w:val="18"/>
                <w:szCs w:val="18"/>
              </w:rPr>
            </w:pPr>
            <w:r w:rsidRPr="00BD4DED">
              <w:rPr>
                <w:sz w:val="18"/>
                <w:szCs w:val="18"/>
              </w:rPr>
              <w:t>99 076</w:t>
            </w:r>
          </w:p>
        </w:tc>
        <w:tc>
          <w:tcPr>
            <w:tcW w:w="906" w:type="dxa"/>
            <w:vAlign w:val="center"/>
          </w:tcPr>
          <w:p w14:paraId="52E3D235" w14:textId="77777777" w:rsidR="00A160DC" w:rsidRPr="00BD4DED" w:rsidRDefault="00A160DC">
            <w:pPr>
              <w:jc w:val="center"/>
              <w:rPr>
                <w:sz w:val="18"/>
                <w:szCs w:val="18"/>
              </w:rPr>
            </w:pPr>
            <w:r w:rsidRPr="00BD4DED">
              <w:rPr>
                <w:sz w:val="18"/>
                <w:szCs w:val="18"/>
              </w:rPr>
              <w:t>104 059</w:t>
            </w:r>
          </w:p>
        </w:tc>
        <w:tc>
          <w:tcPr>
            <w:tcW w:w="906" w:type="dxa"/>
            <w:vAlign w:val="center"/>
          </w:tcPr>
          <w:p w14:paraId="0904298D" w14:textId="77777777" w:rsidR="00A160DC" w:rsidRPr="00BD4DED" w:rsidRDefault="00A160DC">
            <w:pPr>
              <w:jc w:val="center"/>
              <w:rPr>
                <w:sz w:val="18"/>
                <w:szCs w:val="18"/>
              </w:rPr>
            </w:pPr>
            <w:r w:rsidRPr="00BD4DED">
              <w:rPr>
                <w:sz w:val="18"/>
                <w:szCs w:val="18"/>
              </w:rPr>
              <w:t>100 195</w:t>
            </w:r>
          </w:p>
        </w:tc>
        <w:tc>
          <w:tcPr>
            <w:tcW w:w="907" w:type="dxa"/>
            <w:vAlign w:val="center"/>
          </w:tcPr>
          <w:p w14:paraId="7FBAC815" w14:textId="77777777" w:rsidR="00A160DC" w:rsidRPr="00BD4DED" w:rsidRDefault="00A160DC">
            <w:pPr>
              <w:jc w:val="center"/>
              <w:rPr>
                <w:sz w:val="18"/>
                <w:szCs w:val="18"/>
              </w:rPr>
            </w:pPr>
            <w:r w:rsidRPr="00BD4DED">
              <w:rPr>
                <w:sz w:val="18"/>
                <w:szCs w:val="18"/>
              </w:rPr>
              <w:t>96 859</w:t>
            </w:r>
          </w:p>
        </w:tc>
        <w:tc>
          <w:tcPr>
            <w:tcW w:w="1054" w:type="dxa"/>
            <w:vAlign w:val="center"/>
          </w:tcPr>
          <w:p w14:paraId="3B9AC0DF" w14:textId="77777777" w:rsidR="00A160DC" w:rsidRPr="00BD4DED" w:rsidRDefault="00A160DC">
            <w:pPr>
              <w:jc w:val="center"/>
              <w:rPr>
                <w:sz w:val="18"/>
                <w:szCs w:val="18"/>
              </w:rPr>
            </w:pPr>
            <w:r w:rsidRPr="00BD4DED">
              <w:rPr>
                <w:sz w:val="18"/>
                <w:szCs w:val="18"/>
              </w:rPr>
              <w:t>103 950</w:t>
            </w:r>
          </w:p>
        </w:tc>
      </w:tr>
    </w:tbl>
    <w:p w14:paraId="21B19AC5" w14:textId="77777777" w:rsidR="00A160DC" w:rsidRPr="00C63781" w:rsidRDefault="00A160DC" w:rsidP="00A160DC">
      <w:pPr>
        <w:pStyle w:val="Legenda"/>
        <w:keepNext/>
        <w:spacing w:after="240" w:line="276" w:lineRule="auto"/>
        <w:rPr>
          <w:rStyle w:val="rynqvb"/>
          <w:kern w:val="0"/>
          <w14:ligatures w14:val="none"/>
        </w:rPr>
      </w:pPr>
      <w:r w:rsidRPr="00C63781">
        <w:rPr>
          <w:rStyle w:val="rynqvb"/>
          <w:kern w:val="0"/>
          <w14:ligatures w14:val="none"/>
        </w:rPr>
        <w:t>Źródło: EUROSTAT</w:t>
      </w:r>
    </w:p>
    <w:p w14:paraId="0B5AEC3F" w14:textId="3EECE44D" w:rsidR="008B3F1F" w:rsidRPr="008B3F1F" w:rsidRDefault="008B3F1F" w:rsidP="008B3F1F">
      <w:pPr>
        <w:pStyle w:val="Legenda"/>
        <w:keepNext/>
        <w:rPr>
          <w:szCs w:val="20"/>
        </w:rPr>
      </w:pPr>
      <w:bookmarkStart w:id="363" w:name="_Toc205204371"/>
      <w:r w:rsidRPr="008B3F1F">
        <w:t xml:space="preserve">Tabela </w:t>
      </w:r>
      <w:fldSimple w:instr=" SEQ Tabela \* ARABIC ">
        <w:r w:rsidR="00871DD5">
          <w:rPr>
            <w:noProof/>
          </w:rPr>
          <w:t>5</w:t>
        </w:r>
      </w:fldSimple>
      <w:r w:rsidRPr="008B3F1F">
        <w:t xml:space="preserve">. </w:t>
      </w:r>
      <w:r w:rsidRPr="008B3F1F">
        <w:rPr>
          <w:szCs w:val="20"/>
        </w:rPr>
        <w:t>Orientacyjna trajektoria realizacji wkładu krajowego w zakresie energii pierwotnej w latach 2022-2030 (wyznaczona wg formuły) [ktoe]</w:t>
      </w:r>
      <w:bookmarkEnd w:id="363"/>
    </w:p>
    <w:tbl>
      <w:tblPr>
        <w:tblStyle w:val="Tabela-Siatka"/>
        <w:tblW w:w="0" w:type="auto"/>
        <w:tblLook w:val="04A0" w:firstRow="1" w:lastRow="0" w:firstColumn="1" w:lastColumn="0" w:noHBand="0" w:noVBand="1"/>
      </w:tblPr>
      <w:tblGrid>
        <w:gridCol w:w="913"/>
        <w:gridCol w:w="913"/>
        <w:gridCol w:w="913"/>
        <w:gridCol w:w="913"/>
        <w:gridCol w:w="913"/>
        <w:gridCol w:w="913"/>
        <w:gridCol w:w="913"/>
        <w:gridCol w:w="913"/>
        <w:gridCol w:w="913"/>
      </w:tblGrid>
      <w:tr w:rsidR="00A160DC" w:rsidRPr="009307B2" w14:paraId="6B9FD530" w14:textId="77777777">
        <w:trPr>
          <w:trHeight w:val="271"/>
        </w:trPr>
        <w:tc>
          <w:tcPr>
            <w:tcW w:w="913" w:type="dxa"/>
            <w:shd w:val="clear" w:color="auto" w:fill="9CC2E5" w:themeFill="accent5" w:themeFillTint="99"/>
            <w:vAlign w:val="center"/>
          </w:tcPr>
          <w:p w14:paraId="3B8E222A" w14:textId="77777777" w:rsidR="00A160DC" w:rsidRPr="005A55CD" w:rsidRDefault="00A160DC">
            <w:pPr>
              <w:jc w:val="center"/>
              <w:rPr>
                <w:b/>
                <w:bCs/>
                <w:sz w:val="18"/>
                <w:szCs w:val="20"/>
              </w:rPr>
            </w:pPr>
            <w:r w:rsidRPr="005A55CD">
              <w:rPr>
                <w:rFonts w:cs="Calibri"/>
                <w:b/>
                <w:bCs/>
                <w:color w:val="000000"/>
                <w:sz w:val="18"/>
                <w:szCs w:val="20"/>
                <w:lang w:eastAsia="pl-PL"/>
              </w:rPr>
              <w:t>2022</w:t>
            </w:r>
          </w:p>
        </w:tc>
        <w:tc>
          <w:tcPr>
            <w:tcW w:w="913" w:type="dxa"/>
            <w:shd w:val="clear" w:color="auto" w:fill="9CC2E5" w:themeFill="accent5" w:themeFillTint="99"/>
            <w:vAlign w:val="center"/>
          </w:tcPr>
          <w:p w14:paraId="56C1671E" w14:textId="77777777" w:rsidR="00A160DC" w:rsidRPr="005A55CD" w:rsidRDefault="00A160DC">
            <w:pPr>
              <w:jc w:val="center"/>
              <w:rPr>
                <w:b/>
                <w:bCs/>
                <w:sz w:val="18"/>
                <w:szCs w:val="20"/>
              </w:rPr>
            </w:pPr>
            <w:r w:rsidRPr="005A55CD">
              <w:rPr>
                <w:rFonts w:cs="Calibri"/>
                <w:b/>
                <w:bCs/>
                <w:color w:val="000000"/>
                <w:sz w:val="18"/>
                <w:szCs w:val="20"/>
                <w:lang w:eastAsia="pl-PL"/>
              </w:rPr>
              <w:t>2023</w:t>
            </w:r>
          </w:p>
        </w:tc>
        <w:tc>
          <w:tcPr>
            <w:tcW w:w="913" w:type="dxa"/>
            <w:shd w:val="clear" w:color="auto" w:fill="9CC2E5" w:themeFill="accent5" w:themeFillTint="99"/>
            <w:vAlign w:val="center"/>
          </w:tcPr>
          <w:p w14:paraId="549DDD23" w14:textId="77777777" w:rsidR="00A160DC" w:rsidRPr="005A55CD" w:rsidRDefault="00A160DC">
            <w:pPr>
              <w:jc w:val="center"/>
              <w:rPr>
                <w:b/>
                <w:bCs/>
                <w:sz w:val="18"/>
                <w:szCs w:val="20"/>
              </w:rPr>
            </w:pPr>
            <w:r w:rsidRPr="005A55CD">
              <w:rPr>
                <w:rFonts w:cs="Calibri"/>
                <w:b/>
                <w:bCs/>
                <w:color w:val="000000"/>
                <w:sz w:val="18"/>
                <w:szCs w:val="20"/>
                <w:lang w:eastAsia="pl-PL"/>
              </w:rPr>
              <w:t>2024</w:t>
            </w:r>
          </w:p>
        </w:tc>
        <w:tc>
          <w:tcPr>
            <w:tcW w:w="913" w:type="dxa"/>
            <w:shd w:val="clear" w:color="auto" w:fill="9CC2E5" w:themeFill="accent5" w:themeFillTint="99"/>
            <w:vAlign w:val="center"/>
          </w:tcPr>
          <w:p w14:paraId="47396F7E" w14:textId="77777777" w:rsidR="00A160DC" w:rsidRPr="005A55CD" w:rsidRDefault="00A160DC">
            <w:pPr>
              <w:jc w:val="center"/>
              <w:rPr>
                <w:b/>
                <w:bCs/>
                <w:sz w:val="18"/>
                <w:szCs w:val="20"/>
              </w:rPr>
            </w:pPr>
            <w:r w:rsidRPr="005A55CD">
              <w:rPr>
                <w:rFonts w:cs="Calibri"/>
                <w:b/>
                <w:bCs/>
                <w:color w:val="000000"/>
                <w:sz w:val="18"/>
                <w:szCs w:val="20"/>
                <w:lang w:eastAsia="pl-PL"/>
              </w:rPr>
              <w:t>2025</w:t>
            </w:r>
          </w:p>
        </w:tc>
        <w:tc>
          <w:tcPr>
            <w:tcW w:w="913" w:type="dxa"/>
            <w:shd w:val="clear" w:color="auto" w:fill="9CC2E5" w:themeFill="accent5" w:themeFillTint="99"/>
            <w:vAlign w:val="center"/>
          </w:tcPr>
          <w:p w14:paraId="0176FE35" w14:textId="77777777" w:rsidR="00A160DC" w:rsidRPr="005A55CD" w:rsidRDefault="00A160DC">
            <w:pPr>
              <w:jc w:val="center"/>
              <w:rPr>
                <w:b/>
                <w:bCs/>
                <w:sz w:val="18"/>
                <w:szCs w:val="20"/>
              </w:rPr>
            </w:pPr>
            <w:r w:rsidRPr="005A55CD">
              <w:rPr>
                <w:rFonts w:cs="Calibri"/>
                <w:b/>
                <w:bCs/>
                <w:color w:val="000000"/>
                <w:sz w:val="18"/>
                <w:szCs w:val="20"/>
                <w:lang w:eastAsia="pl-PL"/>
              </w:rPr>
              <w:t>2026</w:t>
            </w:r>
          </w:p>
        </w:tc>
        <w:tc>
          <w:tcPr>
            <w:tcW w:w="913" w:type="dxa"/>
            <w:shd w:val="clear" w:color="auto" w:fill="9CC2E5" w:themeFill="accent5" w:themeFillTint="99"/>
            <w:vAlign w:val="center"/>
          </w:tcPr>
          <w:p w14:paraId="4D02EB07" w14:textId="77777777" w:rsidR="00A160DC" w:rsidRPr="005A55CD" w:rsidRDefault="00A160DC">
            <w:pPr>
              <w:jc w:val="center"/>
              <w:rPr>
                <w:b/>
                <w:bCs/>
                <w:sz w:val="18"/>
                <w:szCs w:val="20"/>
              </w:rPr>
            </w:pPr>
            <w:r w:rsidRPr="005A55CD">
              <w:rPr>
                <w:rFonts w:cs="Calibri"/>
                <w:b/>
                <w:bCs/>
                <w:color w:val="000000"/>
                <w:sz w:val="18"/>
                <w:szCs w:val="20"/>
                <w:lang w:eastAsia="pl-PL"/>
              </w:rPr>
              <w:t>2027</w:t>
            </w:r>
          </w:p>
        </w:tc>
        <w:tc>
          <w:tcPr>
            <w:tcW w:w="913" w:type="dxa"/>
            <w:shd w:val="clear" w:color="auto" w:fill="9CC2E5" w:themeFill="accent5" w:themeFillTint="99"/>
            <w:vAlign w:val="center"/>
          </w:tcPr>
          <w:p w14:paraId="03FF5918" w14:textId="77777777" w:rsidR="00A160DC" w:rsidRPr="005A55CD" w:rsidRDefault="00A160DC">
            <w:pPr>
              <w:jc w:val="center"/>
              <w:rPr>
                <w:b/>
                <w:bCs/>
                <w:sz w:val="18"/>
                <w:szCs w:val="20"/>
              </w:rPr>
            </w:pPr>
            <w:r w:rsidRPr="005A55CD">
              <w:rPr>
                <w:rFonts w:cs="Calibri"/>
                <w:b/>
                <w:bCs/>
                <w:color w:val="000000"/>
                <w:sz w:val="18"/>
                <w:szCs w:val="20"/>
                <w:lang w:eastAsia="pl-PL"/>
              </w:rPr>
              <w:t>2028</w:t>
            </w:r>
          </w:p>
        </w:tc>
        <w:tc>
          <w:tcPr>
            <w:tcW w:w="913" w:type="dxa"/>
            <w:shd w:val="clear" w:color="auto" w:fill="9CC2E5" w:themeFill="accent5" w:themeFillTint="99"/>
            <w:vAlign w:val="center"/>
          </w:tcPr>
          <w:p w14:paraId="76099BB9" w14:textId="77777777" w:rsidR="00A160DC" w:rsidRPr="005A55CD" w:rsidRDefault="00A160DC">
            <w:pPr>
              <w:jc w:val="center"/>
              <w:rPr>
                <w:b/>
                <w:bCs/>
                <w:sz w:val="18"/>
                <w:szCs w:val="20"/>
              </w:rPr>
            </w:pPr>
            <w:r w:rsidRPr="005A55CD">
              <w:rPr>
                <w:rFonts w:cs="Calibri"/>
                <w:b/>
                <w:bCs/>
                <w:color w:val="000000"/>
                <w:sz w:val="18"/>
                <w:szCs w:val="20"/>
                <w:lang w:eastAsia="pl-PL"/>
              </w:rPr>
              <w:t>2029</w:t>
            </w:r>
          </w:p>
        </w:tc>
        <w:tc>
          <w:tcPr>
            <w:tcW w:w="913" w:type="dxa"/>
            <w:shd w:val="clear" w:color="auto" w:fill="9CC2E5" w:themeFill="accent5" w:themeFillTint="99"/>
            <w:vAlign w:val="center"/>
          </w:tcPr>
          <w:p w14:paraId="69A7F646" w14:textId="77777777" w:rsidR="00A160DC" w:rsidRPr="005A55CD" w:rsidRDefault="00A160DC">
            <w:pPr>
              <w:jc w:val="center"/>
              <w:rPr>
                <w:b/>
                <w:bCs/>
                <w:sz w:val="18"/>
                <w:szCs w:val="20"/>
              </w:rPr>
            </w:pPr>
            <w:r w:rsidRPr="005A55CD">
              <w:rPr>
                <w:rFonts w:cs="Calibri"/>
                <w:b/>
                <w:bCs/>
                <w:color w:val="000000"/>
                <w:sz w:val="18"/>
                <w:szCs w:val="20"/>
                <w:lang w:eastAsia="pl-PL"/>
              </w:rPr>
              <w:t>2030</w:t>
            </w:r>
          </w:p>
        </w:tc>
      </w:tr>
      <w:tr w:rsidR="00A160DC" w:rsidRPr="009307B2" w14:paraId="02F55692" w14:textId="77777777" w:rsidTr="004E542E">
        <w:trPr>
          <w:trHeight w:val="269"/>
        </w:trPr>
        <w:tc>
          <w:tcPr>
            <w:tcW w:w="913" w:type="dxa"/>
            <w:vAlign w:val="center"/>
          </w:tcPr>
          <w:p w14:paraId="6DC272A5" w14:textId="77777777" w:rsidR="00A160DC" w:rsidRPr="00BD4DED" w:rsidRDefault="00A160DC">
            <w:pPr>
              <w:jc w:val="center"/>
              <w:rPr>
                <w:sz w:val="18"/>
                <w:szCs w:val="18"/>
              </w:rPr>
            </w:pPr>
            <w:r w:rsidRPr="00BD4DED">
              <w:rPr>
                <w:sz w:val="18"/>
                <w:szCs w:val="18"/>
              </w:rPr>
              <w:t>103 842</w:t>
            </w:r>
          </w:p>
        </w:tc>
        <w:tc>
          <w:tcPr>
            <w:tcW w:w="913" w:type="dxa"/>
            <w:vAlign w:val="center"/>
          </w:tcPr>
          <w:p w14:paraId="57B50679" w14:textId="77777777" w:rsidR="00A160DC" w:rsidRPr="00BD4DED" w:rsidRDefault="00A160DC">
            <w:pPr>
              <w:jc w:val="center"/>
              <w:rPr>
                <w:sz w:val="18"/>
                <w:szCs w:val="18"/>
              </w:rPr>
            </w:pPr>
            <w:r w:rsidRPr="00BD4DED">
              <w:rPr>
                <w:sz w:val="18"/>
                <w:szCs w:val="18"/>
              </w:rPr>
              <w:t>103 734</w:t>
            </w:r>
          </w:p>
        </w:tc>
        <w:tc>
          <w:tcPr>
            <w:tcW w:w="913" w:type="dxa"/>
            <w:vAlign w:val="center"/>
          </w:tcPr>
          <w:p w14:paraId="56C62466" w14:textId="77777777" w:rsidR="00A160DC" w:rsidRPr="00BD4DED" w:rsidRDefault="00A160DC">
            <w:pPr>
              <w:jc w:val="center"/>
              <w:rPr>
                <w:sz w:val="18"/>
                <w:szCs w:val="18"/>
              </w:rPr>
            </w:pPr>
            <w:r w:rsidRPr="00BD4DED">
              <w:rPr>
                <w:sz w:val="18"/>
                <w:szCs w:val="18"/>
              </w:rPr>
              <w:t>103 734</w:t>
            </w:r>
          </w:p>
        </w:tc>
        <w:tc>
          <w:tcPr>
            <w:tcW w:w="913" w:type="dxa"/>
            <w:vAlign w:val="center"/>
          </w:tcPr>
          <w:p w14:paraId="0A6F5219" w14:textId="77777777" w:rsidR="00A160DC" w:rsidRPr="00BD4DED" w:rsidRDefault="00A160DC">
            <w:pPr>
              <w:jc w:val="center"/>
              <w:rPr>
                <w:sz w:val="18"/>
                <w:szCs w:val="18"/>
              </w:rPr>
            </w:pPr>
            <w:r w:rsidRPr="00BD4DED">
              <w:rPr>
                <w:sz w:val="18"/>
                <w:szCs w:val="18"/>
              </w:rPr>
              <w:t>103 734</w:t>
            </w:r>
          </w:p>
        </w:tc>
        <w:tc>
          <w:tcPr>
            <w:tcW w:w="913" w:type="dxa"/>
            <w:vAlign w:val="center"/>
          </w:tcPr>
          <w:p w14:paraId="6BAD31EA" w14:textId="77777777" w:rsidR="00A160DC" w:rsidRPr="00BD4DED" w:rsidRDefault="00A160DC">
            <w:pPr>
              <w:jc w:val="center"/>
              <w:rPr>
                <w:sz w:val="18"/>
                <w:szCs w:val="18"/>
              </w:rPr>
            </w:pPr>
            <w:r w:rsidRPr="00BD4DED">
              <w:rPr>
                <w:sz w:val="18"/>
                <w:szCs w:val="18"/>
              </w:rPr>
              <w:t>98 973</w:t>
            </w:r>
          </w:p>
        </w:tc>
        <w:tc>
          <w:tcPr>
            <w:tcW w:w="913" w:type="dxa"/>
            <w:vAlign w:val="center"/>
          </w:tcPr>
          <w:p w14:paraId="6E60DDFC" w14:textId="77777777" w:rsidR="00A160DC" w:rsidRPr="00BD4DED" w:rsidRDefault="00A160DC">
            <w:pPr>
              <w:jc w:val="center"/>
              <w:rPr>
                <w:sz w:val="18"/>
                <w:szCs w:val="18"/>
              </w:rPr>
            </w:pPr>
            <w:r w:rsidRPr="00BD4DED">
              <w:rPr>
                <w:sz w:val="18"/>
                <w:szCs w:val="18"/>
              </w:rPr>
              <w:t>94 213</w:t>
            </w:r>
          </w:p>
        </w:tc>
        <w:tc>
          <w:tcPr>
            <w:tcW w:w="913" w:type="dxa"/>
            <w:vAlign w:val="center"/>
          </w:tcPr>
          <w:p w14:paraId="1530EFAE" w14:textId="77777777" w:rsidR="00A160DC" w:rsidRPr="00BD4DED" w:rsidRDefault="00A160DC">
            <w:pPr>
              <w:jc w:val="center"/>
              <w:rPr>
                <w:sz w:val="18"/>
                <w:szCs w:val="18"/>
              </w:rPr>
            </w:pPr>
            <w:r w:rsidRPr="00BD4DED">
              <w:rPr>
                <w:sz w:val="18"/>
                <w:szCs w:val="18"/>
              </w:rPr>
              <w:t>89 453</w:t>
            </w:r>
          </w:p>
        </w:tc>
        <w:tc>
          <w:tcPr>
            <w:tcW w:w="913" w:type="dxa"/>
            <w:vAlign w:val="center"/>
          </w:tcPr>
          <w:p w14:paraId="1167A5AE" w14:textId="77777777" w:rsidR="00A160DC" w:rsidRPr="00BD4DED" w:rsidRDefault="00A160DC">
            <w:pPr>
              <w:jc w:val="center"/>
              <w:rPr>
                <w:sz w:val="18"/>
                <w:szCs w:val="18"/>
              </w:rPr>
            </w:pPr>
            <w:r w:rsidRPr="00BD4DED">
              <w:rPr>
                <w:sz w:val="18"/>
                <w:szCs w:val="18"/>
              </w:rPr>
              <w:t>84 692</w:t>
            </w:r>
          </w:p>
        </w:tc>
        <w:tc>
          <w:tcPr>
            <w:tcW w:w="913" w:type="dxa"/>
            <w:vAlign w:val="center"/>
          </w:tcPr>
          <w:p w14:paraId="504BB1EB" w14:textId="77777777" w:rsidR="00A160DC" w:rsidRPr="00BD4DED" w:rsidRDefault="00A160DC">
            <w:pPr>
              <w:jc w:val="center"/>
              <w:rPr>
                <w:sz w:val="18"/>
                <w:szCs w:val="18"/>
              </w:rPr>
            </w:pPr>
            <w:r w:rsidRPr="00BD4DED">
              <w:rPr>
                <w:sz w:val="18"/>
                <w:szCs w:val="18"/>
              </w:rPr>
              <w:t>79 932</w:t>
            </w:r>
          </w:p>
        </w:tc>
      </w:tr>
    </w:tbl>
    <w:p w14:paraId="3745326E" w14:textId="2B64BDB9" w:rsidR="00A160DC" w:rsidRDefault="00A867FA" w:rsidP="00A160DC">
      <w:pPr>
        <w:spacing w:after="240"/>
      </w:pPr>
      <w:r>
        <w:rPr>
          <w:noProof/>
        </w:rPr>
        <w:lastRenderedPageBreak/>
        <mc:AlternateContent>
          <mc:Choice Requires="wps">
            <w:drawing>
              <wp:anchor distT="0" distB="0" distL="114300" distR="114300" simplePos="0" relativeHeight="251697664" behindDoc="1" locked="0" layoutInCell="1" allowOverlap="1" wp14:anchorId="58DFEB8F" wp14:editId="7F88EDEB">
                <wp:simplePos x="0" y="0"/>
                <wp:positionH relativeFrom="column">
                  <wp:posOffset>0</wp:posOffset>
                </wp:positionH>
                <wp:positionV relativeFrom="paragraph">
                  <wp:posOffset>3667125</wp:posOffset>
                </wp:positionV>
                <wp:extent cx="5760720" cy="635"/>
                <wp:effectExtent l="0" t="0" r="0" b="0"/>
                <wp:wrapTight wrapText="bothSides">
                  <wp:wrapPolygon edited="0">
                    <wp:start x="0" y="0"/>
                    <wp:lineTo x="0" y="21600"/>
                    <wp:lineTo x="21600" y="21600"/>
                    <wp:lineTo x="21600" y="0"/>
                  </wp:wrapPolygon>
                </wp:wrapTight>
                <wp:docPr id="539675069" name="Pole tekstowe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E18CD96" w14:textId="63551C18" w:rsidR="00A867FA" w:rsidRPr="007C2B2F" w:rsidRDefault="00A867FA" w:rsidP="00A867FA">
                            <w:pPr>
                              <w:pStyle w:val="Legenda"/>
                              <w:rPr>
                                <w:noProof/>
                                <w:szCs w:val="22"/>
                              </w:rPr>
                            </w:pPr>
                            <w:bookmarkStart w:id="364" w:name="_Toc205204451"/>
                            <w:r>
                              <w:t xml:space="preserve">Wykres </w:t>
                            </w:r>
                            <w:fldSimple w:instr=" SEQ Wykres \* ARABIC ">
                              <w:r w:rsidR="00871DD5">
                                <w:rPr>
                                  <w:noProof/>
                                </w:rPr>
                                <w:t>13</w:t>
                              </w:r>
                            </w:fldSimple>
                            <w:r>
                              <w:t xml:space="preserve">. </w:t>
                            </w:r>
                            <w:r w:rsidRPr="004E1E9C">
                              <w:t>Zużycie energii pierwotnej do 2030 r. zgodnie z formułą EED i według KPEiK</w:t>
                            </w:r>
                            <w:bookmarkEnd w:id="3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DFEB8F" id="_x0000_s1107" type="#_x0000_t202" style="position:absolute;left:0;text-align:left;margin-left:0;margin-top:288.75pt;width:453.6pt;height:.05pt;z-index:-25161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" stroked="f">
                <v:textbox style="mso-fit-shape-to-text:t" inset="0,0,0,0">
                  <w:txbxContent>
                    <w:p w14:paraId="5E18CD96" w14:textId="63551C18" w:rsidR="00A867FA" w:rsidRPr="007C2B2F" w:rsidRDefault="00A867FA" w:rsidP="00A867FA">
                      <w:pPr>
                        <w:pStyle w:val="Legenda"/>
                        <w:rPr>
                          <w:noProof/>
                          <w:szCs w:val="22"/>
                        </w:rPr>
                      </w:pPr>
                      <w:bookmarkStart w:id="376" w:name="_Toc205204451"/>
                      <w:r>
                        <w:t xml:space="preserve">Wykres </w:t>
                      </w:r>
                      <w:r w:rsidR="000559D5">
                        <w:fldChar w:fldCharType="begin"/>
                      </w:r>
                      <w:r w:rsidR="000559D5">
                        <w:instrText xml:space="preserve"> SEQ Wykres \* ARABIC </w:instrText>
                      </w:r>
                      <w:r w:rsidR="000559D5">
                        <w:fldChar w:fldCharType="separate"/>
                      </w:r>
                      <w:r w:rsidR="00871DD5">
                        <w:rPr>
                          <w:noProof/>
                        </w:rPr>
                        <w:t>13</w:t>
                      </w:r>
                      <w:r w:rsidR="000559D5">
                        <w:rPr>
                          <w:noProof/>
                        </w:rPr>
                        <w:fldChar w:fldCharType="end"/>
                      </w:r>
                      <w:r>
                        <w:t xml:space="preserve">. </w:t>
                      </w:r>
                      <w:r w:rsidRPr="004E1E9C">
                        <w:t>Zużycie energii pierwotnej do 2030 r. zgodnie z formułą EED i według KPEiK</w:t>
                      </w:r>
                      <w:bookmarkEnd w:id="376"/>
                    </w:p>
                  </w:txbxContent>
                </v:textbox>
                <w10:wrap type="tight"/>
              </v:shape>
            </w:pict>
          </mc:Fallback>
        </mc:AlternateContent>
      </w:r>
      <w:r w:rsidR="004E1E9C">
        <w:rPr>
          <w:noProof/>
          <w:lang w:eastAsia="pl-PL"/>
        </w:rPr>
        <w:drawing>
          <wp:anchor distT="0" distB="0" distL="114300" distR="114300" simplePos="0" relativeHeight="251880960" behindDoc="0" locked="0" layoutInCell="1" allowOverlap="1" wp14:anchorId="339E711D" wp14:editId="327A0799">
            <wp:simplePos x="0" y="0"/>
            <wp:positionH relativeFrom="margin">
              <wp:align>right</wp:align>
            </wp:positionH>
            <wp:positionV relativeFrom="paragraph">
              <wp:posOffset>63793</wp:posOffset>
            </wp:positionV>
            <wp:extent cx="5760720" cy="3546475"/>
            <wp:effectExtent l="0" t="0" r="0" b="0"/>
            <wp:wrapTight wrapText="bothSides">
              <wp:wrapPolygon edited="0">
                <wp:start x="0" y="0"/>
                <wp:lineTo x="0" y="21465"/>
                <wp:lineTo x="21500" y="21465"/>
                <wp:lineTo x="21500" y="0"/>
                <wp:lineTo x="0" y="0"/>
              </wp:wrapPolygon>
            </wp:wrapTight>
            <wp:docPr id="95247557" name="Wykres 1">
              <a:extLst xmlns:a="http://schemas.openxmlformats.org/drawingml/2006/main">
                <a:ext uri="{FF2B5EF4-FFF2-40B4-BE49-F238E27FC236}">
                  <a16:creationId xmlns:a16="http://schemas.microsoft.com/office/drawing/2014/main" id="{9DD37128-4532-415C-8C6E-A83100AC5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14:paraId="74AC64F9" w14:textId="77777777" w:rsidR="00A160DC" w:rsidRDefault="00A160DC" w:rsidP="00A160DC">
      <w:pPr>
        <w:pStyle w:val="PaMs"/>
      </w:pPr>
      <w:r w:rsidRPr="00C46DAA">
        <w:t>POLITYKA</w:t>
      </w:r>
    </w:p>
    <w:p w14:paraId="54415A51" w14:textId="5EFC741A" w:rsidR="00C31F4A" w:rsidRDefault="00A160DC" w:rsidP="00A160DC">
      <w:r w:rsidRPr="00B4376E">
        <w:t xml:space="preserve">Ograniczenie zużycia energii </w:t>
      </w:r>
      <w:r w:rsidR="002A424D">
        <w:t>pierwotnej</w:t>
      </w:r>
      <w:r w:rsidRPr="00B4376E">
        <w:t xml:space="preserve"> będzie rezultatem </w:t>
      </w:r>
      <w:r w:rsidR="002A424D">
        <w:t xml:space="preserve">zmian, które dotyczą całej gospodarki. </w:t>
      </w:r>
      <w:r w:rsidR="002A7FBE">
        <w:t>Kluczową rolę w osiągnięciu celu będzie miało stosowanie zasady „efektywność energetyczna przede wszystkim”</w:t>
      </w:r>
      <w:r w:rsidR="00B70F69">
        <w:t>, co powinno służyć redukcji zapotrzebowania na energię</w:t>
      </w:r>
      <w:r w:rsidR="002A7FBE">
        <w:t>.</w:t>
      </w:r>
      <w:r w:rsidR="00D56773">
        <w:t xml:space="preserve"> Ogromne znaczenie </w:t>
      </w:r>
      <w:r w:rsidR="00FE7969">
        <w:t xml:space="preserve">dla redukcji zużycia energii pierwotnej </w:t>
      </w:r>
      <w:r w:rsidR="00D56773">
        <w:t xml:space="preserve">ma także </w:t>
      </w:r>
      <w:r w:rsidR="00D03274">
        <w:t>zwiększanie wykorzystania energii z OZE</w:t>
      </w:r>
      <w:r w:rsidR="00FE7969">
        <w:t xml:space="preserve"> w produkcji energii elektrycznej</w:t>
      </w:r>
      <w:r w:rsidR="00FE7969">
        <w:rPr>
          <w:rStyle w:val="Odwoanieprzypisudolnego"/>
        </w:rPr>
        <w:footnoteReference w:id="74"/>
      </w:r>
      <w:r w:rsidR="00D03274">
        <w:t>.</w:t>
      </w:r>
    </w:p>
    <w:p w14:paraId="14AA9B72" w14:textId="399717E4" w:rsidR="00A160DC" w:rsidRDefault="002A7FBE" w:rsidP="00A160DC">
      <w:pPr>
        <w:rPr>
          <w:rFonts w:cs="Arial"/>
        </w:rPr>
      </w:pPr>
      <w:r>
        <w:t xml:space="preserve">Priorytetem w zakresie </w:t>
      </w:r>
      <w:r w:rsidR="00091500">
        <w:t xml:space="preserve">ograniczenia zużycia energii </w:t>
      </w:r>
      <w:r>
        <w:t xml:space="preserve">jest intensywne wdrażanie wysokich standardów efektywności energetycznej, które będą wspierać rozwój energooszczędnych technologii oraz optymalizację procesów przemysłowych, modernizację budynków mieszkalnych i komercyjnych. </w:t>
      </w:r>
      <w:r w:rsidR="003A41A7">
        <w:t>W</w:t>
      </w:r>
      <w:r w:rsidR="003A41A7" w:rsidRPr="003A41A7">
        <w:t xml:space="preserve">ażne dla sektora budynkowego jest również podawanie energii pierwotnej </w:t>
      </w:r>
      <w:r w:rsidR="006B3B20">
        <w:t>(całkowitej)</w:t>
      </w:r>
      <w:r w:rsidR="003A41A7" w:rsidRPr="003A41A7">
        <w:t xml:space="preserve"> rozumianej jako energia pochodząc</w:t>
      </w:r>
      <w:r w:rsidR="003A41A7">
        <w:t>a</w:t>
      </w:r>
      <w:r w:rsidR="003A41A7" w:rsidRPr="003A41A7">
        <w:t xml:space="preserve"> z odnawialnych i nieodnawialnych źródeł, która nie została poddana żadnemu procesowi przemiany lub transformacji</w:t>
      </w:r>
      <w:r w:rsidR="001C518D">
        <w:t xml:space="preserve">. </w:t>
      </w:r>
      <w:r w:rsidR="001C518D">
        <w:rPr>
          <w:rFonts w:cs="Arial"/>
        </w:rPr>
        <w:t>Z</w:t>
      </w:r>
      <w:r w:rsidRPr="00686ABB">
        <w:rPr>
          <w:rFonts w:cs="Arial"/>
        </w:rPr>
        <w:t>większenie świadomości społecznej na temat korzyści płynących z</w:t>
      </w:r>
      <w:r w:rsidR="004E5A0F">
        <w:rPr>
          <w:rFonts w:cs="Arial"/>
        </w:rPr>
        <w:t> </w:t>
      </w:r>
      <w:r w:rsidRPr="00686ABB">
        <w:rPr>
          <w:rFonts w:cs="Arial"/>
        </w:rPr>
        <w:t>efektywności energetycznej poprzez kampanie edukacyjne oraz programy szkoleniowe przyczyni się wspólnie do</w:t>
      </w:r>
      <w:r>
        <w:rPr>
          <w:rFonts w:cs="Arial"/>
        </w:rPr>
        <w:t xml:space="preserve"> </w:t>
      </w:r>
      <w:r w:rsidRPr="00686ABB">
        <w:rPr>
          <w:rFonts w:cs="Arial"/>
        </w:rPr>
        <w:t xml:space="preserve">oszczędności </w:t>
      </w:r>
      <w:r>
        <w:rPr>
          <w:rFonts w:cs="Arial"/>
        </w:rPr>
        <w:t xml:space="preserve">finalnego zużycia </w:t>
      </w:r>
      <w:r w:rsidRPr="00686ABB">
        <w:rPr>
          <w:rFonts w:cs="Arial"/>
        </w:rPr>
        <w:t>energii.</w:t>
      </w:r>
    </w:p>
    <w:p w14:paraId="738BC5F6" w14:textId="06D5D294" w:rsidR="00F77EB7" w:rsidRPr="00686ABB" w:rsidRDefault="00F77EB7" w:rsidP="00F77EB7">
      <w:pPr>
        <w:rPr>
          <w:i/>
          <w:iCs/>
        </w:rPr>
      </w:pPr>
      <w:r w:rsidRPr="00686ABB">
        <w:rPr>
          <w:i/>
          <w:iCs/>
        </w:rPr>
        <w:t>Ograniczenie zużycia energii pierwotnej będzie rezultatem różnych działań i przedsięwzięć, ale mając na uwadze to, że finalne zużycie energii w wyższym stopniu odzwierciedla efektywność procesów, opis polityki i działań poprawy efektywności energetycznej został zawarty przy celach dotyczących finalnego zużycia energii.</w:t>
      </w:r>
      <w:r w:rsidR="003E2DE5">
        <w:rPr>
          <w:i/>
          <w:iCs/>
        </w:rPr>
        <w:t xml:space="preserve"> </w:t>
      </w:r>
    </w:p>
    <w:p w14:paraId="3F6607CB" w14:textId="77777777" w:rsidR="00F77EB7" w:rsidRDefault="00F77EB7" w:rsidP="00CA6554">
      <w:pPr>
        <w:pStyle w:val="Bezodstpw"/>
      </w:pPr>
    </w:p>
    <w:p w14:paraId="24885E1A" w14:textId="24CD50E8" w:rsidR="002B5CFB" w:rsidRPr="00043521" w:rsidRDefault="00A10FDD" w:rsidP="005A55CD">
      <w:pPr>
        <w:pStyle w:val="Nagwek4"/>
        <w:spacing w:before="280"/>
        <w:rPr>
          <w:color w:val="4472C4" w:themeColor="accent1"/>
        </w:rPr>
      </w:pPr>
      <w:bookmarkStart w:id="365" w:name="_Toc175321039"/>
      <w:bookmarkStart w:id="366" w:name="_Toc175479060"/>
      <w:bookmarkStart w:id="367" w:name="_Toc175494537"/>
      <w:bookmarkStart w:id="368" w:name="_Toc175518144"/>
      <w:bookmarkStart w:id="369" w:name="_Toc175571510"/>
      <w:bookmarkStart w:id="370" w:name="_Toc195897291"/>
      <w:bookmarkStart w:id="371" w:name="_Toc205203180"/>
      <w:bookmarkEnd w:id="365"/>
      <w:bookmarkEnd w:id="366"/>
      <w:bookmarkEnd w:id="367"/>
      <w:bookmarkEnd w:id="368"/>
      <w:bookmarkEnd w:id="369"/>
      <w:r>
        <w:rPr>
          <w:color w:val="4472C4" w:themeColor="accent1"/>
        </w:rPr>
        <w:lastRenderedPageBreak/>
        <w:t>Wkład Polski</w:t>
      </w:r>
      <w:r w:rsidR="002B5CFB" w:rsidRPr="00043521">
        <w:rPr>
          <w:color w:val="4472C4" w:themeColor="accent1"/>
        </w:rPr>
        <w:t xml:space="preserve"> w zakresie </w:t>
      </w:r>
      <w:r w:rsidR="00335AF1">
        <w:rPr>
          <w:color w:val="4472C4" w:themeColor="accent1"/>
        </w:rPr>
        <w:t xml:space="preserve">finalnego </w:t>
      </w:r>
      <w:r w:rsidR="002B5CFB" w:rsidRPr="00043521">
        <w:rPr>
          <w:color w:val="4472C4" w:themeColor="accent1"/>
        </w:rPr>
        <w:t>zużycia energii</w:t>
      </w:r>
      <w:bookmarkEnd w:id="358"/>
      <w:bookmarkEnd w:id="370"/>
      <w:bookmarkEnd w:id="371"/>
    </w:p>
    <w:p w14:paraId="3D841603" w14:textId="04A67856" w:rsidR="00C35CE2" w:rsidRDefault="00DE0CED" w:rsidP="00C35CE2">
      <w:pPr>
        <w:spacing w:after="120"/>
      </w:pPr>
      <w:r>
        <w:rPr>
          <w:noProof/>
          <w:lang w:eastAsia="pl-PL"/>
        </w:rPr>
        <mc:AlternateContent>
          <mc:Choice Requires="wps">
            <w:drawing>
              <wp:anchor distT="0" distB="0" distL="114300" distR="114300" simplePos="0" relativeHeight="251492864" behindDoc="1" locked="0" layoutInCell="1" allowOverlap="1" wp14:anchorId="4801F173" wp14:editId="4B0A1F5F">
                <wp:simplePos x="0" y="0"/>
                <wp:positionH relativeFrom="margin">
                  <wp:align>right</wp:align>
                </wp:positionH>
                <wp:positionV relativeFrom="paragraph">
                  <wp:posOffset>62230</wp:posOffset>
                </wp:positionV>
                <wp:extent cx="2771775" cy="1045845"/>
                <wp:effectExtent l="19050" t="57150" r="104775" b="59055"/>
                <wp:wrapSquare wrapText="bothSides"/>
                <wp:docPr id="1742102183" name="Prostokąt: zaokrąglone rogi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1045845"/>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020F7E6" w14:textId="15CBD658" w:rsidR="00C36C5C" w:rsidRPr="004E21CF" w:rsidRDefault="00C36C5C" w:rsidP="00A35815">
                            <w:pPr>
                              <w:pStyle w:val="Ramka"/>
                            </w:pPr>
                            <w:r>
                              <w:rPr>
                                <w:b/>
                                <w:bCs/>
                              </w:rPr>
                              <w:t>Finalne zużycie e</w:t>
                            </w:r>
                            <w:r w:rsidRPr="00A35815">
                              <w:rPr>
                                <w:b/>
                                <w:bCs/>
                              </w:rPr>
                              <w:t>nergi</w:t>
                            </w:r>
                            <w:r>
                              <w:rPr>
                                <w:b/>
                                <w:bCs/>
                              </w:rPr>
                              <w:t>i</w:t>
                            </w:r>
                            <w:r>
                              <w:t xml:space="preserve"> to zużycie paliw (wykorzystywanych bezpośrednio np. w piecu indywidulanym lub w postaci benzyny do auta) lub energii (postaci ciepła sieciowego lub energii elektrycznej) dostarczonej </w:t>
                            </w:r>
                            <w:r w:rsidRPr="00A35815">
                              <w:rPr>
                                <w:b/>
                                <w:bCs/>
                              </w:rPr>
                              <w:t>odbiorcy końcowemu</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801F173" id="Prostokąt: zaokrąglone rogi 51" o:spid="_x0000_s1108" style="position:absolute;left:0;text-align:left;margin-left:167.05pt;margin-top:4.9pt;width:218.25pt;height:82.35pt;z-index:-251823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" fillcolor="white [3212]" strokecolor="#5b9bd5 [3208]">
                <v:stroke joinstyle="miter"/>
                <v:shadow on="t" color="black" opacity="26214f" origin="-.5" offset="3pt,0"/>
                <v:path arrowok="t"/>
                <v:textbox style="mso-fit-shape-to-text:t" inset="2mm,2.5mm,2mm,0">
                  <w:txbxContent>
                    <w:p w14:paraId="7020F7E6" w14:textId="15CBD658" w:rsidR="00C36C5C" w:rsidRPr="004E21CF" w:rsidRDefault="00C36C5C" w:rsidP="00A35815">
                      <w:pPr>
                        <w:pStyle w:val="Ramka"/>
                      </w:pPr>
                      <w:r>
                        <w:rPr>
                          <w:b/>
                          <w:bCs/>
                        </w:rPr>
                        <w:t>Finalne zużycie e</w:t>
                      </w:r>
                      <w:r w:rsidRPr="00A35815">
                        <w:rPr>
                          <w:b/>
                          <w:bCs/>
                        </w:rPr>
                        <w:t>nergi</w:t>
                      </w:r>
                      <w:r>
                        <w:rPr>
                          <w:b/>
                          <w:bCs/>
                        </w:rPr>
                        <w:t>i</w:t>
                      </w:r>
                      <w:r>
                        <w:t xml:space="preserve"> to zużycie paliw (wykorzystywanych bezpośrednio np. w piecu indywidulanym lub w postaci benzyny do auta) lub energii (postaci ciepła sieciowego lub energii elektrycznej) dostarczonej </w:t>
                      </w:r>
                      <w:r w:rsidRPr="00A35815">
                        <w:rPr>
                          <w:b/>
                          <w:bCs/>
                        </w:rPr>
                        <w:t>odbiorcy końcowemu</w:t>
                      </w:r>
                    </w:p>
                  </w:txbxContent>
                </v:textbox>
                <w10:wrap type="square" anchorx="margin"/>
              </v:roundrect>
            </w:pict>
          </mc:Fallback>
        </mc:AlternateContent>
      </w:r>
      <w:r w:rsidR="00F14970">
        <w:t xml:space="preserve">Zgodnie z dyrektywą EED państwa członkowskie UE powinny zapewnić </w:t>
      </w:r>
      <w:r w:rsidR="00FA2C84" w:rsidRPr="00817D26">
        <w:t>zmniejszenie zużycia energii do 2030 r. o co najmniej 11,7% w</w:t>
      </w:r>
      <w:r w:rsidR="00CE432B">
        <w:t> </w:t>
      </w:r>
      <w:r w:rsidR="00FA2C84" w:rsidRPr="00817D26">
        <w:t>porównaniu z prognozami</w:t>
      </w:r>
      <w:r w:rsidR="00FA2C84">
        <w:t xml:space="preserve"> PRIMES 2020</w:t>
      </w:r>
      <w:r w:rsidR="00FA2C84">
        <w:rPr>
          <w:rStyle w:val="Odwoanieprzypisudolnego"/>
        </w:rPr>
        <w:footnoteReference w:id="75"/>
      </w:r>
      <w:r w:rsidR="00F14970">
        <w:t xml:space="preserve">, tak aby </w:t>
      </w:r>
      <w:r w:rsidR="00335AF1">
        <w:t xml:space="preserve">finalne </w:t>
      </w:r>
      <w:r w:rsidR="00F14970">
        <w:t xml:space="preserve">zużycie energii </w:t>
      </w:r>
      <w:r w:rsidR="00F14970" w:rsidRPr="00F14970">
        <w:t>w U</w:t>
      </w:r>
      <w:r w:rsidR="00F14970">
        <w:t>E</w:t>
      </w:r>
      <w:r w:rsidR="00F14970" w:rsidRPr="00F14970">
        <w:t xml:space="preserve"> nie przekraczało 763 Mtoe</w:t>
      </w:r>
      <w:r w:rsidR="00F14970">
        <w:t xml:space="preserve">. </w:t>
      </w:r>
      <w:r w:rsidR="00BB25F4">
        <w:t>Z tego względu każde państwo członkowskie UE</w:t>
      </w:r>
      <w:r w:rsidR="009C11EC">
        <w:t xml:space="preserve"> </w:t>
      </w:r>
      <w:r w:rsidR="00BB25F4">
        <w:t>powinno określić orientacyjny wkład w realizację tego celu wraz z orientacyjną trajektorią</w:t>
      </w:r>
      <w:r w:rsidR="00C728BB">
        <w:t>.</w:t>
      </w:r>
      <w:r w:rsidR="00A160DC">
        <w:t xml:space="preserve"> Podobnie jak w przypadku wkładu krajowego w zakresie energii </w:t>
      </w:r>
      <w:r w:rsidR="00D671F4">
        <w:t xml:space="preserve">pierwotnej </w:t>
      </w:r>
      <w:r w:rsidR="00A160DC">
        <w:t>należy skorzystać z formuły, zgodnie z którą</w:t>
      </w:r>
      <w:r w:rsidR="00C728BB">
        <w:t xml:space="preserve"> </w:t>
      </w:r>
      <w:r w:rsidR="00C728BB" w:rsidRPr="00C728BB">
        <w:rPr>
          <w:b/>
          <w:bCs/>
        </w:rPr>
        <w:t>wartość ta wyniosła 12,8</w:t>
      </w:r>
      <w:r w:rsidR="00C728BB">
        <w:rPr>
          <w:b/>
          <w:bCs/>
        </w:rPr>
        <w:t>% w</w:t>
      </w:r>
      <w:r w:rsidR="004E542E">
        <w:rPr>
          <w:b/>
          <w:bCs/>
        </w:rPr>
        <w:t> </w:t>
      </w:r>
      <w:r w:rsidR="00C728BB">
        <w:rPr>
          <w:b/>
          <w:bCs/>
        </w:rPr>
        <w:t>odniesieniu do scenariusza referencyjnego PRIMES 2020</w:t>
      </w:r>
      <w:r w:rsidR="00C728BB">
        <w:rPr>
          <w:rStyle w:val="Odwoanieprzypisudolnego"/>
          <w:b/>
          <w:shd w:val="clear" w:color="auto" w:fill="F2F2F2" w:themeFill="background1" w:themeFillShade="F2"/>
        </w:rPr>
        <w:footnoteReference w:id="76"/>
      </w:r>
      <w:r w:rsidR="00C728BB">
        <w:t>.</w:t>
      </w:r>
      <w:r w:rsidR="00C35CE2" w:rsidRPr="00C35CE2">
        <w:t xml:space="preserve"> </w:t>
      </w:r>
    </w:p>
    <w:p w14:paraId="3BDC50D1" w14:textId="20CAB20F" w:rsidR="00EC1DCF" w:rsidRDefault="00C35CE2" w:rsidP="00854D8B">
      <w:pPr>
        <w:spacing w:after="120"/>
      </w:pPr>
      <w:r>
        <w:t>W porównaniu do PRIMES 2007 oczekiwana redukcja finalnego zużycia energii (79,7 Mtoe) wynosiłaby 39%. Prognozy w KPEiK z 2019 r. wskazywały redukcję finalnego zużycia energii o 27,4% (</w:t>
      </w:r>
      <w:r>
        <w:noBreakHyphen/>
        <w:t>18,4 Mtoe) w porównaniu do PRIMES 2007.</w:t>
      </w:r>
    </w:p>
    <w:p w14:paraId="28F87932" w14:textId="04093FE5" w:rsidR="00EC1DCF" w:rsidRDefault="00EC1DCF" w:rsidP="00EC1DCF">
      <w:r>
        <w:t xml:space="preserve">Trzeba zauważyć, że Polska wciąż jest krajem, w którym zużycie energii </w:t>
      </w:r>
      <w:r w:rsidRPr="00686ABB">
        <w:rPr>
          <w:i/>
          <w:iCs/>
        </w:rPr>
        <w:t>per capita</w:t>
      </w:r>
      <w:r>
        <w:t xml:space="preserve"> jest istotnie poniżej średniej unijnej</w:t>
      </w:r>
      <w:r>
        <w:rPr>
          <w:rStyle w:val="Odwoanieprzypisudolnego"/>
        </w:rPr>
        <w:footnoteReference w:id="77"/>
      </w:r>
      <w:r>
        <w:t>. Wzrost gospodarczy (inicjujący nowe procesy) i potrzeba podnoszenia poziomu życia generują potrzebę wyższego globalnego zużycia energii, mimo wyboru wysoko efektywnych rozwiązań. P</w:t>
      </w:r>
      <w:r w:rsidR="00CB07F2">
        <w:t>rzykładowo</w:t>
      </w:r>
      <w:r w:rsidR="009867FF">
        <w:t>,</w:t>
      </w:r>
      <w:r w:rsidR="00CB07F2">
        <w:t xml:space="preserve"> p</w:t>
      </w:r>
      <w:r>
        <w:t>odczas gdy gospodarstwa domowe państw wyżej rozwiniętych wymieniają sprzęty na te o wyższej efektywności, polskie gospodarstwa domowe wyposażają się w niektóre sprzęty po raz pierwszy, powodując wyższe zużycie, mimo zakupienia sprzętów o wysokiej klasie energetycznej.</w:t>
      </w:r>
    </w:p>
    <w:p w14:paraId="5A8C0AA8" w14:textId="16B24322" w:rsidR="00BB25F4" w:rsidRDefault="00EC1DCF" w:rsidP="00854D8B">
      <w:pPr>
        <w:spacing w:after="120"/>
      </w:pPr>
      <w:r>
        <w:t xml:space="preserve">Jednocześnie należy podkreślić, że prognozy rozwoju gospodarczego dla Polski są dodatnie. Dlatego może wystąpić sytuacja, w której nastąpi zmniejszenie </w:t>
      </w:r>
      <w:r w:rsidRPr="00FA4783">
        <w:rPr>
          <w:u w:val="single"/>
        </w:rPr>
        <w:t>tempa</w:t>
      </w:r>
      <w:r>
        <w:t xml:space="preserve"> wzrostu zużycia energii, zamiast istotnego zmniejszani</w:t>
      </w:r>
      <w:r w:rsidR="004C04FF">
        <w:t>a</w:t>
      </w:r>
      <w:r>
        <w:t xml:space="preserve"> zużycia, również biorąc pod uwagę istotną popraw</w:t>
      </w:r>
      <w:r w:rsidR="006B1B29">
        <w:t>ę</w:t>
      </w:r>
      <w:r>
        <w:t xml:space="preserve"> wydajności procesów i spad</w:t>
      </w:r>
      <w:r w:rsidR="006B1B29">
        <w:t>e</w:t>
      </w:r>
      <w:r>
        <w:t>k energochłonności urządzeń</w:t>
      </w:r>
      <w:r w:rsidR="00C2194C">
        <w:t xml:space="preserve">. </w:t>
      </w:r>
      <w:r w:rsidR="0041601F">
        <w:t>Pomimo</w:t>
      </w:r>
      <w:r w:rsidR="00EE79FB">
        <w:t xml:space="preserve"> istnienia </w:t>
      </w:r>
      <w:r w:rsidR="005765FE">
        <w:t xml:space="preserve">ww. wrażliwości </w:t>
      </w:r>
      <w:r w:rsidR="00BD5C17">
        <w:t xml:space="preserve">prognoz, </w:t>
      </w:r>
      <w:r>
        <w:t xml:space="preserve">aktualne </w:t>
      </w:r>
      <w:r w:rsidR="00BD5C17">
        <w:t>trendy</w:t>
      </w:r>
      <w:r>
        <w:t xml:space="preserve"> wskazują na spadek finalnego zużycia energii</w:t>
      </w:r>
      <w:r w:rsidR="00626E83">
        <w:t xml:space="preserve">, niemniej nie tak ambitny jak </w:t>
      </w:r>
      <w:r w:rsidR="009B6924">
        <w:t>przewidywania Komisji Eu</w:t>
      </w:r>
      <w:r w:rsidR="00D725DA">
        <w:t>ropejskiej</w:t>
      </w:r>
      <w:r>
        <w:t>.</w:t>
      </w:r>
      <w:r w:rsidR="00C55CE5">
        <w:t xml:space="preserve"> Prognozy wskazują, że finalne zużycie energii wyniesie 64,1 Mtoe w 2030 r., co oznacza redukcję o 4,6% (-3 Mtoe) w stosunku do PRIMES 2020</w:t>
      </w:r>
      <w:r w:rsidR="00C55CE5">
        <w:rPr>
          <w:rStyle w:val="Odwoanieprzypisudolnego"/>
        </w:rPr>
        <w:footnoteReference w:id="78"/>
      </w:r>
      <w:r w:rsidR="00C55CE5">
        <w:t>.</w:t>
      </w:r>
    </w:p>
    <w:p w14:paraId="2AC5EE0E" w14:textId="0078A1A7" w:rsidR="00095AE5" w:rsidRDefault="00903C8D" w:rsidP="00156848">
      <w:pPr>
        <w:pStyle w:val="Cele"/>
        <w:spacing w:after="120"/>
        <w:rPr>
          <w:rStyle w:val="CeleZnak"/>
          <w:bCs/>
        </w:rPr>
      </w:pPr>
      <w:r>
        <w:rPr>
          <w:rStyle w:val="CeleZnak"/>
          <w:b/>
        </w:rPr>
        <w:t xml:space="preserve">Polska będzie dążyć do osiągnięcia w 2030 r. redukcji </w:t>
      </w:r>
      <w:r w:rsidR="00C728BB" w:rsidRPr="00C728BB">
        <w:rPr>
          <w:rStyle w:val="CeleZnak"/>
          <w:b/>
          <w:u w:val="single"/>
        </w:rPr>
        <w:t>f</w:t>
      </w:r>
      <w:r w:rsidR="00C728BB" w:rsidRPr="00CE432B">
        <w:rPr>
          <w:rStyle w:val="CeleZnak"/>
          <w:b/>
          <w:u w:val="single"/>
        </w:rPr>
        <w:t>inalne</w:t>
      </w:r>
      <w:r w:rsidR="00C728BB">
        <w:rPr>
          <w:rStyle w:val="CeleZnak"/>
          <w:b/>
          <w:u w:val="single"/>
        </w:rPr>
        <w:t>go</w:t>
      </w:r>
      <w:r w:rsidR="00C728BB" w:rsidRPr="00C728BB">
        <w:rPr>
          <w:rStyle w:val="CeleZnak"/>
          <w:b/>
          <w:u w:val="single"/>
        </w:rPr>
        <w:t xml:space="preserve"> </w:t>
      </w:r>
      <w:r w:rsidRPr="00C728BB">
        <w:rPr>
          <w:rStyle w:val="CeleZnak"/>
          <w:b/>
          <w:u w:val="single"/>
        </w:rPr>
        <w:t xml:space="preserve">zużycia </w:t>
      </w:r>
      <w:r w:rsidRPr="00CE432B">
        <w:rPr>
          <w:rStyle w:val="CeleZnak"/>
          <w:b/>
          <w:u w:val="single"/>
        </w:rPr>
        <w:t>energii</w:t>
      </w:r>
      <w:r>
        <w:rPr>
          <w:rStyle w:val="CeleZnak"/>
          <w:b/>
        </w:rPr>
        <w:t xml:space="preserve"> na</w:t>
      </w:r>
      <w:r w:rsidR="00095AE5">
        <w:rPr>
          <w:rStyle w:val="CeleZnak"/>
          <w:b/>
        </w:rPr>
        <w:t> </w:t>
      </w:r>
      <w:r>
        <w:rPr>
          <w:rStyle w:val="CeleZnak"/>
          <w:b/>
        </w:rPr>
        <w:t>poziomie 12,8%</w:t>
      </w:r>
      <w:r w:rsidR="003E6B85">
        <w:rPr>
          <w:rStyle w:val="CeleZnak"/>
          <w:b/>
        </w:rPr>
        <w:t xml:space="preserve"> (</w:t>
      </w:r>
      <w:r w:rsidR="00292793">
        <w:rPr>
          <w:rStyle w:val="CeleZnak"/>
          <w:b/>
        </w:rPr>
        <w:noBreakHyphen/>
        <w:t>8,6 </w:t>
      </w:r>
      <w:r w:rsidR="003E6B85">
        <w:rPr>
          <w:rStyle w:val="CeleZnak"/>
          <w:b/>
        </w:rPr>
        <w:t>Mtoe)</w:t>
      </w:r>
      <w:r w:rsidR="00BB25F4">
        <w:rPr>
          <w:rStyle w:val="CeleZnak"/>
          <w:b/>
        </w:rPr>
        <w:t xml:space="preserve"> </w:t>
      </w:r>
      <w:r>
        <w:rPr>
          <w:rStyle w:val="CeleZnak"/>
          <w:b/>
        </w:rPr>
        <w:t>w</w:t>
      </w:r>
      <w:r w:rsidR="003E6B85">
        <w:rPr>
          <w:rStyle w:val="CeleZnak"/>
          <w:b/>
        </w:rPr>
        <w:t xml:space="preserve"> </w:t>
      </w:r>
      <w:r w:rsidRPr="00AE2526">
        <w:rPr>
          <w:rStyle w:val="CeleZnak"/>
          <w:b/>
        </w:rPr>
        <w:t xml:space="preserve">porównaniu </w:t>
      </w:r>
      <w:r>
        <w:rPr>
          <w:rStyle w:val="CeleZnak"/>
          <w:b/>
        </w:rPr>
        <w:t xml:space="preserve">do prognoz </w:t>
      </w:r>
      <w:r w:rsidRPr="00095AE5">
        <w:rPr>
          <w:rStyle w:val="CeleZnak"/>
          <w:b/>
          <w:bCs/>
          <w:shd w:val="clear" w:color="auto" w:fill="auto"/>
        </w:rPr>
        <w:t>PRIMES</w:t>
      </w:r>
      <w:r w:rsidR="004818E0">
        <w:rPr>
          <w:rStyle w:val="CeleZnak"/>
          <w:b/>
          <w:bCs/>
          <w:shd w:val="clear" w:color="auto" w:fill="auto"/>
        </w:rPr>
        <w:t> </w:t>
      </w:r>
      <w:r w:rsidRPr="00095AE5">
        <w:rPr>
          <w:rStyle w:val="CeleZnak"/>
          <w:b/>
          <w:bCs/>
          <w:shd w:val="clear" w:color="auto" w:fill="auto"/>
        </w:rPr>
        <w:t>2020</w:t>
      </w:r>
      <w:r w:rsidRPr="00095AE5">
        <w:rPr>
          <w:rStyle w:val="CeleZnak"/>
          <w:b/>
          <w:bCs/>
        </w:rPr>
        <w:t>,</w:t>
      </w:r>
      <w:r>
        <w:rPr>
          <w:rStyle w:val="CeleZnak"/>
          <w:b/>
        </w:rPr>
        <w:t xml:space="preserve"> </w:t>
      </w:r>
      <w:r w:rsidRPr="004818E0">
        <w:rPr>
          <w:rStyle w:val="CeleZnak"/>
          <w:bCs/>
        </w:rPr>
        <w:t>wynikając</w:t>
      </w:r>
      <w:r w:rsidR="00292793" w:rsidRPr="004818E0">
        <w:rPr>
          <w:rStyle w:val="CeleZnak"/>
          <w:bCs/>
        </w:rPr>
        <w:t>ego</w:t>
      </w:r>
      <w:r w:rsidRPr="004818E0">
        <w:rPr>
          <w:rStyle w:val="CeleZnak"/>
          <w:bCs/>
        </w:rPr>
        <w:t xml:space="preserve"> z formuły określonej w</w:t>
      </w:r>
      <w:r w:rsidR="003E6B85" w:rsidRPr="004818E0">
        <w:rPr>
          <w:rStyle w:val="CeleZnak"/>
          <w:bCs/>
        </w:rPr>
        <w:t> </w:t>
      </w:r>
      <w:r w:rsidRPr="004818E0">
        <w:rPr>
          <w:rStyle w:val="CeleZnak"/>
          <w:bCs/>
        </w:rPr>
        <w:t>dyrektywie EED</w:t>
      </w:r>
      <w:r w:rsidR="003E6B85" w:rsidRPr="004818E0">
        <w:rPr>
          <w:rStyle w:val="CeleZnak"/>
          <w:bCs/>
        </w:rPr>
        <w:t xml:space="preserve"> tj.</w:t>
      </w:r>
      <w:r w:rsidR="009D513F" w:rsidRPr="004818E0">
        <w:rPr>
          <w:rStyle w:val="CeleZnak"/>
          <w:bCs/>
        </w:rPr>
        <w:t xml:space="preserve"> zredukowanie zużycia energii do poziomu 58,5 Mtoe </w:t>
      </w:r>
      <w:r w:rsidR="003E6B85" w:rsidRPr="004818E0">
        <w:rPr>
          <w:rStyle w:val="CeleZnak"/>
          <w:bCs/>
        </w:rPr>
        <w:t>– jako wkład orientacyjny do celu UE</w:t>
      </w:r>
      <w:r w:rsidR="00494E9C" w:rsidRPr="004818E0">
        <w:rPr>
          <w:rStyle w:val="CeleZnak"/>
          <w:bCs/>
        </w:rPr>
        <w:t>.</w:t>
      </w:r>
      <w:r w:rsidRPr="003E6B85">
        <w:rPr>
          <w:rStyle w:val="CeleZnak"/>
          <w:bCs/>
        </w:rPr>
        <w:t xml:space="preserve"> </w:t>
      </w:r>
    </w:p>
    <w:p w14:paraId="44DACBCB" w14:textId="0296E6D6" w:rsidR="00F3711B" w:rsidRDefault="005A55CD" w:rsidP="00741798">
      <w:pPr>
        <w:spacing w:after="240"/>
      </w:pPr>
      <w:r>
        <w:t xml:space="preserve">Poniżej </w:t>
      </w:r>
      <w:r w:rsidR="00885E7D">
        <w:t xml:space="preserve">przedstawiono </w:t>
      </w:r>
      <w:r w:rsidR="004818E0">
        <w:t xml:space="preserve">dane historyczna </w:t>
      </w:r>
      <w:r w:rsidR="00885E7D">
        <w:t xml:space="preserve">oraz </w:t>
      </w:r>
      <w:r w:rsidR="00741798">
        <w:t>orientacyjn</w:t>
      </w:r>
      <w:r w:rsidR="00885E7D">
        <w:t>ą</w:t>
      </w:r>
      <w:r w:rsidR="00741798">
        <w:t xml:space="preserve"> trajektori</w:t>
      </w:r>
      <w:r w:rsidR="00885E7D">
        <w:t>ę</w:t>
      </w:r>
      <w:r w:rsidR="00741798">
        <w:t xml:space="preserve"> według formuły EED</w:t>
      </w:r>
      <w:r w:rsidR="00885E7D">
        <w:t>, a na rysunku zestawiono prognozę KPEiK z orientacyjną trajektorię według formuły EED</w:t>
      </w:r>
      <w:r>
        <w:t>.</w:t>
      </w:r>
    </w:p>
    <w:p w14:paraId="509CBC7B" w14:textId="43E87D25" w:rsidR="00245BD0" w:rsidRDefault="00245BD0">
      <w:pPr>
        <w:jc w:val="left"/>
        <w:rPr>
          <w:b/>
          <w:bCs/>
          <w:i/>
          <w:iCs/>
          <w:color w:val="323E4F" w:themeColor="text2" w:themeShade="BF"/>
          <w:szCs w:val="20"/>
        </w:rPr>
      </w:pPr>
      <w:r>
        <w:rPr>
          <w:b/>
          <w:bCs/>
          <w:color w:val="323E4F" w:themeColor="text2" w:themeShade="BF"/>
          <w:szCs w:val="20"/>
        </w:rPr>
        <w:br w:type="page"/>
      </w:r>
    </w:p>
    <w:p w14:paraId="709E726F" w14:textId="08E911E5" w:rsidR="00285A0B" w:rsidRDefault="00285A0B" w:rsidP="00285A0B">
      <w:pPr>
        <w:pStyle w:val="Legenda"/>
        <w:keepNext/>
      </w:pPr>
      <w:bookmarkStart w:id="372" w:name="_Toc205204372"/>
      <w:r>
        <w:lastRenderedPageBreak/>
        <w:t xml:space="preserve">Tabela </w:t>
      </w:r>
      <w:fldSimple w:instr=" SEQ Tabela \* ARABIC ">
        <w:r w:rsidR="00871DD5">
          <w:rPr>
            <w:noProof/>
          </w:rPr>
          <w:t>6</w:t>
        </w:r>
      </w:fldSimple>
      <w:r>
        <w:t xml:space="preserve">. Historyczne zużycie energii finalnej w latach 2012-2021 [ktoe], </w:t>
      </w:r>
      <w:r w:rsidRPr="00285A0B">
        <w:t>uwzględnione przy wyznaczaniu orientacyjnej trajektorii wkładu krajowego</w:t>
      </w:r>
      <w:bookmarkEnd w:id="372"/>
    </w:p>
    <w:tbl>
      <w:tblPr>
        <w:tblStyle w:val="Tabela-Siatka"/>
        <w:tblW w:w="0" w:type="auto"/>
        <w:tblLook w:val="04A0" w:firstRow="1" w:lastRow="0" w:firstColumn="1" w:lastColumn="0" w:noHBand="0" w:noVBand="1"/>
      </w:tblPr>
      <w:tblGrid>
        <w:gridCol w:w="906"/>
        <w:gridCol w:w="906"/>
        <w:gridCol w:w="906"/>
        <w:gridCol w:w="906"/>
        <w:gridCol w:w="906"/>
        <w:gridCol w:w="906"/>
        <w:gridCol w:w="906"/>
        <w:gridCol w:w="906"/>
        <w:gridCol w:w="907"/>
        <w:gridCol w:w="907"/>
      </w:tblGrid>
      <w:tr w:rsidR="004818E0" w:rsidRPr="009307B2" w14:paraId="258DA264" w14:textId="77777777">
        <w:tc>
          <w:tcPr>
            <w:tcW w:w="906" w:type="dxa"/>
            <w:shd w:val="clear" w:color="auto" w:fill="92D050"/>
            <w:vAlign w:val="center"/>
          </w:tcPr>
          <w:p w14:paraId="5DCA8D31" w14:textId="77777777" w:rsidR="004818E0" w:rsidRPr="00292793" w:rsidRDefault="004818E0">
            <w:pPr>
              <w:jc w:val="center"/>
              <w:rPr>
                <w:b/>
                <w:bCs/>
                <w:sz w:val="18"/>
                <w:szCs w:val="20"/>
              </w:rPr>
            </w:pPr>
            <w:r w:rsidRPr="00292793">
              <w:rPr>
                <w:b/>
                <w:bCs/>
                <w:sz w:val="18"/>
                <w:szCs w:val="20"/>
              </w:rPr>
              <w:t>2012</w:t>
            </w:r>
          </w:p>
        </w:tc>
        <w:tc>
          <w:tcPr>
            <w:tcW w:w="906" w:type="dxa"/>
            <w:shd w:val="clear" w:color="auto" w:fill="92D050"/>
            <w:vAlign w:val="center"/>
          </w:tcPr>
          <w:p w14:paraId="3E976DCA" w14:textId="77777777" w:rsidR="004818E0" w:rsidRPr="00292793" w:rsidRDefault="004818E0">
            <w:pPr>
              <w:jc w:val="center"/>
              <w:rPr>
                <w:b/>
                <w:bCs/>
                <w:sz w:val="18"/>
                <w:szCs w:val="20"/>
              </w:rPr>
            </w:pPr>
            <w:r w:rsidRPr="00292793">
              <w:rPr>
                <w:b/>
                <w:bCs/>
                <w:sz w:val="18"/>
                <w:szCs w:val="20"/>
              </w:rPr>
              <w:t>2013</w:t>
            </w:r>
          </w:p>
        </w:tc>
        <w:tc>
          <w:tcPr>
            <w:tcW w:w="906" w:type="dxa"/>
            <w:shd w:val="clear" w:color="auto" w:fill="92D050"/>
            <w:vAlign w:val="center"/>
          </w:tcPr>
          <w:p w14:paraId="525BA1D1" w14:textId="77777777" w:rsidR="004818E0" w:rsidRPr="00292793" w:rsidRDefault="004818E0">
            <w:pPr>
              <w:jc w:val="center"/>
              <w:rPr>
                <w:b/>
                <w:bCs/>
                <w:sz w:val="18"/>
                <w:szCs w:val="20"/>
              </w:rPr>
            </w:pPr>
            <w:r w:rsidRPr="00292793">
              <w:rPr>
                <w:b/>
                <w:bCs/>
                <w:sz w:val="18"/>
                <w:szCs w:val="20"/>
              </w:rPr>
              <w:t>2014</w:t>
            </w:r>
          </w:p>
        </w:tc>
        <w:tc>
          <w:tcPr>
            <w:tcW w:w="906" w:type="dxa"/>
            <w:shd w:val="clear" w:color="auto" w:fill="92D050"/>
            <w:vAlign w:val="center"/>
          </w:tcPr>
          <w:p w14:paraId="205BBB0D" w14:textId="77777777" w:rsidR="004818E0" w:rsidRPr="00292793" w:rsidRDefault="004818E0">
            <w:pPr>
              <w:jc w:val="center"/>
              <w:rPr>
                <w:b/>
                <w:bCs/>
                <w:sz w:val="18"/>
                <w:szCs w:val="20"/>
              </w:rPr>
            </w:pPr>
            <w:r w:rsidRPr="00292793">
              <w:rPr>
                <w:b/>
                <w:bCs/>
                <w:sz w:val="18"/>
                <w:szCs w:val="20"/>
              </w:rPr>
              <w:t>2015</w:t>
            </w:r>
          </w:p>
        </w:tc>
        <w:tc>
          <w:tcPr>
            <w:tcW w:w="906" w:type="dxa"/>
            <w:shd w:val="clear" w:color="auto" w:fill="92D050"/>
            <w:vAlign w:val="center"/>
          </w:tcPr>
          <w:p w14:paraId="7A239951" w14:textId="77777777" w:rsidR="004818E0" w:rsidRPr="00292793" w:rsidRDefault="004818E0">
            <w:pPr>
              <w:jc w:val="center"/>
              <w:rPr>
                <w:b/>
                <w:bCs/>
                <w:sz w:val="18"/>
                <w:szCs w:val="20"/>
              </w:rPr>
            </w:pPr>
            <w:r w:rsidRPr="00292793">
              <w:rPr>
                <w:b/>
                <w:bCs/>
                <w:sz w:val="18"/>
                <w:szCs w:val="20"/>
              </w:rPr>
              <w:t>2016</w:t>
            </w:r>
          </w:p>
        </w:tc>
        <w:tc>
          <w:tcPr>
            <w:tcW w:w="906" w:type="dxa"/>
            <w:shd w:val="clear" w:color="auto" w:fill="92D050"/>
            <w:vAlign w:val="center"/>
          </w:tcPr>
          <w:p w14:paraId="42BDB016" w14:textId="77777777" w:rsidR="004818E0" w:rsidRPr="00292793" w:rsidRDefault="004818E0">
            <w:pPr>
              <w:jc w:val="center"/>
              <w:rPr>
                <w:b/>
                <w:bCs/>
                <w:sz w:val="18"/>
                <w:szCs w:val="20"/>
              </w:rPr>
            </w:pPr>
            <w:r w:rsidRPr="00292793">
              <w:rPr>
                <w:b/>
                <w:bCs/>
                <w:sz w:val="18"/>
                <w:szCs w:val="20"/>
              </w:rPr>
              <w:t>2017</w:t>
            </w:r>
          </w:p>
        </w:tc>
        <w:tc>
          <w:tcPr>
            <w:tcW w:w="906" w:type="dxa"/>
            <w:shd w:val="clear" w:color="auto" w:fill="92D050"/>
            <w:vAlign w:val="center"/>
          </w:tcPr>
          <w:p w14:paraId="021918FB" w14:textId="77777777" w:rsidR="004818E0" w:rsidRPr="00292793" w:rsidRDefault="004818E0">
            <w:pPr>
              <w:jc w:val="center"/>
              <w:rPr>
                <w:b/>
                <w:bCs/>
                <w:sz w:val="18"/>
                <w:szCs w:val="20"/>
              </w:rPr>
            </w:pPr>
            <w:r w:rsidRPr="00292793">
              <w:rPr>
                <w:b/>
                <w:bCs/>
                <w:sz w:val="18"/>
                <w:szCs w:val="20"/>
              </w:rPr>
              <w:t>2018</w:t>
            </w:r>
          </w:p>
        </w:tc>
        <w:tc>
          <w:tcPr>
            <w:tcW w:w="906" w:type="dxa"/>
            <w:shd w:val="clear" w:color="auto" w:fill="92D050"/>
            <w:vAlign w:val="center"/>
          </w:tcPr>
          <w:p w14:paraId="17E0189F" w14:textId="77777777" w:rsidR="004818E0" w:rsidRPr="00292793" w:rsidRDefault="004818E0">
            <w:pPr>
              <w:jc w:val="center"/>
              <w:rPr>
                <w:b/>
                <w:bCs/>
                <w:sz w:val="18"/>
                <w:szCs w:val="20"/>
              </w:rPr>
            </w:pPr>
            <w:r w:rsidRPr="00292793">
              <w:rPr>
                <w:b/>
                <w:bCs/>
                <w:sz w:val="18"/>
                <w:szCs w:val="20"/>
              </w:rPr>
              <w:t>2019</w:t>
            </w:r>
          </w:p>
        </w:tc>
        <w:tc>
          <w:tcPr>
            <w:tcW w:w="907" w:type="dxa"/>
            <w:shd w:val="clear" w:color="auto" w:fill="92D050"/>
            <w:vAlign w:val="center"/>
          </w:tcPr>
          <w:p w14:paraId="0B1D5187" w14:textId="77777777" w:rsidR="004818E0" w:rsidRPr="00292793" w:rsidRDefault="004818E0">
            <w:pPr>
              <w:jc w:val="center"/>
              <w:rPr>
                <w:b/>
                <w:bCs/>
                <w:sz w:val="18"/>
                <w:szCs w:val="20"/>
              </w:rPr>
            </w:pPr>
            <w:r w:rsidRPr="00292793">
              <w:rPr>
                <w:b/>
                <w:bCs/>
                <w:sz w:val="18"/>
                <w:szCs w:val="20"/>
              </w:rPr>
              <w:t>2020</w:t>
            </w:r>
          </w:p>
        </w:tc>
        <w:tc>
          <w:tcPr>
            <w:tcW w:w="907" w:type="dxa"/>
            <w:shd w:val="clear" w:color="auto" w:fill="92D050"/>
            <w:vAlign w:val="center"/>
          </w:tcPr>
          <w:p w14:paraId="7ECD5047" w14:textId="77777777" w:rsidR="004818E0" w:rsidRPr="00292793" w:rsidRDefault="004818E0">
            <w:pPr>
              <w:jc w:val="center"/>
              <w:rPr>
                <w:b/>
                <w:bCs/>
                <w:sz w:val="18"/>
                <w:szCs w:val="20"/>
              </w:rPr>
            </w:pPr>
            <w:r w:rsidRPr="00292793">
              <w:rPr>
                <w:b/>
                <w:bCs/>
                <w:sz w:val="18"/>
                <w:szCs w:val="20"/>
              </w:rPr>
              <w:t>2021</w:t>
            </w:r>
          </w:p>
        </w:tc>
      </w:tr>
      <w:tr w:rsidR="004818E0" w:rsidRPr="009307B2" w14:paraId="630B1B92" w14:textId="77777777">
        <w:trPr>
          <w:trHeight w:val="358"/>
        </w:trPr>
        <w:tc>
          <w:tcPr>
            <w:tcW w:w="906" w:type="dxa"/>
            <w:vAlign w:val="center"/>
          </w:tcPr>
          <w:p w14:paraId="459B8DB3" w14:textId="77777777" w:rsidR="004818E0" w:rsidRPr="009307B2" w:rsidRDefault="004818E0">
            <w:pPr>
              <w:jc w:val="center"/>
            </w:pPr>
            <w:r w:rsidRPr="009307B2">
              <w:t>64 427</w:t>
            </w:r>
          </w:p>
        </w:tc>
        <w:tc>
          <w:tcPr>
            <w:tcW w:w="906" w:type="dxa"/>
            <w:vAlign w:val="center"/>
          </w:tcPr>
          <w:p w14:paraId="7B97EEC8" w14:textId="77777777" w:rsidR="004818E0" w:rsidRPr="009307B2" w:rsidRDefault="004818E0">
            <w:pPr>
              <w:jc w:val="center"/>
            </w:pPr>
            <w:r w:rsidRPr="009307B2">
              <w:rPr>
                <w:rFonts w:cs="Calibri"/>
                <w:color w:val="000000"/>
                <w:lang w:eastAsia="pl-PL"/>
              </w:rPr>
              <w:t>63</w:t>
            </w:r>
            <w:r>
              <w:rPr>
                <w:rFonts w:cs="Calibri"/>
                <w:color w:val="000000"/>
                <w:lang w:eastAsia="pl-PL"/>
              </w:rPr>
              <w:t xml:space="preserve"> </w:t>
            </w:r>
            <w:r w:rsidRPr="009307B2">
              <w:rPr>
                <w:rFonts w:cs="Calibri"/>
                <w:color w:val="000000"/>
                <w:lang w:eastAsia="pl-PL"/>
              </w:rPr>
              <w:t>247</w:t>
            </w:r>
          </w:p>
        </w:tc>
        <w:tc>
          <w:tcPr>
            <w:tcW w:w="906" w:type="dxa"/>
            <w:vAlign w:val="center"/>
          </w:tcPr>
          <w:p w14:paraId="0EB057EF" w14:textId="77777777" w:rsidR="004818E0" w:rsidRPr="009307B2" w:rsidRDefault="004818E0">
            <w:pPr>
              <w:jc w:val="center"/>
            </w:pPr>
            <w:r w:rsidRPr="009307B2">
              <w:rPr>
                <w:rFonts w:cs="Calibri"/>
                <w:color w:val="000000"/>
                <w:lang w:eastAsia="pl-PL"/>
              </w:rPr>
              <w:t>61</w:t>
            </w:r>
            <w:r>
              <w:rPr>
                <w:rFonts w:cs="Calibri"/>
                <w:color w:val="000000"/>
                <w:lang w:eastAsia="pl-PL"/>
              </w:rPr>
              <w:t xml:space="preserve"> </w:t>
            </w:r>
            <w:r w:rsidRPr="009307B2">
              <w:rPr>
                <w:rFonts w:cs="Calibri"/>
                <w:color w:val="000000"/>
                <w:lang w:eastAsia="pl-PL"/>
              </w:rPr>
              <w:t>547</w:t>
            </w:r>
          </w:p>
        </w:tc>
        <w:tc>
          <w:tcPr>
            <w:tcW w:w="906" w:type="dxa"/>
            <w:vAlign w:val="center"/>
          </w:tcPr>
          <w:p w14:paraId="1E2A273F" w14:textId="77777777" w:rsidR="004818E0" w:rsidRPr="009307B2" w:rsidRDefault="004818E0">
            <w:pPr>
              <w:jc w:val="center"/>
            </w:pPr>
            <w:r w:rsidRPr="009307B2">
              <w:rPr>
                <w:rFonts w:cs="Calibri"/>
                <w:color w:val="000000"/>
                <w:lang w:eastAsia="pl-PL"/>
              </w:rPr>
              <w:t>62</w:t>
            </w:r>
            <w:r>
              <w:rPr>
                <w:rFonts w:cs="Calibri"/>
                <w:color w:val="000000"/>
                <w:lang w:eastAsia="pl-PL"/>
              </w:rPr>
              <w:t xml:space="preserve"> </w:t>
            </w:r>
            <w:r w:rsidRPr="009307B2">
              <w:rPr>
                <w:rFonts w:cs="Calibri"/>
                <w:color w:val="000000"/>
                <w:lang w:eastAsia="pl-PL"/>
              </w:rPr>
              <w:t>299</w:t>
            </w:r>
          </w:p>
        </w:tc>
        <w:tc>
          <w:tcPr>
            <w:tcW w:w="906" w:type="dxa"/>
            <w:vAlign w:val="center"/>
          </w:tcPr>
          <w:p w14:paraId="523050EF" w14:textId="77777777" w:rsidR="004818E0" w:rsidRPr="009307B2" w:rsidRDefault="004818E0">
            <w:pPr>
              <w:jc w:val="center"/>
            </w:pPr>
            <w:r w:rsidRPr="009307B2">
              <w:rPr>
                <w:rFonts w:cs="Calibri"/>
                <w:color w:val="000000"/>
                <w:lang w:eastAsia="pl-PL"/>
              </w:rPr>
              <w:t>66</w:t>
            </w:r>
            <w:r>
              <w:rPr>
                <w:rFonts w:cs="Calibri"/>
                <w:color w:val="000000"/>
                <w:lang w:eastAsia="pl-PL"/>
              </w:rPr>
              <w:t xml:space="preserve"> </w:t>
            </w:r>
            <w:r w:rsidRPr="009307B2">
              <w:rPr>
                <w:rFonts w:cs="Calibri"/>
                <w:color w:val="000000"/>
                <w:lang w:eastAsia="pl-PL"/>
              </w:rPr>
              <w:t>601</w:t>
            </w:r>
          </w:p>
        </w:tc>
        <w:tc>
          <w:tcPr>
            <w:tcW w:w="906" w:type="dxa"/>
            <w:vAlign w:val="center"/>
          </w:tcPr>
          <w:p w14:paraId="229DD1BE" w14:textId="77777777" w:rsidR="004818E0" w:rsidRPr="009307B2" w:rsidRDefault="004818E0">
            <w:pPr>
              <w:jc w:val="center"/>
            </w:pPr>
            <w:r w:rsidRPr="009307B2">
              <w:rPr>
                <w:rFonts w:cs="Calibri"/>
                <w:color w:val="000000"/>
                <w:lang w:eastAsia="pl-PL"/>
              </w:rPr>
              <w:t>70</w:t>
            </w:r>
            <w:r>
              <w:rPr>
                <w:rFonts w:cs="Calibri"/>
                <w:color w:val="000000"/>
                <w:lang w:eastAsia="pl-PL"/>
              </w:rPr>
              <w:t xml:space="preserve"> </w:t>
            </w:r>
            <w:r w:rsidRPr="009307B2">
              <w:rPr>
                <w:rFonts w:cs="Calibri"/>
                <w:color w:val="000000"/>
                <w:lang w:eastAsia="pl-PL"/>
              </w:rPr>
              <w:t>899</w:t>
            </w:r>
          </w:p>
        </w:tc>
        <w:tc>
          <w:tcPr>
            <w:tcW w:w="906" w:type="dxa"/>
            <w:vAlign w:val="center"/>
          </w:tcPr>
          <w:p w14:paraId="1B84359A" w14:textId="77777777" w:rsidR="004818E0" w:rsidRPr="009307B2" w:rsidRDefault="004818E0">
            <w:pPr>
              <w:jc w:val="center"/>
            </w:pPr>
            <w:r w:rsidRPr="009307B2">
              <w:rPr>
                <w:rFonts w:cs="Calibri"/>
                <w:color w:val="000000"/>
                <w:lang w:eastAsia="pl-PL"/>
              </w:rPr>
              <w:t>74</w:t>
            </w:r>
            <w:r>
              <w:rPr>
                <w:rFonts w:cs="Calibri"/>
                <w:color w:val="000000"/>
                <w:lang w:eastAsia="pl-PL"/>
              </w:rPr>
              <w:t xml:space="preserve"> </w:t>
            </w:r>
            <w:r w:rsidRPr="009307B2">
              <w:rPr>
                <w:rFonts w:cs="Calibri"/>
                <w:color w:val="000000"/>
                <w:lang w:eastAsia="pl-PL"/>
              </w:rPr>
              <w:t>879</w:t>
            </w:r>
          </w:p>
        </w:tc>
        <w:tc>
          <w:tcPr>
            <w:tcW w:w="906" w:type="dxa"/>
            <w:vAlign w:val="center"/>
          </w:tcPr>
          <w:p w14:paraId="3A0904AD" w14:textId="77777777" w:rsidR="004818E0" w:rsidRPr="009307B2" w:rsidRDefault="004818E0">
            <w:pPr>
              <w:jc w:val="center"/>
            </w:pPr>
            <w:r w:rsidRPr="009307B2">
              <w:rPr>
                <w:rFonts w:cs="Calibri"/>
                <w:color w:val="000000"/>
                <w:lang w:eastAsia="pl-PL"/>
              </w:rPr>
              <w:t>73</w:t>
            </w:r>
            <w:r>
              <w:rPr>
                <w:rFonts w:cs="Calibri"/>
                <w:color w:val="000000"/>
                <w:lang w:eastAsia="pl-PL"/>
              </w:rPr>
              <w:t xml:space="preserve"> </w:t>
            </w:r>
            <w:r w:rsidRPr="009307B2">
              <w:rPr>
                <w:rFonts w:cs="Calibri"/>
                <w:color w:val="000000"/>
                <w:lang w:eastAsia="pl-PL"/>
              </w:rPr>
              <w:t>730</w:t>
            </w:r>
          </w:p>
        </w:tc>
        <w:tc>
          <w:tcPr>
            <w:tcW w:w="907" w:type="dxa"/>
            <w:vAlign w:val="center"/>
          </w:tcPr>
          <w:p w14:paraId="07052F60" w14:textId="77777777" w:rsidR="004818E0" w:rsidRPr="009307B2" w:rsidRDefault="004818E0">
            <w:pPr>
              <w:jc w:val="center"/>
            </w:pPr>
            <w:r w:rsidRPr="009307B2">
              <w:rPr>
                <w:rFonts w:cs="Calibri"/>
                <w:color w:val="000000"/>
                <w:lang w:eastAsia="pl-PL"/>
              </w:rPr>
              <w:t>71</w:t>
            </w:r>
            <w:r>
              <w:rPr>
                <w:rFonts w:cs="Calibri"/>
                <w:color w:val="000000"/>
                <w:lang w:eastAsia="pl-PL"/>
              </w:rPr>
              <w:t xml:space="preserve"> </w:t>
            </w:r>
            <w:r w:rsidRPr="009307B2">
              <w:rPr>
                <w:rFonts w:cs="Calibri"/>
                <w:color w:val="000000"/>
                <w:lang w:eastAsia="pl-PL"/>
              </w:rPr>
              <w:t>145</w:t>
            </w:r>
          </w:p>
        </w:tc>
        <w:tc>
          <w:tcPr>
            <w:tcW w:w="907" w:type="dxa"/>
            <w:vAlign w:val="center"/>
          </w:tcPr>
          <w:p w14:paraId="6CF73723" w14:textId="77777777" w:rsidR="004818E0" w:rsidRPr="009307B2" w:rsidRDefault="004818E0">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154</w:t>
            </w:r>
          </w:p>
        </w:tc>
      </w:tr>
    </w:tbl>
    <w:p w14:paraId="3C2D9292" w14:textId="77777777" w:rsidR="004818E0" w:rsidRPr="00285A0B" w:rsidRDefault="004818E0" w:rsidP="004818E0">
      <w:pPr>
        <w:pStyle w:val="Legenda"/>
        <w:keepNext/>
        <w:spacing w:before="40" w:after="240" w:line="276" w:lineRule="auto"/>
        <w:rPr>
          <w:rStyle w:val="rynqvb"/>
          <w:kern w:val="0"/>
          <w14:ligatures w14:val="none"/>
        </w:rPr>
      </w:pPr>
      <w:r w:rsidRPr="00285A0B">
        <w:rPr>
          <w:rStyle w:val="rynqvb"/>
          <w:kern w:val="0"/>
          <w14:ligatures w14:val="none"/>
        </w:rPr>
        <w:t>Źródło: EUROSTAT</w:t>
      </w:r>
    </w:p>
    <w:p w14:paraId="09BC6F7A" w14:textId="0FD13B2B" w:rsidR="00285A0B" w:rsidRDefault="00285A0B" w:rsidP="00285A0B">
      <w:pPr>
        <w:pStyle w:val="Legenda"/>
        <w:keepNext/>
      </w:pPr>
      <w:bookmarkStart w:id="373" w:name="_Toc205204373"/>
      <w:r>
        <w:t xml:space="preserve">Tabela </w:t>
      </w:r>
      <w:fldSimple w:instr=" SEQ Tabela \* ARABIC ">
        <w:r w:rsidR="00871DD5">
          <w:rPr>
            <w:noProof/>
          </w:rPr>
          <w:t>7</w:t>
        </w:r>
      </w:fldSimple>
      <w:r>
        <w:t xml:space="preserve">. </w:t>
      </w:r>
      <w:r w:rsidRPr="001013FF">
        <w:t>Orientacyjna trajektoria realizacji wkładu krajowego w zakresie energii finalnej w latach 2022–2030 (wyznaczona wg formuły) [ktoe]</w:t>
      </w:r>
      <w:bookmarkEnd w:id="373"/>
    </w:p>
    <w:tbl>
      <w:tblPr>
        <w:tblStyle w:val="Tabela-Siatka"/>
        <w:tblW w:w="0" w:type="auto"/>
        <w:tblLook w:val="04A0" w:firstRow="1" w:lastRow="0" w:firstColumn="1" w:lastColumn="0" w:noHBand="0" w:noVBand="1"/>
      </w:tblPr>
      <w:tblGrid>
        <w:gridCol w:w="906"/>
        <w:gridCol w:w="906"/>
        <w:gridCol w:w="906"/>
        <w:gridCol w:w="906"/>
        <w:gridCol w:w="906"/>
        <w:gridCol w:w="906"/>
        <w:gridCol w:w="906"/>
        <w:gridCol w:w="906"/>
        <w:gridCol w:w="907"/>
      </w:tblGrid>
      <w:tr w:rsidR="004818E0" w:rsidRPr="009307B2" w14:paraId="538AFC6A" w14:textId="77777777">
        <w:tc>
          <w:tcPr>
            <w:tcW w:w="906" w:type="dxa"/>
            <w:shd w:val="clear" w:color="auto" w:fill="70AD47" w:themeFill="accent6"/>
            <w:vAlign w:val="bottom"/>
          </w:tcPr>
          <w:p w14:paraId="7027E6D9" w14:textId="77777777" w:rsidR="004818E0" w:rsidRPr="005A55CD" w:rsidRDefault="004818E0">
            <w:pPr>
              <w:jc w:val="center"/>
              <w:rPr>
                <w:b/>
                <w:bCs/>
                <w:sz w:val="18"/>
                <w:szCs w:val="20"/>
              </w:rPr>
            </w:pPr>
            <w:r w:rsidRPr="005A55CD">
              <w:rPr>
                <w:rFonts w:cs="Calibri"/>
                <w:b/>
                <w:bCs/>
                <w:color w:val="000000"/>
                <w:sz w:val="18"/>
                <w:szCs w:val="20"/>
                <w:lang w:eastAsia="pl-PL"/>
              </w:rPr>
              <w:t>2022</w:t>
            </w:r>
          </w:p>
        </w:tc>
        <w:tc>
          <w:tcPr>
            <w:tcW w:w="906" w:type="dxa"/>
            <w:shd w:val="clear" w:color="auto" w:fill="70AD47" w:themeFill="accent6"/>
            <w:vAlign w:val="bottom"/>
          </w:tcPr>
          <w:p w14:paraId="45D00C84" w14:textId="77777777" w:rsidR="004818E0" w:rsidRPr="005A55CD" w:rsidRDefault="004818E0">
            <w:pPr>
              <w:jc w:val="center"/>
              <w:rPr>
                <w:b/>
                <w:bCs/>
                <w:sz w:val="18"/>
                <w:szCs w:val="20"/>
              </w:rPr>
            </w:pPr>
            <w:r w:rsidRPr="005A55CD">
              <w:rPr>
                <w:rFonts w:cs="Calibri"/>
                <w:b/>
                <w:bCs/>
                <w:color w:val="000000"/>
                <w:sz w:val="18"/>
                <w:szCs w:val="20"/>
                <w:lang w:eastAsia="pl-PL"/>
              </w:rPr>
              <w:t>2023</w:t>
            </w:r>
          </w:p>
        </w:tc>
        <w:tc>
          <w:tcPr>
            <w:tcW w:w="906" w:type="dxa"/>
            <w:shd w:val="clear" w:color="auto" w:fill="70AD47" w:themeFill="accent6"/>
            <w:vAlign w:val="bottom"/>
          </w:tcPr>
          <w:p w14:paraId="597CFD31" w14:textId="77777777" w:rsidR="004818E0" w:rsidRPr="005A55CD" w:rsidRDefault="004818E0">
            <w:pPr>
              <w:jc w:val="center"/>
              <w:rPr>
                <w:b/>
                <w:bCs/>
                <w:sz w:val="18"/>
                <w:szCs w:val="20"/>
              </w:rPr>
            </w:pPr>
            <w:r w:rsidRPr="005A55CD">
              <w:rPr>
                <w:rFonts w:cs="Calibri"/>
                <w:b/>
                <w:bCs/>
                <w:color w:val="000000"/>
                <w:sz w:val="18"/>
                <w:szCs w:val="20"/>
                <w:lang w:eastAsia="pl-PL"/>
              </w:rPr>
              <w:t>2024</w:t>
            </w:r>
          </w:p>
        </w:tc>
        <w:tc>
          <w:tcPr>
            <w:tcW w:w="906" w:type="dxa"/>
            <w:shd w:val="clear" w:color="auto" w:fill="70AD47" w:themeFill="accent6"/>
            <w:vAlign w:val="bottom"/>
          </w:tcPr>
          <w:p w14:paraId="2B0A2774" w14:textId="77777777" w:rsidR="004818E0" w:rsidRPr="005A55CD" w:rsidRDefault="004818E0">
            <w:pPr>
              <w:jc w:val="center"/>
              <w:rPr>
                <w:b/>
                <w:bCs/>
                <w:sz w:val="18"/>
                <w:szCs w:val="20"/>
              </w:rPr>
            </w:pPr>
            <w:r w:rsidRPr="005A55CD">
              <w:rPr>
                <w:rFonts w:cs="Calibri"/>
                <w:b/>
                <w:bCs/>
                <w:color w:val="000000"/>
                <w:sz w:val="18"/>
                <w:szCs w:val="20"/>
                <w:lang w:eastAsia="pl-PL"/>
              </w:rPr>
              <w:t>2025</w:t>
            </w:r>
          </w:p>
        </w:tc>
        <w:tc>
          <w:tcPr>
            <w:tcW w:w="906" w:type="dxa"/>
            <w:shd w:val="clear" w:color="auto" w:fill="70AD47" w:themeFill="accent6"/>
            <w:vAlign w:val="bottom"/>
          </w:tcPr>
          <w:p w14:paraId="3F986123" w14:textId="77777777" w:rsidR="004818E0" w:rsidRPr="005A55CD" w:rsidRDefault="004818E0">
            <w:pPr>
              <w:jc w:val="center"/>
              <w:rPr>
                <w:b/>
                <w:bCs/>
                <w:sz w:val="18"/>
                <w:szCs w:val="20"/>
              </w:rPr>
            </w:pPr>
            <w:r w:rsidRPr="005A55CD">
              <w:rPr>
                <w:rFonts w:cs="Calibri"/>
                <w:b/>
                <w:bCs/>
                <w:color w:val="000000"/>
                <w:sz w:val="18"/>
                <w:szCs w:val="20"/>
                <w:lang w:eastAsia="pl-PL"/>
              </w:rPr>
              <w:t>2026</w:t>
            </w:r>
          </w:p>
        </w:tc>
        <w:tc>
          <w:tcPr>
            <w:tcW w:w="906" w:type="dxa"/>
            <w:shd w:val="clear" w:color="auto" w:fill="70AD47" w:themeFill="accent6"/>
            <w:vAlign w:val="bottom"/>
          </w:tcPr>
          <w:p w14:paraId="53D346F1" w14:textId="77777777" w:rsidR="004818E0" w:rsidRPr="005A55CD" w:rsidRDefault="004818E0">
            <w:pPr>
              <w:jc w:val="center"/>
              <w:rPr>
                <w:b/>
                <w:bCs/>
                <w:sz w:val="18"/>
                <w:szCs w:val="20"/>
              </w:rPr>
            </w:pPr>
            <w:r w:rsidRPr="005A55CD">
              <w:rPr>
                <w:rFonts w:cs="Calibri"/>
                <w:b/>
                <w:bCs/>
                <w:color w:val="000000"/>
                <w:sz w:val="18"/>
                <w:szCs w:val="20"/>
                <w:lang w:eastAsia="pl-PL"/>
              </w:rPr>
              <w:t>2027</w:t>
            </w:r>
          </w:p>
        </w:tc>
        <w:tc>
          <w:tcPr>
            <w:tcW w:w="906" w:type="dxa"/>
            <w:shd w:val="clear" w:color="auto" w:fill="70AD47" w:themeFill="accent6"/>
            <w:vAlign w:val="bottom"/>
          </w:tcPr>
          <w:p w14:paraId="6B557379" w14:textId="77777777" w:rsidR="004818E0" w:rsidRPr="005A55CD" w:rsidRDefault="004818E0">
            <w:pPr>
              <w:jc w:val="center"/>
              <w:rPr>
                <w:b/>
                <w:bCs/>
                <w:sz w:val="18"/>
                <w:szCs w:val="20"/>
              </w:rPr>
            </w:pPr>
            <w:r w:rsidRPr="005A55CD">
              <w:rPr>
                <w:rFonts w:cs="Calibri"/>
                <w:b/>
                <w:bCs/>
                <w:color w:val="000000"/>
                <w:sz w:val="18"/>
                <w:szCs w:val="20"/>
                <w:lang w:eastAsia="pl-PL"/>
              </w:rPr>
              <w:t>2028</w:t>
            </w:r>
          </w:p>
        </w:tc>
        <w:tc>
          <w:tcPr>
            <w:tcW w:w="906" w:type="dxa"/>
            <w:shd w:val="clear" w:color="auto" w:fill="70AD47" w:themeFill="accent6"/>
            <w:vAlign w:val="bottom"/>
          </w:tcPr>
          <w:p w14:paraId="483BE6B0" w14:textId="77777777" w:rsidR="004818E0" w:rsidRPr="005A55CD" w:rsidRDefault="004818E0">
            <w:pPr>
              <w:jc w:val="center"/>
              <w:rPr>
                <w:b/>
                <w:bCs/>
                <w:sz w:val="18"/>
                <w:szCs w:val="20"/>
              </w:rPr>
            </w:pPr>
            <w:r w:rsidRPr="005A55CD">
              <w:rPr>
                <w:rFonts w:cs="Calibri"/>
                <w:b/>
                <w:bCs/>
                <w:color w:val="000000"/>
                <w:sz w:val="18"/>
                <w:szCs w:val="20"/>
                <w:lang w:eastAsia="pl-PL"/>
              </w:rPr>
              <w:t>2029</w:t>
            </w:r>
          </w:p>
        </w:tc>
        <w:tc>
          <w:tcPr>
            <w:tcW w:w="907" w:type="dxa"/>
            <w:shd w:val="clear" w:color="auto" w:fill="70AD47" w:themeFill="accent6"/>
            <w:vAlign w:val="bottom"/>
          </w:tcPr>
          <w:p w14:paraId="3D0DBFFC" w14:textId="77777777" w:rsidR="004818E0" w:rsidRPr="005A55CD" w:rsidRDefault="004818E0">
            <w:pPr>
              <w:jc w:val="center"/>
              <w:rPr>
                <w:b/>
                <w:bCs/>
                <w:sz w:val="18"/>
                <w:szCs w:val="20"/>
              </w:rPr>
            </w:pPr>
            <w:r w:rsidRPr="005A55CD">
              <w:rPr>
                <w:rFonts w:cs="Calibri"/>
                <w:b/>
                <w:bCs/>
                <w:color w:val="000000"/>
                <w:sz w:val="18"/>
                <w:szCs w:val="20"/>
                <w:lang w:eastAsia="pl-PL"/>
              </w:rPr>
              <w:t>2030</w:t>
            </w:r>
          </w:p>
        </w:tc>
      </w:tr>
      <w:tr w:rsidR="004818E0" w:rsidRPr="009307B2" w14:paraId="6F3FBF45" w14:textId="77777777">
        <w:trPr>
          <w:trHeight w:val="380"/>
        </w:trPr>
        <w:tc>
          <w:tcPr>
            <w:tcW w:w="906" w:type="dxa"/>
            <w:vAlign w:val="center"/>
          </w:tcPr>
          <w:p w14:paraId="16024E7E" w14:textId="77777777" w:rsidR="004818E0" w:rsidRPr="009307B2" w:rsidRDefault="004818E0">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428</w:t>
            </w:r>
          </w:p>
        </w:tc>
        <w:tc>
          <w:tcPr>
            <w:tcW w:w="906" w:type="dxa"/>
            <w:vAlign w:val="center"/>
          </w:tcPr>
          <w:p w14:paraId="718A0565" w14:textId="77777777" w:rsidR="004818E0" w:rsidRPr="009307B2" w:rsidRDefault="004818E0">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703</w:t>
            </w:r>
          </w:p>
        </w:tc>
        <w:tc>
          <w:tcPr>
            <w:tcW w:w="906" w:type="dxa"/>
            <w:vAlign w:val="center"/>
          </w:tcPr>
          <w:p w14:paraId="56FDFAC9" w14:textId="77777777" w:rsidR="004818E0" w:rsidRPr="009307B2" w:rsidRDefault="004818E0">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978</w:t>
            </w:r>
          </w:p>
        </w:tc>
        <w:tc>
          <w:tcPr>
            <w:tcW w:w="906" w:type="dxa"/>
            <w:vAlign w:val="center"/>
          </w:tcPr>
          <w:p w14:paraId="688ADE0A" w14:textId="77777777" w:rsidR="004818E0" w:rsidRPr="009307B2" w:rsidRDefault="004818E0">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978</w:t>
            </w:r>
          </w:p>
        </w:tc>
        <w:tc>
          <w:tcPr>
            <w:tcW w:w="906" w:type="dxa"/>
            <w:vAlign w:val="center"/>
          </w:tcPr>
          <w:p w14:paraId="32750A7D" w14:textId="77777777" w:rsidR="004818E0" w:rsidRPr="009307B2" w:rsidRDefault="004818E0">
            <w:pPr>
              <w:jc w:val="center"/>
            </w:pPr>
            <w:r w:rsidRPr="009307B2">
              <w:rPr>
                <w:rFonts w:cs="Calibri"/>
                <w:color w:val="000000"/>
                <w:lang w:eastAsia="pl-PL"/>
              </w:rPr>
              <w:t>72</w:t>
            </w:r>
            <w:r>
              <w:rPr>
                <w:rFonts w:cs="Calibri"/>
                <w:color w:val="000000"/>
                <w:lang w:eastAsia="pl-PL"/>
              </w:rPr>
              <w:t xml:space="preserve"> </w:t>
            </w:r>
            <w:r w:rsidRPr="009307B2">
              <w:rPr>
                <w:rFonts w:cs="Calibri"/>
                <w:color w:val="000000"/>
                <w:lang w:eastAsia="pl-PL"/>
              </w:rPr>
              <w:t>488</w:t>
            </w:r>
          </w:p>
        </w:tc>
        <w:tc>
          <w:tcPr>
            <w:tcW w:w="906" w:type="dxa"/>
            <w:vAlign w:val="center"/>
          </w:tcPr>
          <w:p w14:paraId="4F20239E" w14:textId="77777777" w:rsidR="004818E0" w:rsidRPr="009307B2" w:rsidRDefault="004818E0">
            <w:pPr>
              <w:jc w:val="center"/>
            </w:pPr>
            <w:r w:rsidRPr="009307B2">
              <w:rPr>
                <w:rFonts w:cs="Calibri"/>
                <w:color w:val="000000"/>
                <w:lang w:eastAsia="pl-PL"/>
              </w:rPr>
              <w:t>68</w:t>
            </w:r>
            <w:r>
              <w:rPr>
                <w:rFonts w:cs="Calibri"/>
                <w:color w:val="000000"/>
                <w:lang w:eastAsia="pl-PL"/>
              </w:rPr>
              <w:t xml:space="preserve"> </w:t>
            </w:r>
            <w:r w:rsidRPr="009307B2">
              <w:rPr>
                <w:rFonts w:cs="Calibri"/>
                <w:color w:val="000000"/>
                <w:lang w:eastAsia="pl-PL"/>
              </w:rPr>
              <w:t>999</w:t>
            </w:r>
          </w:p>
        </w:tc>
        <w:tc>
          <w:tcPr>
            <w:tcW w:w="906" w:type="dxa"/>
            <w:vAlign w:val="center"/>
          </w:tcPr>
          <w:p w14:paraId="1F0345CF" w14:textId="77777777" w:rsidR="004818E0" w:rsidRPr="009307B2" w:rsidRDefault="004818E0">
            <w:pPr>
              <w:jc w:val="center"/>
            </w:pPr>
            <w:r w:rsidRPr="009307B2">
              <w:rPr>
                <w:rFonts w:cs="Calibri"/>
                <w:color w:val="000000"/>
                <w:lang w:eastAsia="pl-PL"/>
              </w:rPr>
              <w:t>65</w:t>
            </w:r>
            <w:r>
              <w:rPr>
                <w:rFonts w:cs="Calibri"/>
                <w:color w:val="000000"/>
                <w:lang w:eastAsia="pl-PL"/>
              </w:rPr>
              <w:t xml:space="preserve"> </w:t>
            </w:r>
            <w:r w:rsidRPr="009307B2">
              <w:rPr>
                <w:rFonts w:cs="Calibri"/>
                <w:color w:val="000000"/>
                <w:lang w:eastAsia="pl-PL"/>
              </w:rPr>
              <w:t>510</w:t>
            </w:r>
          </w:p>
        </w:tc>
        <w:tc>
          <w:tcPr>
            <w:tcW w:w="906" w:type="dxa"/>
            <w:vAlign w:val="center"/>
          </w:tcPr>
          <w:p w14:paraId="5B99CEC5" w14:textId="77777777" w:rsidR="004818E0" w:rsidRPr="009307B2" w:rsidRDefault="004818E0">
            <w:pPr>
              <w:jc w:val="center"/>
            </w:pPr>
            <w:r w:rsidRPr="009307B2">
              <w:rPr>
                <w:rFonts w:cs="Calibri"/>
                <w:color w:val="000000"/>
                <w:lang w:eastAsia="pl-PL"/>
              </w:rPr>
              <w:t>62</w:t>
            </w:r>
            <w:r>
              <w:rPr>
                <w:rFonts w:cs="Calibri"/>
                <w:color w:val="000000"/>
                <w:lang w:eastAsia="pl-PL"/>
              </w:rPr>
              <w:t xml:space="preserve"> </w:t>
            </w:r>
            <w:r w:rsidRPr="009307B2">
              <w:rPr>
                <w:rFonts w:cs="Calibri"/>
                <w:color w:val="000000"/>
                <w:lang w:eastAsia="pl-PL"/>
              </w:rPr>
              <w:t>021</w:t>
            </w:r>
          </w:p>
        </w:tc>
        <w:tc>
          <w:tcPr>
            <w:tcW w:w="907" w:type="dxa"/>
            <w:vAlign w:val="center"/>
          </w:tcPr>
          <w:p w14:paraId="369E3ABA" w14:textId="77777777" w:rsidR="004818E0" w:rsidRPr="009307B2" w:rsidRDefault="004818E0">
            <w:pPr>
              <w:jc w:val="center"/>
            </w:pPr>
            <w:r w:rsidRPr="009307B2">
              <w:rPr>
                <w:rFonts w:cs="Calibri"/>
                <w:color w:val="000000"/>
                <w:lang w:eastAsia="pl-PL"/>
              </w:rPr>
              <w:t>58</w:t>
            </w:r>
            <w:r>
              <w:rPr>
                <w:rFonts w:cs="Calibri"/>
                <w:color w:val="000000"/>
                <w:lang w:eastAsia="pl-PL"/>
              </w:rPr>
              <w:t xml:space="preserve"> </w:t>
            </w:r>
            <w:r w:rsidRPr="009307B2">
              <w:rPr>
                <w:rFonts w:cs="Calibri"/>
                <w:color w:val="000000"/>
                <w:lang w:eastAsia="pl-PL"/>
              </w:rPr>
              <w:t>532</w:t>
            </w:r>
          </w:p>
        </w:tc>
      </w:tr>
    </w:tbl>
    <w:p w14:paraId="1CD4CC9E" w14:textId="77777777" w:rsidR="004818E0" w:rsidRDefault="004818E0" w:rsidP="00741798">
      <w:pPr>
        <w:spacing w:after="240"/>
      </w:pPr>
    </w:p>
    <w:p w14:paraId="2DFE7FA9" w14:textId="09E60417" w:rsidR="00DA1157" w:rsidRPr="003169E3" w:rsidRDefault="0058729A" w:rsidP="003169E3">
      <w:pPr>
        <w:pStyle w:val="tyturys"/>
        <w:rPr>
          <w:sz w:val="26"/>
          <w:szCs w:val="26"/>
        </w:rPr>
      </w:pPr>
      <w:r>
        <w:rPr>
          <w:noProof/>
        </w:rPr>
        <mc:AlternateContent>
          <mc:Choice Requires="wps">
            <w:drawing>
              <wp:anchor distT="0" distB="0" distL="114300" distR="114300" simplePos="0" relativeHeight="251704832" behindDoc="1" locked="0" layoutInCell="1" allowOverlap="1" wp14:anchorId="76D8C022" wp14:editId="69D05B05">
                <wp:simplePos x="0" y="0"/>
                <wp:positionH relativeFrom="margin">
                  <wp:align>left</wp:align>
                </wp:positionH>
                <wp:positionV relativeFrom="paragraph">
                  <wp:posOffset>3986010</wp:posOffset>
                </wp:positionV>
                <wp:extent cx="5760720" cy="635"/>
                <wp:effectExtent l="0" t="0" r="0" b="0"/>
                <wp:wrapTight wrapText="bothSides">
                  <wp:wrapPolygon edited="0">
                    <wp:start x="0" y="0"/>
                    <wp:lineTo x="0" y="20057"/>
                    <wp:lineTo x="21500" y="20057"/>
                    <wp:lineTo x="21500" y="0"/>
                    <wp:lineTo x="0" y="0"/>
                  </wp:wrapPolygon>
                </wp:wrapTight>
                <wp:docPr id="638984445" name="Pole tekstowe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3DA88C94" w14:textId="7534479E" w:rsidR="0058729A" w:rsidRPr="001613B3" w:rsidRDefault="0058729A" w:rsidP="0058729A">
                            <w:pPr>
                              <w:pStyle w:val="Legenda"/>
                              <w:rPr>
                                <w:b/>
                                <w:bCs/>
                                <w:noProof/>
                                <w:color w:val="323E4F" w:themeColor="text2" w:themeShade="BF"/>
                                <w:sz w:val="28"/>
                                <w:szCs w:val="32"/>
                              </w:rPr>
                            </w:pPr>
                            <w:bookmarkStart w:id="374" w:name="_Toc205204452"/>
                            <w:r>
                              <w:t xml:space="preserve">Wykres </w:t>
                            </w:r>
                            <w:fldSimple w:instr=" SEQ Wykres \* ARABIC ">
                              <w:r w:rsidR="00871DD5">
                                <w:rPr>
                                  <w:noProof/>
                                </w:rPr>
                                <w:t>14</w:t>
                              </w:r>
                            </w:fldSimple>
                            <w:r>
                              <w:t xml:space="preserve">. </w:t>
                            </w:r>
                            <w:r w:rsidRPr="007806A1">
                              <w:t>Finalne zużycie energii do 2030 r. zgodnie z formułą EED i według KPEiK</w:t>
                            </w:r>
                            <w:bookmarkEnd w:id="3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D8C022" id="_x0000_s1109" type="#_x0000_t202" style="position:absolute;left:0;text-align:left;margin-left:0;margin-top:313.85pt;width:453.6pt;height:.05pt;z-index:-251611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" stroked="f">
                <v:textbox style="mso-fit-shape-to-text:t" inset="0,0,0,0">
                  <w:txbxContent>
                    <w:p w14:paraId="3DA88C94" w14:textId="7534479E" w:rsidR="0058729A" w:rsidRPr="001613B3" w:rsidRDefault="0058729A" w:rsidP="0058729A">
                      <w:pPr>
                        <w:pStyle w:val="Legenda"/>
                        <w:rPr>
                          <w:b/>
                          <w:bCs/>
                          <w:noProof/>
                          <w:color w:val="323E4F" w:themeColor="text2" w:themeShade="BF"/>
                          <w:sz w:val="28"/>
                          <w:szCs w:val="32"/>
                        </w:rPr>
                      </w:pPr>
                      <w:bookmarkStart w:id="387" w:name="_Toc205204452"/>
                      <w:r>
                        <w:t xml:space="preserve">Wykres </w:t>
                      </w:r>
                      <w:r w:rsidR="000559D5">
                        <w:fldChar w:fldCharType="begin"/>
                      </w:r>
                      <w:r w:rsidR="000559D5">
                        <w:instrText xml:space="preserve"> SEQ Wykres \* ARABIC </w:instrText>
                      </w:r>
                      <w:r w:rsidR="000559D5">
                        <w:fldChar w:fldCharType="separate"/>
                      </w:r>
                      <w:r w:rsidR="00871DD5">
                        <w:rPr>
                          <w:noProof/>
                        </w:rPr>
                        <w:t>14</w:t>
                      </w:r>
                      <w:r w:rsidR="000559D5">
                        <w:rPr>
                          <w:noProof/>
                        </w:rPr>
                        <w:fldChar w:fldCharType="end"/>
                      </w:r>
                      <w:r>
                        <w:t xml:space="preserve">. </w:t>
                      </w:r>
                      <w:r w:rsidRPr="007806A1">
                        <w:t>Finalne zużycie energii do 2030 r. zgodnie z formułą EED i według KPEiK</w:t>
                      </w:r>
                      <w:bookmarkEnd w:id="387"/>
                    </w:p>
                  </w:txbxContent>
                </v:textbox>
                <w10:wrap type="tight" anchorx="margin"/>
              </v:shape>
            </w:pict>
          </mc:Fallback>
        </mc:AlternateContent>
      </w:r>
      <w:r w:rsidR="00DD3499">
        <w:rPr>
          <w:noProof/>
          <w:lang w:eastAsia="pl-PL"/>
        </w:rPr>
        <w:drawing>
          <wp:anchor distT="0" distB="0" distL="114300" distR="114300" simplePos="0" relativeHeight="251888128" behindDoc="0" locked="0" layoutInCell="1" allowOverlap="1" wp14:anchorId="0FB653FF" wp14:editId="0E8247DC">
            <wp:simplePos x="0" y="0"/>
            <wp:positionH relativeFrom="column">
              <wp:posOffset>0</wp:posOffset>
            </wp:positionH>
            <wp:positionV relativeFrom="paragraph">
              <wp:posOffset>209550</wp:posOffset>
            </wp:positionV>
            <wp:extent cx="5760720" cy="3546475"/>
            <wp:effectExtent l="0" t="0" r="0" b="0"/>
            <wp:wrapTight wrapText="bothSides">
              <wp:wrapPolygon edited="0">
                <wp:start x="0" y="0"/>
                <wp:lineTo x="0" y="21465"/>
                <wp:lineTo x="21500" y="21465"/>
                <wp:lineTo x="21500" y="0"/>
                <wp:lineTo x="0" y="0"/>
              </wp:wrapPolygon>
            </wp:wrapTight>
            <wp:docPr id="1775172250" name="Wykres 1">
              <a:extLst xmlns:a="http://schemas.openxmlformats.org/drawingml/2006/main">
                <a:ext uri="{FF2B5EF4-FFF2-40B4-BE49-F238E27FC236}">
                  <a16:creationId xmlns:a16="http://schemas.microsoft.com/office/drawing/2014/main" id="{7D6CAE0E-3307-4C7B-B6DF-DFDAEC971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p>
    <w:p w14:paraId="46B27795" w14:textId="7754D0BE"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3A5FFDC3" w14:textId="321DE2B2" w:rsidR="00F3711B" w:rsidRDefault="009D513F" w:rsidP="00F3711B">
      <w:r w:rsidRPr="00B4376E">
        <w:t xml:space="preserve">Ograniczenie zużycia energii </w:t>
      </w:r>
      <w:r>
        <w:t>finalnej</w:t>
      </w:r>
      <w:r w:rsidRPr="00B4376E">
        <w:t xml:space="preserve"> będzie rezultatem szeregu wdrożonych przedsięwzięć, jak również realizacji ambitnych działań służących poprawie efektywności energetycznej wynikających z wdrożenia dyrektywy</w:t>
      </w:r>
      <w:r>
        <w:t xml:space="preserve"> EED.</w:t>
      </w:r>
    </w:p>
    <w:p w14:paraId="699E2E00" w14:textId="226B3B1E" w:rsidR="00F77EB7" w:rsidRDefault="00F77EB7" w:rsidP="00F77EB7">
      <w:r>
        <w:t xml:space="preserve">Finalne zużycie energii dzieli się </w:t>
      </w:r>
      <w:r w:rsidR="0012626A">
        <w:t xml:space="preserve">według sektorów – </w:t>
      </w:r>
      <w:r>
        <w:t>przemysł, transport, gospodarstwa domowe (mieszkalnictwo) i usługi. Mając jednak na uwadze wzorcową rolę sektora publicznego</w:t>
      </w:r>
      <w:r w:rsidR="006B1B29">
        <w:t>,</w:t>
      </w:r>
      <w:r>
        <w:t xml:space="preserve"> odrębnie podchodzi się do</w:t>
      </w:r>
      <w:r w:rsidR="0012626A">
        <w:t xml:space="preserve"> działań proefektywnościowych w tym </w:t>
      </w:r>
      <w:r>
        <w:t>podsektor</w:t>
      </w:r>
      <w:r w:rsidR="0012626A">
        <w:t xml:space="preserve">ze. Oddzielnie </w:t>
      </w:r>
      <w:r w:rsidR="00FA4783">
        <w:t>określa</w:t>
      </w:r>
      <w:r w:rsidR="0012626A">
        <w:t xml:space="preserve"> się także działania w odniesieniu do </w:t>
      </w:r>
      <w:r>
        <w:t xml:space="preserve">wytwarzania </w:t>
      </w:r>
      <w:r w:rsidR="0012626A">
        <w:t xml:space="preserve">i transportu </w:t>
      </w:r>
      <w:r>
        <w:t>energii elektrycznej i ciepła.</w:t>
      </w:r>
    </w:p>
    <w:p w14:paraId="74579FA5" w14:textId="3D7D730A" w:rsidR="00F77EB7" w:rsidRDefault="00F77EB7" w:rsidP="00F77EB7">
      <w:r>
        <w:lastRenderedPageBreak/>
        <w:t>W każdym przypadku kluczową rolę powinno odegrać stosowanie zasady „efektywność energetyczna przede wszystkim”</w:t>
      </w:r>
      <w:r w:rsidR="0012626A">
        <w:t>,</w:t>
      </w:r>
      <w:r>
        <w:t xml:space="preserve"> zgodnie z którą </w:t>
      </w:r>
      <w:r w:rsidRPr="00B537B7">
        <w:t>przed podjęciem decyzji dotyczących</w:t>
      </w:r>
      <w:r w:rsidR="0012626A">
        <w:t xml:space="preserve"> nowych</w:t>
      </w:r>
      <w:r w:rsidRPr="00B537B7">
        <w:t xml:space="preserve"> polityk i inwestycji należy przeanalizować, czy</w:t>
      </w:r>
      <w:r>
        <w:t xml:space="preserve"> cele </w:t>
      </w:r>
      <w:r w:rsidR="0012626A">
        <w:t xml:space="preserve">tych polityk i inwestycji </w:t>
      </w:r>
      <w:r>
        <w:t xml:space="preserve">zostaną osiągnięte w taki sposób, aby produkowane i wykorzystywane było tylko tyle energii, ile potrzeba. Jednocześnie zastosowane rozwiązania powinny być </w:t>
      </w:r>
      <w:r w:rsidRPr="00B537B7">
        <w:t>racjonalne pod względem technicznym, ekonomicznym i ekologicznym</w:t>
      </w:r>
      <w:r>
        <w:t>.</w:t>
      </w:r>
    </w:p>
    <w:p w14:paraId="3814379C" w14:textId="3E6E6C72" w:rsidR="007C0534" w:rsidRDefault="00F77EB7" w:rsidP="000201DF">
      <w:pPr>
        <w:tabs>
          <w:tab w:val="num" w:pos="720"/>
        </w:tabs>
        <w:spacing w:before="240"/>
      </w:pPr>
      <w:r>
        <w:t xml:space="preserve">W celu </w:t>
      </w:r>
      <w:r w:rsidR="0012626A">
        <w:t xml:space="preserve">poprawy efektywności energetycznej </w:t>
      </w:r>
      <w:r w:rsidR="00FA4783">
        <w:t xml:space="preserve">w krajowej </w:t>
      </w:r>
      <w:r w:rsidR="00286B9A">
        <w:t>gospodarce</w:t>
      </w:r>
      <w:r w:rsidR="00FA4783">
        <w:t xml:space="preserve"> </w:t>
      </w:r>
      <w:r w:rsidR="007C0534">
        <w:t xml:space="preserve">kluczowym narzędziem pozostanie </w:t>
      </w:r>
      <w:r w:rsidR="00286B9A">
        <w:rPr>
          <w:b/>
          <w:bCs/>
        </w:rPr>
        <w:t xml:space="preserve">system świadectw </w:t>
      </w:r>
      <w:r w:rsidR="003F7A7F">
        <w:rPr>
          <w:b/>
          <w:bCs/>
        </w:rPr>
        <w:t xml:space="preserve">efektywności </w:t>
      </w:r>
      <w:r w:rsidR="00286B9A">
        <w:rPr>
          <w:b/>
          <w:bCs/>
        </w:rPr>
        <w:t>energetyczn</w:t>
      </w:r>
      <w:r w:rsidR="003F7A7F">
        <w:rPr>
          <w:b/>
          <w:bCs/>
        </w:rPr>
        <w:t>ej</w:t>
      </w:r>
      <w:r w:rsidR="00286B9A">
        <w:rPr>
          <w:b/>
          <w:bCs/>
        </w:rPr>
        <w:t xml:space="preserve"> </w:t>
      </w:r>
      <w:r w:rsidR="00091500">
        <w:rPr>
          <w:b/>
          <w:bCs/>
        </w:rPr>
        <w:t>(</w:t>
      </w:r>
      <w:r w:rsidR="0071002A">
        <w:rPr>
          <w:b/>
          <w:bCs/>
        </w:rPr>
        <w:t>z mechanizmem opłaty zastępczej</w:t>
      </w:r>
      <w:r w:rsidR="00091500">
        <w:rPr>
          <w:b/>
          <w:bCs/>
        </w:rPr>
        <w:t>)</w:t>
      </w:r>
      <w:r w:rsidR="0071002A">
        <w:rPr>
          <w:b/>
          <w:bCs/>
        </w:rPr>
        <w:t>,</w:t>
      </w:r>
      <w:r w:rsidR="00286B9A">
        <w:rPr>
          <w:b/>
          <w:bCs/>
        </w:rPr>
        <w:t xml:space="preserve"> tzw. </w:t>
      </w:r>
      <w:r w:rsidRPr="007C0534">
        <w:rPr>
          <w:b/>
          <w:bCs/>
        </w:rPr>
        <w:t>system</w:t>
      </w:r>
      <w:r w:rsidR="007C0534" w:rsidRPr="007C0534">
        <w:rPr>
          <w:b/>
          <w:bCs/>
        </w:rPr>
        <w:t xml:space="preserve"> „białych certyfikatów”</w:t>
      </w:r>
      <w:r w:rsidR="007C0534" w:rsidRPr="00286B9A">
        <w:t>,</w:t>
      </w:r>
      <w:r w:rsidR="007C0534" w:rsidRPr="007C0534">
        <w:rPr>
          <w:b/>
          <w:bCs/>
        </w:rPr>
        <w:t xml:space="preserve"> </w:t>
      </w:r>
      <w:r w:rsidR="00854D8B">
        <w:t xml:space="preserve">który </w:t>
      </w:r>
      <w:r w:rsidR="00854D8B" w:rsidRPr="00FB5D0D">
        <w:t>nakłada coroczny obowiązek oszczędności energii na podmioty zobligowane</w:t>
      </w:r>
      <w:r w:rsidR="00854D8B">
        <w:t xml:space="preserve">. </w:t>
      </w:r>
      <w:r w:rsidR="00854D8B" w:rsidRPr="00FB5D0D">
        <w:t>Podmiotami zobowiązanymi są przedsiębiorstwa sprzedające energię elektryczną, ciepło sieciowe, paliwa gazowe odbiorcom końcowym oraz podmioty paliwowe wprowadzające do obrotu paliwa ciekłe</w:t>
      </w:r>
      <w:r w:rsidR="00854D8B">
        <w:t xml:space="preserve">. </w:t>
      </w:r>
      <w:r w:rsidR="00854D8B" w:rsidRPr="00FB5D0D">
        <w:t>Obowiązek może zostać wypełniony przez</w:t>
      </w:r>
      <w:r w:rsidR="00854D8B">
        <w:t xml:space="preserve"> </w:t>
      </w:r>
      <w:r w:rsidR="00854D8B" w:rsidRPr="00FB5D0D">
        <w:rPr>
          <w:b/>
          <w:bCs/>
        </w:rPr>
        <w:t>zrealizowanie przedsięwzięcia służącego poprawie efektywności energetycznej u odbiorcy końcowego</w:t>
      </w:r>
      <w:r w:rsidR="00854D8B" w:rsidRPr="00FB5D0D">
        <w:t xml:space="preserve">, </w:t>
      </w:r>
      <w:r w:rsidR="00854D8B" w:rsidRPr="00FB5D0D">
        <w:rPr>
          <w:b/>
          <w:bCs/>
        </w:rPr>
        <w:t>zrealizowanie programu bezzwrotnych dofinansowań w celu współfinansowania przedsięwzięć służących poprawie efektywności energetycznej</w:t>
      </w:r>
      <w:r w:rsidR="00854D8B">
        <w:t xml:space="preserve"> </w:t>
      </w:r>
      <w:r w:rsidR="00854D8B" w:rsidRPr="00FB5D0D">
        <w:t>lub</w:t>
      </w:r>
      <w:r w:rsidR="00854D8B">
        <w:t xml:space="preserve"> </w:t>
      </w:r>
      <w:r w:rsidR="00854D8B" w:rsidRPr="00FB5D0D">
        <w:rPr>
          <w:b/>
          <w:bCs/>
        </w:rPr>
        <w:t>uzyskanie/zakupienie białych certyfikatów</w:t>
      </w:r>
      <w:r w:rsidR="00854D8B" w:rsidRPr="00F006F7">
        <w:rPr>
          <w:b/>
          <w:bCs/>
        </w:rPr>
        <w:t>.</w:t>
      </w:r>
      <w:r w:rsidR="00854D8B">
        <w:rPr>
          <w:b/>
          <w:bCs/>
        </w:rPr>
        <w:t xml:space="preserve"> </w:t>
      </w:r>
      <w:r w:rsidR="00854D8B" w:rsidRPr="00F006F7">
        <w:t xml:space="preserve">Warto jednak podkreślić, że </w:t>
      </w:r>
      <w:r w:rsidR="00854D8B">
        <w:t>c</w:t>
      </w:r>
      <w:r w:rsidR="00854D8B" w:rsidRPr="00F006F7">
        <w:t xml:space="preserve">elem </w:t>
      </w:r>
      <w:r w:rsidR="00854D8B">
        <w:t>systemu</w:t>
      </w:r>
      <w:r w:rsidR="00854D8B" w:rsidRPr="00F006F7">
        <w:t xml:space="preserve"> jest</w:t>
      </w:r>
      <w:r w:rsidR="00854D8B">
        <w:t xml:space="preserve"> to</w:t>
      </w:r>
      <w:r w:rsidR="00854D8B" w:rsidRPr="00F006F7">
        <w:t>, aby każdy, kto spełni określone wymagania</w:t>
      </w:r>
      <w:r w:rsidR="00854D8B">
        <w:t xml:space="preserve">, tzn. m.in. przedstawi </w:t>
      </w:r>
      <w:r w:rsidR="00854D8B" w:rsidRPr="00F006F7">
        <w:t>audyt efektywności energetycznej dla określonej inwestycji, otrzymał korzyść w</w:t>
      </w:r>
      <w:r w:rsidR="00854D8B">
        <w:t> </w:t>
      </w:r>
      <w:r w:rsidR="00854D8B" w:rsidRPr="00F006F7">
        <w:t>postaci praw majątkowych wynikających ze świadectw efektywności energetycznej</w:t>
      </w:r>
      <w:r w:rsidR="00854D8B">
        <w:t>. System jest zatem mechanizmem rynkowym, stwarzającym zachętę do realizacji zadań z zakresu poprawy efektywności.</w:t>
      </w:r>
    </w:p>
    <w:p w14:paraId="5F29C5AE" w14:textId="29630388" w:rsidR="002F5F1F" w:rsidRDefault="00C05FFE" w:rsidP="002F5F1F">
      <w:pPr>
        <w:spacing w:after="80"/>
      </w:pPr>
      <w:r>
        <w:t>Ponadto określone</w:t>
      </w:r>
      <w:r w:rsidR="0042580D">
        <w:t xml:space="preserve"> zostały dodatkowe rozwiązania, tzw. </w:t>
      </w:r>
      <w:r w:rsidR="0042580D" w:rsidRPr="004232AC">
        <w:rPr>
          <w:b/>
          <w:bCs/>
        </w:rPr>
        <w:t>środki alternatywne</w:t>
      </w:r>
      <w:r w:rsidR="0042580D">
        <w:t>, które</w:t>
      </w:r>
      <w:r w:rsidR="004232AC">
        <w:t xml:space="preserve"> stanowią uzupełnienie dla systemu podstawowego. Zalicza się do nich</w:t>
      </w:r>
      <w:r w:rsidR="002F5F1F">
        <w:t xml:space="preserve"> poniższe</w:t>
      </w:r>
      <w:r w:rsidR="004232AC">
        <w:t>:</w:t>
      </w:r>
    </w:p>
    <w:p w14:paraId="5304C6EE" w14:textId="18BD9B86" w:rsidR="002F5F1F" w:rsidRPr="002F5F1F" w:rsidRDefault="004232AC" w:rsidP="000625AC">
      <w:pPr>
        <w:pStyle w:val="Akapitzlist"/>
        <w:numPr>
          <w:ilvl w:val="0"/>
          <w:numId w:val="31"/>
        </w:numPr>
      </w:pPr>
      <w:r w:rsidRPr="002F5F1F">
        <w:rPr>
          <w:b/>
          <w:bCs/>
        </w:rPr>
        <w:t xml:space="preserve">Fundusz Termomodernizacji i Remontów </w:t>
      </w:r>
      <w:r w:rsidR="00286B9A">
        <w:rPr>
          <w:b/>
          <w:bCs/>
        </w:rPr>
        <w:t>– P</w:t>
      </w:r>
      <w:r w:rsidRPr="002F5F1F">
        <w:rPr>
          <w:b/>
          <w:bCs/>
        </w:rPr>
        <w:t>rogram TERMO</w:t>
      </w:r>
      <w:r w:rsidR="00286B9A">
        <w:rPr>
          <w:b/>
          <w:bCs/>
        </w:rPr>
        <w:t>;</w:t>
      </w:r>
    </w:p>
    <w:p w14:paraId="4F32DF4B" w14:textId="1273ADFB" w:rsidR="002F5F1F" w:rsidRPr="002F5F1F" w:rsidRDefault="004232AC" w:rsidP="000625AC">
      <w:pPr>
        <w:pStyle w:val="Akapitzlist"/>
        <w:numPr>
          <w:ilvl w:val="0"/>
          <w:numId w:val="31"/>
        </w:numPr>
      </w:pPr>
      <w:r w:rsidRPr="002F5F1F">
        <w:rPr>
          <w:b/>
          <w:bCs/>
        </w:rPr>
        <w:t>Ulga podatkowa dotycząca wydatków poniesionych na termomodernizację jednorodzinnych budynków mieszkalnych;</w:t>
      </w:r>
    </w:p>
    <w:p w14:paraId="645C164C" w14:textId="77777777" w:rsidR="002F5F1F" w:rsidRPr="002F5F1F" w:rsidRDefault="004232AC" w:rsidP="000625AC">
      <w:pPr>
        <w:pStyle w:val="Akapitzlist"/>
        <w:numPr>
          <w:ilvl w:val="0"/>
          <w:numId w:val="31"/>
        </w:numPr>
      </w:pPr>
      <w:r w:rsidRPr="002F5F1F">
        <w:rPr>
          <w:b/>
          <w:bCs/>
        </w:rPr>
        <w:t>Rozwój publicznego transportu zbiorowego w miastach;</w:t>
      </w:r>
    </w:p>
    <w:p w14:paraId="2CA72B26" w14:textId="3FCE56CC" w:rsidR="002F5F1F" w:rsidRPr="002F5F1F" w:rsidRDefault="004232AC" w:rsidP="000625AC">
      <w:pPr>
        <w:pStyle w:val="Akapitzlist"/>
        <w:numPr>
          <w:ilvl w:val="0"/>
          <w:numId w:val="31"/>
        </w:numPr>
      </w:pPr>
      <w:r w:rsidRPr="002F5F1F">
        <w:rPr>
          <w:b/>
          <w:bCs/>
        </w:rPr>
        <w:t>Poprawa efektywności energetycznej budynków mieszkalnych;</w:t>
      </w:r>
    </w:p>
    <w:p w14:paraId="7B55F734" w14:textId="00881B88" w:rsidR="004232AC" w:rsidRDefault="004232AC" w:rsidP="000625AC">
      <w:pPr>
        <w:pStyle w:val="Akapitzlist"/>
        <w:numPr>
          <w:ilvl w:val="0"/>
          <w:numId w:val="31"/>
        </w:numPr>
      </w:pPr>
      <w:r w:rsidRPr="002F5F1F">
        <w:rPr>
          <w:b/>
          <w:bCs/>
        </w:rPr>
        <w:t>Efektywny energetycznie sektor publiczny</w:t>
      </w:r>
      <w:r w:rsidR="002F5F1F">
        <w:rPr>
          <w:b/>
          <w:bCs/>
        </w:rPr>
        <w:t>.</w:t>
      </w:r>
    </w:p>
    <w:p w14:paraId="1B45F872" w14:textId="3319C095" w:rsidR="007C0534" w:rsidRPr="002F5F1F" w:rsidRDefault="004232AC" w:rsidP="00F77EB7">
      <w:pPr>
        <w:rPr>
          <w:i/>
          <w:iCs/>
        </w:rPr>
      </w:pPr>
      <w:r>
        <w:t xml:space="preserve">Oba zestawy narzędzi stanowią odpowiedź na </w:t>
      </w:r>
      <w:r w:rsidR="002F5F1F">
        <w:t>zobowiązanie</w:t>
      </w:r>
      <w:r>
        <w:t xml:space="preserve"> z</w:t>
      </w:r>
      <w:r w:rsidR="0042580D">
        <w:t xml:space="preserve"> </w:t>
      </w:r>
      <w:r>
        <w:t xml:space="preserve">art. 8 dyrektywy EED, zgodnie z którym każde państwo członkowskie UE jest zobowiązane do generowania corocznie określonych oszczędności finalnego zużycia energii (1,3–1,9% w zależności od okresu do 2030 r.). </w:t>
      </w:r>
      <w:r w:rsidR="002F5F1F">
        <w:rPr>
          <w:i/>
          <w:iCs/>
        </w:rPr>
        <w:t xml:space="preserve">Kwestia tego obowiązku została szerzej opisana w </w:t>
      </w:r>
      <w:r w:rsidR="00705CF6">
        <w:rPr>
          <w:i/>
          <w:iCs/>
        </w:rPr>
        <w:t>sekcjach</w:t>
      </w:r>
      <w:r w:rsidR="00C52380">
        <w:rPr>
          <w:i/>
          <w:iCs/>
        </w:rPr>
        <w:t>:</w:t>
      </w:r>
      <w:r w:rsidR="002F5F1F">
        <w:rPr>
          <w:i/>
          <w:iCs/>
        </w:rPr>
        <w:t xml:space="preserve"> </w:t>
      </w:r>
      <w:r w:rsidR="002F5F1F">
        <w:rPr>
          <w:i/>
          <w:iCs/>
        </w:rPr>
        <w:fldChar w:fldCharType="begin"/>
      </w:r>
      <w:r w:rsidR="002F5F1F">
        <w:rPr>
          <w:i/>
          <w:iCs/>
        </w:rPr>
        <w:instrText xml:space="preserve"> REF _Ref174024705 \r \h </w:instrText>
      </w:r>
      <w:r w:rsidR="002F5F1F">
        <w:rPr>
          <w:i/>
          <w:iCs/>
        </w:rPr>
      </w:r>
      <w:r w:rsidR="002F5F1F">
        <w:rPr>
          <w:i/>
          <w:iCs/>
        </w:rPr>
        <w:fldChar w:fldCharType="separate"/>
      </w:r>
      <w:r w:rsidR="00871DD5">
        <w:rPr>
          <w:i/>
          <w:iCs/>
        </w:rPr>
        <w:t>Cel 2.1.3</w:t>
      </w:r>
      <w:r w:rsidR="002F5F1F">
        <w:rPr>
          <w:i/>
          <w:iCs/>
        </w:rPr>
        <w:fldChar w:fldCharType="end"/>
      </w:r>
      <w:r w:rsidR="002F5F1F">
        <w:rPr>
          <w:i/>
          <w:iCs/>
        </w:rPr>
        <w:t>.</w:t>
      </w:r>
      <w:r w:rsidR="001066CA">
        <w:rPr>
          <w:i/>
          <w:iCs/>
        </w:rPr>
        <w:t>, a także załącznik 4 do KPEiK.</w:t>
      </w:r>
    </w:p>
    <w:p w14:paraId="5E60FD74" w14:textId="75966723" w:rsidR="00F77EB7" w:rsidRDefault="00A90831" w:rsidP="000201DF">
      <w:pPr>
        <w:spacing w:before="240"/>
      </w:pPr>
      <w:r>
        <w:t xml:space="preserve">Dane historyczne dotyczące </w:t>
      </w:r>
      <w:r w:rsidRPr="00A90831">
        <w:rPr>
          <w:b/>
          <w:bCs/>
        </w:rPr>
        <w:t>wskaźników energochłonności finalnej</w:t>
      </w:r>
      <w:r>
        <w:t xml:space="preserve"> PKB w podziale na sektory wskazują, że w 2020 r. najwyższy poziom tego wskaźnika występował w gospodarstwach domowych (1405 toe/mln EUR’2020), a następnie w transporcie (1066 toe/mln EUR’2020)</w:t>
      </w:r>
      <w:r>
        <w:rPr>
          <w:rStyle w:val="Odwoanieprzypisudolnego"/>
        </w:rPr>
        <w:footnoteReference w:id="79"/>
      </w:r>
      <w:r>
        <w:t xml:space="preserve">. Prognoza wskazuje, że największe tempo redukcji intensywności zużycia energii następować będzie w sektorze transportu. Szczególna uwaga zostaje skupiona na gospodarstwach domowych i sektorze publicznym, które bez wsparcia mogą mieć szczególny problem z poradzeniem sobie wyzwaniami związanymi z redukcją zapotrzebowania na energię. </w:t>
      </w:r>
      <w:r w:rsidR="00F77EB7">
        <w:t>Poniżej wskazano kierunk</w:t>
      </w:r>
      <w:r w:rsidR="00EA4798">
        <w:t>owe obszary działań</w:t>
      </w:r>
      <w:r w:rsidR="00F77EB7">
        <w:t xml:space="preserve">, które powinny </w:t>
      </w:r>
      <w:r w:rsidR="00577DB2">
        <w:t xml:space="preserve">być uwzględniane przez poszczególne sektory w ramach </w:t>
      </w:r>
      <w:r w:rsidR="00EA4798">
        <w:t xml:space="preserve">dążenia do </w:t>
      </w:r>
      <w:r w:rsidR="00577DB2">
        <w:t>popraw</w:t>
      </w:r>
      <w:r w:rsidR="00286B9A">
        <w:t>y</w:t>
      </w:r>
      <w:r w:rsidR="00577DB2">
        <w:t xml:space="preserve"> efektywności energetycznej: </w:t>
      </w:r>
    </w:p>
    <w:p w14:paraId="49E82AF9" w14:textId="71E4E9EA" w:rsidR="00F77EB7" w:rsidRDefault="00F77EB7" w:rsidP="000625AC">
      <w:pPr>
        <w:pStyle w:val="Akapitzlist"/>
        <w:numPr>
          <w:ilvl w:val="0"/>
          <w:numId w:val="32"/>
        </w:numPr>
        <w:spacing w:after="80"/>
        <w:ind w:left="426" w:hanging="357"/>
        <w:contextualSpacing w:val="0"/>
      </w:pPr>
      <w:r w:rsidRPr="00EA4798">
        <w:rPr>
          <w:b/>
          <w:bCs/>
        </w:rPr>
        <w:t>Przemysł i usługi</w:t>
      </w:r>
      <w:r>
        <w:t xml:space="preserve"> – dążenie do obniżania energochłonności procesów; stosowanie systemów zarządzania zużyciem energii</w:t>
      </w:r>
      <w:r w:rsidR="00286B9A">
        <w:t>, w tym eliminowanie zbędnego oświetlenia, zasilania urządzeń i</w:t>
      </w:r>
      <w:r w:rsidR="004E5A0F">
        <w:t> </w:t>
      </w:r>
      <w:r w:rsidR="00286B9A">
        <w:t xml:space="preserve">ogrzewania nieskorelowanego z </w:t>
      </w:r>
      <w:r w:rsidR="009B1643">
        <w:t>zapotrzebowaniem</w:t>
      </w:r>
      <w:r>
        <w:t xml:space="preserve">; wykorzystanie ciepła odpadowego; termomodernizacja poprzedzona audytem energetycznym; wymiana źródeł energii na cechujące się wyższą sprawnością oraz bezemisyjne; </w:t>
      </w:r>
    </w:p>
    <w:p w14:paraId="6AC57882" w14:textId="3E75E237" w:rsidR="00F77EB7" w:rsidRDefault="00F77EB7" w:rsidP="000625AC">
      <w:pPr>
        <w:pStyle w:val="Akapitzlist"/>
        <w:numPr>
          <w:ilvl w:val="0"/>
          <w:numId w:val="32"/>
        </w:numPr>
        <w:spacing w:after="80"/>
        <w:ind w:left="426" w:hanging="357"/>
        <w:contextualSpacing w:val="0"/>
      </w:pPr>
      <w:r w:rsidRPr="00EA4798">
        <w:rPr>
          <w:b/>
          <w:bCs/>
        </w:rPr>
        <w:t>Transport</w:t>
      </w:r>
      <w:r>
        <w:t xml:space="preserve"> – rozwijanie </w:t>
      </w:r>
      <w:r w:rsidRPr="00054C30">
        <w:t>inteligentnych systemów transportowych</w:t>
      </w:r>
      <w:r>
        <w:t>; popularyzacja oszczędnej jazdy; r</w:t>
      </w:r>
      <w:r w:rsidRPr="00054C30">
        <w:t>ozwój publicznego transportu zbiorowego</w:t>
      </w:r>
      <w:r>
        <w:t>; zastępowanie wyeksploatowanej floty pojazdami o</w:t>
      </w:r>
      <w:r w:rsidR="00A90831">
        <w:t> </w:t>
      </w:r>
      <w:r>
        <w:t>wyższej sprawności</w:t>
      </w:r>
      <w:r w:rsidR="00091500">
        <w:t>, zwłaszcza</w:t>
      </w:r>
      <w:r w:rsidR="00091500" w:rsidRPr="00091500">
        <w:t xml:space="preserve"> </w:t>
      </w:r>
      <w:r w:rsidR="00091500">
        <w:t>bezemisyjnymi</w:t>
      </w:r>
      <w:r>
        <w:t xml:space="preserve">; </w:t>
      </w:r>
      <w:r w:rsidR="005A290B">
        <w:t>zmniejszenie</w:t>
      </w:r>
      <w:r w:rsidR="00825BB3">
        <w:t xml:space="preserve"> wykorzystania transportu </w:t>
      </w:r>
      <w:r w:rsidR="00455613">
        <w:t>in</w:t>
      </w:r>
      <w:r w:rsidR="005A290B">
        <w:t>dywidualnego</w:t>
      </w:r>
      <w:r w:rsidR="48F12A3A">
        <w:t>;</w:t>
      </w:r>
      <w:r w:rsidR="00974007">
        <w:t xml:space="preserve">  </w:t>
      </w:r>
    </w:p>
    <w:p w14:paraId="34ACFC34" w14:textId="53B10ACB" w:rsidR="00F77EB7" w:rsidRDefault="00F77EB7" w:rsidP="000625AC">
      <w:pPr>
        <w:pStyle w:val="Akapitzlist"/>
        <w:numPr>
          <w:ilvl w:val="0"/>
          <w:numId w:val="32"/>
        </w:numPr>
        <w:spacing w:after="80"/>
        <w:ind w:left="426" w:hanging="357"/>
        <w:contextualSpacing w:val="0"/>
      </w:pPr>
      <w:r w:rsidRPr="00EA4798">
        <w:rPr>
          <w:b/>
          <w:bCs/>
        </w:rPr>
        <w:lastRenderedPageBreak/>
        <w:t>Gospodarstwa domowe</w:t>
      </w:r>
      <w:r>
        <w:t xml:space="preserve"> </w:t>
      </w:r>
      <w:r w:rsidRPr="00EA4798">
        <w:rPr>
          <w:b/>
          <w:bCs/>
        </w:rPr>
        <w:t>(mieszkalnictwo)</w:t>
      </w:r>
      <w:r>
        <w:t xml:space="preserve"> – termomodernizacja poprzedzona audytem energetycznym; wymiana źródeł ciepła na bardziej efektywne oraz nisko- i bezemisyjne;</w:t>
      </w:r>
      <w:r w:rsidR="00EA4798">
        <w:t xml:space="preserve"> podłączenie do systemu ciepłowniczego</w:t>
      </w:r>
      <w:r w:rsidR="003A7C3D">
        <w:t>;</w:t>
      </w:r>
      <w:r w:rsidR="00286B9A">
        <w:t xml:space="preserve"> racjonalne wykorzystanie z ciepła i energii elektrycznej;</w:t>
      </w:r>
      <w:r w:rsidR="009B1643">
        <w:t xml:space="preserve"> </w:t>
      </w:r>
    </w:p>
    <w:p w14:paraId="6B541CCC" w14:textId="1E07319A" w:rsidR="00F77EB7" w:rsidRDefault="00F77EB7" w:rsidP="000625AC">
      <w:pPr>
        <w:pStyle w:val="Akapitzlist"/>
        <w:numPr>
          <w:ilvl w:val="0"/>
          <w:numId w:val="32"/>
        </w:numPr>
        <w:spacing w:after="80"/>
        <w:ind w:left="426" w:hanging="357"/>
        <w:contextualSpacing w:val="0"/>
      </w:pPr>
      <w:r w:rsidRPr="00EA4798">
        <w:rPr>
          <w:b/>
          <w:bCs/>
        </w:rPr>
        <w:t>Wytwarzanie i dostawy energii</w:t>
      </w:r>
      <w:r>
        <w:t xml:space="preserve"> – popularyzacja rozproszonej produkcji energii; stosowanie </w:t>
      </w:r>
      <w:r w:rsidRPr="00936656">
        <w:t>wysokosprawnej kogeneracji</w:t>
      </w:r>
      <w:r>
        <w:t xml:space="preserve"> oraz lokalnych źródeł energii;</w:t>
      </w:r>
      <w:r w:rsidRPr="00936656">
        <w:t xml:space="preserve"> </w:t>
      </w:r>
      <w:r>
        <w:t>e</w:t>
      </w:r>
      <w:r w:rsidRPr="00936656">
        <w:t>fektywna dystrybucja ciepła i chłodu</w:t>
      </w:r>
      <w:r>
        <w:t>, w</w:t>
      </w:r>
      <w:r w:rsidR="003A7C3D">
        <w:t> </w:t>
      </w:r>
      <w:r>
        <w:t>tym zastosowanie sieci niskotemperaturowych</w:t>
      </w:r>
      <w:r w:rsidR="003A7C3D">
        <w:t>;</w:t>
      </w:r>
      <w:r w:rsidR="009B1643">
        <w:t xml:space="preserve"> efektywne dostawy energii elektrycznej;</w:t>
      </w:r>
    </w:p>
    <w:p w14:paraId="75FE9B10" w14:textId="1C140C5A" w:rsidR="003A7C3D" w:rsidRDefault="003A7C3D" w:rsidP="000625AC">
      <w:pPr>
        <w:pStyle w:val="Akapitzlist"/>
        <w:numPr>
          <w:ilvl w:val="0"/>
          <w:numId w:val="32"/>
        </w:numPr>
        <w:spacing w:after="80"/>
        <w:ind w:left="426" w:hanging="357"/>
        <w:contextualSpacing w:val="0"/>
      </w:pPr>
      <w:r w:rsidRPr="009B1643">
        <w:rPr>
          <w:b/>
          <w:bCs/>
        </w:rPr>
        <w:t>Sektor publiczny</w:t>
      </w:r>
      <w:r>
        <w:t xml:space="preserve"> </w:t>
      </w:r>
      <w:r>
        <w:softHyphen/>
        <w:t>–</w:t>
      </w:r>
      <w:r w:rsidR="00286B9A">
        <w:t xml:space="preserve"> </w:t>
      </w:r>
      <w:r w:rsidR="00286B9A" w:rsidRPr="00836D17">
        <w:t>uwzględniani</w:t>
      </w:r>
      <w:r w:rsidR="00286B9A">
        <w:t>e</w:t>
      </w:r>
      <w:r w:rsidR="00286B9A" w:rsidRPr="00836D17">
        <w:t xml:space="preserve"> kryterium efektywności energetycznej w zamówieniach publicznych</w:t>
      </w:r>
      <w:r w:rsidR="00286B9A">
        <w:t xml:space="preserve">; </w:t>
      </w:r>
      <w:r w:rsidR="00854D8B">
        <w:t>realizacja zadań związanych z wzorcową</w:t>
      </w:r>
      <w:r w:rsidR="009371F9">
        <w:t xml:space="preserve"> </w:t>
      </w:r>
      <w:r w:rsidR="00854D8B">
        <w:t>rol</w:t>
      </w:r>
      <w:r w:rsidR="00091500">
        <w:t>ą</w:t>
      </w:r>
      <w:r w:rsidR="00854D8B">
        <w:t xml:space="preserve"> sektora w zakresie efektywności energetycznej oraz realizacja modernizacji przy wykorzystaniu </w:t>
      </w:r>
      <w:r w:rsidR="00286B9A">
        <w:t xml:space="preserve">umów </w:t>
      </w:r>
      <w:r w:rsidR="00286B9A" w:rsidRPr="00836D17">
        <w:t>o poprawę efektywności energetycznej</w:t>
      </w:r>
      <w:r w:rsidR="00854D8B">
        <w:t>.</w:t>
      </w:r>
    </w:p>
    <w:p w14:paraId="3F45002D" w14:textId="3073AA28" w:rsidR="00B71078" w:rsidRDefault="00B71078" w:rsidP="00B71078">
      <w:pPr>
        <w:spacing w:before="360" w:after="80"/>
      </w:pPr>
      <w:r>
        <w:t xml:space="preserve">Istotną rolę w podwyższaniu efektywności finalnego zużycia energii ma </w:t>
      </w:r>
      <w:r w:rsidR="002E446E">
        <w:t xml:space="preserve">także </w:t>
      </w:r>
      <w:r w:rsidR="00293CD2">
        <w:t xml:space="preserve">zapewnienie odpowiednich standardów w zakresie efektywności energetycznej dla produktów związanych ze zużyciem energii zarówno na etapie ich projektowania (podnoszenia sprawności energetycznej produktów), jak i na etapie ich użytkowania. Szczególną rolę w tym procesie odgrywa </w:t>
      </w:r>
      <w:r w:rsidR="00293CD2" w:rsidRPr="00DA67E6">
        <w:rPr>
          <w:b/>
          <w:bCs/>
        </w:rPr>
        <w:t>etykietowanie energetyczne</w:t>
      </w:r>
      <w:r w:rsidR="00293CD2">
        <w:t>, czyli obowiązek zapewniania konsumentom informacji o m.in. zużyciu energii i klasie energetycznej tych produktów</w:t>
      </w:r>
      <w:r w:rsidR="00293CD2">
        <w:rPr>
          <w:rStyle w:val="Odwoanieprzypisudolnego"/>
        </w:rPr>
        <w:footnoteReference w:id="80"/>
      </w:r>
      <w:r w:rsidR="00293CD2">
        <w:t xml:space="preserve">. </w:t>
      </w:r>
    </w:p>
    <w:p w14:paraId="1690C65C" w14:textId="655F7F1F" w:rsidR="00E34F09" w:rsidRDefault="00DA67E6" w:rsidP="00B71078">
      <w:pPr>
        <w:spacing w:before="360" w:after="80"/>
      </w:pPr>
      <w:r>
        <w:t>E</w:t>
      </w:r>
      <w:r w:rsidR="00E34F09">
        <w:t>dukacja i dostęp do wiedzy z zakresu efektywności energetycznej</w:t>
      </w:r>
      <w:r>
        <w:t xml:space="preserve"> to niezwykle ważny element polityki w zakresie poprawy efektywności energetycznej</w:t>
      </w:r>
      <w:r w:rsidR="00B71078">
        <w:t>.</w:t>
      </w:r>
      <w:r w:rsidR="00E34F09">
        <w:t xml:space="preserve"> </w:t>
      </w:r>
      <w:r w:rsidR="00E34F09" w:rsidRPr="00BE71BB">
        <w:rPr>
          <w:b/>
        </w:rPr>
        <w:t>Platformę informacyjną</w:t>
      </w:r>
      <w:r w:rsidR="00E34F09">
        <w:t xml:space="preserve"> pełni strona internetowa Ministerstwa Klimatu i Środowiska (</w:t>
      </w:r>
      <w:hyperlink r:id="rId78" w:history="1">
        <w:r w:rsidR="00E34F09" w:rsidRPr="00527F4F">
          <w:rPr>
            <w:rStyle w:val="Hipercze"/>
          </w:rPr>
          <w:t>link</w:t>
        </w:r>
      </w:hyperlink>
      <w:r w:rsidR="00E34F09">
        <w:t>). Ponadto sz</w:t>
      </w:r>
      <w:r w:rsidR="009B1643">
        <w:t>czegółowego zakre</w:t>
      </w:r>
      <w:r w:rsidR="005A2689">
        <w:t>s</w:t>
      </w:r>
      <w:r w:rsidR="009B1643">
        <w:t>u</w:t>
      </w:r>
      <w:r w:rsidR="00E34F09">
        <w:t xml:space="preserve"> informacji dostarczają okresowo aktualizowane obwieszczenia </w:t>
      </w:r>
      <w:r w:rsidR="00854D8B">
        <w:t xml:space="preserve">i rozporządzenia </w:t>
      </w:r>
      <w:r w:rsidR="00E34F09" w:rsidRPr="005A2689">
        <w:t>Ministra Klimatu i Środowiska</w:t>
      </w:r>
      <w:r w:rsidR="00E34F09">
        <w:t>:</w:t>
      </w:r>
    </w:p>
    <w:p w14:paraId="0EB1B897" w14:textId="4BF37078" w:rsidR="00E34F09" w:rsidRDefault="00E34F09" w:rsidP="000625AC">
      <w:pPr>
        <w:pStyle w:val="Akapitzlist"/>
        <w:numPr>
          <w:ilvl w:val="0"/>
          <w:numId w:val="34"/>
        </w:numPr>
        <w:ind w:left="426"/>
      </w:pPr>
      <w:bookmarkStart w:id="375" w:name="_Hlk195536660"/>
      <w:r w:rsidRPr="00E34F09">
        <w:t>w sprawie szczegółowego wykazu przedsięwzięć służących poprawie efektywności energetycznej</w:t>
      </w:r>
      <w:r>
        <w:t xml:space="preserve"> (aktualne z dnia 30 listopada 2021 r.),</w:t>
      </w:r>
    </w:p>
    <w:p w14:paraId="48619B1D" w14:textId="325FA0E7" w:rsidR="00854D8B" w:rsidRDefault="009B1643" w:rsidP="000625AC">
      <w:pPr>
        <w:pStyle w:val="Akapitzlist"/>
        <w:numPr>
          <w:ilvl w:val="0"/>
          <w:numId w:val="34"/>
        </w:numPr>
        <w:ind w:left="426"/>
      </w:pPr>
      <w:r w:rsidRPr="009B1643">
        <w:t>w sprawie wykazu programów i instrumentów finansowych dotyczących przedsięwzięć służących poprawie efektywności energetycznej u odbiorcy końcowego</w:t>
      </w:r>
      <w:r w:rsidR="00E34F09">
        <w:t xml:space="preserve"> (aktualne </w:t>
      </w:r>
      <w:r w:rsidR="00E34F09" w:rsidRPr="009B1643">
        <w:t xml:space="preserve">z dnia </w:t>
      </w:r>
      <w:r w:rsidR="004A1189">
        <w:t xml:space="preserve">6 </w:t>
      </w:r>
      <w:r w:rsidR="004A1189" w:rsidRPr="009B1643">
        <w:t>listopada 202</w:t>
      </w:r>
      <w:r w:rsidR="004A1189">
        <w:t>4</w:t>
      </w:r>
      <w:r w:rsidR="004A1189" w:rsidRPr="009B1643">
        <w:t xml:space="preserve"> </w:t>
      </w:r>
      <w:r w:rsidR="00E34F09" w:rsidRPr="009B1643">
        <w:t>r.</w:t>
      </w:r>
      <w:r w:rsidR="00E34F09">
        <w:t>)</w:t>
      </w:r>
      <w:r w:rsidR="00854D8B">
        <w:t>,</w:t>
      </w:r>
    </w:p>
    <w:p w14:paraId="224BC48F" w14:textId="0A73FE97" w:rsidR="00854D8B" w:rsidRDefault="00854D8B" w:rsidP="000625AC">
      <w:pPr>
        <w:pStyle w:val="Akapitzlist"/>
        <w:numPr>
          <w:ilvl w:val="0"/>
          <w:numId w:val="34"/>
        </w:numPr>
        <w:ind w:left="426"/>
      </w:pPr>
      <w:r>
        <w:t>w sprawie aktów delegowanych</w:t>
      </w:r>
      <w:r w:rsidR="00EC1DCF">
        <w:t xml:space="preserve"> dotyczących </w:t>
      </w:r>
      <w:r w:rsidR="00EC1DCF" w:rsidRPr="00EC1DCF">
        <w:t>etykiet efektywno</w:t>
      </w:r>
      <w:r w:rsidR="00EC1DCF" w:rsidRPr="00EC1DCF">
        <w:rPr>
          <w:rFonts w:hint="eastAsia"/>
        </w:rPr>
        <w:t>ś</w:t>
      </w:r>
      <w:r w:rsidR="00EC1DCF" w:rsidRPr="00EC1DCF">
        <w:t>ci energetycznej</w:t>
      </w:r>
      <w:r>
        <w:t xml:space="preserve"> (aktualne z dnia </w:t>
      </w:r>
      <w:r w:rsidR="004A1189">
        <w:t>23 lipca 2021</w:t>
      </w:r>
      <w:r>
        <w:t xml:space="preserve"> r.),</w:t>
      </w:r>
    </w:p>
    <w:p w14:paraId="3B602743" w14:textId="7744CF97" w:rsidR="009B1643" w:rsidRDefault="00854D8B" w:rsidP="000625AC">
      <w:pPr>
        <w:pStyle w:val="Akapitzlist"/>
        <w:numPr>
          <w:ilvl w:val="0"/>
          <w:numId w:val="34"/>
        </w:numPr>
        <w:ind w:left="426"/>
      </w:pPr>
      <w:r>
        <w:t>w sprawie procedur zgodności wyrobów wykorzystujących energię oraz ich oznakowania (aktualne z</w:t>
      </w:r>
      <w:r w:rsidR="00EC1DCF">
        <w:t> </w:t>
      </w:r>
      <w:r w:rsidR="009371F9">
        <w:t xml:space="preserve">dnia </w:t>
      </w:r>
      <w:r w:rsidR="004A1189">
        <w:t xml:space="preserve">3 marca 2025 </w:t>
      </w:r>
      <w:r>
        <w:t>r.)</w:t>
      </w:r>
      <w:r w:rsidR="00E34F09">
        <w:t>.</w:t>
      </w:r>
    </w:p>
    <w:p w14:paraId="2DD38B99" w14:textId="16B86567" w:rsidR="00810DCA" w:rsidRDefault="009602AC" w:rsidP="00810DCA">
      <w:pPr>
        <w:pStyle w:val="Nagwek4"/>
        <w:rPr>
          <w:color w:val="4472C4" w:themeColor="accent1"/>
        </w:rPr>
      </w:pPr>
      <w:bookmarkStart w:id="376" w:name="_Toc159598306"/>
      <w:bookmarkStart w:id="377" w:name="_Ref174024705"/>
      <w:bookmarkStart w:id="378" w:name="_Toc195897292"/>
      <w:bookmarkStart w:id="379" w:name="_Toc205203181"/>
      <w:bookmarkEnd w:id="375"/>
      <w:r>
        <w:rPr>
          <w:color w:val="4472C4" w:themeColor="accent1"/>
        </w:rPr>
        <w:t>Generowanie o</w:t>
      </w:r>
      <w:r w:rsidR="00810DCA">
        <w:rPr>
          <w:color w:val="4472C4" w:themeColor="accent1"/>
        </w:rPr>
        <w:t xml:space="preserve">szczędności </w:t>
      </w:r>
      <w:r w:rsidR="00335AF1">
        <w:rPr>
          <w:color w:val="4472C4" w:themeColor="accent1"/>
        </w:rPr>
        <w:t xml:space="preserve">finalnego </w:t>
      </w:r>
      <w:r w:rsidR="00810DCA">
        <w:rPr>
          <w:color w:val="4472C4" w:themeColor="accent1"/>
        </w:rPr>
        <w:t>zużycia energii</w:t>
      </w:r>
      <w:bookmarkEnd w:id="376"/>
      <w:bookmarkEnd w:id="377"/>
      <w:bookmarkEnd w:id="378"/>
      <w:bookmarkEnd w:id="379"/>
    </w:p>
    <w:tbl>
      <w:tblPr>
        <w:tblStyle w:val="Tabela-Siatka"/>
        <w:tblpPr w:leftFromText="141" w:rightFromText="141" w:vertAnchor="text" w:horzAnchor="margin" w:tblpXSpec="right" w:tblpY="87"/>
        <w:tblW w:w="0" w:type="auto"/>
        <w:tblLook w:val="04A0" w:firstRow="1" w:lastRow="0" w:firstColumn="1" w:lastColumn="0" w:noHBand="0" w:noVBand="1"/>
      </w:tblPr>
      <w:tblGrid>
        <w:gridCol w:w="1139"/>
        <w:gridCol w:w="1139"/>
      </w:tblGrid>
      <w:tr w:rsidR="001B7693" w:rsidRPr="00F142BC" w14:paraId="0A405E48" w14:textId="77777777" w:rsidTr="00AD2955">
        <w:trPr>
          <w:trHeight w:val="271"/>
        </w:trPr>
        <w:tc>
          <w:tcPr>
            <w:tcW w:w="2278" w:type="dxa"/>
            <w:gridSpan w:val="2"/>
            <w:tcBorders>
              <w:top w:val="nil"/>
              <w:left w:val="nil"/>
              <w:bottom w:val="single" w:sz="4" w:space="0" w:color="A6A6A6" w:themeColor="background1" w:themeShade="A6"/>
              <w:right w:val="nil"/>
            </w:tcBorders>
            <w:vAlign w:val="center"/>
          </w:tcPr>
          <w:p w14:paraId="475E5DC6" w14:textId="593E560D" w:rsidR="001B7693" w:rsidRPr="001B7693" w:rsidRDefault="009D40EA" w:rsidP="00454079">
            <w:pPr>
              <w:spacing w:after="60"/>
              <w:jc w:val="center"/>
              <w:rPr>
                <w:b/>
                <w:bCs/>
                <w:sz w:val="18"/>
                <w:szCs w:val="20"/>
              </w:rPr>
            </w:pPr>
            <w:r>
              <w:rPr>
                <w:b/>
                <w:bCs/>
                <w:color w:val="44546A" w:themeColor="text2"/>
                <w:sz w:val="18"/>
                <w:szCs w:val="18"/>
              </w:rPr>
              <w:t xml:space="preserve">Finalne </w:t>
            </w:r>
            <w:r w:rsidR="001B7693" w:rsidRPr="00454079">
              <w:rPr>
                <w:b/>
                <w:bCs/>
                <w:color w:val="44546A" w:themeColor="text2"/>
                <w:sz w:val="18"/>
                <w:szCs w:val="18"/>
              </w:rPr>
              <w:t>zużycie energii – FEC2020–2030</w:t>
            </w:r>
          </w:p>
        </w:tc>
      </w:tr>
      <w:tr w:rsidR="001B7693" w:rsidRPr="00F142BC" w14:paraId="1A0C876C" w14:textId="77777777" w:rsidTr="00AD2955">
        <w:trPr>
          <w:trHeight w:val="271"/>
        </w:trPr>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26DB277" w14:textId="3C3975D1" w:rsidR="001B7693" w:rsidRPr="001B7693" w:rsidRDefault="009B599C" w:rsidP="001B7693">
            <w:pPr>
              <w:jc w:val="center"/>
              <w:rPr>
                <w:b/>
                <w:bCs/>
                <w:color w:val="2F5496" w:themeColor="accent1" w:themeShade="BF"/>
                <w:sz w:val="18"/>
                <w:szCs w:val="18"/>
              </w:rPr>
            </w:pPr>
            <w:r>
              <w:rPr>
                <w:b/>
                <w:bCs/>
                <w:color w:val="2F5496" w:themeColor="accent1" w:themeShade="BF"/>
                <w:sz w:val="18"/>
                <w:szCs w:val="18"/>
              </w:rPr>
              <w:t>r</w:t>
            </w:r>
            <w:r w:rsidR="001B7693" w:rsidRPr="001B7693">
              <w:rPr>
                <w:b/>
                <w:bCs/>
                <w:color w:val="2F5496" w:themeColor="accent1" w:themeShade="BF"/>
                <w:sz w:val="18"/>
                <w:szCs w:val="18"/>
              </w:rPr>
              <w:t>ok</w:t>
            </w:r>
          </w:p>
        </w:tc>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6475EB" w14:textId="77777777" w:rsidR="001B7693" w:rsidRPr="001B7693" w:rsidRDefault="001B7693" w:rsidP="001B7693">
            <w:pPr>
              <w:jc w:val="center"/>
              <w:rPr>
                <w:b/>
                <w:bCs/>
                <w:color w:val="2F5496" w:themeColor="accent1" w:themeShade="BF"/>
                <w:sz w:val="18"/>
                <w:szCs w:val="18"/>
              </w:rPr>
            </w:pPr>
            <w:r w:rsidRPr="001B7693">
              <w:rPr>
                <w:b/>
                <w:bCs/>
                <w:color w:val="2F5496" w:themeColor="accent1" w:themeShade="BF"/>
                <w:sz w:val="18"/>
                <w:szCs w:val="18"/>
              </w:rPr>
              <w:t>ktoe</w:t>
            </w:r>
          </w:p>
        </w:tc>
      </w:tr>
      <w:tr w:rsidR="005A2689" w:rsidRPr="00F142BC" w14:paraId="5A3B2988" w14:textId="77777777" w:rsidTr="00AD2955">
        <w:trPr>
          <w:trHeight w:val="271"/>
        </w:trPr>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B405E9" w14:textId="1721C6BF" w:rsidR="005A2689" w:rsidRPr="00F142BC" w:rsidRDefault="005A2689" w:rsidP="005A2689">
            <w:pPr>
              <w:jc w:val="center"/>
              <w:rPr>
                <w:sz w:val="18"/>
                <w:szCs w:val="20"/>
              </w:rPr>
            </w:pPr>
            <w:r w:rsidRPr="00F142BC">
              <w:rPr>
                <w:sz w:val="18"/>
                <w:szCs w:val="20"/>
              </w:rPr>
              <w:t>2016</w:t>
            </w:r>
          </w:p>
        </w:tc>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53A705" w14:textId="05D23B3F" w:rsidR="005A2689" w:rsidRPr="00F142BC" w:rsidRDefault="005A2689" w:rsidP="005A2689">
            <w:pPr>
              <w:jc w:val="center"/>
              <w:rPr>
                <w:sz w:val="18"/>
                <w:szCs w:val="20"/>
              </w:rPr>
            </w:pPr>
            <w:r>
              <w:rPr>
                <w:sz w:val="18"/>
                <w:szCs w:val="20"/>
              </w:rPr>
              <w:t>65 663</w:t>
            </w:r>
          </w:p>
        </w:tc>
      </w:tr>
      <w:tr w:rsidR="005A2689" w:rsidRPr="00F142BC" w14:paraId="3387697B" w14:textId="77777777" w:rsidTr="00AD2955">
        <w:trPr>
          <w:trHeight w:val="284"/>
        </w:trPr>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B52185" w14:textId="6D3799A7" w:rsidR="005A2689" w:rsidRPr="00F142BC" w:rsidRDefault="005A2689" w:rsidP="005A2689">
            <w:pPr>
              <w:jc w:val="center"/>
              <w:rPr>
                <w:sz w:val="18"/>
                <w:szCs w:val="20"/>
              </w:rPr>
            </w:pPr>
            <w:r w:rsidRPr="00F142BC">
              <w:rPr>
                <w:sz w:val="18"/>
                <w:szCs w:val="20"/>
              </w:rPr>
              <w:t>2017</w:t>
            </w:r>
          </w:p>
        </w:tc>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D3C05D" w14:textId="090E9D99" w:rsidR="005A2689" w:rsidRPr="00F142BC" w:rsidRDefault="005A2689" w:rsidP="005A2689">
            <w:pPr>
              <w:jc w:val="center"/>
              <w:rPr>
                <w:sz w:val="18"/>
                <w:szCs w:val="20"/>
              </w:rPr>
            </w:pPr>
            <w:r>
              <w:rPr>
                <w:sz w:val="18"/>
                <w:szCs w:val="20"/>
              </w:rPr>
              <w:t>69 908</w:t>
            </w:r>
          </w:p>
        </w:tc>
      </w:tr>
      <w:tr w:rsidR="005A2689" w:rsidRPr="00F142BC" w14:paraId="26C7FD1D" w14:textId="77777777" w:rsidTr="00AD2955">
        <w:trPr>
          <w:trHeight w:val="271"/>
        </w:trPr>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E66847" w14:textId="10C0A8DD" w:rsidR="005A2689" w:rsidRPr="00F142BC" w:rsidRDefault="005A2689" w:rsidP="005A2689">
            <w:pPr>
              <w:jc w:val="center"/>
              <w:rPr>
                <w:sz w:val="18"/>
                <w:szCs w:val="20"/>
              </w:rPr>
            </w:pPr>
            <w:r w:rsidRPr="00F142BC">
              <w:rPr>
                <w:sz w:val="18"/>
                <w:szCs w:val="20"/>
              </w:rPr>
              <w:t>2018</w:t>
            </w:r>
          </w:p>
        </w:tc>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3B5F68" w14:textId="4A1AD531" w:rsidR="005A2689" w:rsidRPr="00F142BC" w:rsidRDefault="005A2689" w:rsidP="005A2689">
            <w:pPr>
              <w:jc w:val="center"/>
              <w:rPr>
                <w:sz w:val="18"/>
                <w:szCs w:val="20"/>
              </w:rPr>
            </w:pPr>
            <w:r w:rsidRPr="00F142BC">
              <w:rPr>
                <w:sz w:val="18"/>
                <w:szCs w:val="20"/>
              </w:rPr>
              <w:t>7</w:t>
            </w:r>
            <w:r>
              <w:rPr>
                <w:sz w:val="18"/>
                <w:szCs w:val="20"/>
              </w:rPr>
              <w:t>3</w:t>
            </w:r>
            <w:r w:rsidRPr="00F142BC">
              <w:rPr>
                <w:sz w:val="18"/>
                <w:szCs w:val="20"/>
              </w:rPr>
              <w:t xml:space="preserve"> 87</w:t>
            </w:r>
            <w:r>
              <w:rPr>
                <w:sz w:val="18"/>
                <w:szCs w:val="20"/>
              </w:rPr>
              <w:t>5</w:t>
            </w:r>
          </w:p>
        </w:tc>
      </w:tr>
      <w:tr w:rsidR="005A2689" w:rsidRPr="00F142BC" w14:paraId="086A0D19" w14:textId="77777777" w:rsidTr="00AD2955">
        <w:trPr>
          <w:trHeight w:val="410"/>
        </w:trPr>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45FD54" w14:textId="57659D21" w:rsidR="005A2689" w:rsidRPr="00F142BC" w:rsidRDefault="00EB5A04" w:rsidP="005A2689">
            <w:pPr>
              <w:jc w:val="center"/>
              <w:rPr>
                <w:b/>
                <w:bCs/>
                <w:sz w:val="18"/>
                <w:szCs w:val="20"/>
              </w:rPr>
            </w:pPr>
            <w:r>
              <w:rPr>
                <w:b/>
                <w:bCs/>
                <w:sz w:val="18"/>
                <w:szCs w:val="20"/>
              </w:rPr>
              <w:t>ś</w:t>
            </w:r>
            <w:r w:rsidR="005A2689" w:rsidRPr="00F142BC">
              <w:rPr>
                <w:b/>
                <w:bCs/>
                <w:sz w:val="18"/>
                <w:szCs w:val="20"/>
              </w:rPr>
              <w:t>rednia</w:t>
            </w:r>
          </w:p>
        </w:tc>
        <w:tc>
          <w:tcPr>
            <w:tcW w:w="11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145768" w14:textId="586442A6" w:rsidR="005A2689" w:rsidRPr="00F142BC" w:rsidRDefault="005A2689" w:rsidP="005A2689">
            <w:pPr>
              <w:jc w:val="center"/>
              <w:rPr>
                <w:b/>
                <w:bCs/>
                <w:sz w:val="18"/>
                <w:szCs w:val="20"/>
              </w:rPr>
            </w:pPr>
            <w:r>
              <w:rPr>
                <w:b/>
                <w:bCs/>
                <w:sz w:val="18"/>
                <w:szCs w:val="20"/>
              </w:rPr>
              <w:t>69 815</w:t>
            </w:r>
          </w:p>
        </w:tc>
      </w:tr>
    </w:tbl>
    <w:p w14:paraId="1EF0FD5F" w14:textId="3A72847D" w:rsidR="00335AF1" w:rsidRDefault="00DA2210" w:rsidP="0066371E">
      <w:pPr>
        <w:spacing w:after="0"/>
      </w:pPr>
      <w:r>
        <w:t>P</w:t>
      </w:r>
      <w:r w:rsidR="009602AC" w:rsidRPr="00B914A7">
        <w:t xml:space="preserve">aństwa członkowskie UE </w:t>
      </w:r>
      <w:r>
        <w:t>są zobowiązane</w:t>
      </w:r>
      <w:r>
        <w:rPr>
          <w:rStyle w:val="Odwoanieprzypisudolnego"/>
        </w:rPr>
        <w:footnoteReference w:id="81"/>
      </w:r>
      <w:r>
        <w:t xml:space="preserve"> </w:t>
      </w:r>
      <w:r w:rsidR="009602AC" w:rsidRPr="00B914A7">
        <w:t xml:space="preserve">do </w:t>
      </w:r>
      <w:r w:rsidR="009602AC" w:rsidRPr="006C4467">
        <w:rPr>
          <w:b/>
          <w:bCs/>
        </w:rPr>
        <w:t>osiągania co roku nowych oszczędności</w:t>
      </w:r>
      <w:r w:rsidR="006C4467">
        <w:rPr>
          <w:b/>
          <w:bCs/>
        </w:rPr>
        <w:t xml:space="preserve"> finalnego zużycia energii</w:t>
      </w:r>
      <w:r w:rsidR="006C4467">
        <w:t>, obliczanych jako odsetek uśrednionego</w:t>
      </w:r>
      <w:r w:rsidR="003142A0">
        <w:t xml:space="preserve"> rzeczywistego</w:t>
      </w:r>
      <w:r w:rsidR="006C4467">
        <w:t xml:space="preserve"> zużycia </w:t>
      </w:r>
      <w:r w:rsidR="003142A0">
        <w:t xml:space="preserve">energii </w:t>
      </w:r>
      <w:r w:rsidR="006C4467">
        <w:t>w latach 2016–2018</w:t>
      </w:r>
      <w:r w:rsidR="001B7693">
        <w:rPr>
          <w:rStyle w:val="Odwoanieprzypisudolnego"/>
        </w:rPr>
        <w:footnoteReference w:id="82"/>
      </w:r>
      <w:r w:rsidR="009602AC" w:rsidRPr="00B914A7">
        <w:t>:</w:t>
      </w:r>
    </w:p>
    <w:p w14:paraId="0356AC93" w14:textId="6BC72415" w:rsidR="006C4467" w:rsidRDefault="006C4467" w:rsidP="003530A9">
      <w:pPr>
        <w:pStyle w:val="Akapitzlist"/>
        <w:numPr>
          <w:ilvl w:val="0"/>
          <w:numId w:val="15"/>
        </w:numPr>
        <w:ind w:left="426"/>
      </w:pPr>
      <w:r>
        <w:t>2021–2023 – 0,8% rocznego finalnego zużycia energii</w:t>
      </w:r>
      <w:r w:rsidR="001B7693">
        <w:t xml:space="preserve"> </w:t>
      </w:r>
      <w:r>
        <w:t>(tj. 566 ktoe);</w:t>
      </w:r>
    </w:p>
    <w:p w14:paraId="4A6B7D41" w14:textId="7EDDA42F" w:rsidR="00335AF1" w:rsidRDefault="005B442A" w:rsidP="003530A9">
      <w:pPr>
        <w:pStyle w:val="Akapitzlist"/>
        <w:numPr>
          <w:ilvl w:val="0"/>
          <w:numId w:val="15"/>
        </w:numPr>
        <w:ind w:left="426"/>
      </w:pPr>
      <w:r>
        <w:t xml:space="preserve">2024–2025 – 1,3% rocznego </w:t>
      </w:r>
      <w:r w:rsidR="00335AF1">
        <w:t xml:space="preserve">finalnego </w:t>
      </w:r>
      <w:r>
        <w:t>zużycia energii</w:t>
      </w:r>
      <w:r w:rsidR="006C4467">
        <w:t xml:space="preserve"> (tj. 920 ktoe)</w:t>
      </w:r>
      <w:r>
        <w:t>;</w:t>
      </w:r>
    </w:p>
    <w:p w14:paraId="3D5A8B18" w14:textId="3364DE9B" w:rsidR="00335AF1" w:rsidRDefault="005B442A" w:rsidP="003530A9">
      <w:pPr>
        <w:pStyle w:val="Akapitzlist"/>
        <w:numPr>
          <w:ilvl w:val="0"/>
          <w:numId w:val="15"/>
        </w:numPr>
        <w:ind w:left="426"/>
      </w:pPr>
      <w:r>
        <w:t>2026–2027 – 1,5</w:t>
      </w:r>
      <w:r w:rsidR="009602AC">
        <w:t>%</w:t>
      </w:r>
      <w:r>
        <w:t xml:space="preserve"> rocznego </w:t>
      </w:r>
      <w:r w:rsidR="00335AF1">
        <w:t xml:space="preserve">finalnego </w:t>
      </w:r>
      <w:r>
        <w:t>zużycia energii</w:t>
      </w:r>
      <w:r w:rsidR="006C4467">
        <w:t xml:space="preserve"> (tj. 10</w:t>
      </w:r>
      <w:r w:rsidR="00356B54">
        <w:t>47</w:t>
      </w:r>
      <w:r w:rsidR="006C4467">
        <w:t xml:space="preserve"> ktoe)</w:t>
      </w:r>
      <w:r>
        <w:t>;</w:t>
      </w:r>
    </w:p>
    <w:p w14:paraId="66E584B1" w14:textId="3FBCBB6C" w:rsidR="005B442A" w:rsidRDefault="005B442A" w:rsidP="003530A9">
      <w:pPr>
        <w:pStyle w:val="Akapitzlist"/>
        <w:numPr>
          <w:ilvl w:val="0"/>
          <w:numId w:val="15"/>
        </w:numPr>
        <w:ind w:left="426"/>
      </w:pPr>
      <w:r>
        <w:t xml:space="preserve">2028–2030 – 1,9% rocznego </w:t>
      </w:r>
      <w:r w:rsidR="00335AF1">
        <w:t xml:space="preserve">finalnego </w:t>
      </w:r>
      <w:r>
        <w:t>zużycia energii</w:t>
      </w:r>
      <w:r w:rsidR="006C4467">
        <w:t xml:space="preserve"> (tj. 13</w:t>
      </w:r>
      <w:r w:rsidR="00356B54">
        <w:t>26</w:t>
      </w:r>
      <w:r w:rsidR="006C4467">
        <w:t xml:space="preserve"> ktoe).</w:t>
      </w:r>
    </w:p>
    <w:p w14:paraId="57A8ECF8" w14:textId="1D27A4D0" w:rsidR="00256C2B" w:rsidRDefault="00070AAD" w:rsidP="00EC099E">
      <w:pPr>
        <w:spacing w:before="480"/>
      </w:pPr>
      <w:r w:rsidRPr="00EC099E">
        <w:t>Zgodnie z art. 8 ust. 1 akapit 2 dyrektywy EED państwa członkowskie decydują w jaki sposób rozłożyć</w:t>
      </w:r>
      <w:r w:rsidRPr="00070AAD">
        <w:t xml:space="preserve"> obliczoną wielkość nowych oszczędności</w:t>
      </w:r>
      <w:r w:rsidR="00EC099E">
        <w:t xml:space="preserve"> </w:t>
      </w:r>
      <w:r w:rsidRPr="00070AAD">
        <w:t>w</w:t>
      </w:r>
      <w:r w:rsidR="00EC099E">
        <w:t> </w:t>
      </w:r>
      <w:r w:rsidRPr="00070AAD">
        <w:t xml:space="preserve">każdym z wyżej wskazanych </w:t>
      </w:r>
      <w:r w:rsidRPr="00070AAD">
        <w:lastRenderedPageBreak/>
        <w:t xml:space="preserve">okresów pod warunkiem, że na koniec okresu objętego obowiązkiem osiągnięte zostaną wymagane całkowite skumulowane oszczędności </w:t>
      </w:r>
      <w:r w:rsidR="00454079">
        <w:t>finalnego</w:t>
      </w:r>
      <w:r w:rsidR="00454079" w:rsidRPr="00070AAD">
        <w:t xml:space="preserve"> </w:t>
      </w:r>
      <w:r w:rsidRPr="00070AAD">
        <w:t xml:space="preserve">zużycia energii. </w:t>
      </w:r>
    </w:p>
    <w:p w14:paraId="0BE0DC71" w14:textId="3D1339F4" w:rsidR="00070AAD" w:rsidRDefault="00F142BC" w:rsidP="00EC099E">
      <w:pPr>
        <w:pStyle w:val="Cele"/>
        <w:spacing w:after="120"/>
        <w:rPr>
          <w:rStyle w:val="rynqvb"/>
          <w:b/>
          <w:bCs/>
        </w:rPr>
      </w:pPr>
      <w:r>
        <w:rPr>
          <w:rStyle w:val="rynqvb"/>
          <w:b/>
          <w:bCs/>
        </w:rPr>
        <w:t xml:space="preserve">Polska określa </w:t>
      </w:r>
      <w:r w:rsidR="00070AAD">
        <w:rPr>
          <w:rStyle w:val="rynqvb"/>
          <w:b/>
          <w:bCs/>
        </w:rPr>
        <w:t>ścieżk</w:t>
      </w:r>
      <w:r>
        <w:rPr>
          <w:rStyle w:val="rynqvb"/>
          <w:b/>
          <w:bCs/>
        </w:rPr>
        <w:t xml:space="preserve">ę dążenia do </w:t>
      </w:r>
      <w:r w:rsidR="00070AAD" w:rsidRPr="00E35197">
        <w:rPr>
          <w:rStyle w:val="rynqvb"/>
          <w:b/>
          <w:bCs/>
        </w:rPr>
        <w:t xml:space="preserve">osiągnięcia </w:t>
      </w:r>
      <w:r w:rsidR="000E1116">
        <w:rPr>
          <w:rStyle w:val="rynqvb"/>
          <w:b/>
          <w:bCs/>
        </w:rPr>
        <w:t xml:space="preserve">oszczędności finalnego </w:t>
      </w:r>
      <w:r w:rsidR="00366FD8">
        <w:rPr>
          <w:rStyle w:val="rynqvb"/>
          <w:b/>
          <w:bCs/>
        </w:rPr>
        <w:t>zużycia energii</w:t>
      </w:r>
      <w:r w:rsidR="00070AAD" w:rsidRPr="00E35197">
        <w:rPr>
          <w:rStyle w:val="rynqvb"/>
          <w:b/>
          <w:bCs/>
        </w:rPr>
        <w:t xml:space="preserve"> </w:t>
      </w:r>
      <w:r>
        <w:rPr>
          <w:rStyle w:val="rynqvb"/>
          <w:b/>
          <w:bCs/>
        </w:rPr>
        <w:t>w</w:t>
      </w:r>
      <w:r w:rsidR="00070AAD" w:rsidRPr="00E35197">
        <w:rPr>
          <w:rStyle w:val="rynqvb"/>
          <w:b/>
          <w:bCs/>
        </w:rPr>
        <w:t xml:space="preserve"> latach 202</w:t>
      </w:r>
      <w:r>
        <w:rPr>
          <w:rStyle w:val="rynqvb"/>
          <w:b/>
          <w:bCs/>
        </w:rPr>
        <w:t>1</w:t>
      </w:r>
      <w:r w:rsidR="00070AAD">
        <w:rPr>
          <w:rStyle w:val="rynqvb"/>
          <w:b/>
          <w:bCs/>
        </w:rPr>
        <w:t>–</w:t>
      </w:r>
      <w:r w:rsidR="00070AAD" w:rsidRPr="00E35197">
        <w:rPr>
          <w:rStyle w:val="rynqvb"/>
          <w:b/>
          <w:bCs/>
        </w:rPr>
        <w:t>2030</w:t>
      </w:r>
      <w:r>
        <w:rPr>
          <w:rStyle w:val="rynqvb"/>
          <w:b/>
          <w:bCs/>
        </w:rPr>
        <w:t xml:space="preserve"> na poziomie </w:t>
      </w:r>
      <w:r w:rsidR="00070AAD">
        <w:rPr>
          <w:rStyle w:val="rynqvb"/>
          <w:b/>
          <w:bCs/>
        </w:rPr>
        <w:t>44 </w:t>
      </w:r>
      <w:r w:rsidR="00527F4F">
        <w:rPr>
          <w:rStyle w:val="rynqvb"/>
          <w:b/>
          <w:bCs/>
        </w:rPr>
        <w:t>465</w:t>
      </w:r>
      <w:r w:rsidR="00070AAD">
        <w:rPr>
          <w:rStyle w:val="rynqvb"/>
          <w:b/>
          <w:bCs/>
        </w:rPr>
        <w:t xml:space="preserve"> ktoe</w:t>
      </w:r>
      <w:r w:rsidR="00A90831">
        <w:rPr>
          <w:rStyle w:val="rynqvb"/>
          <w:b/>
          <w:bCs/>
        </w:rPr>
        <w:t xml:space="preserve"> (</w:t>
      </w:r>
      <w:r>
        <w:rPr>
          <w:rStyle w:val="rynqvb"/>
          <w:b/>
          <w:bCs/>
        </w:rPr>
        <w:t>według trajektorii w tabeli poniżej</w:t>
      </w:r>
      <w:r w:rsidR="00A90831">
        <w:rPr>
          <w:rStyle w:val="rynqvb"/>
          <w:b/>
          <w:bCs/>
        </w:rPr>
        <w:t>)</w:t>
      </w:r>
      <w:r>
        <w:rPr>
          <w:rStyle w:val="rynqvb"/>
          <w:b/>
          <w:bCs/>
        </w:rPr>
        <w:t>.</w:t>
      </w:r>
    </w:p>
    <w:p w14:paraId="2079C7E0" w14:textId="6053834A" w:rsidR="00A90831" w:rsidRDefault="00A90831" w:rsidP="00A90831">
      <w:pPr>
        <w:spacing w:before="480"/>
      </w:pPr>
      <w:r>
        <w:t xml:space="preserve">Redukcja potrzeb energetycznych jest również narzędziem przeciwdziałania istniejącemu ubóstwu energetycznemu. Z tego względu art. 8 ust. 3 EED obliguje, aby </w:t>
      </w:r>
      <w:r>
        <w:rPr>
          <w:b/>
          <w:bCs/>
        </w:rPr>
        <w:t xml:space="preserve">określony odsetek </w:t>
      </w:r>
      <w:r w:rsidRPr="00EC2390">
        <w:rPr>
          <w:b/>
          <w:bCs/>
        </w:rPr>
        <w:t xml:space="preserve">skumulowanej </w:t>
      </w:r>
      <w:r w:rsidRPr="00F142BC">
        <w:rPr>
          <w:b/>
          <w:bCs/>
        </w:rPr>
        <w:t>oszczędności finalnego zużycia energii</w:t>
      </w:r>
      <w:r>
        <w:rPr>
          <w:b/>
          <w:bCs/>
        </w:rPr>
        <w:t xml:space="preserve"> wynikał z działań podjętych </w:t>
      </w:r>
      <w:r w:rsidRPr="00F142BC">
        <w:rPr>
          <w:b/>
          <w:bCs/>
        </w:rPr>
        <w:t>wśród osób dotkniętych ubóstwem energetycznym, odbiorców wrażliwych oraz osób zajmujących mieszkania socjalne</w:t>
      </w:r>
      <w:r w:rsidRPr="004D7678">
        <w:t xml:space="preserve">. </w:t>
      </w:r>
      <w:r w:rsidR="006C334E">
        <w:t>W oparciu o</w:t>
      </w:r>
      <w:r w:rsidR="004E5A0F">
        <w:t> </w:t>
      </w:r>
      <w:r w:rsidR="006C334E">
        <w:t>dyrektywę EED, j</w:t>
      </w:r>
      <w:r w:rsidRPr="004D7678">
        <w:t xml:space="preserve">est </w:t>
      </w:r>
      <w:r>
        <w:t xml:space="preserve">on </w:t>
      </w:r>
      <w:r w:rsidRPr="004D7678">
        <w:t xml:space="preserve">co najmniej równy średniej arytmetycznej udziału </w:t>
      </w:r>
      <w:r>
        <w:t xml:space="preserve">czterech </w:t>
      </w:r>
      <w:r w:rsidRPr="004D7678">
        <w:t>wskaźników</w:t>
      </w:r>
      <w:r>
        <w:t xml:space="preserve"> odnoszących się do ubóstwa energetycznego</w:t>
      </w:r>
      <w:r w:rsidRPr="004D7678">
        <w:t xml:space="preserve"> za 2019 r.</w:t>
      </w:r>
      <w:r>
        <w:t xml:space="preserve">, </w:t>
      </w:r>
      <w:r w:rsidR="000E3C73">
        <w:t>który</w:t>
      </w:r>
      <w:r>
        <w:t xml:space="preserve"> w przypadku Polski wynosi</w:t>
      </w:r>
      <w:r w:rsidR="008D7C1A">
        <w:t>ł</w:t>
      </w:r>
      <w:r>
        <w:t xml:space="preserve"> 9,05%</w:t>
      </w:r>
      <w:r>
        <w:rPr>
          <w:rStyle w:val="Odwoanieprzypisudolnego"/>
        </w:rPr>
        <w:footnoteReference w:id="83"/>
      </w:r>
      <w:r>
        <w:t xml:space="preserve"> .</w:t>
      </w:r>
      <w:r w:rsidR="003E2DE5">
        <w:t xml:space="preserve"> </w:t>
      </w:r>
    </w:p>
    <w:p w14:paraId="7AF5A341" w14:textId="77777777" w:rsidR="00A90831" w:rsidRDefault="00A90831" w:rsidP="00A90831">
      <w:pPr>
        <w:pStyle w:val="Cele"/>
        <w:rPr>
          <w:rStyle w:val="CeleZnak"/>
          <w:b/>
        </w:rPr>
      </w:pPr>
      <w:r w:rsidRPr="00192CC1">
        <w:rPr>
          <w:rStyle w:val="CeleZnak"/>
          <w:bCs/>
        </w:rPr>
        <w:t>Polska będzie dążyć do osiągnięcia</w:t>
      </w:r>
      <w:r>
        <w:rPr>
          <w:rStyle w:val="CeleZnak"/>
          <w:b/>
        </w:rPr>
        <w:t xml:space="preserve"> w latach 2024-2030 całkowitych skumulowanych oszczędności końcowego zużycia energii wśród osób dotkniętych ubóstwem energetycznym na poziomie 2 678 ktoe.</w:t>
      </w:r>
    </w:p>
    <w:p w14:paraId="5FF75559" w14:textId="5A8EEAA0" w:rsidR="0058729A" w:rsidRDefault="0058729A" w:rsidP="0058729A">
      <w:pPr>
        <w:pStyle w:val="Legenda"/>
        <w:keepNext/>
      </w:pPr>
    </w:p>
    <w:p w14:paraId="7B36C060" w14:textId="5E01318D" w:rsidR="002D52E0" w:rsidRDefault="002D52E0" w:rsidP="002D52E0">
      <w:pPr>
        <w:pStyle w:val="Legenda"/>
        <w:keepNext/>
      </w:pPr>
      <w:bookmarkStart w:id="380" w:name="_Toc205204374"/>
      <w:r>
        <w:t xml:space="preserve">Tabela </w:t>
      </w:r>
      <w:fldSimple w:instr=" SEQ Tabela \* ARABIC ">
        <w:r w:rsidR="00871DD5">
          <w:rPr>
            <w:noProof/>
          </w:rPr>
          <w:t>8</w:t>
        </w:r>
      </w:fldSimple>
      <w:r>
        <w:t xml:space="preserve">. </w:t>
      </w:r>
      <w:r w:rsidRPr="00E666E4">
        <w:t>Trajektoria osiągania skumulowanych oszczędności finalnego zużycia energii</w:t>
      </w:r>
      <w:bookmarkEnd w:id="380"/>
    </w:p>
    <w:tbl>
      <w:tblPr>
        <w:tblpPr w:leftFromText="141" w:rightFromText="141" w:vertAnchor="text" w:horzAnchor="margin" w:tblpY="1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7"/>
        <w:gridCol w:w="607"/>
        <w:gridCol w:w="604"/>
        <w:gridCol w:w="604"/>
        <w:gridCol w:w="604"/>
        <w:gridCol w:w="604"/>
        <w:gridCol w:w="604"/>
        <w:gridCol w:w="602"/>
        <w:gridCol w:w="602"/>
        <w:gridCol w:w="602"/>
        <w:gridCol w:w="604"/>
        <w:gridCol w:w="1688"/>
      </w:tblGrid>
      <w:tr w:rsidR="00F142BC" w:rsidRPr="00860A2E" w14:paraId="69522666" w14:textId="77777777" w:rsidTr="00F142BC">
        <w:trPr>
          <w:trHeight w:val="132"/>
        </w:trPr>
        <w:tc>
          <w:tcPr>
            <w:tcW w:w="1337" w:type="dxa"/>
            <w:shd w:val="clear" w:color="auto" w:fill="F2F2F2" w:themeFill="background1" w:themeFillShade="F2"/>
            <w:noWrap/>
            <w:vAlign w:val="center"/>
            <w:hideMark/>
          </w:tcPr>
          <w:p w14:paraId="3D2F6FF0" w14:textId="77777777" w:rsidR="00070AAD" w:rsidRPr="003142A0" w:rsidRDefault="00070AAD">
            <w:pPr>
              <w:spacing w:after="0"/>
              <w:jc w:val="center"/>
              <w:rPr>
                <w:b/>
                <w:bCs/>
                <w:color w:val="2F5496" w:themeColor="accent1" w:themeShade="BF"/>
                <w:szCs w:val="20"/>
                <w:lang w:eastAsia="pl-PL"/>
              </w:rPr>
            </w:pPr>
            <w:r w:rsidRPr="003142A0">
              <w:rPr>
                <w:b/>
                <w:bCs/>
                <w:color w:val="2F5496" w:themeColor="accent1" w:themeShade="BF"/>
                <w:sz w:val="18"/>
                <w:szCs w:val="18"/>
                <w:lang w:eastAsia="pl-PL"/>
              </w:rPr>
              <w:t>rok</w:t>
            </w:r>
          </w:p>
        </w:tc>
        <w:tc>
          <w:tcPr>
            <w:tcW w:w="607" w:type="dxa"/>
            <w:shd w:val="clear" w:color="auto" w:fill="F2F2F2" w:themeFill="background1" w:themeFillShade="F2"/>
            <w:noWrap/>
            <w:vAlign w:val="center"/>
            <w:hideMark/>
          </w:tcPr>
          <w:p w14:paraId="5FE628AC"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2021</w:t>
            </w:r>
          </w:p>
        </w:tc>
        <w:tc>
          <w:tcPr>
            <w:tcW w:w="604" w:type="dxa"/>
            <w:shd w:val="clear" w:color="auto" w:fill="F2F2F2" w:themeFill="background1" w:themeFillShade="F2"/>
            <w:noWrap/>
            <w:vAlign w:val="center"/>
            <w:hideMark/>
          </w:tcPr>
          <w:p w14:paraId="1BB32A33"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2022</w:t>
            </w:r>
          </w:p>
        </w:tc>
        <w:tc>
          <w:tcPr>
            <w:tcW w:w="604" w:type="dxa"/>
            <w:shd w:val="clear" w:color="auto" w:fill="F2F2F2" w:themeFill="background1" w:themeFillShade="F2"/>
            <w:noWrap/>
            <w:vAlign w:val="center"/>
            <w:hideMark/>
          </w:tcPr>
          <w:p w14:paraId="4366A697"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2023</w:t>
            </w:r>
          </w:p>
        </w:tc>
        <w:tc>
          <w:tcPr>
            <w:tcW w:w="604" w:type="dxa"/>
            <w:shd w:val="clear" w:color="auto" w:fill="F2F2F2" w:themeFill="background1" w:themeFillShade="F2"/>
            <w:noWrap/>
            <w:vAlign w:val="center"/>
            <w:hideMark/>
          </w:tcPr>
          <w:p w14:paraId="5411D44F"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2024</w:t>
            </w:r>
          </w:p>
        </w:tc>
        <w:tc>
          <w:tcPr>
            <w:tcW w:w="604" w:type="dxa"/>
            <w:shd w:val="clear" w:color="auto" w:fill="F2F2F2" w:themeFill="background1" w:themeFillShade="F2"/>
            <w:noWrap/>
            <w:vAlign w:val="center"/>
            <w:hideMark/>
          </w:tcPr>
          <w:p w14:paraId="4B0AB24A"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2025</w:t>
            </w:r>
          </w:p>
        </w:tc>
        <w:tc>
          <w:tcPr>
            <w:tcW w:w="604" w:type="dxa"/>
            <w:shd w:val="clear" w:color="auto" w:fill="F2F2F2" w:themeFill="background1" w:themeFillShade="F2"/>
            <w:noWrap/>
            <w:vAlign w:val="center"/>
            <w:hideMark/>
          </w:tcPr>
          <w:p w14:paraId="7466A7AE"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2026</w:t>
            </w:r>
          </w:p>
        </w:tc>
        <w:tc>
          <w:tcPr>
            <w:tcW w:w="602" w:type="dxa"/>
            <w:shd w:val="clear" w:color="auto" w:fill="F2F2F2" w:themeFill="background1" w:themeFillShade="F2"/>
            <w:vAlign w:val="center"/>
          </w:tcPr>
          <w:p w14:paraId="213BC682"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2027</w:t>
            </w:r>
          </w:p>
        </w:tc>
        <w:tc>
          <w:tcPr>
            <w:tcW w:w="602" w:type="dxa"/>
            <w:shd w:val="clear" w:color="auto" w:fill="F2F2F2" w:themeFill="background1" w:themeFillShade="F2"/>
            <w:vAlign w:val="center"/>
          </w:tcPr>
          <w:p w14:paraId="0D3B2C4A"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2028</w:t>
            </w:r>
          </w:p>
        </w:tc>
        <w:tc>
          <w:tcPr>
            <w:tcW w:w="602" w:type="dxa"/>
            <w:shd w:val="clear" w:color="auto" w:fill="F2F2F2" w:themeFill="background1" w:themeFillShade="F2"/>
            <w:vAlign w:val="center"/>
          </w:tcPr>
          <w:p w14:paraId="321EDC2A"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2029</w:t>
            </w:r>
          </w:p>
        </w:tc>
        <w:tc>
          <w:tcPr>
            <w:tcW w:w="604" w:type="dxa"/>
            <w:shd w:val="clear" w:color="auto" w:fill="F2F2F2" w:themeFill="background1" w:themeFillShade="F2"/>
            <w:noWrap/>
            <w:vAlign w:val="center"/>
            <w:hideMark/>
          </w:tcPr>
          <w:p w14:paraId="64F10375" w14:textId="77777777" w:rsidR="00070AAD" w:rsidRPr="003142A0" w:rsidRDefault="00070AAD">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2030</w:t>
            </w:r>
          </w:p>
        </w:tc>
        <w:tc>
          <w:tcPr>
            <w:tcW w:w="1688" w:type="dxa"/>
            <w:shd w:val="clear" w:color="auto" w:fill="F2F2F2" w:themeFill="background1" w:themeFillShade="F2"/>
            <w:noWrap/>
            <w:vAlign w:val="center"/>
            <w:hideMark/>
          </w:tcPr>
          <w:p w14:paraId="0D1E954B" w14:textId="77777777" w:rsidR="00070AAD" w:rsidRPr="00EF584C" w:rsidRDefault="00070AAD">
            <w:pPr>
              <w:spacing w:after="0"/>
              <w:jc w:val="center"/>
              <w:rPr>
                <w:color w:val="000000"/>
                <w:szCs w:val="20"/>
                <w:lang w:eastAsia="pl-PL"/>
              </w:rPr>
            </w:pPr>
          </w:p>
        </w:tc>
      </w:tr>
      <w:tr w:rsidR="00356B54" w:rsidRPr="00860A2E" w14:paraId="711F405F" w14:textId="77777777" w:rsidTr="00F142BC">
        <w:trPr>
          <w:trHeight w:val="343"/>
        </w:trPr>
        <w:tc>
          <w:tcPr>
            <w:tcW w:w="1337" w:type="dxa"/>
            <w:vMerge w:val="restart"/>
            <w:shd w:val="clear" w:color="auto" w:fill="F2F2F2" w:themeFill="background1" w:themeFillShade="F2"/>
            <w:vAlign w:val="center"/>
            <w:hideMark/>
          </w:tcPr>
          <w:p w14:paraId="0F981430" w14:textId="77777777" w:rsidR="00356B54" w:rsidRPr="003142A0" w:rsidRDefault="00356B54" w:rsidP="00356B54">
            <w:pPr>
              <w:spacing w:after="0"/>
              <w:jc w:val="center"/>
              <w:rPr>
                <w:color w:val="000000"/>
                <w:sz w:val="18"/>
                <w:szCs w:val="18"/>
                <w:lang w:eastAsia="pl-PL"/>
              </w:rPr>
            </w:pPr>
            <w:r>
              <w:rPr>
                <w:color w:val="000000"/>
                <w:sz w:val="18"/>
                <w:szCs w:val="18"/>
                <w:lang w:eastAsia="pl-PL"/>
              </w:rPr>
              <w:t>O</w:t>
            </w:r>
            <w:r w:rsidRPr="003142A0">
              <w:rPr>
                <w:color w:val="000000"/>
                <w:sz w:val="18"/>
                <w:szCs w:val="18"/>
                <w:lang w:eastAsia="pl-PL"/>
              </w:rPr>
              <w:t>szczędności końcowego zużycia energii (ktoe)</w:t>
            </w:r>
          </w:p>
        </w:tc>
        <w:tc>
          <w:tcPr>
            <w:tcW w:w="607" w:type="dxa"/>
            <w:shd w:val="clear" w:color="auto" w:fill="F2F2F2" w:themeFill="background1" w:themeFillShade="F2"/>
            <w:noWrap/>
            <w:vAlign w:val="center"/>
          </w:tcPr>
          <w:p w14:paraId="584B35F3"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5861942D"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327E6794"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36585B74"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76B93DF0"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3B8A275C"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3E14C1F9"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3D624739"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7E532068"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560F39A7" w14:textId="07D6EECD" w:rsidR="00356B54" w:rsidRPr="00070AAD" w:rsidRDefault="00356B54" w:rsidP="00356B54">
            <w:pPr>
              <w:spacing w:after="0"/>
              <w:jc w:val="center"/>
              <w:rPr>
                <w:color w:val="000000"/>
                <w:sz w:val="18"/>
                <w:szCs w:val="18"/>
                <w:lang w:eastAsia="pl-PL"/>
              </w:rPr>
            </w:pPr>
            <w:r w:rsidRPr="00070AAD">
              <w:rPr>
                <w:rFonts w:cs="Calibri"/>
                <w:color w:val="000000"/>
                <w:sz w:val="18"/>
                <w:szCs w:val="18"/>
              </w:rPr>
              <w:t>1255</w:t>
            </w:r>
          </w:p>
        </w:tc>
        <w:tc>
          <w:tcPr>
            <w:tcW w:w="1688" w:type="dxa"/>
            <w:vMerge w:val="restart"/>
            <w:shd w:val="clear" w:color="auto" w:fill="F2F2F2" w:themeFill="background1" w:themeFillShade="F2"/>
            <w:vAlign w:val="center"/>
            <w:hideMark/>
          </w:tcPr>
          <w:p w14:paraId="2123AFE2" w14:textId="3D41BE08" w:rsidR="00356B54" w:rsidRPr="003142A0" w:rsidRDefault="00356B54" w:rsidP="00356B54">
            <w:pPr>
              <w:spacing w:after="0"/>
              <w:jc w:val="center"/>
              <w:rPr>
                <w:color w:val="000000"/>
                <w:sz w:val="18"/>
                <w:szCs w:val="18"/>
                <w:lang w:eastAsia="pl-PL"/>
              </w:rPr>
            </w:pPr>
            <w:r w:rsidRPr="003142A0">
              <w:rPr>
                <w:color w:val="000000"/>
                <w:sz w:val="18"/>
                <w:szCs w:val="18"/>
                <w:lang w:eastAsia="pl-PL"/>
              </w:rPr>
              <w:t xml:space="preserve"> Całkowite skumulowane oszczędności </w:t>
            </w:r>
            <w:r w:rsidR="00454079">
              <w:rPr>
                <w:color w:val="000000"/>
                <w:sz w:val="18"/>
                <w:szCs w:val="18"/>
                <w:lang w:eastAsia="pl-PL"/>
              </w:rPr>
              <w:t>finalnego</w:t>
            </w:r>
            <w:r w:rsidR="00454079" w:rsidRPr="003142A0">
              <w:rPr>
                <w:color w:val="000000"/>
                <w:sz w:val="18"/>
                <w:szCs w:val="18"/>
                <w:lang w:eastAsia="pl-PL"/>
              </w:rPr>
              <w:t xml:space="preserve"> </w:t>
            </w:r>
            <w:r w:rsidRPr="003142A0">
              <w:rPr>
                <w:color w:val="000000"/>
                <w:sz w:val="18"/>
                <w:szCs w:val="18"/>
                <w:lang w:eastAsia="pl-PL"/>
              </w:rPr>
              <w:t>zużycia energii (do 2030 r.)</w:t>
            </w:r>
          </w:p>
        </w:tc>
      </w:tr>
      <w:tr w:rsidR="00356B54" w:rsidRPr="00860A2E" w14:paraId="4110A147" w14:textId="77777777" w:rsidTr="00F142BC">
        <w:trPr>
          <w:trHeight w:val="343"/>
        </w:trPr>
        <w:tc>
          <w:tcPr>
            <w:tcW w:w="1337" w:type="dxa"/>
            <w:vMerge/>
            <w:shd w:val="clear" w:color="auto" w:fill="F2F2F2" w:themeFill="background1" w:themeFillShade="F2"/>
            <w:vAlign w:val="center"/>
            <w:hideMark/>
          </w:tcPr>
          <w:p w14:paraId="56F58375"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23C0FE97"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3DF3AD97"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48573F50"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5624C883"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5C2D2B5F"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4BE5B6ED"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46A76CA7"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2000123E"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3DC8AA9E" w14:textId="5B93E41F" w:rsidR="00356B54" w:rsidRPr="00070AAD" w:rsidRDefault="00356B54" w:rsidP="00356B54">
            <w:pPr>
              <w:spacing w:after="0"/>
              <w:jc w:val="center"/>
              <w:rPr>
                <w:color w:val="000000"/>
                <w:sz w:val="18"/>
                <w:szCs w:val="18"/>
                <w:lang w:eastAsia="pl-PL"/>
              </w:rPr>
            </w:pPr>
            <w:r w:rsidRPr="00070AAD">
              <w:rPr>
                <w:rFonts w:cs="Calibri"/>
                <w:color w:val="000000"/>
                <w:sz w:val="18"/>
                <w:szCs w:val="18"/>
              </w:rPr>
              <w:t>1225</w:t>
            </w:r>
          </w:p>
        </w:tc>
        <w:tc>
          <w:tcPr>
            <w:tcW w:w="604" w:type="dxa"/>
            <w:shd w:val="clear" w:color="auto" w:fill="F2F2F2" w:themeFill="background1" w:themeFillShade="F2"/>
            <w:noWrap/>
            <w:vAlign w:val="center"/>
          </w:tcPr>
          <w:p w14:paraId="56463DEC" w14:textId="53A35533" w:rsidR="00356B54" w:rsidRPr="00070AAD" w:rsidRDefault="00356B54" w:rsidP="00356B54">
            <w:pPr>
              <w:spacing w:after="0"/>
              <w:jc w:val="center"/>
              <w:rPr>
                <w:color w:val="000000"/>
                <w:sz w:val="18"/>
                <w:szCs w:val="18"/>
                <w:lang w:eastAsia="pl-PL"/>
              </w:rPr>
            </w:pPr>
            <w:r w:rsidRPr="00070AAD">
              <w:rPr>
                <w:rFonts w:cs="Calibri"/>
                <w:color w:val="000000"/>
                <w:sz w:val="18"/>
                <w:szCs w:val="18"/>
              </w:rPr>
              <w:t>1225</w:t>
            </w:r>
          </w:p>
        </w:tc>
        <w:tc>
          <w:tcPr>
            <w:tcW w:w="1688" w:type="dxa"/>
            <w:vMerge/>
            <w:shd w:val="clear" w:color="auto" w:fill="F2F2F2" w:themeFill="background1" w:themeFillShade="F2"/>
            <w:vAlign w:val="center"/>
            <w:hideMark/>
          </w:tcPr>
          <w:p w14:paraId="5FC26E5C" w14:textId="77777777" w:rsidR="00356B54" w:rsidRPr="00EF584C" w:rsidRDefault="00356B54" w:rsidP="00356B54">
            <w:pPr>
              <w:spacing w:after="0"/>
              <w:jc w:val="center"/>
              <w:rPr>
                <w:color w:val="000000"/>
                <w:szCs w:val="20"/>
                <w:lang w:eastAsia="pl-PL"/>
              </w:rPr>
            </w:pPr>
          </w:p>
        </w:tc>
      </w:tr>
      <w:tr w:rsidR="00356B54" w:rsidRPr="00860A2E" w14:paraId="1D321D13" w14:textId="77777777" w:rsidTr="00F142BC">
        <w:trPr>
          <w:trHeight w:val="343"/>
        </w:trPr>
        <w:tc>
          <w:tcPr>
            <w:tcW w:w="1337" w:type="dxa"/>
            <w:vMerge/>
            <w:shd w:val="clear" w:color="auto" w:fill="F2F2F2" w:themeFill="background1" w:themeFillShade="F2"/>
            <w:vAlign w:val="center"/>
            <w:hideMark/>
          </w:tcPr>
          <w:p w14:paraId="3608032D"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6C6E9BC7"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6A5B179A"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43A567F4"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3B91E2E4"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66BA2A34"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0EF203E1"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758B934B"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069EAC2B" w14:textId="3C085A7F" w:rsidR="00356B54" w:rsidRPr="00070AAD" w:rsidRDefault="00356B54" w:rsidP="00356B54">
            <w:pPr>
              <w:spacing w:after="0"/>
              <w:jc w:val="center"/>
              <w:rPr>
                <w:color w:val="000000"/>
                <w:sz w:val="18"/>
                <w:szCs w:val="18"/>
                <w:lang w:eastAsia="pl-PL"/>
              </w:rPr>
            </w:pPr>
            <w:r w:rsidRPr="00070AAD">
              <w:rPr>
                <w:rFonts w:cs="Calibri"/>
                <w:color w:val="000000"/>
                <w:sz w:val="18"/>
                <w:szCs w:val="18"/>
              </w:rPr>
              <w:t>1205</w:t>
            </w:r>
          </w:p>
        </w:tc>
        <w:tc>
          <w:tcPr>
            <w:tcW w:w="602" w:type="dxa"/>
            <w:shd w:val="clear" w:color="auto" w:fill="F2F2F2" w:themeFill="background1" w:themeFillShade="F2"/>
            <w:vAlign w:val="center"/>
          </w:tcPr>
          <w:p w14:paraId="103FB448" w14:textId="2784933A" w:rsidR="00356B54" w:rsidRPr="00070AAD" w:rsidRDefault="00356B54" w:rsidP="00356B54">
            <w:pPr>
              <w:spacing w:after="0"/>
              <w:jc w:val="center"/>
              <w:rPr>
                <w:color w:val="000000"/>
                <w:sz w:val="18"/>
                <w:szCs w:val="18"/>
                <w:lang w:eastAsia="pl-PL"/>
              </w:rPr>
            </w:pPr>
            <w:r w:rsidRPr="00070AAD">
              <w:rPr>
                <w:rFonts w:cs="Calibri"/>
                <w:color w:val="000000"/>
                <w:sz w:val="18"/>
                <w:szCs w:val="18"/>
              </w:rPr>
              <w:t>1205</w:t>
            </w:r>
          </w:p>
        </w:tc>
        <w:tc>
          <w:tcPr>
            <w:tcW w:w="604" w:type="dxa"/>
            <w:shd w:val="clear" w:color="auto" w:fill="F2F2F2" w:themeFill="background1" w:themeFillShade="F2"/>
            <w:noWrap/>
            <w:vAlign w:val="center"/>
          </w:tcPr>
          <w:p w14:paraId="76F3ECA5" w14:textId="2410F0CA" w:rsidR="00356B54" w:rsidRPr="00070AAD" w:rsidRDefault="00356B54" w:rsidP="00356B54">
            <w:pPr>
              <w:spacing w:after="0"/>
              <w:jc w:val="center"/>
              <w:rPr>
                <w:color w:val="000000"/>
                <w:sz w:val="18"/>
                <w:szCs w:val="18"/>
                <w:lang w:eastAsia="pl-PL"/>
              </w:rPr>
            </w:pPr>
            <w:r w:rsidRPr="00070AAD">
              <w:rPr>
                <w:rFonts w:cs="Calibri"/>
                <w:color w:val="000000"/>
                <w:sz w:val="18"/>
                <w:szCs w:val="18"/>
              </w:rPr>
              <w:t>1205</w:t>
            </w:r>
          </w:p>
        </w:tc>
        <w:tc>
          <w:tcPr>
            <w:tcW w:w="1688" w:type="dxa"/>
            <w:vMerge/>
            <w:shd w:val="clear" w:color="auto" w:fill="F2F2F2" w:themeFill="background1" w:themeFillShade="F2"/>
            <w:vAlign w:val="center"/>
            <w:hideMark/>
          </w:tcPr>
          <w:p w14:paraId="06CA6284" w14:textId="77777777" w:rsidR="00356B54" w:rsidRPr="00EF584C" w:rsidRDefault="00356B54" w:rsidP="00356B54">
            <w:pPr>
              <w:spacing w:after="0"/>
              <w:jc w:val="center"/>
              <w:rPr>
                <w:color w:val="000000"/>
                <w:szCs w:val="20"/>
                <w:lang w:eastAsia="pl-PL"/>
              </w:rPr>
            </w:pPr>
          </w:p>
        </w:tc>
      </w:tr>
      <w:tr w:rsidR="00356B54" w:rsidRPr="00860A2E" w14:paraId="008805E7" w14:textId="77777777" w:rsidTr="00F142BC">
        <w:trPr>
          <w:trHeight w:val="343"/>
        </w:trPr>
        <w:tc>
          <w:tcPr>
            <w:tcW w:w="1337" w:type="dxa"/>
            <w:vMerge/>
            <w:shd w:val="clear" w:color="auto" w:fill="F2F2F2" w:themeFill="background1" w:themeFillShade="F2"/>
            <w:vAlign w:val="center"/>
            <w:hideMark/>
          </w:tcPr>
          <w:p w14:paraId="26922172"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4F19C717"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2AF78B6F"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75ACDF23"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03F93C4D"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0B8B0FBF"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70E7C795" w14:textId="77777777" w:rsidR="00356B54" w:rsidRPr="00070AAD" w:rsidRDefault="00356B54" w:rsidP="00356B54">
            <w:pPr>
              <w:spacing w:after="0"/>
              <w:jc w:val="center"/>
              <w:rPr>
                <w:color w:val="000000"/>
                <w:sz w:val="18"/>
                <w:szCs w:val="18"/>
                <w:lang w:eastAsia="pl-PL"/>
              </w:rPr>
            </w:pPr>
          </w:p>
        </w:tc>
        <w:tc>
          <w:tcPr>
            <w:tcW w:w="602" w:type="dxa"/>
            <w:shd w:val="clear" w:color="auto" w:fill="F2F2F2" w:themeFill="background1" w:themeFillShade="F2"/>
            <w:vAlign w:val="center"/>
          </w:tcPr>
          <w:p w14:paraId="06E09DFC" w14:textId="38F22B42" w:rsidR="00356B54" w:rsidRPr="00070AAD" w:rsidRDefault="00356B54" w:rsidP="00356B54">
            <w:pPr>
              <w:spacing w:after="0"/>
              <w:jc w:val="center"/>
              <w:rPr>
                <w:color w:val="000000"/>
                <w:sz w:val="18"/>
                <w:szCs w:val="18"/>
                <w:lang w:eastAsia="pl-PL"/>
              </w:rPr>
            </w:pPr>
            <w:r w:rsidRPr="00070AAD">
              <w:rPr>
                <w:rFonts w:cs="Calibri"/>
                <w:color w:val="000000"/>
                <w:sz w:val="18"/>
                <w:szCs w:val="18"/>
              </w:rPr>
              <w:t>1180</w:t>
            </w:r>
          </w:p>
        </w:tc>
        <w:tc>
          <w:tcPr>
            <w:tcW w:w="602" w:type="dxa"/>
            <w:shd w:val="clear" w:color="auto" w:fill="F2F2F2" w:themeFill="background1" w:themeFillShade="F2"/>
            <w:vAlign w:val="center"/>
          </w:tcPr>
          <w:p w14:paraId="721993F3" w14:textId="3D724D75" w:rsidR="00356B54" w:rsidRPr="00070AAD" w:rsidRDefault="00356B54" w:rsidP="00356B54">
            <w:pPr>
              <w:spacing w:after="0"/>
              <w:jc w:val="center"/>
              <w:rPr>
                <w:color w:val="000000"/>
                <w:sz w:val="18"/>
                <w:szCs w:val="18"/>
                <w:lang w:eastAsia="pl-PL"/>
              </w:rPr>
            </w:pPr>
            <w:r w:rsidRPr="00070AAD">
              <w:rPr>
                <w:rFonts w:cs="Calibri"/>
                <w:color w:val="000000"/>
                <w:sz w:val="18"/>
                <w:szCs w:val="18"/>
              </w:rPr>
              <w:t>1180</w:t>
            </w:r>
          </w:p>
        </w:tc>
        <w:tc>
          <w:tcPr>
            <w:tcW w:w="602" w:type="dxa"/>
            <w:shd w:val="clear" w:color="auto" w:fill="F2F2F2" w:themeFill="background1" w:themeFillShade="F2"/>
            <w:vAlign w:val="center"/>
          </w:tcPr>
          <w:p w14:paraId="5A4DD573" w14:textId="65124A1C" w:rsidR="00356B54" w:rsidRPr="00070AAD" w:rsidRDefault="00356B54" w:rsidP="00356B54">
            <w:pPr>
              <w:spacing w:after="0"/>
              <w:jc w:val="center"/>
              <w:rPr>
                <w:color w:val="000000"/>
                <w:sz w:val="18"/>
                <w:szCs w:val="18"/>
                <w:lang w:eastAsia="pl-PL"/>
              </w:rPr>
            </w:pPr>
            <w:r w:rsidRPr="00070AAD">
              <w:rPr>
                <w:rFonts w:cs="Calibri"/>
                <w:color w:val="000000"/>
                <w:sz w:val="18"/>
                <w:szCs w:val="18"/>
              </w:rPr>
              <w:t>1180</w:t>
            </w:r>
          </w:p>
        </w:tc>
        <w:tc>
          <w:tcPr>
            <w:tcW w:w="604" w:type="dxa"/>
            <w:shd w:val="clear" w:color="auto" w:fill="F2F2F2" w:themeFill="background1" w:themeFillShade="F2"/>
            <w:noWrap/>
            <w:vAlign w:val="center"/>
          </w:tcPr>
          <w:p w14:paraId="77028680" w14:textId="09B1EE64" w:rsidR="00356B54" w:rsidRPr="00070AAD" w:rsidRDefault="00356B54" w:rsidP="00356B54">
            <w:pPr>
              <w:spacing w:after="0"/>
              <w:jc w:val="center"/>
              <w:rPr>
                <w:color w:val="000000"/>
                <w:sz w:val="18"/>
                <w:szCs w:val="18"/>
                <w:lang w:eastAsia="pl-PL"/>
              </w:rPr>
            </w:pPr>
            <w:r w:rsidRPr="00070AAD">
              <w:rPr>
                <w:rFonts w:cs="Calibri"/>
                <w:color w:val="000000"/>
                <w:sz w:val="18"/>
                <w:szCs w:val="18"/>
              </w:rPr>
              <w:t>1180</w:t>
            </w:r>
          </w:p>
        </w:tc>
        <w:tc>
          <w:tcPr>
            <w:tcW w:w="1688" w:type="dxa"/>
            <w:vMerge/>
            <w:shd w:val="clear" w:color="auto" w:fill="F2F2F2" w:themeFill="background1" w:themeFillShade="F2"/>
            <w:vAlign w:val="center"/>
            <w:hideMark/>
          </w:tcPr>
          <w:p w14:paraId="36EEC1A7" w14:textId="77777777" w:rsidR="00356B54" w:rsidRPr="00EF584C" w:rsidRDefault="00356B54" w:rsidP="00356B54">
            <w:pPr>
              <w:spacing w:after="0"/>
              <w:jc w:val="center"/>
              <w:rPr>
                <w:color w:val="000000"/>
                <w:szCs w:val="20"/>
                <w:lang w:eastAsia="pl-PL"/>
              </w:rPr>
            </w:pPr>
          </w:p>
        </w:tc>
      </w:tr>
      <w:tr w:rsidR="00356B54" w:rsidRPr="00860A2E" w14:paraId="15EBB530" w14:textId="77777777" w:rsidTr="00F142BC">
        <w:trPr>
          <w:trHeight w:val="343"/>
        </w:trPr>
        <w:tc>
          <w:tcPr>
            <w:tcW w:w="1337" w:type="dxa"/>
            <w:vMerge/>
            <w:shd w:val="clear" w:color="auto" w:fill="F2F2F2" w:themeFill="background1" w:themeFillShade="F2"/>
            <w:vAlign w:val="center"/>
            <w:hideMark/>
          </w:tcPr>
          <w:p w14:paraId="7D572769"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138FE5B4"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126BE177"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4FB5591D"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7B2880ED"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5BE70AAB"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499124A7" w14:textId="0A131A1E" w:rsidR="00356B54" w:rsidRPr="00070AAD" w:rsidRDefault="00356B54" w:rsidP="00356B54">
            <w:pPr>
              <w:spacing w:after="0"/>
              <w:jc w:val="center"/>
              <w:rPr>
                <w:color w:val="000000"/>
                <w:sz w:val="18"/>
                <w:szCs w:val="18"/>
                <w:lang w:eastAsia="pl-PL"/>
              </w:rPr>
            </w:pPr>
            <w:r w:rsidRPr="00070AAD">
              <w:rPr>
                <w:rFonts w:cs="Calibri"/>
                <w:color w:val="000000"/>
                <w:sz w:val="18"/>
                <w:szCs w:val="18"/>
              </w:rPr>
              <w:t>1150</w:t>
            </w:r>
          </w:p>
        </w:tc>
        <w:tc>
          <w:tcPr>
            <w:tcW w:w="602" w:type="dxa"/>
            <w:shd w:val="clear" w:color="auto" w:fill="F2F2F2" w:themeFill="background1" w:themeFillShade="F2"/>
            <w:vAlign w:val="center"/>
          </w:tcPr>
          <w:p w14:paraId="6037EF09" w14:textId="19DDB5AF" w:rsidR="00356B54" w:rsidRPr="00070AAD" w:rsidRDefault="00356B54" w:rsidP="00356B54">
            <w:pPr>
              <w:spacing w:after="0"/>
              <w:jc w:val="center"/>
              <w:rPr>
                <w:color w:val="000000"/>
                <w:sz w:val="18"/>
                <w:szCs w:val="18"/>
                <w:lang w:eastAsia="pl-PL"/>
              </w:rPr>
            </w:pPr>
            <w:r w:rsidRPr="00070AAD">
              <w:rPr>
                <w:rFonts w:cs="Calibri"/>
                <w:color w:val="000000"/>
                <w:sz w:val="18"/>
                <w:szCs w:val="18"/>
              </w:rPr>
              <w:t>1150</w:t>
            </w:r>
          </w:p>
        </w:tc>
        <w:tc>
          <w:tcPr>
            <w:tcW w:w="602" w:type="dxa"/>
            <w:shd w:val="clear" w:color="auto" w:fill="F2F2F2" w:themeFill="background1" w:themeFillShade="F2"/>
            <w:vAlign w:val="center"/>
          </w:tcPr>
          <w:p w14:paraId="5CDA1A56" w14:textId="698FCAAC" w:rsidR="00356B54" w:rsidRPr="00070AAD" w:rsidRDefault="00356B54" w:rsidP="00356B54">
            <w:pPr>
              <w:spacing w:after="0"/>
              <w:jc w:val="center"/>
              <w:rPr>
                <w:color w:val="000000"/>
                <w:sz w:val="18"/>
                <w:szCs w:val="18"/>
                <w:lang w:eastAsia="pl-PL"/>
              </w:rPr>
            </w:pPr>
            <w:r w:rsidRPr="00070AAD">
              <w:rPr>
                <w:rFonts w:cs="Calibri"/>
                <w:color w:val="000000"/>
                <w:sz w:val="18"/>
                <w:szCs w:val="18"/>
              </w:rPr>
              <w:t>1150</w:t>
            </w:r>
          </w:p>
        </w:tc>
        <w:tc>
          <w:tcPr>
            <w:tcW w:w="602" w:type="dxa"/>
            <w:shd w:val="clear" w:color="auto" w:fill="F2F2F2" w:themeFill="background1" w:themeFillShade="F2"/>
            <w:vAlign w:val="center"/>
          </w:tcPr>
          <w:p w14:paraId="36314EED" w14:textId="4C5F08FE" w:rsidR="00356B54" w:rsidRPr="00070AAD" w:rsidRDefault="00356B54" w:rsidP="00356B54">
            <w:pPr>
              <w:spacing w:after="0"/>
              <w:jc w:val="center"/>
              <w:rPr>
                <w:color w:val="000000"/>
                <w:sz w:val="18"/>
                <w:szCs w:val="18"/>
                <w:lang w:eastAsia="pl-PL"/>
              </w:rPr>
            </w:pPr>
            <w:r w:rsidRPr="00070AAD">
              <w:rPr>
                <w:rFonts w:cs="Calibri"/>
                <w:color w:val="000000"/>
                <w:sz w:val="18"/>
                <w:szCs w:val="18"/>
              </w:rPr>
              <w:t>1150</w:t>
            </w:r>
          </w:p>
        </w:tc>
        <w:tc>
          <w:tcPr>
            <w:tcW w:w="604" w:type="dxa"/>
            <w:shd w:val="clear" w:color="auto" w:fill="F2F2F2" w:themeFill="background1" w:themeFillShade="F2"/>
            <w:noWrap/>
            <w:vAlign w:val="center"/>
          </w:tcPr>
          <w:p w14:paraId="1CADB357" w14:textId="74E8D050" w:rsidR="00356B54" w:rsidRPr="00070AAD" w:rsidRDefault="00356B54" w:rsidP="00356B54">
            <w:pPr>
              <w:spacing w:after="0"/>
              <w:jc w:val="center"/>
              <w:rPr>
                <w:color w:val="000000"/>
                <w:sz w:val="18"/>
                <w:szCs w:val="18"/>
                <w:lang w:eastAsia="pl-PL"/>
              </w:rPr>
            </w:pPr>
            <w:r w:rsidRPr="00070AAD">
              <w:rPr>
                <w:rFonts w:cs="Calibri"/>
                <w:color w:val="000000"/>
                <w:sz w:val="18"/>
                <w:szCs w:val="18"/>
              </w:rPr>
              <w:t>1150</w:t>
            </w:r>
          </w:p>
        </w:tc>
        <w:tc>
          <w:tcPr>
            <w:tcW w:w="1688" w:type="dxa"/>
            <w:vMerge/>
            <w:shd w:val="clear" w:color="auto" w:fill="F2F2F2" w:themeFill="background1" w:themeFillShade="F2"/>
            <w:vAlign w:val="center"/>
            <w:hideMark/>
          </w:tcPr>
          <w:p w14:paraId="4EC5D0E5" w14:textId="77777777" w:rsidR="00356B54" w:rsidRPr="00EF584C" w:rsidRDefault="00356B54" w:rsidP="00356B54">
            <w:pPr>
              <w:spacing w:after="0"/>
              <w:jc w:val="center"/>
              <w:rPr>
                <w:color w:val="000000"/>
                <w:szCs w:val="20"/>
                <w:lang w:eastAsia="pl-PL"/>
              </w:rPr>
            </w:pPr>
          </w:p>
        </w:tc>
      </w:tr>
      <w:tr w:rsidR="00356B54" w:rsidRPr="00860A2E" w14:paraId="6FE46AD4" w14:textId="77777777" w:rsidTr="00F142BC">
        <w:trPr>
          <w:trHeight w:val="343"/>
        </w:trPr>
        <w:tc>
          <w:tcPr>
            <w:tcW w:w="1337" w:type="dxa"/>
            <w:vMerge/>
            <w:shd w:val="clear" w:color="auto" w:fill="F2F2F2" w:themeFill="background1" w:themeFillShade="F2"/>
            <w:vAlign w:val="center"/>
            <w:hideMark/>
          </w:tcPr>
          <w:p w14:paraId="0E92BDAB"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2E830AAF"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743DB2F0"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7E069972"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5E3998C8"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62A71FEC" w14:textId="228C7750" w:rsidR="00356B54" w:rsidRPr="00070AAD" w:rsidRDefault="00356B54" w:rsidP="00356B54">
            <w:pPr>
              <w:spacing w:after="0"/>
              <w:jc w:val="center"/>
              <w:rPr>
                <w:color w:val="000000"/>
                <w:sz w:val="18"/>
                <w:szCs w:val="18"/>
                <w:lang w:eastAsia="pl-PL"/>
              </w:rPr>
            </w:pPr>
            <w:r w:rsidRPr="00070AAD">
              <w:rPr>
                <w:rFonts w:cs="Calibri"/>
                <w:color w:val="000000"/>
                <w:sz w:val="18"/>
                <w:szCs w:val="18"/>
              </w:rPr>
              <w:t>1130</w:t>
            </w:r>
          </w:p>
        </w:tc>
        <w:tc>
          <w:tcPr>
            <w:tcW w:w="604" w:type="dxa"/>
            <w:shd w:val="clear" w:color="auto" w:fill="F2F2F2" w:themeFill="background1" w:themeFillShade="F2"/>
            <w:noWrap/>
            <w:vAlign w:val="center"/>
          </w:tcPr>
          <w:p w14:paraId="408096D2" w14:textId="01CA016C" w:rsidR="00356B54" w:rsidRPr="00070AAD" w:rsidRDefault="00356B54" w:rsidP="00356B54">
            <w:pPr>
              <w:spacing w:after="0"/>
              <w:jc w:val="center"/>
              <w:rPr>
                <w:color w:val="000000"/>
                <w:sz w:val="18"/>
                <w:szCs w:val="18"/>
                <w:lang w:eastAsia="pl-PL"/>
              </w:rPr>
            </w:pPr>
            <w:r w:rsidRPr="00070AAD">
              <w:rPr>
                <w:rFonts w:cs="Calibri"/>
                <w:color w:val="000000"/>
                <w:sz w:val="18"/>
                <w:szCs w:val="18"/>
              </w:rPr>
              <w:t>1130</w:t>
            </w:r>
          </w:p>
        </w:tc>
        <w:tc>
          <w:tcPr>
            <w:tcW w:w="602" w:type="dxa"/>
            <w:shd w:val="clear" w:color="auto" w:fill="F2F2F2" w:themeFill="background1" w:themeFillShade="F2"/>
            <w:vAlign w:val="center"/>
          </w:tcPr>
          <w:p w14:paraId="2026DA52" w14:textId="3DA5390B" w:rsidR="00356B54" w:rsidRPr="00070AAD" w:rsidRDefault="00356B54" w:rsidP="00356B54">
            <w:pPr>
              <w:spacing w:after="0"/>
              <w:jc w:val="center"/>
              <w:rPr>
                <w:color w:val="000000"/>
                <w:sz w:val="18"/>
                <w:szCs w:val="18"/>
                <w:lang w:eastAsia="pl-PL"/>
              </w:rPr>
            </w:pPr>
            <w:r w:rsidRPr="00070AAD">
              <w:rPr>
                <w:rFonts w:cs="Calibri"/>
                <w:color w:val="000000"/>
                <w:sz w:val="18"/>
                <w:szCs w:val="18"/>
              </w:rPr>
              <w:t>1130</w:t>
            </w:r>
          </w:p>
        </w:tc>
        <w:tc>
          <w:tcPr>
            <w:tcW w:w="602" w:type="dxa"/>
            <w:shd w:val="clear" w:color="auto" w:fill="F2F2F2" w:themeFill="background1" w:themeFillShade="F2"/>
            <w:vAlign w:val="center"/>
          </w:tcPr>
          <w:p w14:paraId="0D924213" w14:textId="068A264E" w:rsidR="00356B54" w:rsidRPr="00070AAD" w:rsidRDefault="00356B54" w:rsidP="00356B54">
            <w:pPr>
              <w:spacing w:after="0"/>
              <w:jc w:val="center"/>
              <w:rPr>
                <w:color w:val="000000"/>
                <w:sz w:val="18"/>
                <w:szCs w:val="18"/>
                <w:lang w:eastAsia="pl-PL"/>
              </w:rPr>
            </w:pPr>
            <w:r w:rsidRPr="00070AAD">
              <w:rPr>
                <w:rFonts w:cs="Calibri"/>
                <w:color w:val="000000"/>
                <w:sz w:val="18"/>
                <w:szCs w:val="18"/>
              </w:rPr>
              <w:t>1130</w:t>
            </w:r>
          </w:p>
        </w:tc>
        <w:tc>
          <w:tcPr>
            <w:tcW w:w="602" w:type="dxa"/>
            <w:shd w:val="clear" w:color="auto" w:fill="F2F2F2" w:themeFill="background1" w:themeFillShade="F2"/>
            <w:vAlign w:val="center"/>
          </w:tcPr>
          <w:p w14:paraId="3EFD94EA" w14:textId="7CEC3781" w:rsidR="00356B54" w:rsidRPr="00070AAD" w:rsidRDefault="00356B54" w:rsidP="00356B54">
            <w:pPr>
              <w:spacing w:after="0"/>
              <w:jc w:val="center"/>
              <w:rPr>
                <w:color w:val="000000"/>
                <w:sz w:val="18"/>
                <w:szCs w:val="18"/>
                <w:lang w:eastAsia="pl-PL"/>
              </w:rPr>
            </w:pPr>
            <w:r w:rsidRPr="00070AAD">
              <w:rPr>
                <w:rFonts w:cs="Calibri"/>
                <w:color w:val="000000"/>
                <w:sz w:val="18"/>
                <w:szCs w:val="18"/>
              </w:rPr>
              <w:t>1130</w:t>
            </w:r>
          </w:p>
        </w:tc>
        <w:tc>
          <w:tcPr>
            <w:tcW w:w="604" w:type="dxa"/>
            <w:shd w:val="clear" w:color="auto" w:fill="F2F2F2" w:themeFill="background1" w:themeFillShade="F2"/>
            <w:noWrap/>
            <w:vAlign w:val="center"/>
          </w:tcPr>
          <w:p w14:paraId="2146AFD3" w14:textId="0D1A4069" w:rsidR="00356B54" w:rsidRPr="00070AAD" w:rsidRDefault="00356B54" w:rsidP="00356B54">
            <w:pPr>
              <w:spacing w:after="0"/>
              <w:jc w:val="center"/>
              <w:rPr>
                <w:color w:val="000000"/>
                <w:sz w:val="18"/>
                <w:szCs w:val="18"/>
                <w:lang w:eastAsia="pl-PL"/>
              </w:rPr>
            </w:pPr>
            <w:r w:rsidRPr="00070AAD">
              <w:rPr>
                <w:rFonts w:cs="Calibri"/>
                <w:color w:val="000000"/>
                <w:sz w:val="18"/>
                <w:szCs w:val="18"/>
              </w:rPr>
              <w:t>1130</w:t>
            </w:r>
          </w:p>
        </w:tc>
        <w:tc>
          <w:tcPr>
            <w:tcW w:w="1688" w:type="dxa"/>
            <w:vMerge/>
            <w:shd w:val="clear" w:color="auto" w:fill="F2F2F2" w:themeFill="background1" w:themeFillShade="F2"/>
            <w:vAlign w:val="center"/>
            <w:hideMark/>
          </w:tcPr>
          <w:p w14:paraId="2FD3EAD3" w14:textId="77777777" w:rsidR="00356B54" w:rsidRPr="00EF584C" w:rsidRDefault="00356B54" w:rsidP="00356B54">
            <w:pPr>
              <w:spacing w:after="0"/>
              <w:jc w:val="center"/>
              <w:rPr>
                <w:color w:val="000000"/>
                <w:szCs w:val="20"/>
                <w:lang w:eastAsia="pl-PL"/>
              </w:rPr>
            </w:pPr>
          </w:p>
        </w:tc>
      </w:tr>
      <w:tr w:rsidR="00356B54" w:rsidRPr="00860A2E" w14:paraId="3F3BF96A" w14:textId="77777777" w:rsidTr="00F142BC">
        <w:trPr>
          <w:trHeight w:val="343"/>
        </w:trPr>
        <w:tc>
          <w:tcPr>
            <w:tcW w:w="1337" w:type="dxa"/>
            <w:vMerge/>
            <w:shd w:val="clear" w:color="auto" w:fill="F2F2F2" w:themeFill="background1" w:themeFillShade="F2"/>
            <w:vAlign w:val="center"/>
            <w:hideMark/>
          </w:tcPr>
          <w:p w14:paraId="28E3407A"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312D4CBB"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31E5758E"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4ADB9756"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65499468" w14:textId="4325A907" w:rsidR="00356B54" w:rsidRPr="00070AAD" w:rsidRDefault="00356B54" w:rsidP="00356B54">
            <w:pPr>
              <w:spacing w:after="0"/>
              <w:jc w:val="center"/>
              <w:rPr>
                <w:color w:val="000000"/>
                <w:sz w:val="18"/>
                <w:szCs w:val="18"/>
                <w:lang w:eastAsia="pl-PL"/>
              </w:rPr>
            </w:pPr>
            <w:r>
              <w:rPr>
                <w:rFonts w:cs="Calibri"/>
                <w:color w:val="000000"/>
                <w:sz w:val="18"/>
                <w:szCs w:val="18"/>
              </w:rPr>
              <w:t>926</w:t>
            </w:r>
          </w:p>
        </w:tc>
        <w:tc>
          <w:tcPr>
            <w:tcW w:w="604" w:type="dxa"/>
            <w:shd w:val="clear" w:color="auto" w:fill="F2F2F2" w:themeFill="background1" w:themeFillShade="F2"/>
            <w:noWrap/>
            <w:vAlign w:val="center"/>
          </w:tcPr>
          <w:p w14:paraId="52CF55A3" w14:textId="16D243D1" w:rsidR="00356B54" w:rsidRPr="00070AAD" w:rsidRDefault="00356B54" w:rsidP="00356B54">
            <w:pPr>
              <w:spacing w:after="0"/>
              <w:jc w:val="center"/>
              <w:rPr>
                <w:color w:val="000000"/>
                <w:sz w:val="18"/>
                <w:szCs w:val="18"/>
                <w:lang w:eastAsia="pl-PL"/>
              </w:rPr>
            </w:pPr>
            <w:r w:rsidRPr="00070AAD">
              <w:rPr>
                <w:rFonts w:cs="Calibri"/>
                <w:color w:val="000000"/>
                <w:sz w:val="18"/>
                <w:szCs w:val="18"/>
              </w:rPr>
              <w:t>9</w:t>
            </w:r>
            <w:r>
              <w:rPr>
                <w:rFonts w:cs="Calibri"/>
                <w:color w:val="000000"/>
                <w:sz w:val="18"/>
                <w:szCs w:val="18"/>
              </w:rPr>
              <w:t>26</w:t>
            </w:r>
          </w:p>
        </w:tc>
        <w:tc>
          <w:tcPr>
            <w:tcW w:w="604" w:type="dxa"/>
            <w:shd w:val="clear" w:color="auto" w:fill="F2F2F2" w:themeFill="background1" w:themeFillShade="F2"/>
            <w:noWrap/>
            <w:vAlign w:val="center"/>
          </w:tcPr>
          <w:p w14:paraId="771531B7" w14:textId="1B806D56" w:rsidR="00356B54" w:rsidRPr="00070AAD" w:rsidRDefault="00356B54" w:rsidP="00356B54">
            <w:pPr>
              <w:spacing w:after="0"/>
              <w:jc w:val="center"/>
              <w:rPr>
                <w:color w:val="000000"/>
                <w:sz w:val="18"/>
                <w:szCs w:val="18"/>
                <w:lang w:eastAsia="pl-PL"/>
              </w:rPr>
            </w:pPr>
            <w:r>
              <w:rPr>
                <w:rFonts w:cs="Calibri"/>
                <w:color w:val="000000"/>
                <w:sz w:val="18"/>
                <w:szCs w:val="18"/>
              </w:rPr>
              <w:t>926</w:t>
            </w:r>
          </w:p>
        </w:tc>
        <w:tc>
          <w:tcPr>
            <w:tcW w:w="602" w:type="dxa"/>
            <w:shd w:val="clear" w:color="auto" w:fill="F2F2F2" w:themeFill="background1" w:themeFillShade="F2"/>
            <w:vAlign w:val="center"/>
          </w:tcPr>
          <w:p w14:paraId="03214214" w14:textId="28EF4FDD" w:rsidR="00356B54" w:rsidRPr="00070AAD" w:rsidRDefault="00356B54" w:rsidP="00356B54">
            <w:pPr>
              <w:spacing w:after="0"/>
              <w:jc w:val="center"/>
              <w:rPr>
                <w:color w:val="000000"/>
                <w:sz w:val="18"/>
                <w:szCs w:val="18"/>
                <w:lang w:eastAsia="pl-PL"/>
              </w:rPr>
            </w:pPr>
            <w:r>
              <w:rPr>
                <w:rFonts w:cs="Calibri"/>
                <w:color w:val="000000"/>
                <w:sz w:val="18"/>
                <w:szCs w:val="18"/>
              </w:rPr>
              <w:t>926</w:t>
            </w:r>
          </w:p>
        </w:tc>
        <w:tc>
          <w:tcPr>
            <w:tcW w:w="602" w:type="dxa"/>
            <w:shd w:val="clear" w:color="auto" w:fill="F2F2F2" w:themeFill="background1" w:themeFillShade="F2"/>
            <w:vAlign w:val="center"/>
          </w:tcPr>
          <w:p w14:paraId="2DF0B1D7" w14:textId="7FD7A008" w:rsidR="00356B54" w:rsidRPr="00070AAD" w:rsidRDefault="00356B54" w:rsidP="00356B54">
            <w:pPr>
              <w:spacing w:after="0"/>
              <w:jc w:val="center"/>
              <w:rPr>
                <w:color w:val="000000"/>
                <w:sz w:val="18"/>
                <w:szCs w:val="18"/>
                <w:lang w:eastAsia="pl-PL"/>
              </w:rPr>
            </w:pPr>
            <w:r w:rsidRPr="00070AAD">
              <w:rPr>
                <w:rFonts w:cs="Calibri"/>
                <w:color w:val="000000"/>
                <w:sz w:val="18"/>
                <w:szCs w:val="18"/>
              </w:rPr>
              <w:t>9</w:t>
            </w:r>
            <w:r>
              <w:rPr>
                <w:rFonts w:cs="Calibri"/>
                <w:color w:val="000000"/>
                <w:sz w:val="18"/>
                <w:szCs w:val="18"/>
              </w:rPr>
              <w:t>26</w:t>
            </w:r>
          </w:p>
        </w:tc>
        <w:tc>
          <w:tcPr>
            <w:tcW w:w="602" w:type="dxa"/>
            <w:shd w:val="clear" w:color="auto" w:fill="F2F2F2" w:themeFill="background1" w:themeFillShade="F2"/>
            <w:vAlign w:val="center"/>
          </w:tcPr>
          <w:p w14:paraId="05E33DE8" w14:textId="0E234F71" w:rsidR="00356B54" w:rsidRPr="00070AAD" w:rsidRDefault="00356B54" w:rsidP="00356B54">
            <w:pPr>
              <w:spacing w:after="0"/>
              <w:jc w:val="center"/>
              <w:rPr>
                <w:color w:val="000000"/>
                <w:sz w:val="18"/>
                <w:szCs w:val="18"/>
                <w:lang w:eastAsia="pl-PL"/>
              </w:rPr>
            </w:pPr>
            <w:r w:rsidRPr="00070AAD">
              <w:rPr>
                <w:rFonts w:cs="Calibri"/>
                <w:color w:val="000000"/>
                <w:sz w:val="18"/>
                <w:szCs w:val="18"/>
              </w:rPr>
              <w:t>9</w:t>
            </w:r>
            <w:r>
              <w:rPr>
                <w:rFonts w:cs="Calibri"/>
                <w:color w:val="000000"/>
                <w:sz w:val="18"/>
                <w:szCs w:val="18"/>
              </w:rPr>
              <w:t>26</w:t>
            </w:r>
          </w:p>
        </w:tc>
        <w:tc>
          <w:tcPr>
            <w:tcW w:w="604" w:type="dxa"/>
            <w:shd w:val="clear" w:color="auto" w:fill="F2F2F2" w:themeFill="background1" w:themeFillShade="F2"/>
            <w:noWrap/>
            <w:vAlign w:val="center"/>
          </w:tcPr>
          <w:p w14:paraId="79CAAB9E" w14:textId="7BAB5154" w:rsidR="00356B54" w:rsidRPr="00070AAD" w:rsidRDefault="00356B54" w:rsidP="00356B54">
            <w:pPr>
              <w:spacing w:after="0"/>
              <w:jc w:val="center"/>
              <w:rPr>
                <w:color w:val="000000"/>
                <w:sz w:val="18"/>
                <w:szCs w:val="18"/>
                <w:lang w:eastAsia="pl-PL"/>
              </w:rPr>
            </w:pPr>
            <w:r w:rsidRPr="00070AAD">
              <w:rPr>
                <w:rFonts w:cs="Calibri"/>
                <w:color w:val="000000"/>
                <w:sz w:val="18"/>
                <w:szCs w:val="18"/>
              </w:rPr>
              <w:t>9</w:t>
            </w:r>
            <w:r>
              <w:rPr>
                <w:rFonts w:cs="Calibri"/>
                <w:color w:val="000000"/>
                <w:sz w:val="18"/>
                <w:szCs w:val="18"/>
              </w:rPr>
              <w:t>26</w:t>
            </w:r>
          </w:p>
        </w:tc>
        <w:tc>
          <w:tcPr>
            <w:tcW w:w="1688" w:type="dxa"/>
            <w:vMerge/>
            <w:shd w:val="clear" w:color="auto" w:fill="F2F2F2" w:themeFill="background1" w:themeFillShade="F2"/>
            <w:vAlign w:val="center"/>
            <w:hideMark/>
          </w:tcPr>
          <w:p w14:paraId="6F26D165" w14:textId="77777777" w:rsidR="00356B54" w:rsidRPr="00EF584C" w:rsidRDefault="00356B54" w:rsidP="00356B54">
            <w:pPr>
              <w:spacing w:after="0"/>
              <w:jc w:val="center"/>
              <w:rPr>
                <w:color w:val="000000"/>
                <w:szCs w:val="20"/>
                <w:lang w:eastAsia="pl-PL"/>
              </w:rPr>
            </w:pPr>
          </w:p>
        </w:tc>
      </w:tr>
      <w:tr w:rsidR="00356B54" w:rsidRPr="00860A2E" w14:paraId="0D5EA232" w14:textId="77777777" w:rsidTr="00F142BC">
        <w:trPr>
          <w:trHeight w:val="343"/>
        </w:trPr>
        <w:tc>
          <w:tcPr>
            <w:tcW w:w="1337" w:type="dxa"/>
            <w:vMerge/>
            <w:shd w:val="clear" w:color="auto" w:fill="F2F2F2" w:themeFill="background1" w:themeFillShade="F2"/>
            <w:vAlign w:val="center"/>
          </w:tcPr>
          <w:p w14:paraId="7ADC3CBC"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6E12E158"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655BE048"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10B818FA" w14:textId="7136B019"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01A2FB1A" w14:textId="765BF4F4"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6487C479" w14:textId="40D13525"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4789405B" w14:textId="34F093B3"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2" w:type="dxa"/>
            <w:shd w:val="clear" w:color="auto" w:fill="F2F2F2" w:themeFill="background1" w:themeFillShade="F2"/>
            <w:vAlign w:val="center"/>
          </w:tcPr>
          <w:p w14:paraId="7776C5A9" w14:textId="0C5F09E8"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2" w:type="dxa"/>
            <w:shd w:val="clear" w:color="auto" w:fill="F2F2F2" w:themeFill="background1" w:themeFillShade="F2"/>
            <w:vAlign w:val="center"/>
          </w:tcPr>
          <w:p w14:paraId="2289E619" w14:textId="350BAE86"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2" w:type="dxa"/>
            <w:shd w:val="clear" w:color="auto" w:fill="F2F2F2" w:themeFill="background1" w:themeFillShade="F2"/>
            <w:vAlign w:val="center"/>
          </w:tcPr>
          <w:p w14:paraId="1F4D10BF" w14:textId="1C3308B9"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6A8823AF" w14:textId="6CE263F7"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1688" w:type="dxa"/>
            <w:vMerge/>
            <w:shd w:val="clear" w:color="auto" w:fill="F2F2F2" w:themeFill="background1" w:themeFillShade="F2"/>
            <w:vAlign w:val="center"/>
          </w:tcPr>
          <w:p w14:paraId="03CDE88A" w14:textId="77777777" w:rsidR="00356B54" w:rsidRPr="00EF584C" w:rsidRDefault="00356B54" w:rsidP="00356B54">
            <w:pPr>
              <w:spacing w:after="0"/>
              <w:jc w:val="center"/>
              <w:rPr>
                <w:color w:val="000000"/>
                <w:szCs w:val="20"/>
                <w:lang w:eastAsia="pl-PL"/>
              </w:rPr>
            </w:pPr>
          </w:p>
        </w:tc>
      </w:tr>
      <w:tr w:rsidR="00356B54" w:rsidRPr="00860A2E" w14:paraId="3C8C5CEB" w14:textId="77777777" w:rsidTr="00F142BC">
        <w:trPr>
          <w:trHeight w:val="343"/>
        </w:trPr>
        <w:tc>
          <w:tcPr>
            <w:tcW w:w="1337" w:type="dxa"/>
            <w:vMerge/>
            <w:shd w:val="clear" w:color="auto" w:fill="F2F2F2" w:themeFill="background1" w:themeFillShade="F2"/>
            <w:vAlign w:val="center"/>
          </w:tcPr>
          <w:p w14:paraId="02810427" w14:textId="77777777" w:rsidR="00356B54" w:rsidRPr="003142A0" w:rsidRDefault="00356B54" w:rsidP="00356B54">
            <w:pPr>
              <w:spacing w:after="0"/>
              <w:jc w:val="center"/>
              <w:rPr>
                <w:color w:val="000000"/>
                <w:sz w:val="18"/>
                <w:szCs w:val="18"/>
                <w:lang w:eastAsia="pl-PL"/>
              </w:rPr>
            </w:pPr>
          </w:p>
        </w:tc>
        <w:tc>
          <w:tcPr>
            <w:tcW w:w="607" w:type="dxa"/>
            <w:shd w:val="clear" w:color="auto" w:fill="F2F2F2" w:themeFill="background1" w:themeFillShade="F2"/>
            <w:noWrap/>
            <w:vAlign w:val="center"/>
          </w:tcPr>
          <w:p w14:paraId="2A88F12F" w14:textId="77777777" w:rsidR="00356B54" w:rsidRPr="00070AAD" w:rsidRDefault="00356B54" w:rsidP="00356B54">
            <w:pPr>
              <w:spacing w:after="0"/>
              <w:jc w:val="center"/>
              <w:rPr>
                <w:color w:val="000000"/>
                <w:sz w:val="18"/>
                <w:szCs w:val="18"/>
                <w:lang w:eastAsia="pl-PL"/>
              </w:rPr>
            </w:pPr>
          </w:p>
        </w:tc>
        <w:tc>
          <w:tcPr>
            <w:tcW w:w="604" w:type="dxa"/>
            <w:shd w:val="clear" w:color="auto" w:fill="F2F2F2" w:themeFill="background1" w:themeFillShade="F2"/>
            <w:noWrap/>
            <w:vAlign w:val="center"/>
          </w:tcPr>
          <w:p w14:paraId="62996793" w14:textId="6973CD59"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32275888" w14:textId="19796F6B"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2A7C22FD" w14:textId="4421F4DD"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7757059F" w14:textId="65BB9F1F"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607F8A10" w14:textId="69D4441F"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2" w:type="dxa"/>
            <w:shd w:val="clear" w:color="auto" w:fill="F2F2F2" w:themeFill="background1" w:themeFillShade="F2"/>
            <w:vAlign w:val="center"/>
          </w:tcPr>
          <w:p w14:paraId="17E077D5" w14:textId="0F464DA1"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2" w:type="dxa"/>
            <w:shd w:val="clear" w:color="auto" w:fill="F2F2F2" w:themeFill="background1" w:themeFillShade="F2"/>
            <w:vAlign w:val="center"/>
          </w:tcPr>
          <w:p w14:paraId="1961EF10" w14:textId="171CD057"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2" w:type="dxa"/>
            <w:shd w:val="clear" w:color="auto" w:fill="F2F2F2" w:themeFill="background1" w:themeFillShade="F2"/>
            <w:vAlign w:val="center"/>
          </w:tcPr>
          <w:p w14:paraId="5D1CF3A1" w14:textId="47714B95"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3ABB57E2" w14:textId="606D72E3" w:rsidR="00356B54" w:rsidRPr="00070AAD" w:rsidRDefault="00356B54" w:rsidP="00356B54">
            <w:pPr>
              <w:spacing w:after="0"/>
              <w:jc w:val="center"/>
              <w:rPr>
                <w:color w:val="000000"/>
                <w:sz w:val="18"/>
                <w:szCs w:val="18"/>
                <w:lang w:eastAsia="pl-PL"/>
              </w:rPr>
            </w:pPr>
            <w:r w:rsidRPr="00070AAD">
              <w:rPr>
                <w:color w:val="000000"/>
                <w:sz w:val="18"/>
                <w:szCs w:val="18"/>
                <w:lang w:eastAsia="pl-PL"/>
              </w:rPr>
              <w:t>503</w:t>
            </w:r>
          </w:p>
        </w:tc>
        <w:tc>
          <w:tcPr>
            <w:tcW w:w="1688" w:type="dxa"/>
            <w:vMerge/>
            <w:shd w:val="clear" w:color="auto" w:fill="F2F2F2" w:themeFill="background1" w:themeFillShade="F2"/>
            <w:vAlign w:val="center"/>
          </w:tcPr>
          <w:p w14:paraId="40273E43" w14:textId="77777777" w:rsidR="00356B54" w:rsidRPr="00EF584C" w:rsidRDefault="00356B54" w:rsidP="00356B54">
            <w:pPr>
              <w:spacing w:after="0"/>
              <w:jc w:val="center"/>
              <w:rPr>
                <w:color w:val="000000"/>
                <w:szCs w:val="20"/>
                <w:lang w:eastAsia="pl-PL"/>
              </w:rPr>
            </w:pPr>
          </w:p>
        </w:tc>
      </w:tr>
      <w:tr w:rsidR="00356B54" w:rsidRPr="00860A2E" w14:paraId="642BCFA4" w14:textId="77777777" w:rsidTr="00F142BC">
        <w:trPr>
          <w:trHeight w:val="343"/>
        </w:trPr>
        <w:tc>
          <w:tcPr>
            <w:tcW w:w="1337" w:type="dxa"/>
            <w:vMerge/>
            <w:tcBorders>
              <w:bottom w:val="single" w:sz="12" w:space="0" w:color="auto"/>
            </w:tcBorders>
            <w:shd w:val="clear" w:color="auto" w:fill="F2F2F2" w:themeFill="background1" w:themeFillShade="F2"/>
            <w:vAlign w:val="center"/>
          </w:tcPr>
          <w:p w14:paraId="6FD56F45" w14:textId="77777777" w:rsidR="00356B54" w:rsidRPr="003142A0" w:rsidRDefault="00356B54" w:rsidP="00356B54">
            <w:pPr>
              <w:spacing w:after="0"/>
              <w:jc w:val="center"/>
              <w:rPr>
                <w:color w:val="000000"/>
                <w:sz w:val="18"/>
                <w:szCs w:val="18"/>
                <w:lang w:eastAsia="pl-PL"/>
              </w:rPr>
            </w:pPr>
          </w:p>
        </w:tc>
        <w:tc>
          <w:tcPr>
            <w:tcW w:w="607" w:type="dxa"/>
            <w:tcBorders>
              <w:bottom w:val="single" w:sz="12" w:space="0" w:color="auto"/>
            </w:tcBorders>
            <w:shd w:val="clear" w:color="auto" w:fill="F2F2F2" w:themeFill="background1" w:themeFillShade="F2"/>
            <w:noWrap/>
            <w:vAlign w:val="center"/>
          </w:tcPr>
          <w:p w14:paraId="6A1AAA57" w14:textId="29B2E2DC"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4" w:type="dxa"/>
            <w:tcBorders>
              <w:bottom w:val="single" w:sz="12" w:space="0" w:color="auto"/>
            </w:tcBorders>
            <w:shd w:val="clear" w:color="auto" w:fill="F2F2F2" w:themeFill="background1" w:themeFillShade="F2"/>
            <w:noWrap/>
            <w:vAlign w:val="center"/>
          </w:tcPr>
          <w:p w14:paraId="1C05CA9D" w14:textId="33BAEE2B" w:rsidR="00356B54" w:rsidRPr="00070AAD" w:rsidRDefault="00356B54" w:rsidP="00356B54">
            <w:pPr>
              <w:spacing w:after="0"/>
              <w:jc w:val="center"/>
              <w:rPr>
                <w:color w:val="000000"/>
                <w:sz w:val="18"/>
                <w:szCs w:val="18"/>
                <w:lang w:eastAsia="pl-PL"/>
              </w:rPr>
            </w:pPr>
            <w:r w:rsidRPr="00070AAD">
              <w:rPr>
                <w:color w:val="000000"/>
                <w:sz w:val="18"/>
                <w:szCs w:val="18"/>
                <w:lang w:eastAsia="pl-PL"/>
              </w:rPr>
              <w:t>552</w:t>
            </w:r>
          </w:p>
        </w:tc>
        <w:tc>
          <w:tcPr>
            <w:tcW w:w="604" w:type="dxa"/>
            <w:tcBorders>
              <w:bottom w:val="single" w:sz="12" w:space="0" w:color="auto"/>
            </w:tcBorders>
            <w:shd w:val="clear" w:color="auto" w:fill="F2F2F2" w:themeFill="background1" w:themeFillShade="F2"/>
            <w:noWrap/>
            <w:vAlign w:val="center"/>
          </w:tcPr>
          <w:p w14:paraId="253A97F1" w14:textId="7EE8E71B" w:rsidR="00356B54" w:rsidRPr="00070AAD" w:rsidRDefault="00356B54" w:rsidP="00356B54">
            <w:pPr>
              <w:spacing w:after="0"/>
              <w:jc w:val="center"/>
              <w:rPr>
                <w:color w:val="000000"/>
                <w:sz w:val="18"/>
                <w:szCs w:val="18"/>
                <w:lang w:eastAsia="pl-PL"/>
              </w:rPr>
            </w:pPr>
            <w:r w:rsidRPr="00070AAD">
              <w:rPr>
                <w:color w:val="000000"/>
                <w:sz w:val="18"/>
                <w:szCs w:val="18"/>
                <w:lang w:eastAsia="pl-PL"/>
              </w:rPr>
              <w:t>437</w:t>
            </w:r>
          </w:p>
        </w:tc>
        <w:tc>
          <w:tcPr>
            <w:tcW w:w="604" w:type="dxa"/>
            <w:tcBorders>
              <w:bottom w:val="single" w:sz="12" w:space="0" w:color="auto"/>
            </w:tcBorders>
            <w:shd w:val="clear" w:color="auto" w:fill="F2F2F2" w:themeFill="background1" w:themeFillShade="F2"/>
            <w:noWrap/>
            <w:vAlign w:val="center"/>
          </w:tcPr>
          <w:p w14:paraId="53E3C726" w14:textId="61DD4D8C" w:rsidR="00356B54" w:rsidRPr="00070AAD" w:rsidRDefault="00356B54" w:rsidP="00356B54">
            <w:pPr>
              <w:spacing w:after="0"/>
              <w:jc w:val="center"/>
              <w:rPr>
                <w:color w:val="000000"/>
                <w:sz w:val="18"/>
                <w:szCs w:val="18"/>
                <w:lang w:eastAsia="pl-PL"/>
              </w:rPr>
            </w:pPr>
            <w:r w:rsidRPr="00070AAD">
              <w:rPr>
                <w:color w:val="000000"/>
                <w:sz w:val="18"/>
                <w:szCs w:val="18"/>
                <w:lang w:eastAsia="pl-PL"/>
              </w:rPr>
              <w:t>437</w:t>
            </w:r>
          </w:p>
        </w:tc>
        <w:tc>
          <w:tcPr>
            <w:tcW w:w="604" w:type="dxa"/>
            <w:tcBorders>
              <w:bottom w:val="single" w:sz="12" w:space="0" w:color="auto"/>
            </w:tcBorders>
            <w:shd w:val="clear" w:color="auto" w:fill="F2F2F2" w:themeFill="background1" w:themeFillShade="F2"/>
            <w:noWrap/>
            <w:vAlign w:val="center"/>
          </w:tcPr>
          <w:p w14:paraId="645BEB66" w14:textId="01F4E0F6" w:rsidR="00356B54" w:rsidRPr="00070AAD" w:rsidRDefault="00356B54" w:rsidP="00356B54">
            <w:pPr>
              <w:spacing w:after="0"/>
              <w:jc w:val="center"/>
              <w:rPr>
                <w:color w:val="000000"/>
                <w:sz w:val="18"/>
                <w:szCs w:val="18"/>
                <w:lang w:eastAsia="pl-PL"/>
              </w:rPr>
            </w:pPr>
            <w:r w:rsidRPr="00070AAD">
              <w:rPr>
                <w:color w:val="000000"/>
                <w:sz w:val="18"/>
                <w:szCs w:val="18"/>
                <w:lang w:eastAsia="pl-PL"/>
              </w:rPr>
              <w:t>437</w:t>
            </w:r>
          </w:p>
        </w:tc>
        <w:tc>
          <w:tcPr>
            <w:tcW w:w="604" w:type="dxa"/>
            <w:tcBorders>
              <w:bottom w:val="single" w:sz="12" w:space="0" w:color="auto"/>
            </w:tcBorders>
            <w:shd w:val="clear" w:color="auto" w:fill="F2F2F2" w:themeFill="background1" w:themeFillShade="F2"/>
            <w:noWrap/>
            <w:vAlign w:val="center"/>
          </w:tcPr>
          <w:p w14:paraId="356285CA" w14:textId="2A66DC77" w:rsidR="00356B54" w:rsidRPr="00070AAD" w:rsidRDefault="00356B54" w:rsidP="00356B54">
            <w:pPr>
              <w:spacing w:after="0"/>
              <w:jc w:val="center"/>
              <w:rPr>
                <w:color w:val="000000"/>
                <w:sz w:val="18"/>
                <w:szCs w:val="18"/>
                <w:lang w:eastAsia="pl-PL"/>
              </w:rPr>
            </w:pPr>
            <w:r w:rsidRPr="00070AAD">
              <w:rPr>
                <w:color w:val="000000"/>
                <w:sz w:val="18"/>
                <w:szCs w:val="18"/>
                <w:lang w:eastAsia="pl-PL"/>
              </w:rPr>
              <w:t>437</w:t>
            </w:r>
          </w:p>
        </w:tc>
        <w:tc>
          <w:tcPr>
            <w:tcW w:w="602" w:type="dxa"/>
            <w:tcBorders>
              <w:bottom w:val="single" w:sz="12" w:space="0" w:color="auto"/>
            </w:tcBorders>
            <w:shd w:val="clear" w:color="auto" w:fill="F2F2F2" w:themeFill="background1" w:themeFillShade="F2"/>
            <w:vAlign w:val="center"/>
          </w:tcPr>
          <w:p w14:paraId="1FB37924" w14:textId="47248352" w:rsidR="00356B54" w:rsidRPr="00070AAD" w:rsidRDefault="00356B54" w:rsidP="00356B54">
            <w:pPr>
              <w:spacing w:after="0"/>
              <w:jc w:val="center"/>
              <w:rPr>
                <w:color w:val="000000"/>
                <w:sz w:val="18"/>
                <w:szCs w:val="18"/>
                <w:lang w:eastAsia="pl-PL"/>
              </w:rPr>
            </w:pPr>
            <w:r w:rsidRPr="00070AAD">
              <w:rPr>
                <w:color w:val="000000"/>
                <w:sz w:val="18"/>
                <w:szCs w:val="18"/>
                <w:lang w:eastAsia="pl-PL"/>
              </w:rPr>
              <w:t>437</w:t>
            </w:r>
          </w:p>
        </w:tc>
        <w:tc>
          <w:tcPr>
            <w:tcW w:w="602" w:type="dxa"/>
            <w:tcBorders>
              <w:bottom w:val="single" w:sz="12" w:space="0" w:color="auto"/>
            </w:tcBorders>
            <w:shd w:val="clear" w:color="auto" w:fill="F2F2F2" w:themeFill="background1" w:themeFillShade="F2"/>
            <w:vAlign w:val="center"/>
          </w:tcPr>
          <w:p w14:paraId="433B1CFD" w14:textId="5ECEB335" w:rsidR="00356B54" w:rsidRPr="00070AAD" w:rsidRDefault="00356B54" w:rsidP="00356B54">
            <w:pPr>
              <w:spacing w:after="0"/>
              <w:jc w:val="center"/>
              <w:rPr>
                <w:color w:val="000000"/>
                <w:sz w:val="18"/>
                <w:szCs w:val="18"/>
                <w:lang w:eastAsia="pl-PL"/>
              </w:rPr>
            </w:pPr>
            <w:r w:rsidRPr="00070AAD">
              <w:rPr>
                <w:color w:val="000000"/>
                <w:sz w:val="18"/>
                <w:szCs w:val="18"/>
                <w:lang w:eastAsia="pl-PL"/>
              </w:rPr>
              <w:t>437</w:t>
            </w:r>
          </w:p>
        </w:tc>
        <w:tc>
          <w:tcPr>
            <w:tcW w:w="602" w:type="dxa"/>
            <w:tcBorders>
              <w:bottom w:val="single" w:sz="12" w:space="0" w:color="auto"/>
            </w:tcBorders>
            <w:shd w:val="clear" w:color="auto" w:fill="F2F2F2" w:themeFill="background1" w:themeFillShade="F2"/>
            <w:vAlign w:val="center"/>
          </w:tcPr>
          <w:p w14:paraId="4DD3F79E" w14:textId="3ABDF0F7" w:rsidR="00356B54" w:rsidRPr="00070AAD" w:rsidRDefault="00356B54" w:rsidP="00356B54">
            <w:pPr>
              <w:spacing w:after="0"/>
              <w:jc w:val="center"/>
              <w:rPr>
                <w:color w:val="000000"/>
                <w:sz w:val="18"/>
                <w:szCs w:val="18"/>
                <w:lang w:eastAsia="pl-PL"/>
              </w:rPr>
            </w:pPr>
            <w:r w:rsidRPr="00070AAD">
              <w:rPr>
                <w:color w:val="000000"/>
                <w:sz w:val="18"/>
                <w:szCs w:val="18"/>
                <w:lang w:eastAsia="pl-PL"/>
              </w:rPr>
              <w:t>372</w:t>
            </w:r>
          </w:p>
        </w:tc>
        <w:tc>
          <w:tcPr>
            <w:tcW w:w="604" w:type="dxa"/>
            <w:tcBorders>
              <w:bottom w:val="single" w:sz="12" w:space="0" w:color="auto"/>
            </w:tcBorders>
            <w:shd w:val="clear" w:color="auto" w:fill="F2F2F2" w:themeFill="background1" w:themeFillShade="F2"/>
            <w:noWrap/>
            <w:vAlign w:val="center"/>
          </w:tcPr>
          <w:p w14:paraId="57CF3CD7" w14:textId="23D1FF1C" w:rsidR="00356B54" w:rsidRPr="00070AAD" w:rsidRDefault="00356B54" w:rsidP="00356B54">
            <w:pPr>
              <w:spacing w:after="0"/>
              <w:jc w:val="center"/>
              <w:rPr>
                <w:color w:val="000000"/>
                <w:sz w:val="18"/>
                <w:szCs w:val="18"/>
                <w:lang w:eastAsia="pl-PL"/>
              </w:rPr>
            </w:pPr>
            <w:r w:rsidRPr="00070AAD">
              <w:rPr>
                <w:color w:val="000000"/>
                <w:sz w:val="18"/>
                <w:szCs w:val="18"/>
                <w:lang w:eastAsia="pl-PL"/>
              </w:rPr>
              <w:t>372</w:t>
            </w:r>
          </w:p>
        </w:tc>
        <w:tc>
          <w:tcPr>
            <w:tcW w:w="1688" w:type="dxa"/>
            <w:vMerge/>
            <w:tcBorders>
              <w:bottom w:val="single" w:sz="12" w:space="0" w:color="auto"/>
            </w:tcBorders>
            <w:shd w:val="clear" w:color="auto" w:fill="F2F2F2" w:themeFill="background1" w:themeFillShade="F2"/>
            <w:vAlign w:val="center"/>
          </w:tcPr>
          <w:p w14:paraId="445DF925" w14:textId="77777777" w:rsidR="00356B54" w:rsidRPr="00EF584C" w:rsidRDefault="00356B54" w:rsidP="00356B54">
            <w:pPr>
              <w:spacing w:after="0"/>
              <w:jc w:val="center"/>
              <w:rPr>
                <w:color w:val="000000"/>
                <w:szCs w:val="20"/>
                <w:lang w:eastAsia="pl-PL"/>
              </w:rPr>
            </w:pPr>
          </w:p>
        </w:tc>
      </w:tr>
      <w:tr w:rsidR="00356B54" w:rsidRPr="001F2FB3" w14:paraId="23E6B699" w14:textId="77777777" w:rsidTr="00F142BC">
        <w:trPr>
          <w:trHeight w:val="343"/>
        </w:trPr>
        <w:tc>
          <w:tcPr>
            <w:tcW w:w="1337" w:type="dxa"/>
            <w:tcBorders>
              <w:top w:val="single" w:sz="12" w:space="0" w:color="auto"/>
            </w:tcBorders>
            <w:shd w:val="clear" w:color="auto" w:fill="F2F2F2" w:themeFill="background1" w:themeFillShade="F2"/>
            <w:noWrap/>
            <w:vAlign w:val="center"/>
            <w:hideMark/>
          </w:tcPr>
          <w:p w14:paraId="7FC9A030" w14:textId="77777777" w:rsidR="00356B54" w:rsidRPr="003142A0" w:rsidRDefault="00356B54" w:rsidP="00356B54">
            <w:pPr>
              <w:spacing w:after="0"/>
              <w:jc w:val="center"/>
              <w:rPr>
                <w:color w:val="000000"/>
                <w:sz w:val="18"/>
                <w:szCs w:val="18"/>
                <w:lang w:eastAsia="pl-PL"/>
              </w:rPr>
            </w:pPr>
            <w:r w:rsidRPr="003142A0">
              <w:rPr>
                <w:color w:val="000000"/>
                <w:sz w:val="18"/>
                <w:szCs w:val="18"/>
                <w:lang w:eastAsia="pl-PL"/>
              </w:rPr>
              <w:t>razem (ktoe)</w:t>
            </w:r>
          </w:p>
        </w:tc>
        <w:tc>
          <w:tcPr>
            <w:tcW w:w="607" w:type="dxa"/>
            <w:tcBorders>
              <w:top w:val="single" w:sz="12" w:space="0" w:color="auto"/>
            </w:tcBorders>
            <w:shd w:val="clear" w:color="auto" w:fill="F2F2F2" w:themeFill="background1" w:themeFillShade="F2"/>
            <w:noWrap/>
            <w:vAlign w:val="center"/>
          </w:tcPr>
          <w:p w14:paraId="75135AEE" w14:textId="56125178"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552</w:t>
            </w:r>
          </w:p>
        </w:tc>
        <w:tc>
          <w:tcPr>
            <w:tcW w:w="604" w:type="dxa"/>
            <w:tcBorders>
              <w:top w:val="single" w:sz="12" w:space="0" w:color="auto"/>
            </w:tcBorders>
            <w:shd w:val="clear" w:color="auto" w:fill="F2F2F2" w:themeFill="background1" w:themeFillShade="F2"/>
            <w:noWrap/>
            <w:vAlign w:val="center"/>
          </w:tcPr>
          <w:p w14:paraId="0294424B" w14:textId="1398DCEE"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1055</w:t>
            </w:r>
          </w:p>
        </w:tc>
        <w:tc>
          <w:tcPr>
            <w:tcW w:w="604" w:type="dxa"/>
            <w:tcBorders>
              <w:top w:val="single" w:sz="12" w:space="0" w:color="auto"/>
            </w:tcBorders>
            <w:shd w:val="clear" w:color="auto" w:fill="F2F2F2" w:themeFill="background1" w:themeFillShade="F2"/>
            <w:noWrap/>
            <w:vAlign w:val="center"/>
          </w:tcPr>
          <w:p w14:paraId="0CBFE508" w14:textId="09E79A89"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1492</w:t>
            </w:r>
          </w:p>
        </w:tc>
        <w:tc>
          <w:tcPr>
            <w:tcW w:w="604" w:type="dxa"/>
            <w:tcBorders>
              <w:top w:val="single" w:sz="12" w:space="0" w:color="auto"/>
            </w:tcBorders>
            <w:shd w:val="clear" w:color="auto" w:fill="F2F2F2" w:themeFill="background1" w:themeFillShade="F2"/>
            <w:noWrap/>
            <w:vAlign w:val="center"/>
          </w:tcPr>
          <w:p w14:paraId="38C216B6" w14:textId="4A34A4AC"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24</w:t>
            </w:r>
            <w:r>
              <w:rPr>
                <w:rFonts w:cs="Calibri"/>
                <w:b/>
                <w:bCs/>
                <w:color w:val="1F3864" w:themeColor="accent1" w:themeShade="80"/>
                <w:sz w:val="18"/>
                <w:szCs w:val="18"/>
              </w:rPr>
              <w:t>19</w:t>
            </w:r>
          </w:p>
        </w:tc>
        <w:tc>
          <w:tcPr>
            <w:tcW w:w="604" w:type="dxa"/>
            <w:tcBorders>
              <w:top w:val="single" w:sz="12" w:space="0" w:color="auto"/>
            </w:tcBorders>
            <w:shd w:val="clear" w:color="auto" w:fill="F2F2F2" w:themeFill="background1" w:themeFillShade="F2"/>
            <w:noWrap/>
            <w:vAlign w:val="center"/>
          </w:tcPr>
          <w:p w14:paraId="08EE146F" w14:textId="609E299B"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3</w:t>
            </w:r>
            <w:r>
              <w:rPr>
                <w:rFonts w:cs="Calibri"/>
                <w:b/>
                <w:bCs/>
                <w:color w:val="1F3864" w:themeColor="accent1" w:themeShade="80"/>
                <w:sz w:val="18"/>
                <w:szCs w:val="18"/>
              </w:rPr>
              <w:t>548</w:t>
            </w:r>
          </w:p>
        </w:tc>
        <w:tc>
          <w:tcPr>
            <w:tcW w:w="604" w:type="dxa"/>
            <w:tcBorders>
              <w:top w:val="single" w:sz="12" w:space="0" w:color="auto"/>
            </w:tcBorders>
            <w:shd w:val="clear" w:color="auto" w:fill="F2F2F2" w:themeFill="background1" w:themeFillShade="F2"/>
            <w:noWrap/>
            <w:vAlign w:val="center"/>
          </w:tcPr>
          <w:p w14:paraId="3092A617" w14:textId="2EAF1852"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4</w:t>
            </w:r>
            <w:r>
              <w:rPr>
                <w:rFonts w:cs="Calibri"/>
                <w:b/>
                <w:bCs/>
                <w:color w:val="1F3864" w:themeColor="accent1" w:themeShade="80"/>
                <w:sz w:val="18"/>
                <w:szCs w:val="18"/>
              </w:rPr>
              <w:t>698</w:t>
            </w:r>
          </w:p>
        </w:tc>
        <w:tc>
          <w:tcPr>
            <w:tcW w:w="602" w:type="dxa"/>
            <w:tcBorders>
              <w:top w:val="single" w:sz="12" w:space="0" w:color="auto"/>
            </w:tcBorders>
            <w:shd w:val="clear" w:color="auto" w:fill="F2F2F2" w:themeFill="background1" w:themeFillShade="F2"/>
            <w:vAlign w:val="center"/>
          </w:tcPr>
          <w:p w14:paraId="04FA89F0" w14:textId="0E44C2AE"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5</w:t>
            </w:r>
            <w:r>
              <w:rPr>
                <w:rFonts w:cs="Calibri"/>
                <w:b/>
                <w:bCs/>
                <w:color w:val="1F3864" w:themeColor="accent1" w:themeShade="80"/>
                <w:sz w:val="18"/>
                <w:szCs w:val="18"/>
              </w:rPr>
              <w:t>878</w:t>
            </w:r>
          </w:p>
        </w:tc>
        <w:tc>
          <w:tcPr>
            <w:tcW w:w="602" w:type="dxa"/>
            <w:tcBorders>
              <w:top w:val="single" w:sz="12" w:space="0" w:color="auto"/>
            </w:tcBorders>
            <w:shd w:val="clear" w:color="auto" w:fill="F2F2F2" w:themeFill="background1" w:themeFillShade="F2"/>
            <w:vAlign w:val="center"/>
          </w:tcPr>
          <w:p w14:paraId="1A8A7DE7" w14:textId="7EED4C39"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7</w:t>
            </w:r>
            <w:r>
              <w:rPr>
                <w:rFonts w:cs="Calibri"/>
                <w:b/>
                <w:bCs/>
                <w:color w:val="1F3864" w:themeColor="accent1" w:themeShade="80"/>
                <w:sz w:val="18"/>
                <w:szCs w:val="18"/>
              </w:rPr>
              <w:t>083</w:t>
            </w:r>
          </w:p>
        </w:tc>
        <w:tc>
          <w:tcPr>
            <w:tcW w:w="602" w:type="dxa"/>
            <w:tcBorders>
              <w:top w:val="single" w:sz="12" w:space="0" w:color="auto"/>
            </w:tcBorders>
            <w:shd w:val="clear" w:color="auto" w:fill="F2F2F2" w:themeFill="background1" w:themeFillShade="F2"/>
            <w:vAlign w:val="center"/>
          </w:tcPr>
          <w:p w14:paraId="4E0CC5DB" w14:textId="70921DB1"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8</w:t>
            </w:r>
            <w:r>
              <w:rPr>
                <w:rFonts w:cs="Calibri"/>
                <w:b/>
                <w:bCs/>
                <w:color w:val="1F3864" w:themeColor="accent1" w:themeShade="80"/>
                <w:sz w:val="18"/>
                <w:szCs w:val="18"/>
              </w:rPr>
              <w:t>243</w:t>
            </w:r>
          </w:p>
        </w:tc>
        <w:tc>
          <w:tcPr>
            <w:tcW w:w="604" w:type="dxa"/>
            <w:tcBorders>
              <w:top w:val="single" w:sz="12" w:space="0" w:color="auto"/>
            </w:tcBorders>
            <w:shd w:val="clear" w:color="auto" w:fill="F2F2F2" w:themeFill="background1" w:themeFillShade="F2"/>
            <w:noWrap/>
            <w:vAlign w:val="center"/>
          </w:tcPr>
          <w:p w14:paraId="5B0F5293" w14:textId="3089FA3A" w:rsidR="00356B54" w:rsidRPr="00070AAD" w:rsidRDefault="00356B54" w:rsidP="00356B54">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9</w:t>
            </w:r>
            <w:r>
              <w:rPr>
                <w:rFonts w:cs="Calibri"/>
                <w:b/>
                <w:bCs/>
                <w:color w:val="1F3864" w:themeColor="accent1" w:themeShade="80"/>
                <w:sz w:val="18"/>
                <w:szCs w:val="18"/>
              </w:rPr>
              <w:t>498</w:t>
            </w:r>
          </w:p>
        </w:tc>
        <w:tc>
          <w:tcPr>
            <w:tcW w:w="1688" w:type="dxa"/>
            <w:tcBorders>
              <w:top w:val="single" w:sz="12" w:space="0" w:color="auto"/>
            </w:tcBorders>
            <w:shd w:val="clear" w:color="auto" w:fill="F2F2F2" w:themeFill="background1" w:themeFillShade="F2"/>
            <w:noWrap/>
            <w:vAlign w:val="center"/>
            <w:hideMark/>
          </w:tcPr>
          <w:p w14:paraId="75DFC071" w14:textId="1A7C8132" w:rsidR="00356B54" w:rsidRPr="00B86617" w:rsidRDefault="00356B54" w:rsidP="00356B54">
            <w:pPr>
              <w:spacing w:after="0"/>
              <w:jc w:val="center"/>
              <w:rPr>
                <w:rFonts w:cs="Calibri"/>
                <w:b/>
                <w:bCs/>
                <w:color w:val="2F5496" w:themeColor="accent1" w:themeShade="BF"/>
                <w:szCs w:val="20"/>
              </w:rPr>
            </w:pPr>
            <w:r w:rsidRPr="00B86617">
              <w:rPr>
                <w:rFonts w:cs="Calibri"/>
                <w:b/>
                <w:bCs/>
                <w:color w:val="2F5496" w:themeColor="accent1" w:themeShade="BF"/>
                <w:szCs w:val="20"/>
              </w:rPr>
              <w:t xml:space="preserve">44 </w:t>
            </w:r>
            <w:r>
              <w:rPr>
                <w:rFonts w:cs="Calibri"/>
                <w:b/>
                <w:bCs/>
                <w:color w:val="2F5496" w:themeColor="accent1" w:themeShade="BF"/>
                <w:szCs w:val="20"/>
              </w:rPr>
              <w:t>465</w:t>
            </w:r>
          </w:p>
        </w:tc>
      </w:tr>
    </w:tbl>
    <w:p w14:paraId="269755C2" w14:textId="77777777" w:rsidR="00F3711B" w:rsidRDefault="00F3711B" w:rsidP="004559D3">
      <w:pPr>
        <w:pStyle w:val="PaMs"/>
      </w:pPr>
      <w:r w:rsidRPr="00C46DAA">
        <w:t>POLITYKA</w:t>
      </w:r>
    </w:p>
    <w:p w14:paraId="19A3CA95" w14:textId="3F8AF1B7" w:rsidR="00BD7B46" w:rsidRDefault="004559D3" w:rsidP="00AE1376">
      <w:r w:rsidRPr="004559D3">
        <w:t xml:space="preserve">Obowiązek oszczędności energii finalnej w Polsce jest realizowany od 2021 r. poprzez system zobowiązujący do efektywności energetycznej </w:t>
      </w:r>
      <w:r w:rsidR="000557EE">
        <w:t xml:space="preserve">– </w:t>
      </w:r>
      <w:r w:rsidRPr="000557EE">
        <w:rPr>
          <w:b/>
          <w:bCs/>
        </w:rPr>
        <w:t>system świadectw efektywności energetycznej</w:t>
      </w:r>
      <w:r w:rsidR="000557EE">
        <w:t xml:space="preserve"> –</w:t>
      </w:r>
      <w:r w:rsidRPr="004559D3">
        <w:t xml:space="preserve"> oraz </w:t>
      </w:r>
      <w:r w:rsidR="00A90831">
        <w:t xml:space="preserve">poprzez tzw. </w:t>
      </w:r>
      <w:r w:rsidR="00A90831" w:rsidRPr="00454079">
        <w:rPr>
          <w:b/>
          <w:bCs/>
        </w:rPr>
        <w:t xml:space="preserve">środki </w:t>
      </w:r>
      <w:r w:rsidRPr="00454079">
        <w:rPr>
          <w:b/>
          <w:bCs/>
        </w:rPr>
        <w:t>alternatywne</w:t>
      </w:r>
      <w:r w:rsidRPr="004559D3">
        <w:t xml:space="preserve">. Polska będzie kontynuować </w:t>
      </w:r>
      <w:r w:rsidR="000557EE">
        <w:t>przyjęte</w:t>
      </w:r>
      <w:r w:rsidRPr="004559D3">
        <w:t xml:space="preserve"> podejście w</w:t>
      </w:r>
      <w:r w:rsidR="000557EE">
        <w:t> </w:t>
      </w:r>
      <w:r w:rsidRPr="004559D3">
        <w:t xml:space="preserve">realizacji nowego celu wynikającego z art. 8 ust. 1 </w:t>
      </w:r>
      <w:r w:rsidR="000557EE">
        <w:t xml:space="preserve">dyrektywy </w:t>
      </w:r>
      <w:r w:rsidRPr="004559D3">
        <w:t>EED. Planowane jest zachowanie dotychczasowego poziomu obowiązku dla podmiotów zobowiązanych w ramach systemu świadectw efektywności energetycznej, pozostałą część wymaganych całkowitych skumulowanych oszczędności Polska zapewni poprzez alternatywne środki</w:t>
      </w:r>
      <w:r w:rsidR="00103ADD">
        <w:t xml:space="preserve">, które określono w załączniku </w:t>
      </w:r>
      <w:r w:rsidR="00904417">
        <w:t>4</w:t>
      </w:r>
      <w:r w:rsidR="00DF11DC">
        <w:t xml:space="preserve"> </w:t>
      </w:r>
      <w:r w:rsidR="00103ADD">
        <w:t>do niniejszego dokumentu</w:t>
      </w:r>
      <w:r w:rsidRPr="004559D3">
        <w:t>.</w:t>
      </w:r>
    </w:p>
    <w:p w14:paraId="433E216A" w14:textId="2A83418B" w:rsidR="00B25FD0" w:rsidRPr="00EA20DE" w:rsidRDefault="000E1799" w:rsidP="000E1799">
      <w:pPr>
        <w:pStyle w:val="Nagwek4"/>
        <w:rPr>
          <w:color w:val="4472C4" w:themeColor="accent1"/>
        </w:rPr>
      </w:pPr>
      <w:bookmarkStart w:id="381" w:name="_Toc195897293"/>
      <w:bookmarkStart w:id="382" w:name="_Toc205203182"/>
      <w:r w:rsidRPr="00EA20DE">
        <w:rPr>
          <w:color w:val="4472C4" w:themeColor="accent1"/>
        </w:rPr>
        <w:lastRenderedPageBreak/>
        <w:t>Zmniejszenie finalnego zużycia energii przez instytucje publiczne</w:t>
      </w:r>
      <w:bookmarkEnd w:id="381"/>
      <w:bookmarkEnd w:id="382"/>
    </w:p>
    <w:tbl>
      <w:tblPr>
        <w:tblStyle w:val="Tabela-Siatka"/>
        <w:tblpPr w:leftFromText="141" w:rightFromText="141" w:vertAnchor="text" w:horzAnchor="margin" w:tblpXSpec="right" w:tblpYSpec="outside"/>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799"/>
        <w:gridCol w:w="1631"/>
        <w:gridCol w:w="1624"/>
        <w:gridCol w:w="1567"/>
      </w:tblGrid>
      <w:tr w:rsidR="009371F9" w:rsidRPr="00CC6F86" w14:paraId="666A88DF" w14:textId="77777777" w:rsidTr="00180E99">
        <w:trPr>
          <w:trHeight w:val="868"/>
        </w:trPr>
        <w:tc>
          <w:tcPr>
            <w:tcW w:w="799" w:type="dxa"/>
            <w:vAlign w:val="center"/>
          </w:tcPr>
          <w:p w14:paraId="5EC6523F" w14:textId="77777777" w:rsidR="009371F9" w:rsidRPr="00CC6F86" w:rsidRDefault="009371F9" w:rsidP="009371F9">
            <w:pPr>
              <w:jc w:val="center"/>
              <w:rPr>
                <w:b/>
                <w:bCs/>
                <w:sz w:val="18"/>
                <w:szCs w:val="20"/>
              </w:rPr>
            </w:pPr>
            <w:r>
              <w:rPr>
                <w:b/>
                <w:bCs/>
                <w:sz w:val="18"/>
                <w:szCs w:val="20"/>
              </w:rPr>
              <w:t>grupa</w:t>
            </w:r>
          </w:p>
        </w:tc>
        <w:tc>
          <w:tcPr>
            <w:tcW w:w="1631" w:type="dxa"/>
            <w:vAlign w:val="center"/>
          </w:tcPr>
          <w:p w14:paraId="794E1CD1" w14:textId="77777777" w:rsidR="009371F9" w:rsidRPr="00CC6F86" w:rsidRDefault="009371F9" w:rsidP="009371F9">
            <w:pPr>
              <w:jc w:val="center"/>
              <w:rPr>
                <w:b/>
                <w:bCs/>
                <w:sz w:val="18"/>
                <w:szCs w:val="20"/>
              </w:rPr>
            </w:pPr>
            <w:r>
              <w:rPr>
                <w:b/>
                <w:bCs/>
                <w:sz w:val="18"/>
                <w:szCs w:val="20"/>
              </w:rPr>
              <w:t>typ i w</w:t>
            </w:r>
            <w:r w:rsidRPr="00CC6F86">
              <w:rPr>
                <w:b/>
                <w:bCs/>
                <w:sz w:val="18"/>
                <w:szCs w:val="20"/>
              </w:rPr>
              <w:t>ielkość jednostki administracyjnej</w:t>
            </w:r>
          </w:p>
        </w:tc>
        <w:tc>
          <w:tcPr>
            <w:tcW w:w="1624" w:type="dxa"/>
            <w:vAlign w:val="center"/>
          </w:tcPr>
          <w:p w14:paraId="44B46746" w14:textId="77777777" w:rsidR="009371F9" w:rsidRPr="00CC6F86" w:rsidRDefault="009371F9" w:rsidP="009371F9">
            <w:pPr>
              <w:jc w:val="center"/>
              <w:rPr>
                <w:b/>
                <w:bCs/>
                <w:sz w:val="18"/>
                <w:szCs w:val="20"/>
              </w:rPr>
            </w:pPr>
            <w:r>
              <w:rPr>
                <w:b/>
                <w:bCs/>
                <w:sz w:val="18"/>
                <w:szCs w:val="20"/>
              </w:rPr>
              <w:t>w</w:t>
            </w:r>
            <w:r w:rsidRPr="00CC6F86">
              <w:rPr>
                <w:b/>
                <w:bCs/>
                <w:sz w:val="18"/>
                <w:szCs w:val="20"/>
              </w:rPr>
              <w:t>ejścia w życie obowiązku</w:t>
            </w:r>
            <w:r>
              <w:rPr>
                <w:b/>
                <w:bCs/>
                <w:sz w:val="18"/>
                <w:szCs w:val="20"/>
              </w:rPr>
              <w:t xml:space="preserve"> oszczędności</w:t>
            </w:r>
          </w:p>
        </w:tc>
        <w:tc>
          <w:tcPr>
            <w:tcW w:w="1567" w:type="dxa"/>
            <w:vAlign w:val="center"/>
          </w:tcPr>
          <w:p w14:paraId="57EAD141" w14:textId="77777777" w:rsidR="009371F9" w:rsidRPr="00CC6F86" w:rsidRDefault="009371F9" w:rsidP="009371F9">
            <w:pPr>
              <w:jc w:val="center"/>
              <w:rPr>
                <w:b/>
                <w:bCs/>
                <w:sz w:val="18"/>
                <w:szCs w:val="20"/>
              </w:rPr>
            </w:pPr>
            <w:r>
              <w:rPr>
                <w:b/>
                <w:bCs/>
                <w:sz w:val="18"/>
                <w:szCs w:val="20"/>
              </w:rPr>
              <w:t>oszacowane zużycie energii w 2021 r.</w:t>
            </w:r>
          </w:p>
        </w:tc>
      </w:tr>
      <w:tr w:rsidR="009371F9" w:rsidRPr="00CC6F86" w14:paraId="11A73007" w14:textId="77777777" w:rsidTr="00180E99">
        <w:trPr>
          <w:trHeight w:val="468"/>
        </w:trPr>
        <w:tc>
          <w:tcPr>
            <w:tcW w:w="799" w:type="dxa"/>
            <w:vAlign w:val="center"/>
          </w:tcPr>
          <w:p w14:paraId="2011C02F" w14:textId="77777777" w:rsidR="009371F9" w:rsidRPr="00CC6F86" w:rsidRDefault="009371F9" w:rsidP="009371F9">
            <w:pPr>
              <w:jc w:val="center"/>
              <w:rPr>
                <w:sz w:val="18"/>
                <w:szCs w:val="20"/>
              </w:rPr>
            </w:pPr>
            <w:r>
              <w:rPr>
                <w:sz w:val="18"/>
                <w:szCs w:val="20"/>
              </w:rPr>
              <w:t>G1</w:t>
            </w:r>
          </w:p>
        </w:tc>
        <w:tc>
          <w:tcPr>
            <w:tcW w:w="1631" w:type="dxa"/>
            <w:vAlign w:val="center"/>
          </w:tcPr>
          <w:p w14:paraId="64069780" w14:textId="77777777" w:rsidR="009371F9" w:rsidRPr="00CC6F86" w:rsidRDefault="009371F9" w:rsidP="009371F9">
            <w:pPr>
              <w:jc w:val="center"/>
              <w:rPr>
                <w:sz w:val="18"/>
                <w:szCs w:val="20"/>
              </w:rPr>
            </w:pPr>
            <w:r>
              <w:rPr>
                <w:sz w:val="18"/>
                <w:szCs w:val="20"/>
              </w:rPr>
              <w:t>miasto &gt;</w:t>
            </w:r>
            <w:r w:rsidRPr="00CC6F86">
              <w:rPr>
                <w:sz w:val="18"/>
                <w:szCs w:val="20"/>
              </w:rPr>
              <w:t>50 000 mieszkańców</w:t>
            </w:r>
          </w:p>
        </w:tc>
        <w:tc>
          <w:tcPr>
            <w:tcW w:w="1624" w:type="dxa"/>
            <w:vAlign w:val="center"/>
          </w:tcPr>
          <w:p w14:paraId="6BEEEDD4" w14:textId="77777777" w:rsidR="009371F9" w:rsidRPr="00CC6F86" w:rsidRDefault="009371F9" w:rsidP="009371F9">
            <w:pPr>
              <w:jc w:val="center"/>
              <w:rPr>
                <w:sz w:val="18"/>
                <w:szCs w:val="20"/>
              </w:rPr>
            </w:pPr>
            <w:r>
              <w:rPr>
                <w:sz w:val="18"/>
                <w:szCs w:val="20"/>
              </w:rPr>
              <w:t>11 października 2025 r.</w:t>
            </w:r>
          </w:p>
        </w:tc>
        <w:tc>
          <w:tcPr>
            <w:tcW w:w="1567" w:type="dxa"/>
            <w:vAlign w:val="center"/>
          </w:tcPr>
          <w:p w14:paraId="4826C02C" w14:textId="77777777" w:rsidR="009371F9" w:rsidRDefault="009371F9" w:rsidP="009371F9">
            <w:pPr>
              <w:jc w:val="center"/>
              <w:rPr>
                <w:sz w:val="18"/>
                <w:szCs w:val="20"/>
              </w:rPr>
            </w:pPr>
            <w:r>
              <w:rPr>
                <w:sz w:val="18"/>
                <w:szCs w:val="20"/>
              </w:rPr>
              <w:t>1 309 ktoe</w:t>
            </w:r>
          </w:p>
        </w:tc>
      </w:tr>
      <w:tr w:rsidR="009371F9" w:rsidRPr="00CC6F86" w14:paraId="248FC3AB" w14:textId="77777777" w:rsidTr="00180E99">
        <w:trPr>
          <w:trHeight w:val="468"/>
        </w:trPr>
        <w:tc>
          <w:tcPr>
            <w:tcW w:w="799" w:type="dxa"/>
            <w:vAlign w:val="center"/>
          </w:tcPr>
          <w:p w14:paraId="55EA406D" w14:textId="77777777" w:rsidR="009371F9" w:rsidRDefault="009371F9" w:rsidP="009371F9">
            <w:pPr>
              <w:jc w:val="center"/>
              <w:rPr>
                <w:sz w:val="18"/>
                <w:szCs w:val="20"/>
              </w:rPr>
            </w:pPr>
            <w:r>
              <w:rPr>
                <w:sz w:val="18"/>
                <w:szCs w:val="20"/>
              </w:rPr>
              <w:t>G2</w:t>
            </w:r>
          </w:p>
        </w:tc>
        <w:tc>
          <w:tcPr>
            <w:tcW w:w="1631" w:type="dxa"/>
            <w:vAlign w:val="center"/>
          </w:tcPr>
          <w:p w14:paraId="16B6852B" w14:textId="77777777" w:rsidR="009371F9" w:rsidRPr="00CC6F86" w:rsidRDefault="009371F9" w:rsidP="009371F9">
            <w:pPr>
              <w:jc w:val="center"/>
              <w:rPr>
                <w:sz w:val="18"/>
                <w:szCs w:val="20"/>
              </w:rPr>
            </w:pPr>
            <w:r>
              <w:rPr>
                <w:sz w:val="18"/>
                <w:szCs w:val="20"/>
              </w:rPr>
              <w:t>miasto &lt;50 000 mieszkańców</w:t>
            </w:r>
          </w:p>
        </w:tc>
        <w:tc>
          <w:tcPr>
            <w:tcW w:w="1624" w:type="dxa"/>
            <w:vAlign w:val="center"/>
          </w:tcPr>
          <w:p w14:paraId="731F87DA" w14:textId="77777777" w:rsidR="009371F9" w:rsidRPr="00CC6F86" w:rsidRDefault="009371F9" w:rsidP="009371F9">
            <w:pPr>
              <w:jc w:val="center"/>
              <w:rPr>
                <w:sz w:val="18"/>
                <w:szCs w:val="20"/>
              </w:rPr>
            </w:pPr>
            <w:r>
              <w:rPr>
                <w:sz w:val="18"/>
                <w:szCs w:val="20"/>
              </w:rPr>
              <w:t>1 stycznia 2027 r.</w:t>
            </w:r>
          </w:p>
        </w:tc>
        <w:tc>
          <w:tcPr>
            <w:tcW w:w="1567" w:type="dxa"/>
            <w:vAlign w:val="center"/>
          </w:tcPr>
          <w:p w14:paraId="1BABB01B" w14:textId="77777777" w:rsidR="009371F9" w:rsidRDefault="009371F9" w:rsidP="009371F9">
            <w:pPr>
              <w:jc w:val="center"/>
              <w:rPr>
                <w:sz w:val="18"/>
                <w:szCs w:val="20"/>
              </w:rPr>
            </w:pPr>
            <w:r>
              <w:rPr>
                <w:sz w:val="18"/>
                <w:szCs w:val="20"/>
              </w:rPr>
              <w:t>1 702 ktoe</w:t>
            </w:r>
          </w:p>
        </w:tc>
      </w:tr>
      <w:tr w:rsidR="009371F9" w:rsidRPr="00CC6F86" w14:paraId="545FEE23" w14:textId="77777777" w:rsidTr="00180E99">
        <w:trPr>
          <w:trHeight w:val="468"/>
        </w:trPr>
        <w:tc>
          <w:tcPr>
            <w:tcW w:w="799" w:type="dxa"/>
            <w:vAlign w:val="center"/>
          </w:tcPr>
          <w:p w14:paraId="3A523204" w14:textId="77777777" w:rsidR="009371F9" w:rsidRDefault="009371F9" w:rsidP="009371F9">
            <w:pPr>
              <w:jc w:val="center"/>
              <w:rPr>
                <w:sz w:val="18"/>
                <w:szCs w:val="20"/>
              </w:rPr>
            </w:pPr>
            <w:r>
              <w:rPr>
                <w:sz w:val="18"/>
                <w:szCs w:val="20"/>
              </w:rPr>
              <w:t>G3</w:t>
            </w:r>
          </w:p>
        </w:tc>
        <w:tc>
          <w:tcPr>
            <w:tcW w:w="1631" w:type="dxa"/>
            <w:vAlign w:val="center"/>
          </w:tcPr>
          <w:p w14:paraId="7E559472" w14:textId="77777777" w:rsidR="009371F9" w:rsidRPr="00CC6F86" w:rsidRDefault="009371F9" w:rsidP="009371F9">
            <w:pPr>
              <w:jc w:val="center"/>
              <w:rPr>
                <w:sz w:val="18"/>
                <w:szCs w:val="20"/>
              </w:rPr>
            </w:pPr>
            <w:r>
              <w:rPr>
                <w:sz w:val="18"/>
                <w:szCs w:val="20"/>
              </w:rPr>
              <w:t>obszar wiejski</w:t>
            </w:r>
          </w:p>
        </w:tc>
        <w:tc>
          <w:tcPr>
            <w:tcW w:w="1624" w:type="dxa"/>
            <w:vAlign w:val="center"/>
          </w:tcPr>
          <w:p w14:paraId="342CE72E" w14:textId="77777777" w:rsidR="009371F9" w:rsidRPr="00CC6F86" w:rsidRDefault="009371F9" w:rsidP="009371F9">
            <w:pPr>
              <w:jc w:val="center"/>
              <w:rPr>
                <w:sz w:val="18"/>
                <w:szCs w:val="20"/>
              </w:rPr>
            </w:pPr>
            <w:r>
              <w:rPr>
                <w:sz w:val="18"/>
                <w:szCs w:val="20"/>
              </w:rPr>
              <w:t>1 stycznia 2030 r.</w:t>
            </w:r>
          </w:p>
        </w:tc>
        <w:tc>
          <w:tcPr>
            <w:tcW w:w="1567" w:type="dxa"/>
            <w:vAlign w:val="center"/>
          </w:tcPr>
          <w:p w14:paraId="39AD9CAA" w14:textId="77777777" w:rsidR="009371F9" w:rsidRDefault="009371F9" w:rsidP="009371F9">
            <w:pPr>
              <w:jc w:val="center"/>
              <w:rPr>
                <w:sz w:val="18"/>
                <w:szCs w:val="20"/>
              </w:rPr>
            </w:pPr>
            <w:r>
              <w:rPr>
                <w:sz w:val="18"/>
                <w:szCs w:val="20"/>
              </w:rPr>
              <w:t>1 103 ktoe</w:t>
            </w:r>
          </w:p>
        </w:tc>
      </w:tr>
    </w:tbl>
    <w:p w14:paraId="2B57EC3C" w14:textId="7EE0A803" w:rsidR="000E1799" w:rsidRDefault="000E1799" w:rsidP="000E1799">
      <w:r>
        <w:t>Instytucje publiczne powinny pełnić wzorcową rolę w zakresie efektywności energetycznej. Z tego względu a</w:t>
      </w:r>
      <w:r w:rsidRPr="000E1799">
        <w:t xml:space="preserve">rt. 5 dyrektywy EED </w:t>
      </w:r>
      <w:r>
        <w:t xml:space="preserve">obliguje, aby </w:t>
      </w:r>
      <w:r w:rsidRPr="000E1799">
        <w:t>państwa członkowskie zapewni</w:t>
      </w:r>
      <w:r>
        <w:t>ły</w:t>
      </w:r>
      <w:r w:rsidRPr="000E1799">
        <w:t>,</w:t>
      </w:r>
      <w:r>
        <w:t xml:space="preserve"> </w:t>
      </w:r>
      <w:r w:rsidRPr="000E1799">
        <w:t xml:space="preserve">by całkowite </w:t>
      </w:r>
      <w:r>
        <w:t xml:space="preserve">finalne </w:t>
      </w:r>
      <w:r w:rsidRPr="000E1799">
        <w:t>zużycie energii wszystkich instytucji publicznych łącznie zmniejszane było o co najmniej 1,9% rocznie w</w:t>
      </w:r>
      <w:r w:rsidR="00F96DE3">
        <w:t> </w:t>
      </w:r>
      <w:r w:rsidRPr="000E1799">
        <w:t>porównaniu z</w:t>
      </w:r>
      <w:r>
        <w:t> </w:t>
      </w:r>
      <w:r w:rsidRPr="000E1799">
        <w:t>2021</w:t>
      </w:r>
      <w:r>
        <w:t xml:space="preserve"> r</w:t>
      </w:r>
      <w:r w:rsidRPr="000E1799">
        <w:t>. Cel ilościowy ma za zadanie wzmocnić znaczenie wzorcowej roli sektora publicznego w zakresie efektywności energetycznej.</w:t>
      </w:r>
    </w:p>
    <w:p w14:paraId="6070B23C" w14:textId="596F025F" w:rsidR="000E1799" w:rsidRDefault="00BF508F" w:rsidP="000E1799">
      <w:r>
        <w:t>Finalne z</w:t>
      </w:r>
      <w:r w:rsidR="000E1799">
        <w:t xml:space="preserve">użycie energii przez instytucje publiczne w 2021 r. wyniosło łącznie </w:t>
      </w:r>
      <w:r w:rsidR="000E1799" w:rsidRPr="00326664">
        <w:rPr>
          <w:b/>
          <w:bCs/>
        </w:rPr>
        <w:t>4</w:t>
      </w:r>
      <w:r w:rsidR="00AC5409">
        <w:rPr>
          <w:b/>
          <w:bCs/>
        </w:rPr>
        <w:t> </w:t>
      </w:r>
      <w:r w:rsidR="000E1799" w:rsidRPr="00326664">
        <w:rPr>
          <w:b/>
          <w:bCs/>
        </w:rPr>
        <w:t>114 ktoe</w:t>
      </w:r>
      <w:r w:rsidR="000E1799" w:rsidRPr="00C056F5">
        <w:t xml:space="preserve"> </w:t>
      </w:r>
      <w:r w:rsidR="000E1799">
        <w:t>(</w:t>
      </w:r>
      <w:r w:rsidR="00FC16D2">
        <w:t>bez</w:t>
      </w:r>
      <w:r w:rsidR="000E1799">
        <w:t xml:space="preserve"> transportu publicznego oraz sił zbrojnych, zgodnie z</w:t>
      </w:r>
      <w:r w:rsidR="00FC16D2">
        <w:t> </w:t>
      </w:r>
      <w:r w:rsidR="000E1799">
        <w:t>wyłączeniem przewidzianym w art. 5 ust. 1 dyrektywy EED)</w:t>
      </w:r>
      <w:r>
        <w:t>.</w:t>
      </w:r>
    </w:p>
    <w:p w14:paraId="05B5B98D" w14:textId="0D492914" w:rsidR="00BF508F" w:rsidRDefault="0061483F" w:rsidP="000E1799">
      <w:r>
        <w:rPr>
          <w:noProof/>
        </w:rPr>
        <mc:AlternateContent>
          <mc:Choice Requires="wps">
            <w:drawing>
              <wp:anchor distT="0" distB="0" distL="114300" distR="114300" simplePos="0" relativeHeight="251753984" behindDoc="1" locked="0" layoutInCell="1" allowOverlap="1" wp14:anchorId="7E3CDE2F" wp14:editId="73BD7E62">
                <wp:simplePos x="0" y="0"/>
                <wp:positionH relativeFrom="column">
                  <wp:posOffset>2236470</wp:posOffset>
                </wp:positionH>
                <wp:positionV relativeFrom="paragraph">
                  <wp:posOffset>2618105</wp:posOffset>
                </wp:positionV>
                <wp:extent cx="3591560" cy="635"/>
                <wp:effectExtent l="0" t="0" r="0" b="0"/>
                <wp:wrapTight wrapText="bothSides">
                  <wp:wrapPolygon edited="0">
                    <wp:start x="0" y="0"/>
                    <wp:lineTo x="0" y="21600"/>
                    <wp:lineTo x="21600" y="21600"/>
                    <wp:lineTo x="21600" y="0"/>
                  </wp:wrapPolygon>
                </wp:wrapTight>
                <wp:docPr id="676474468" name="Pole tekstowe 1"/>
                <wp:cNvGraphicFramePr/>
                <a:graphic xmlns:a="http://schemas.openxmlformats.org/drawingml/2006/main">
                  <a:graphicData uri="http://schemas.microsoft.com/office/word/2010/wordprocessingShape">
                    <wps:wsp>
                      <wps:cNvSpPr txBox="1"/>
                      <wps:spPr>
                        <a:xfrm>
                          <a:off x="0" y="0"/>
                          <a:ext cx="3591560" cy="635"/>
                        </a:xfrm>
                        <a:prstGeom prst="rect">
                          <a:avLst/>
                        </a:prstGeom>
                        <a:solidFill>
                          <a:prstClr val="white"/>
                        </a:solidFill>
                        <a:ln>
                          <a:noFill/>
                        </a:ln>
                      </wps:spPr>
                      <wps:txbx>
                        <w:txbxContent>
                          <w:p w14:paraId="06F1E97C" w14:textId="7C919E55" w:rsidR="0061483F" w:rsidRPr="0026432E" w:rsidRDefault="0061483F" w:rsidP="0061483F">
                            <w:pPr>
                              <w:pStyle w:val="Legenda"/>
                              <w:rPr>
                                <w:noProof/>
                                <w:szCs w:val="22"/>
                              </w:rPr>
                            </w:pPr>
                            <w:bookmarkStart w:id="383" w:name="_Toc205204453"/>
                            <w:r>
                              <w:t xml:space="preserve">Wykres </w:t>
                            </w:r>
                            <w:fldSimple w:instr=" SEQ Wykres \* ARABIC ">
                              <w:r w:rsidR="00871DD5">
                                <w:rPr>
                                  <w:noProof/>
                                </w:rPr>
                                <w:t>15</w:t>
                              </w:r>
                            </w:fldSimple>
                            <w:r>
                              <w:t xml:space="preserve">. Oszacowanie </w:t>
                            </w:r>
                            <w:r w:rsidR="00AE293D">
                              <w:t>zmniejszenia zużycie FEC</w:t>
                            </w:r>
                            <w:bookmarkEnd w:id="3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3CDE2F" id="_x0000_s1110" type="#_x0000_t202" style="position:absolute;left:0;text-align:left;margin-left:176.1pt;margin-top:206.15pt;width:282.8pt;height:.05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" stroked="f">
                <v:textbox style="mso-fit-shape-to-text:t" inset="0,0,0,0">
                  <w:txbxContent>
                    <w:p w14:paraId="06F1E97C" w14:textId="7C919E55" w:rsidR="0061483F" w:rsidRPr="0026432E" w:rsidRDefault="0061483F" w:rsidP="0061483F">
                      <w:pPr>
                        <w:pStyle w:val="Legenda"/>
                        <w:rPr>
                          <w:noProof/>
                          <w:szCs w:val="22"/>
                        </w:rPr>
                      </w:pPr>
                      <w:bookmarkStart w:id="397" w:name="_Toc205204453"/>
                      <w:r>
                        <w:t xml:space="preserve">Wykres </w:t>
                      </w:r>
                      <w:r w:rsidR="000559D5">
                        <w:fldChar w:fldCharType="begin"/>
                      </w:r>
                      <w:r w:rsidR="000559D5">
                        <w:instrText xml:space="preserve"> SEQ Wykres \* ARABIC </w:instrText>
                      </w:r>
                      <w:r w:rsidR="000559D5">
                        <w:fldChar w:fldCharType="separate"/>
                      </w:r>
                      <w:r w:rsidR="00871DD5">
                        <w:rPr>
                          <w:noProof/>
                        </w:rPr>
                        <w:t>15</w:t>
                      </w:r>
                      <w:r w:rsidR="000559D5">
                        <w:rPr>
                          <w:noProof/>
                        </w:rPr>
                        <w:fldChar w:fldCharType="end"/>
                      </w:r>
                      <w:r>
                        <w:t xml:space="preserve">. Oszacowanie </w:t>
                      </w:r>
                      <w:r w:rsidR="00AE293D">
                        <w:t>zmniejszenia zużycie FEC</w:t>
                      </w:r>
                      <w:bookmarkEnd w:id="397"/>
                    </w:p>
                  </w:txbxContent>
                </v:textbox>
                <w10:wrap type="tight"/>
              </v:shape>
            </w:pict>
          </mc:Fallback>
        </mc:AlternateContent>
      </w:r>
      <w:r w:rsidR="002F5F51">
        <w:rPr>
          <w:noProof/>
          <w:lang w:eastAsia="pl-PL"/>
        </w:rPr>
        <w:drawing>
          <wp:anchor distT="0" distB="0" distL="114300" distR="114300" simplePos="0" relativeHeight="251893248" behindDoc="0" locked="0" layoutInCell="1" allowOverlap="1" wp14:anchorId="0BBD3CC1" wp14:editId="370B7D24">
            <wp:simplePos x="0" y="0"/>
            <wp:positionH relativeFrom="column">
              <wp:posOffset>2236470</wp:posOffset>
            </wp:positionH>
            <wp:positionV relativeFrom="paragraph">
              <wp:posOffset>73025</wp:posOffset>
            </wp:positionV>
            <wp:extent cx="3591560" cy="2487930"/>
            <wp:effectExtent l="0" t="0" r="8890" b="7620"/>
            <wp:wrapTight wrapText="bothSides">
              <wp:wrapPolygon edited="0">
                <wp:start x="0" y="0"/>
                <wp:lineTo x="0" y="21501"/>
                <wp:lineTo x="21539" y="21501"/>
                <wp:lineTo x="21539" y="0"/>
                <wp:lineTo x="0" y="0"/>
              </wp:wrapPolygon>
            </wp:wrapTight>
            <wp:docPr id="1876253118" name="Wykres 1">
              <a:extLst xmlns:a="http://schemas.openxmlformats.org/drawingml/2006/main">
                <a:ext uri="{FF2B5EF4-FFF2-40B4-BE49-F238E27FC236}">
                  <a16:creationId xmlns:a16="http://schemas.microsoft.com/office/drawing/2014/main" id="{E3D5AC2E-A62A-4DD3-AEA6-917C08951D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r w:rsidR="00BF508F" w:rsidRPr="00DC7F88">
        <w:t xml:space="preserve">Zgodnie z art. 5 ust. </w:t>
      </w:r>
      <w:r w:rsidR="00BF508F">
        <w:t>3</w:t>
      </w:r>
      <w:r w:rsidR="00BF508F" w:rsidRPr="00DC7F88">
        <w:t xml:space="preserve"> dyrektywy 2023/1791 </w:t>
      </w:r>
      <w:r w:rsidR="00BF508F">
        <w:t xml:space="preserve">obowiązek zmniejszenia </w:t>
      </w:r>
      <w:r w:rsidR="003A7C3D">
        <w:t xml:space="preserve">finalnego </w:t>
      </w:r>
      <w:r w:rsidR="00BF508F">
        <w:t xml:space="preserve">zużycia energii przez instytucje publiczne powinien być wdrażany stopniowo mając na względzie wielkość jednostek administracyjnych. W związku z tym niezbędne </w:t>
      </w:r>
      <w:r w:rsidR="00FC16D2">
        <w:t>było</w:t>
      </w:r>
      <w:r w:rsidR="00BF508F">
        <w:t xml:space="preserve"> określenie zmniejszeni</w:t>
      </w:r>
      <w:r w:rsidR="00FC16D2">
        <w:t>a</w:t>
      </w:r>
      <w:r w:rsidR="00BF508F">
        <w:t xml:space="preserve"> zużycia energii w </w:t>
      </w:r>
      <w:r w:rsidR="00FC16D2">
        <w:t>trzech grupach – w</w:t>
      </w:r>
      <w:r w:rsidR="00C92EE6">
        <w:t> </w:t>
      </w:r>
      <w:r w:rsidR="00FC16D2">
        <w:t>miastach o liczbie powyżej i poniżej 50</w:t>
      </w:r>
      <w:r w:rsidR="00C92EE6">
        <w:t> </w:t>
      </w:r>
      <w:r w:rsidR="00904417">
        <w:t>000</w:t>
      </w:r>
      <w:r w:rsidR="00FC16D2">
        <w:t xml:space="preserve"> mieszkańców oraz na obszarach wiejskich</w:t>
      </w:r>
      <w:r w:rsidR="00BF508F">
        <w:t>. Na</w:t>
      </w:r>
      <w:r w:rsidR="00C92EE6">
        <w:t> </w:t>
      </w:r>
      <w:r w:rsidR="00BF508F">
        <w:t xml:space="preserve">rysunku </w:t>
      </w:r>
      <w:r w:rsidR="00C92EE6">
        <w:t>obok</w:t>
      </w:r>
      <w:r w:rsidR="00BF508F">
        <w:t xml:space="preserve"> wskazano szacowane finalne zużycie energii w</w:t>
      </w:r>
      <w:r w:rsidR="00C92EE6">
        <w:t> </w:t>
      </w:r>
      <w:r w:rsidR="00BF508F">
        <w:t xml:space="preserve">każdej grupie </w:t>
      </w:r>
      <w:r w:rsidR="00C92EE6">
        <w:t>w</w:t>
      </w:r>
      <w:r w:rsidR="00BF508F">
        <w:t xml:space="preserve"> </w:t>
      </w:r>
      <w:r w:rsidR="00C92EE6">
        <w:t xml:space="preserve">latach </w:t>
      </w:r>
      <w:r w:rsidR="00BF508F">
        <w:t>2021</w:t>
      </w:r>
      <w:r w:rsidR="00C92EE6">
        <w:t>–2024</w:t>
      </w:r>
      <w:r w:rsidR="00BF508F">
        <w:t xml:space="preserve"> oraz stopniowe wdrażanie obowiązku od 2025 r.</w:t>
      </w:r>
    </w:p>
    <w:p w14:paraId="1050A046" w14:textId="28A9259D" w:rsidR="000630B5" w:rsidRDefault="000630B5" w:rsidP="000E1799"/>
    <w:p w14:paraId="0B008A57" w14:textId="75FAF790" w:rsidR="00BF508F" w:rsidRDefault="00BF508F" w:rsidP="00BF508F">
      <w:pPr>
        <w:pStyle w:val="Cele"/>
        <w:rPr>
          <w:b/>
          <w:bCs/>
        </w:rPr>
      </w:pPr>
      <w:r w:rsidRPr="00A807F9">
        <w:rPr>
          <w:b/>
          <w:bCs/>
        </w:rPr>
        <w:t xml:space="preserve">Polska będzie dążyć do realizacji celu zmniejszenia </w:t>
      </w:r>
      <w:r w:rsidR="00D71CD8">
        <w:rPr>
          <w:b/>
          <w:bCs/>
        </w:rPr>
        <w:t xml:space="preserve">finalnego </w:t>
      </w:r>
      <w:r w:rsidRPr="00A807F9">
        <w:rPr>
          <w:b/>
          <w:bCs/>
        </w:rPr>
        <w:t>zużycia energii przez wszystkie instytucje publiczne</w:t>
      </w:r>
      <w:r w:rsidR="003A7C3D">
        <w:rPr>
          <w:b/>
          <w:bCs/>
        </w:rPr>
        <w:t>,</w:t>
      </w:r>
      <w:r w:rsidRPr="00A807F9">
        <w:rPr>
          <w:b/>
          <w:bCs/>
        </w:rPr>
        <w:t xml:space="preserve"> </w:t>
      </w:r>
      <w:r>
        <w:rPr>
          <w:b/>
          <w:bCs/>
        </w:rPr>
        <w:t>tak aby w 2030 r</w:t>
      </w:r>
      <w:r w:rsidR="00D71CD8">
        <w:rPr>
          <w:b/>
          <w:bCs/>
        </w:rPr>
        <w:t>.</w:t>
      </w:r>
      <w:r>
        <w:rPr>
          <w:b/>
          <w:bCs/>
        </w:rPr>
        <w:t xml:space="preserve"> osiągać </w:t>
      </w:r>
      <w:r w:rsidR="00AF16DA">
        <w:rPr>
          <w:b/>
          <w:bCs/>
        </w:rPr>
        <w:t>redukcję</w:t>
      </w:r>
      <w:r w:rsidR="00A67584">
        <w:rPr>
          <w:b/>
          <w:bCs/>
        </w:rPr>
        <w:br/>
      </w:r>
      <w:r>
        <w:rPr>
          <w:b/>
          <w:bCs/>
        </w:rPr>
        <w:t xml:space="preserve">o 78,17 ktoe rocznie. </w:t>
      </w:r>
    </w:p>
    <w:p w14:paraId="4544749C" w14:textId="3DABFAE5" w:rsidR="00BF508F" w:rsidRDefault="00BF508F" w:rsidP="00BF508F">
      <w:pPr>
        <w:pStyle w:val="PaMs"/>
      </w:pPr>
      <w:r w:rsidRPr="00C46DAA">
        <w:t>POLITYKA</w:t>
      </w:r>
    </w:p>
    <w:p w14:paraId="32AB769C" w14:textId="41065083" w:rsidR="00EA20DE" w:rsidRPr="00A807F9" w:rsidRDefault="00EA20DE" w:rsidP="00EA20DE">
      <w:r>
        <w:t xml:space="preserve">W związku z trwającymi pracami mającymi na celu wdrożenie dyrektywy EED, w chwili przyjęcia KPEiK nie jest możliwe określenie </w:t>
      </w:r>
      <w:r w:rsidR="00C20555">
        <w:t xml:space="preserve">szczegółowego </w:t>
      </w:r>
      <w:r>
        <w:t xml:space="preserve">sposobu realizacji celu zmniejszenia zużycia energii przez poszczególne grupy instytucji publicznych. </w:t>
      </w:r>
    </w:p>
    <w:p w14:paraId="05FA6D7C" w14:textId="77777777" w:rsidR="00C20555" w:rsidRDefault="00BF508F" w:rsidP="00BF508F">
      <w:pPr>
        <w:rPr>
          <w:b/>
          <w:bCs/>
        </w:rPr>
      </w:pPr>
      <w:r>
        <w:t xml:space="preserve">Aktualnie obowiązująca ustawa z dnia 20 maja 2016 r. </w:t>
      </w:r>
      <w:r w:rsidRPr="00C20555">
        <w:rPr>
          <w:i/>
          <w:iCs/>
        </w:rPr>
        <w:t>o efektywności energetycznej</w:t>
      </w:r>
      <w:r>
        <w:t xml:space="preserve"> </w:t>
      </w:r>
      <w:r w:rsidRPr="00C20555">
        <w:rPr>
          <w:b/>
          <w:bCs/>
        </w:rPr>
        <w:t>wzmocniła zadania w</w:t>
      </w:r>
      <w:r w:rsidR="00C20555" w:rsidRPr="00C20555">
        <w:rPr>
          <w:b/>
          <w:bCs/>
        </w:rPr>
        <w:t> </w:t>
      </w:r>
      <w:r w:rsidRPr="00C20555">
        <w:rPr>
          <w:b/>
          <w:bCs/>
        </w:rPr>
        <w:t>zakresie pełnienia wzorcowej roli sektora publicznego poprzez</w:t>
      </w:r>
      <w:r w:rsidR="00C20555">
        <w:rPr>
          <w:b/>
          <w:bCs/>
        </w:rPr>
        <w:t>:</w:t>
      </w:r>
    </w:p>
    <w:p w14:paraId="399959D3" w14:textId="560FC57F" w:rsidR="00C20555" w:rsidRDefault="00BF508F" w:rsidP="000625AC">
      <w:pPr>
        <w:pStyle w:val="Akapitzlist"/>
        <w:numPr>
          <w:ilvl w:val="0"/>
          <w:numId w:val="81"/>
        </w:numPr>
      </w:pPr>
      <w:r w:rsidRPr="00C20555">
        <w:rPr>
          <w:b/>
          <w:bCs/>
        </w:rPr>
        <w:t>wymóg stosowania środków poprawy efektywności energetycznej,</w:t>
      </w:r>
      <w:r>
        <w:t xml:space="preserve"> </w:t>
      </w:r>
    </w:p>
    <w:p w14:paraId="67BAF468" w14:textId="77777777" w:rsidR="00C20555" w:rsidRDefault="00BF508F" w:rsidP="000625AC">
      <w:pPr>
        <w:pStyle w:val="Akapitzlist"/>
        <w:numPr>
          <w:ilvl w:val="0"/>
          <w:numId w:val="81"/>
        </w:numPr>
      </w:pPr>
      <w:r w:rsidRPr="00836D17">
        <w:lastRenderedPageBreak/>
        <w:t>uwzględniania kryterium efektywności energetycznej w zamówieniach publicznych</w:t>
      </w:r>
      <w:r>
        <w:t xml:space="preserve"> oraz </w:t>
      </w:r>
    </w:p>
    <w:p w14:paraId="6E3A688C" w14:textId="37F84121" w:rsidR="00BF508F" w:rsidRDefault="00BF508F" w:rsidP="000625AC">
      <w:pPr>
        <w:pStyle w:val="Akapitzlist"/>
        <w:numPr>
          <w:ilvl w:val="0"/>
          <w:numId w:val="81"/>
        </w:numPr>
      </w:pPr>
      <w:r w:rsidRPr="00836D17">
        <w:t>możliwość realizacji i finansowania przedsięwzięcia lub przedsięwzięcia tego samego rodzaju służącego</w:t>
      </w:r>
      <w:r w:rsidR="003E2DE5">
        <w:t xml:space="preserve"> </w:t>
      </w:r>
      <w:r w:rsidRPr="00836D17">
        <w:t>poprawie efektywności energetycznej na podstawie umowy o poprawę efektywności energetycznej</w:t>
      </w:r>
      <w:r>
        <w:t>.</w:t>
      </w:r>
    </w:p>
    <w:p w14:paraId="51C9C7EE" w14:textId="49E76588" w:rsidR="00BF508F" w:rsidRDefault="00AB33FB" w:rsidP="00BF508F">
      <w:r>
        <w:t>W</w:t>
      </w:r>
      <w:r w:rsidRPr="00DB45DD">
        <w:t xml:space="preserve"> 2023 r</w:t>
      </w:r>
      <w:r>
        <w:t>.</w:t>
      </w:r>
      <w:r w:rsidRPr="00DB45DD">
        <w:t xml:space="preserve"> oraz w 2024</w:t>
      </w:r>
      <w:r>
        <w:t> </w:t>
      </w:r>
      <w:r w:rsidRPr="00DB45DD">
        <w:t>r</w:t>
      </w:r>
      <w:r>
        <w:t xml:space="preserve">. istniał obowiązek podejmowania działań zmierzających do zmniejszenia zużycia energii elektrycznej o 10% przez jednostki sektora publicznego, jako szczególne narzędzie przeciwdziałania złej sytuacji </w:t>
      </w:r>
      <w:r w:rsidR="00BF508F">
        <w:t xml:space="preserve">na rynku cen energii </w:t>
      </w:r>
      <w:r>
        <w:t>(</w:t>
      </w:r>
      <w:r w:rsidR="00BF508F">
        <w:t>wdrożono ustawą z dnia 7 października 2023 r.</w:t>
      </w:r>
      <w:r w:rsidR="003E2DE5">
        <w:t xml:space="preserve"> </w:t>
      </w:r>
      <w:r w:rsidR="00BF508F">
        <w:t>o</w:t>
      </w:r>
      <w:r w:rsidR="00286B9A">
        <w:t> </w:t>
      </w:r>
      <w:r w:rsidR="00BF508F" w:rsidRPr="00DB45DD">
        <w:t>szczególnych rozwiązaniach służących ochronie odbiorców energii elektrycznej</w:t>
      </w:r>
      <w:r>
        <w:t>)</w:t>
      </w:r>
      <w:r w:rsidR="00BF508F">
        <w:t xml:space="preserve">. </w:t>
      </w:r>
    </w:p>
    <w:p w14:paraId="4507E614" w14:textId="7A80C309" w:rsidR="00BF508F" w:rsidRDefault="00AB33FB" w:rsidP="00BF508F">
      <w:r>
        <w:t>W najbliższym czasie kluczowym rozwiązaniem będzie</w:t>
      </w:r>
      <w:r w:rsidR="00BF508F">
        <w:t xml:space="preserve"> </w:t>
      </w:r>
      <w:r>
        <w:t xml:space="preserve">obowiązek </w:t>
      </w:r>
      <w:r w:rsidR="00BF508F" w:rsidRPr="005F5E2B">
        <w:t xml:space="preserve">zmniejszenia całkowitego </w:t>
      </w:r>
      <w:r w:rsidR="00EA20DE">
        <w:t xml:space="preserve">finalnego </w:t>
      </w:r>
      <w:r w:rsidR="00BF508F" w:rsidRPr="005F5E2B">
        <w:t>zużycia energii o 1,9% rocznie przez instytucje publiczne</w:t>
      </w:r>
      <w:r w:rsidR="00BF508F">
        <w:t xml:space="preserve"> </w:t>
      </w:r>
      <w:r>
        <w:t>– jako</w:t>
      </w:r>
      <w:r w:rsidR="00BF508F">
        <w:t xml:space="preserve"> kwantyfikacj</w:t>
      </w:r>
      <w:r>
        <w:t>a</w:t>
      </w:r>
      <w:r w:rsidR="00BF508F">
        <w:t xml:space="preserve"> podejmowanych już działań w celu zmniejszenia zużycia energii w sektorze publicznym. </w:t>
      </w:r>
    </w:p>
    <w:p w14:paraId="4ABA7918" w14:textId="5C183163" w:rsidR="00C20555" w:rsidRDefault="0061126D" w:rsidP="00BF508F">
      <w:r>
        <w:t xml:space="preserve">Zapewnione zostanie wsparcie finansowe na podnoszenie </w:t>
      </w:r>
      <w:r w:rsidR="00993FE6">
        <w:t>efektywności energetycznej budynków użyteczności publicznej</w:t>
      </w:r>
      <w:r w:rsidR="00AD27C0">
        <w:t xml:space="preserve">, tak by dążyć do osiągnięcia </w:t>
      </w:r>
      <w:r w:rsidR="003D7E5F">
        <w:t>wskaźnika rocznego zapotrzebowania na energię użytkową</w:t>
      </w:r>
      <w:r w:rsidR="00AD27C0">
        <w:t xml:space="preserve"> (EU) na poziomie nie wyższym niż 60 kWh/m²/rok.</w:t>
      </w:r>
      <w:r w:rsidR="00993FE6">
        <w:t xml:space="preserve"> Z pewnością problemem może okazać się specyfika budynków wchodzących w skład tkanki sektora publicznego</w:t>
      </w:r>
      <w:r w:rsidR="00AD27C0">
        <w:t>, w tym budynków zabytkowych – co może być przedmiotem dalszych prac</w:t>
      </w:r>
      <w:r w:rsidR="00993FE6">
        <w:t xml:space="preserve">. </w:t>
      </w:r>
      <w:r w:rsidR="003C5FAD">
        <w:t xml:space="preserve">Szczególnej uwadze poddane zostaną </w:t>
      </w:r>
      <w:r w:rsidR="003C5FAD" w:rsidRPr="00AD27C0">
        <w:rPr>
          <w:b/>
          <w:bCs/>
        </w:rPr>
        <w:t>budynki, w których prowadzona jest edukacja</w:t>
      </w:r>
      <w:r w:rsidR="003C5FAD">
        <w:t>, ze względu na to, że najmłodsze pokolenia spędzają w tych obiektach znaczną część czasu, dlatego tak ważny jest ich komfort cieplny.</w:t>
      </w:r>
    </w:p>
    <w:p w14:paraId="508CC188" w14:textId="51397C0B" w:rsidR="00BF508F" w:rsidRDefault="00C445DC" w:rsidP="00C445DC">
      <w:pPr>
        <w:pStyle w:val="PaMs"/>
      </w:pPr>
      <w:r>
        <w:t xml:space="preserve">DZIAŁANIA </w:t>
      </w:r>
    </w:p>
    <w:p w14:paraId="6AF2C6A8" w14:textId="767CFF67" w:rsidR="001623B7" w:rsidRDefault="001623B7" w:rsidP="000625AC">
      <w:pPr>
        <w:pStyle w:val="Akapitzlist"/>
        <w:numPr>
          <w:ilvl w:val="0"/>
          <w:numId w:val="122"/>
        </w:numPr>
      </w:pPr>
      <w:r>
        <w:fldChar w:fldCharType="begin"/>
      </w:r>
      <w:r>
        <w:instrText xml:space="preserve"> REF _Ref198316911 \h </w:instrText>
      </w:r>
      <w:r>
        <w:fldChar w:fldCharType="separate"/>
      </w:r>
      <w:r w:rsidR="00871DD5">
        <w:t xml:space="preserve">Działanie </w:t>
      </w:r>
      <w:r w:rsidR="00871DD5">
        <w:rPr>
          <w:noProof/>
        </w:rPr>
        <w:t>101</w:t>
      </w:r>
      <w:r w:rsidR="00871DD5">
        <w:t xml:space="preserve">. </w:t>
      </w:r>
      <w:r w:rsidR="00871DD5" w:rsidRPr="00526B59">
        <w:t>Mapa drogowa upowszechnienia modelu ESCO</w:t>
      </w:r>
      <w:r>
        <w:fldChar w:fldCharType="end"/>
      </w:r>
    </w:p>
    <w:p w14:paraId="58443112" w14:textId="2A534D75" w:rsidR="001E288E" w:rsidRDefault="001E288E" w:rsidP="000625AC">
      <w:pPr>
        <w:pStyle w:val="Akapitzlist"/>
        <w:numPr>
          <w:ilvl w:val="0"/>
          <w:numId w:val="122"/>
        </w:numPr>
      </w:pPr>
      <w:r w:rsidRPr="000853ED">
        <w:fldChar w:fldCharType="begin"/>
      </w:r>
      <w:r w:rsidRPr="000853ED">
        <w:instrText xml:space="preserve"> REF _Ref195885212 \h </w:instrText>
      </w:r>
      <w:r w:rsidR="000853ED">
        <w:instrText xml:space="preserve"> \* MERGEFORMAT </w:instrText>
      </w:r>
      <w:r w:rsidRPr="000853ED">
        <w:fldChar w:fldCharType="separate"/>
      </w:r>
      <w:r w:rsidR="00871DD5" w:rsidRPr="00871DD5">
        <w:rPr>
          <w:rStyle w:val="Nagwek6Znak"/>
          <w:rFonts w:ascii="Lato" w:eastAsiaTheme="minorHAnsi" w:hAnsi="Lato" w:cstheme="minorBidi"/>
          <w:b w:val="0"/>
          <w:color w:val="auto"/>
        </w:rPr>
        <w:t xml:space="preserve">Działanie </w:t>
      </w:r>
      <w:r w:rsidR="00871DD5" w:rsidRPr="00871DD5">
        <w:t>107</w:t>
      </w:r>
      <w:r w:rsidR="00871DD5">
        <w:t xml:space="preserve">. </w:t>
      </w:r>
      <w:r w:rsidR="00871DD5" w:rsidRPr="00645B8D">
        <w:t>Instrument finansowy – Program Priorytetowy NFOŚiGW – „Modernizacja szkół”</w:t>
      </w:r>
      <w:r w:rsidRPr="000853ED">
        <w:fldChar w:fldCharType="end"/>
      </w:r>
    </w:p>
    <w:p w14:paraId="521A5377" w14:textId="1846B44D" w:rsidR="001E288E" w:rsidRDefault="001E288E" w:rsidP="000625AC">
      <w:pPr>
        <w:pStyle w:val="Akapitzlist"/>
        <w:numPr>
          <w:ilvl w:val="0"/>
          <w:numId w:val="122"/>
        </w:numPr>
      </w:pPr>
      <w:r w:rsidRPr="000853ED">
        <w:fldChar w:fldCharType="begin"/>
      </w:r>
      <w:r w:rsidRPr="000853ED">
        <w:instrText xml:space="preserve"> REF _Ref195885215 \h </w:instrText>
      </w:r>
      <w:r w:rsidR="000853ED">
        <w:instrText xml:space="preserve"> \* MERGEFORMAT </w:instrText>
      </w:r>
      <w:r w:rsidRPr="000853ED">
        <w:fldChar w:fldCharType="separate"/>
      </w:r>
      <w:r w:rsidR="00871DD5" w:rsidRPr="00871DD5">
        <w:rPr>
          <w:rStyle w:val="Nagwek6Znak"/>
          <w:rFonts w:ascii="Lato" w:eastAsiaTheme="minorHAnsi" w:hAnsi="Lato" w:cstheme="minorBidi"/>
          <w:b w:val="0"/>
          <w:color w:val="auto"/>
        </w:rPr>
        <w:t xml:space="preserve">Działanie </w:t>
      </w:r>
      <w:r w:rsidR="00871DD5" w:rsidRPr="00871DD5">
        <w:t>108</w:t>
      </w:r>
      <w:r w:rsidR="00871DD5">
        <w:t xml:space="preserve">. </w:t>
      </w:r>
      <w:r w:rsidR="00871DD5" w:rsidRPr="00077D7F">
        <w:t>Instrument finansowy – Program Priorytetowy NFOŚiGW –</w:t>
      </w:r>
      <w:r w:rsidR="00871DD5" w:rsidRPr="00077D7F">
        <w:rPr>
          <w:lang w:eastAsia="pl-PL"/>
        </w:rPr>
        <w:t xml:space="preserve"> „Modernizacja budynk</w:t>
      </w:r>
      <w:r w:rsidR="00871DD5">
        <w:rPr>
          <w:lang w:eastAsia="pl-PL"/>
        </w:rPr>
        <w:t>ów</w:t>
      </w:r>
      <w:r w:rsidR="00871DD5" w:rsidRPr="00077D7F">
        <w:rPr>
          <w:lang w:eastAsia="pl-PL"/>
        </w:rPr>
        <w:t xml:space="preserve"> użyteczności publicznej”</w:t>
      </w:r>
      <w:r w:rsidRPr="000853ED">
        <w:fldChar w:fldCharType="end"/>
      </w:r>
    </w:p>
    <w:p w14:paraId="119DCBCD" w14:textId="4320C509" w:rsidR="002A5014" w:rsidRDefault="005F2B23" w:rsidP="005F2B23">
      <w:pPr>
        <w:pStyle w:val="Akapitzlist"/>
        <w:numPr>
          <w:ilvl w:val="0"/>
          <w:numId w:val="122"/>
        </w:numPr>
      </w:pPr>
      <w:r w:rsidRPr="000853ED">
        <w:fldChar w:fldCharType="begin"/>
      </w:r>
      <w:r w:rsidRPr="000853ED">
        <w:instrText xml:space="preserve"> REF _Ref195885303 \h </w:instrText>
      </w:r>
      <w:r>
        <w:instrText xml:space="preserve"> \* MERGEFORMAT </w:instrText>
      </w:r>
      <w:r w:rsidRPr="000853ED">
        <w:fldChar w:fldCharType="separate"/>
      </w:r>
      <w:r w:rsidR="00871DD5" w:rsidRPr="00871DD5">
        <w:rPr>
          <w:rStyle w:val="Nagwek6Znak"/>
          <w:rFonts w:ascii="Lato" w:eastAsiaTheme="minorHAnsi" w:hAnsi="Lato" w:cstheme="minorBidi"/>
          <w:b w:val="0"/>
          <w:color w:val="auto"/>
        </w:rPr>
        <w:t xml:space="preserve">Działanie </w:t>
      </w:r>
      <w:r w:rsidR="00871DD5" w:rsidRPr="00871DD5">
        <w:rPr>
          <w:rFonts w:eastAsia="Times New Roman" w:cs="Times New Roman"/>
          <w:color w:val="000000"/>
          <w:lang w:eastAsia="pl-PL"/>
        </w:rPr>
        <w:t xml:space="preserve">110. </w:t>
      </w:r>
      <w:r w:rsidR="00871DD5" w:rsidRPr="00077D7F">
        <w:rPr>
          <w:rFonts w:eastAsia="Times New Roman" w:cs="Times New Roman"/>
          <w:color w:val="000000"/>
          <w:lang w:eastAsia="pl-PL"/>
        </w:rPr>
        <w:t>Efektywny energetycznie sektor publiczny</w:t>
      </w:r>
      <w:r w:rsidRPr="000853ED">
        <w:fldChar w:fldCharType="end"/>
      </w:r>
    </w:p>
    <w:p w14:paraId="310FD0C2" w14:textId="3FD184CE" w:rsidR="001E288E" w:rsidRDefault="001E288E" w:rsidP="000625AC">
      <w:pPr>
        <w:pStyle w:val="Akapitzlist"/>
        <w:numPr>
          <w:ilvl w:val="0"/>
          <w:numId w:val="122"/>
        </w:numPr>
      </w:pPr>
      <w:r w:rsidRPr="000853ED">
        <w:fldChar w:fldCharType="begin"/>
      </w:r>
      <w:r w:rsidRPr="000853ED">
        <w:instrText xml:space="preserve"> REF _Ref195885221 \h </w:instrText>
      </w:r>
      <w:r w:rsidR="000853ED">
        <w:instrText xml:space="preserve"> \* MERGEFORMAT </w:instrText>
      </w:r>
      <w:r w:rsidRPr="000853ED">
        <w:fldChar w:fldCharType="separate"/>
      </w:r>
      <w:r w:rsidR="00871DD5" w:rsidRPr="00871DD5">
        <w:rPr>
          <w:rStyle w:val="Nagwek6Znak"/>
          <w:rFonts w:ascii="Lato" w:eastAsiaTheme="minorHAnsi" w:hAnsi="Lato" w:cstheme="minorBidi"/>
          <w:b w:val="0"/>
          <w:color w:val="auto"/>
        </w:rPr>
        <w:t xml:space="preserve">Działanie </w:t>
      </w:r>
      <w:r w:rsidR="00871DD5" w:rsidRPr="00871DD5">
        <w:t>111</w:t>
      </w:r>
      <w:r w:rsidR="00871DD5">
        <w:t xml:space="preserve">. </w:t>
      </w:r>
      <w:r w:rsidR="00871DD5" w:rsidRPr="00351096">
        <w:t>Wprowadzenie modelu oceny ofert w przetargach na budowę budynków użyteczności publicznych w oparciu o całkowity</w:t>
      </w:r>
      <w:r w:rsidR="00871DD5" w:rsidRPr="00351096">
        <w:rPr>
          <w:lang w:eastAsia="pl-PL"/>
        </w:rPr>
        <w:t xml:space="preserve"> koszt cyklu życia (</w:t>
      </w:r>
      <w:r w:rsidR="00871DD5">
        <w:rPr>
          <w:lang w:eastAsia="pl-PL"/>
        </w:rPr>
        <w:t>LCC</w:t>
      </w:r>
      <w:r w:rsidR="00871DD5" w:rsidRPr="00351096">
        <w:rPr>
          <w:lang w:eastAsia="pl-PL"/>
        </w:rPr>
        <w:t>)</w:t>
      </w:r>
      <w:r w:rsidRPr="000853ED">
        <w:fldChar w:fldCharType="end"/>
      </w:r>
      <w:r w:rsidRPr="000853ED">
        <w:t xml:space="preserve"> </w:t>
      </w:r>
    </w:p>
    <w:p w14:paraId="0BDDC383" w14:textId="678380EE" w:rsidR="001E288E" w:rsidRDefault="001E288E" w:rsidP="000625AC">
      <w:pPr>
        <w:pStyle w:val="Akapitzlist"/>
        <w:numPr>
          <w:ilvl w:val="0"/>
          <w:numId w:val="122"/>
        </w:numPr>
      </w:pPr>
      <w:r w:rsidRPr="000853ED">
        <w:fldChar w:fldCharType="begin"/>
      </w:r>
      <w:r w:rsidRPr="000853ED">
        <w:instrText xml:space="preserve"> REF _Ref195885226 \h </w:instrText>
      </w:r>
      <w:r w:rsidR="000853ED">
        <w:instrText xml:space="preserve"> \* MERGEFORMAT </w:instrText>
      </w:r>
      <w:r w:rsidRPr="000853ED">
        <w:fldChar w:fldCharType="separate"/>
      </w:r>
      <w:r w:rsidR="00871DD5" w:rsidRPr="00871DD5">
        <w:rPr>
          <w:rStyle w:val="Nagwek6Znak"/>
          <w:rFonts w:ascii="Lato" w:eastAsiaTheme="minorHAnsi" w:hAnsi="Lato" w:cstheme="minorBidi"/>
          <w:b w:val="0"/>
          <w:color w:val="auto"/>
        </w:rPr>
        <w:t xml:space="preserve">Działanie </w:t>
      </w:r>
      <w:r w:rsidR="00871DD5" w:rsidRPr="00871DD5">
        <w:t>112</w:t>
      </w:r>
      <w:r w:rsidR="00871DD5">
        <w:t xml:space="preserve">. </w:t>
      </w:r>
      <w:r w:rsidR="00871DD5" w:rsidRPr="00077D7F">
        <w:t>Wdrażanie nowych standardów energetycznych stawianych nowym budynkom</w:t>
      </w:r>
      <w:r w:rsidR="00871DD5" w:rsidRPr="00077D7F">
        <w:rPr>
          <w:lang w:eastAsia="pl-PL"/>
        </w:rPr>
        <w:t xml:space="preserve"> oraz budynkom podlegającym ważniejszym renowacjom</w:t>
      </w:r>
      <w:r w:rsidRPr="000853ED">
        <w:fldChar w:fldCharType="end"/>
      </w:r>
      <w:r w:rsidRPr="000853ED">
        <w:t xml:space="preserve"> </w:t>
      </w:r>
    </w:p>
    <w:p w14:paraId="412A043E" w14:textId="2A288999" w:rsidR="00686227" w:rsidRDefault="001E288E" w:rsidP="000625AC">
      <w:pPr>
        <w:pStyle w:val="Akapitzlist"/>
        <w:numPr>
          <w:ilvl w:val="0"/>
          <w:numId w:val="122"/>
        </w:numPr>
      </w:pPr>
      <w:r w:rsidRPr="000853ED">
        <w:fldChar w:fldCharType="begin"/>
      </w:r>
      <w:r w:rsidRPr="000853ED">
        <w:instrText xml:space="preserve"> REF _Ref195885229 \h </w:instrText>
      </w:r>
      <w:r w:rsidR="000853ED">
        <w:instrText xml:space="preserve"> \* MERGEFORMAT </w:instrText>
      </w:r>
      <w:r w:rsidRPr="000853ED">
        <w:fldChar w:fldCharType="separate"/>
      </w:r>
      <w:r w:rsidR="00871DD5" w:rsidRPr="00871DD5">
        <w:rPr>
          <w:rStyle w:val="Nagwek6Znak"/>
          <w:rFonts w:ascii="Lato" w:eastAsiaTheme="minorHAnsi" w:hAnsi="Lato" w:cstheme="minorBidi"/>
          <w:b w:val="0"/>
          <w:color w:val="auto"/>
        </w:rPr>
        <w:t xml:space="preserve">Działanie </w:t>
      </w:r>
      <w:r w:rsidR="00871DD5" w:rsidRPr="00871DD5">
        <w:t>113</w:t>
      </w:r>
      <w:r w:rsidR="00871DD5">
        <w:t xml:space="preserve">. </w:t>
      </w:r>
      <w:r w:rsidR="00871DD5" w:rsidRPr="00077D7F">
        <w:t>System oceny energetycznej</w:t>
      </w:r>
      <w:r w:rsidR="00871DD5" w:rsidRPr="00077D7F">
        <w:rPr>
          <w:lang w:eastAsia="pl-PL"/>
        </w:rPr>
        <w:t xml:space="preserve"> budynków i systemów technicznych budynków</w:t>
      </w:r>
      <w:r w:rsidRPr="000853ED">
        <w:fldChar w:fldCharType="end"/>
      </w:r>
    </w:p>
    <w:p w14:paraId="7DDB642E" w14:textId="196C1D0A" w:rsidR="00D82877" w:rsidRPr="00D82877" w:rsidRDefault="00BA4CF5" w:rsidP="000625AC">
      <w:pPr>
        <w:pStyle w:val="Akapitzlist"/>
        <w:numPr>
          <w:ilvl w:val="0"/>
          <w:numId w:val="122"/>
        </w:numPr>
      </w:pPr>
      <w:r w:rsidRPr="00D82877">
        <w:fldChar w:fldCharType="begin"/>
      </w:r>
      <w:r w:rsidRPr="00D82877">
        <w:instrText xml:space="preserve"> REF _Ref195886377 \h </w:instrText>
      </w:r>
      <w:r w:rsidR="00D82877">
        <w:instrText xml:space="preserve"> \* MERGEFORMAT </w:instrText>
      </w:r>
      <w:r w:rsidRPr="00D82877">
        <w:fldChar w:fldCharType="separate"/>
      </w:r>
      <w:r w:rsidR="00871DD5" w:rsidRPr="00871DD5">
        <w:rPr>
          <w:rStyle w:val="Nagwek6Znak"/>
          <w:rFonts w:ascii="Lato" w:hAnsi="Lato"/>
          <w:b w:val="0"/>
        </w:rPr>
        <w:t xml:space="preserve">Działanie </w:t>
      </w:r>
      <w:r w:rsidR="00871DD5" w:rsidRPr="00871DD5">
        <w:rPr>
          <w:lang w:eastAsia="pl-PL"/>
        </w:rPr>
        <w:t xml:space="preserve">143. </w:t>
      </w:r>
      <w:r w:rsidR="00871DD5" w:rsidRPr="004D6F82">
        <w:rPr>
          <w:lang w:eastAsia="pl-PL"/>
        </w:rPr>
        <w:t>Stworzenie Centrum Wsparcia Transformacji Energetycznej (CWTE)</w:t>
      </w:r>
      <w:r w:rsidRPr="00D82877">
        <w:fldChar w:fldCharType="end"/>
      </w:r>
      <w:r w:rsidR="00D82877" w:rsidRPr="00D82877">
        <w:t xml:space="preserve"> </w:t>
      </w:r>
    </w:p>
    <w:p w14:paraId="4E85E3AF" w14:textId="4D717C92" w:rsidR="007F64CF" w:rsidRDefault="00BA4CF5" w:rsidP="000625AC">
      <w:pPr>
        <w:pStyle w:val="Akapitzlist"/>
        <w:numPr>
          <w:ilvl w:val="0"/>
          <w:numId w:val="122"/>
        </w:numPr>
      </w:pPr>
      <w:r w:rsidRPr="00D82877">
        <w:fldChar w:fldCharType="begin"/>
      </w:r>
      <w:r w:rsidRPr="00D82877">
        <w:instrText xml:space="preserve"> REF _Ref195886380 \h </w:instrText>
      </w:r>
      <w:r w:rsidR="00D82877">
        <w:instrText xml:space="preserve"> \* MERGEFORMAT </w:instrText>
      </w:r>
      <w:r w:rsidRPr="00D82877">
        <w:fldChar w:fldCharType="separate"/>
      </w:r>
      <w:r w:rsidR="00871DD5" w:rsidRPr="00871DD5">
        <w:rPr>
          <w:rStyle w:val="Nagwek6Znak"/>
          <w:rFonts w:ascii="Lato" w:hAnsi="Lato"/>
          <w:b w:val="0"/>
        </w:rPr>
        <w:t xml:space="preserve">Działanie </w:t>
      </w:r>
      <w:r w:rsidR="00871DD5" w:rsidRPr="00871DD5">
        <w:rPr>
          <w:lang w:eastAsia="pl-PL"/>
        </w:rPr>
        <w:t xml:space="preserve">144. </w:t>
      </w:r>
      <w:r w:rsidR="00871DD5" w:rsidRPr="004D6F82">
        <w:rPr>
          <w:lang w:eastAsia="pl-PL"/>
        </w:rPr>
        <w:t>Symulator Systemu Energetycznego dla Samorządu</w:t>
      </w:r>
      <w:r w:rsidRPr="00D82877">
        <w:fldChar w:fldCharType="end"/>
      </w:r>
    </w:p>
    <w:p w14:paraId="2EAC757E" w14:textId="2E51EF53" w:rsidR="00AA1E94" w:rsidRDefault="00CA7CDE" w:rsidP="00645D28">
      <w:pPr>
        <w:pStyle w:val="Nagwek3"/>
        <w:rPr>
          <w:color w:val="4472C4" w:themeColor="accent1"/>
        </w:rPr>
      </w:pPr>
      <w:bookmarkStart w:id="384" w:name="_Toc201933824"/>
      <w:bookmarkStart w:id="385" w:name="_Toc159598308"/>
      <w:bookmarkStart w:id="386" w:name="_Ref174098103"/>
      <w:bookmarkStart w:id="387" w:name="_Toc195897294"/>
      <w:bookmarkStart w:id="388" w:name="_Toc205203183"/>
      <w:bookmarkEnd w:id="384"/>
      <w:r>
        <w:rPr>
          <w:color w:val="4472C4" w:themeColor="accent1"/>
        </w:rPr>
        <w:t>Niskoemisyjne b</w:t>
      </w:r>
      <w:r w:rsidR="00AA1E94" w:rsidRPr="00645D28">
        <w:rPr>
          <w:color w:val="4472C4" w:themeColor="accent1"/>
        </w:rPr>
        <w:t>udownictwo</w:t>
      </w:r>
      <w:bookmarkEnd w:id="385"/>
      <w:bookmarkEnd w:id="386"/>
      <w:bookmarkEnd w:id="387"/>
      <w:bookmarkEnd w:id="388"/>
    </w:p>
    <w:p w14:paraId="3750EF4E" w14:textId="7EB76CB7" w:rsidR="005F740C" w:rsidRDefault="005F740C" w:rsidP="005F740C">
      <w:r>
        <w:t>W całej UE b</w:t>
      </w:r>
      <w:r w:rsidRPr="005F740C">
        <w:t xml:space="preserve">udynki odpowiadają za </w:t>
      </w:r>
      <w:r>
        <w:t xml:space="preserve">ok. </w:t>
      </w:r>
      <w:r w:rsidRPr="005F740C">
        <w:t xml:space="preserve">40% zużywanej energii </w:t>
      </w:r>
      <w:r w:rsidR="00DF11DC">
        <w:t>oraz</w:t>
      </w:r>
      <w:r w:rsidRPr="005F740C">
        <w:t xml:space="preserve"> 36% bezpośrednich i</w:t>
      </w:r>
      <w:r>
        <w:t> </w:t>
      </w:r>
      <w:r w:rsidRPr="005F740C">
        <w:t xml:space="preserve">pośrednich emisji </w:t>
      </w:r>
      <w:r w:rsidR="00AD0FB0">
        <w:t>GHG</w:t>
      </w:r>
      <w:r>
        <w:t xml:space="preserve"> </w:t>
      </w:r>
      <w:r w:rsidRPr="005F740C">
        <w:t>związanych z energią</w:t>
      </w:r>
      <w:r>
        <w:t>, przy czym</w:t>
      </w:r>
      <w:r w:rsidRPr="005F740C">
        <w:t xml:space="preserve"> ogrzewanie, chłodzenie i ciepła woda użytkowa odpowiadają za 80% energii zużywanej przez gospodarstwa domowe. </w:t>
      </w:r>
    </w:p>
    <w:p w14:paraId="348F280A" w14:textId="2C7108F6" w:rsidR="003F21E8" w:rsidRDefault="005F4499" w:rsidP="005F740C">
      <w:r>
        <w:t xml:space="preserve">Determinacja UE w ograniczaniu wpływu budynków na środowisko przejawia się określeniem celu w zakresie </w:t>
      </w:r>
      <w:r w:rsidR="00A85592" w:rsidRPr="00A85592">
        <w:rPr>
          <w:b/>
          <w:bCs/>
        </w:rPr>
        <w:t>z</w:t>
      </w:r>
      <w:r w:rsidRPr="003F21E8">
        <w:rPr>
          <w:b/>
          <w:bCs/>
        </w:rPr>
        <w:t>użycia OZE w budynkach</w:t>
      </w:r>
      <w:r>
        <w:t xml:space="preserve">, jak również przez określenie nowego systemu handlu uprawnień do emisji gazów cieplarnianych – </w:t>
      </w:r>
      <w:r w:rsidR="003C5FAD" w:rsidRPr="003C5FAD">
        <w:rPr>
          <w:b/>
          <w:bCs/>
        </w:rPr>
        <w:t>EU </w:t>
      </w:r>
      <w:r w:rsidRPr="003F21E8">
        <w:rPr>
          <w:b/>
          <w:bCs/>
        </w:rPr>
        <w:t>ETS-2</w:t>
      </w:r>
      <w:r w:rsidR="001D3F0F">
        <w:rPr>
          <w:rStyle w:val="Odwoanieprzypisudolnego"/>
          <w:b/>
          <w:bCs/>
        </w:rPr>
        <w:footnoteReference w:id="84"/>
      </w:r>
      <w:r>
        <w:t xml:space="preserve">. Mechanizmy te mają motywować do ograniczenia wykorzystania paliw kopalnych w budynkach. </w:t>
      </w:r>
    </w:p>
    <w:p w14:paraId="1E68DE3A" w14:textId="5CFA684C" w:rsidR="005F740C" w:rsidRDefault="005F4499" w:rsidP="005F740C">
      <w:r w:rsidRPr="003F21E8">
        <w:rPr>
          <w:b/>
          <w:bCs/>
        </w:rPr>
        <w:t>W pierwszej kolejności należy jednak zadbać o zmniejszenie (racjonalizację) potrzeb cieplnych</w:t>
      </w:r>
      <w:r w:rsidR="003F21E8">
        <w:t xml:space="preserve">. </w:t>
      </w:r>
      <w:r>
        <w:t>Postęp</w:t>
      </w:r>
      <w:r w:rsidR="00DF11DC">
        <w:t> </w:t>
      </w:r>
      <w:r>
        <w:t xml:space="preserve">technologiczny w budownictwie pozwala na to, </w:t>
      </w:r>
      <w:r w:rsidR="005F740C">
        <w:t>aby nowe budynk</w:t>
      </w:r>
      <w:r>
        <w:t>i</w:t>
      </w:r>
      <w:r w:rsidR="005F740C">
        <w:t xml:space="preserve"> cechowały się znacznie niższymi potrzebami cieplnymi</w:t>
      </w:r>
      <w:r>
        <w:t xml:space="preserve"> niż istniejące</w:t>
      </w:r>
      <w:r w:rsidR="005F740C">
        <w:t xml:space="preserve">, dlatego ogromna uwaga jest skupiona na tym, </w:t>
      </w:r>
      <w:r w:rsidR="00393309">
        <w:t>żeby</w:t>
      </w:r>
      <w:r w:rsidR="005F740C">
        <w:t xml:space="preserve"> </w:t>
      </w:r>
      <w:r w:rsidR="005F740C">
        <w:lastRenderedPageBreak/>
        <w:t xml:space="preserve">zmniejszyć energochłonność istniejących budynków. </w:t>
      </w:r>
      <w:r w:rsidR="00A54706" w:rsidRPr="00A54706">
        <w:t>Proces modernizacji budynków powinien opierać się na materiałach izolacyjnych wysokiej jakości, wentylacji z odzyskiem ciepła i wilgoci, a systemy grzewcze powinny być w najwyższym stopniu zelektryfikowane i instalowane we współpracy z</w:t>
      </w:r>
      <w:r w:rsidR="000D601C">
        <w:t> </w:t>
      </w:r>
      <w:r w:rsidR="00A54706" w:rsidRPr="00A54706">
        <w:t>magazynami energii, w</w:t>
      </w:r>
      <w:r w:rsidR="001E514F">
        <w:t xml:space="preserve"> </w:t>
      </w:r>
      <w:r w:rsidR="00A54706" w:rsidRPr="00A54706">
        <w:t>tym</w:t>
      </w:r>
      <w:r w:rsidR="001E514F">
        <w:t xml:space="preserve"> </w:t>
      </w:r>
      <w:r w:rsidR="00A54706" w:rsidRPr="00A54706">
        <w:t xml:space="preserve">cieplnej. </w:t>
      </w:r>
      <w:r w:rsidR="005F740C">
        <w:t>Ma to na celu zmniejszenie zapotrzebowania na energię w</w:t>
      </w:r>
      <w:r w:rsidR="002A2FC6">
        <w:t> </w:t>
      </w:r>
      <w:r w:rsidR="005F740C">
        <w:t>gospodarce i</w:t>
      </w:r>
      <w:r w:rsidR="002A2FC6">
        <w:t xml:space="preserve"> wpłynąć na redukcję emisji </w:t>
      </w:r>
      <w:r w:rsidR="00AD0FB0">
        <w:t>GHG</w:t>
      </w:r>
      <w:r w:rsidR="00A85592">
        <w:t xml:space="preserve"> oraz redukcję zanieczyszczeń powietrza, w tym zwłaszcza pyłów zawieszonych PM10 i PM2,5 oraz benzo(a)pirenu</w:t>
      </w:r>
      <w:r w:rsidR="002A2FC6">
        <w:t xml:space="preserve">, ale także ograniczyć </w:t>
      </w:r>
      <w:r w:rsidR="00393309">
        <w:t>koszty energii</w:t>
      </w:r>
      <w:r w:rsidR="005F740C">
        <w:t xml:space="preserve">. </w:t>
      </w:r>
      <w:r w:rsidR="003F21E8" w:rsidRPr="003F21E8">
        <w:rPr>
          <w:b/>
          <w:bCs/>
        </w:rPr>
        <w:t>Fala renowacji</w:t>
      </w:r>
      <w:r w:rsidR="003F21E8">
        <w:t xml:space="preserve"> jest traktowana również jako środek w walce z ubóstwem energetycznym</w:t>
      </w:r>
      <w:r w:rsidR="00776F23">
        <w:t>, a będzie mieć również wpływ na poprawę jakości powietrza</w:t>
      </w:r>
      <w:r w:rsidR="00527B63" w:rsidRPr="00527B63">
        <w:t xml:space="preserve"> </w:t>
      </w:r>
      <w:r w:rsidR="00527B63">
        <w:t>oraz poprawę komfortu życia i zdrowia ludzi poprzez usunięcie z budynków rakotwórczych wyrobów zawierających azbest</w:t>
      </w:r>
      <w:r w:rsidR="00776F23">
        <w:t>.</w:t>
      </w:r>
    </w:p>
    <w:p w14:paraId="357B9FB0" w14:textId="15A1C034" w:rsidR="00524E26" w:rsidRPr="00524E26" w:rsidRDefault="002A2FC6" w:rsidP="005F740C">
      <w:r>
        <w:t>W tej części omówiono cele w zakresie istniejących budynków oraz zobowiązań dotyczących nowych budynków</w:t>
      </w:r>
      <w:r w:rsidR="005F740C" w:rsidRPr="005F740C">
        <w:t>.</w:t>
      </w:r>
    </w:p>
    <w:p w14:paraId="2897162F" w14:textId="3C0D2015" w:rsidR="00524E26" w:rsidRPr="00524E26" w:rsidRDefault="00524E26" w:rsidP="00524E26">
      <w:pPr>
        <w:pStyle w:val="Nagwek4"/>
        <w:rPr>
          <w:color w:val="4472C4" w:themeColor="accent1"/>
        </w:rPr>
      </w:pPr>
      <w:bookmarkStart w:id="389" w:name="_Toc159598309"/>
      <w:bookmarkStart w:id="390" w:name="_Ref195889271"/>
      <w:bookmarkStart w:id="391" w:name="_Ref195889276"/>
      <w:bookmarkStart w:id="392" w:name="_Toc195897295"/>
      <w:bookmarkStart w:id="393" w:name="_Ref198571081"/>
      <w:bookmarkStart w:id="394" w:name="_Ref198571085"/>
      <w:bookmarkStart w:id="395" w:name="_Ref198571098"/>
      <w:bookmarkStart w:id="396" w:name="_Ref202961216"/>
      <w:bookmarkStart w:id="397" w:name="_Ref202961281"/>
      <w:bookmarkStart w:id="398" w:name="_Ref202961285"/>
      <w:bookmarkStart w:id="399" w:name="_Toc205203184"/>
      <w:r w:rsidRPr="00524E26">
        <w:rPr>
          <w:color w:val="4472C4" w:themeColor="accent1"/>
        </w:rPr>
        <w:t xml:space="preserve">Redukcja potrzeb </w:t>
      </w:r>
      <w:r w:rsidR="00CA7CDE">
        <w:rPr>
          <w:color w:val="4472C4" w:themeColor="accent1"/>
        </w:rPr>
        <w:t xml:space="preserve">energetycznych </w:t>
      </w:r>
      <w:r w:rsidRPr="00524E26">
        <w:rPr>
          <w:color w:val="4472C4" w:themeColor="accent1"/>
        </w:rPr>
        <w:t>istniejących budynków</w:t>
      </w:r>
      <w:bookmarkEnd w:id="389"/>
      <w:bookmarkEnd w:id="390"/>
      <w:bookmarkEnd w:id="391"/>
      <w:bookmarkEnd w:id="392"/>
      <w:bookmarkEnd w:id="393"/>
      <w:bookmarkEnd w:id="394"/>
      <w:bookmarkEnd w:id="395"/>
      <w:bookmarkEnd w:id="396"/>
      <w:bookmarkEnd w:id="397"/>
      <w:bookmarkEnd w:id="398"/>
      <w:bookmarkEnd w:id="399"/>
    </w:p>
    <w:p w14:paraId="1BB0DE38" w14:textId="4F8DED89" w:rsidR="007B519E" w:rsidRPr="00525736" w:rsidRDefault="007B519E" w:rsidP="007B519E">
      <w:r w:rsidRPr="007B519E">
        <w:t>Poprawa efektywności energetycznej budynków przynosi szereg korzyści.</w:t>
      </w:r>
      <w:r>
        <w:t xml:space="preserve"> Spada</w:t>
      </w:r>
      <w:r w:rsidRPr="00525736">
        <w:t xml:space="preserve"> zużycia energii oraz jej nośników</w:t>
      </w:r>
      <w:r>
        <w:t>, co</w:t>
      </w:r>
      <w:r w:rsidRPr="00525736">
        <w:t xml:space="preserve"> tym samym </w:t>
      </w:r>
      <w:r>
        <w:t xml:space="preserve">wpływa </w:t>
      </w:r>
      <w:r w:rsidRPr="00525736">
        <w:t>poprawę bezpieczeństwa energetycznego</w:t>
      </w:r>
      <w:r>
        <w:t>. Zmniejszeniu ulegają</w:t>
      </w:r>
      <w:r w:rsidRPr="00525736">
        <w:t xml:space="preserve"> koszt</w:t>
      </w:r>
      <w:r>
        <w:t>y</w:t>
      </w:r>
      <w:r w:rsidRPr="00525736">
        <w:t xml:space="preserve"> związan</w:t>
      </w:r>
      <w:r>
        <w:t>e</w:t>
      </w:r>
      <w:r w:rsidRPr="00525736">
        <w:t xml:space="preserve"> ze zużyciem energii w budynkach,</w:t>
      </w:r>
      <w:r>
        <w:t xml:space="preserve"> następuje </w:t>
      </w:r>
      <w:r w:rsidRPr="00525736">
        <w:t>popraw</w:t>
      </w:r>
      <w:r>
        <w:t>a</w:t>
      </w:r>
      <w:r w:rsidRPr="00525736">
        <w:t xml:space="preserve"> </w:t>
      </w:r>
      <w:r>
        <w:t xml:space="preserve">jakości życia. Standardy w zakresie opracowania świadectw charakterystyki energetycznej budynków </w:t>
      </w:r>
      <w:r w:rsidRPr="007B519E">
        <w:t>zapewni</w:t>
      </w:r>
      <w:r>
        <w:t>ają</w:t>
      </w:r>
      <w:r w:rsidRPr="007B519E">
        <w:t xml:space="preserve"> informacj</w:t>
      </w:r>
      <w:r>
        <w:t>e</w:t>
      </w:r>
      <w:r w:rsidRPr="007B519E">
        <w:t xml:space="preserve"> na temat stanu technicznego i</w:t>
      </w:r>
      <w:r>
        <w:t> </w:t>
      </w:r>
      <w:r w:rsidRPr="007B519E">
        <w:t>energetycznego budynków oraz możliwości ich poprawy</w:t>
      </w:r>
      <w:r>
        <w:t xml:space="preserve">. W szerokiej skali renowacje budynków </w:t>
      </w:r>
      <w:r w:rsidRPr="00525736">
        <w:t>przyczynia</w:t>
      </w:r>
      <w:r>
        <w:t>ją</w:t>
      </w:r>
      <w:r w:rsidRPr="00525736">
        <w:t xml:space="preserve"> się do osiągania celów klimatycznych przez redukcję emisji gazów cieplarnianych i innych zanieczyszczeń z budynków</w:t>
      </w:r>
      <w:r>
        <w:t>.</w:t>
      </w:r>
    </w:p>
    <w:p w14:paraId="13698300" w14:textId="0B9A7E25" w:rsidR="002206DC" w:rsidRDefault="00AF5B65" w:rsidP="007B519E">
      <w:r>
        <w:t xml:space="preserve">W 2022 r. Polska opracowała </w:t>
      </w:r>
      <w:r w:rsidRPr="00E042DE">
        <w:rPr>
          <w:i/>
          <w:iCs/>
        </w:rPr>
        <w:t>Długoterminow</w:t>
      </w:r>
      <w:r>
        <w:rPr>
          <w:i/>
          <w:iCs/>
        </w:rPr>
        <w:t>ą</w:t>
      </w:r>
      <w:r w:rsidRPr="00E042DE">
        <w:rPr>
          <w:i/>
          <w:iCs/>
        </w:rPr>
        <w:t xml:space="preserve"> strategi</w:t>
      </w:r>
      <w:r>
        <w:rPr>
          <w:i/>
          <w:iCs/>
        </w:rPr>
        <w:t>ę</w:t>
      </w:r>
      <w:r w:rsidRPr="00E042DE">
        <w:rPr>
          <w:i/>
          <w:iCs/>
        </w:rPr>
        <w:t xml:space="preserve"> renowacji budynków</w:t>
      </w:r>
      <w:r w:rsidR="003651D1">
        <w:rPr>
          <w:i/>
          <w:iCs/>
        </w:rPr>
        <w:t xml:space="preserve"> </w:t>
      </w:r>
      <w:r w:rsidR="003651D1" w:rsidRPr="003651D1">
        <w:t>(DSRB)</w:t>
      </w:r>
      <w:r w:rsidR="003651D1">
        <w:rPr>
          <w:i/>
          <w:iCs/>
        </w:rPr>
        <w:t xml:space="preserve"> </w:t>
      </w:r>
      <w:r w:rsidRPr="004D1A61">
        <w:t>(</w:t>
      </w:r>
      <w:hyperlink r:id="rId80" w:history="1">
        <w:r w:rsidRPr="005F3AF1">
          <w:rPr>
            <w:rStyle w:val="Hipercze"/>
          </w:rPr>
          <w:t>link</w:t>
        </w:r>
      </w:hyperlink>
      <w:r w:rsidRPr="004D1A61">
        <w:t>)</w:t>
      </w:r>
      <w:r w:rsidRPr="004D1A61">
        <w:rPr>
          <w:rStyle w:val="Odwoanieprzypisudolnego"/>
        </w:rPr>
        <w:footnoteReference w:id="85"/>
      </w:r>
      <w:r w:rsidRPr="004D1A61">
        <w:t>, w której określono</w:t>
      </w:r>
      <w:r w:rsidR="00E042DE">
        <w:t xml:space="preserve"> niezbędne działania</w:t>
      </w:r>
      <w:r w:rsidR="00C54CD9">
        <w:t xml:space="preserve"> mające prowadzić do </w:t>
      </w:r>
      <w:r w:rsidR="00C54CD9" w:rsidRPr="002206DC">
        <w:rPr>
          <w:b/>
          <w:bCs/>
        </w:rPr>
        <w:t xml:space="preserve">osiągnięcia </w:t>
      </w:r>
      <w:r w:rsidR="00E042DE" w:rsidRPr="002206DC">
        <w:rPr>
          <w:b/>
          <w:bCs/>
        </w:rPr>
        <w:t>wysok</w:t>
      </w:r>
      <w:r w:rsidR="00C54CD9" w:rsidRPr="002206DC">
        <w:rPr>
          <w:b/>
          <w:bCs/>
        </w:rPr>
        <w:t>iej</w:t>
      </w:r>
      <w:r w:rsidR="00E042DE" w:rsidRPr="002206DC">
        <w:rPr>
          <w:b/>
          <w:bCs/>
        </w:rPr>
        <w:t xml:space="preserve"> efektywnoś</w:t>
      </w:r>
      <w:r w:rsidR="00C54CD9" w:rsidRPr="002206DC">
        <w:rPr>
          <w:b/>
          <w:bCs/>
        </w:rPr>
        <w:t>ci</w:t>
      </w:r>
      <w:r w:rsidR="00E042DE" w:rsidRPr="002206DC">
        <w:rPr>
          <w:b/>
          <w:bCs/>
        </w:rPr>
        <w:t xml:space="preserve"> energetyczn</w:t>
      </w:r>
      <w:r w:rsidR="00C54CD9" w:rsidRPr="002206DC">
        <w:rPr>
          <w:b/>
          <w:bCs/>
        </w:rPr>
        <w:t>ej</w:t>
      </w:r>
      <w:r w:rsidR="00E042DE" w:rsidRPr="002206DC">
        <w:rPr>
          <w:b/>
          <w:bCs/>
        </w:rPr>
        <w:t xml:space="preserve"> i</w:t>
      </w:r>
      <w:r w:rsidR="002206DC" w:rsidRPr="002206DC">
        <w:rPr>
          <w:b/>
          <w:bCs/>
        </w:rPr>
        <w:t> </w:t>
      </w:r>
      <w:r w:rsidR="00E042DE" w:rsidRPr="002206DC">
        <w:rPr>
          <w:b/>
          <w:bCs/>
        </w:rPr>
        <w:t>niskoemisyjnoś</w:t>
      </w:r>
      <w:r w:rsidR="00C54CD9" w:rsidRPr="002206DC">
        <w:rPr>
          <w:b/>
          <w:bCs/>
        </w:rPr>
        <w:t>ci</w:t>
      </w:r>
      <w:r w:rsidR="00E042DE" w:rsidRPr="002206DC">
        <w:rPr>
          <w:b/>
          <w:bCs/>
        </w:rPr>
        <w:t xml:space="preserve"> budynków w</w:t>
      </w:r>
      <w:r w:rsidR="00C54CD9" w:rsidRPr="002206DC">
        <w:rPr>
          <w:b/>
          <w:bCs/>
        </w:rPr>
        <w:t> </w:t>
      </w:r>
      <w:r w:rsidR="00E042DE" w:rsidRPr="002206DC">
        <w:rPr>
          <w:b/>
          <w:bCs/>
        </w:rPr>
        <w:t>Polsce w perspektywie 2050 r.</w:t>
      </w:r>
      <w:r w:rsidR="002206DC">
        <w:t xml:space="preserve"> Nowa dyrektywa 2024/1275 </w:t>
      </w:r>
      <w:r w:rsidR="002206DC" w:rsidRPr="004D1A61">
        <w:t xml:space="preserve">w sprawie charakterystyki </w:t>
      </w:r>
      <w:r w:rsidR="002206DC">
        <w:t>energetycznej</w:t>
      </w:r>
      <w:r w:rsidR="002206DC" w:rsidRPr="004D1A61">
        <w:t xml:space="preserve"> budynków</w:t>
      </w:r>
      <w:r w:rsidR="007748B8">
        <w:t xml:space="preserve"> (EPBD)</w:t>
      </w:r>
      <w:r w:rsidR="002206DC">
        <w:t xml:space="preserve"> wskazuje, że</w:t>
      </w:r>
      <w:r w:rsidR="002206DC" w:rsidRPr="00F765B0">
        <w:t xml:space="preserve"> </w:t>
      </w:r>
      <w:r w:rsidR="002206DC">
        <w:t xml:space="preserve">państwa członkowskie powinny przekazać Komisji Europejskiej do końca </w:t>
      </w:r>
      <w:r w:rsidR="002206DC" w:rsidRPr="00F765B0">
        <w:t>2025 r.</w:t>
      </w:r>
      <w:r w:rsidR="002206DC" w:rsidDel="003F4D7D">
        <w:t xml:space="preserve"> </w:t>
      </w:r>
      <w:r w:rsidR="002206DC">
        <w:t xml:space="preserve">projekt </w:t>
      </w:r>
      <w:r w:rsidR="002206DC" w:rsidRPr="00F765B0">
        <w:rPr>
          <w:b/>
          <w:bCs/>
        </w:rPr>
        <w:t>krajowego planu renowacji budynków</w:t>
      </w:r>
      <w:r w:rsidR="00525736">
        <w:rPr>
          <w:b/>
          <w:bCs/>
        </w:rPr>
        <w:t xml:space="preserve"> (KPRB)</w:t>
      </w:r>
      <w:r w:rsidR="002206DC">
        <w:t>, a do końca 2026 r. jego finalną wersję</w:t>
      </w:r>
      <w:r w:rsidR="002206DC">
        <w:rPr>
          <w:rStyle w:val="Odwoanieprzypisudolnego"/>
        </w:rPr>
        <w:footnoteReference w:id="86"/>
      </w:r>
      <w:r w:rsidR="002206DC">
        <w:t>. Do tego czasu obowiązującym dokumentem pozostaje DSRB z 2022 r., której założenia zaimplementowano w scenariuszu WEM do aKPEiK. W scenariuszu WAM przyjęto, że</w:t>
      </w:r>
      <w:r w:rsidR="00F96DE3">
        <w:t> </w:t>
      </w:r>
      <w:r w:rsidR="002206DC">
        <w:t>Polska podejmie jeszcze większe wysiłki w obszarze termomodernizacji.</w:t>
      </w:r>
    </w:p>
    <w:p w14:paraId="12883243" w14:textId="5217FF31" w:rsidR="00A41303" w:rsidRDefault="00A41303" w:rsidP="00A41303">
      <w:r>
        <w:rPr>
          <w:noProof/>
          <w:lang w:eastAsia="pl-PL"/>
        </w:rPr>
        <mc:AlternateContent>
          <mc:Choice Requires="wps">
            <w:drawing>
              <wp:anchor distT="0" distB="0" distL="114300" distR="114300" simplePos="0" relativeHeight="251603456" behindDoc="1" locked="0" layoutInCell="1" allowOverlap="1" wp14:anchorId="0DFCE220" wp14:editId="40C166F7">
                <wp:simplePos x="0" y="0"/>
                <wp:positionH relativeFrom="margin">
                  <wp:posOffset>3292475</wp:posOffset>
                </wp:positionH>
                <wp:positionV relativeFrom="paragraph">
                  <wp:posOffset>34290</wp:posOffset>
                </wp:positionV>
                <wp:extent cx="2497455" cy="1525270"/>
                <wp:effectExtent l="19050" t="57150" r="112395" b="74930"/>
                <wp:wrapThrough wrapText="bothSides">
                  <wp:wrapPolygon edited="0">
                    <wp:start x="1153" y="-809"/>
                    <wp:lineTo x="-165" y="-540"/>
                    <wp:lineTo x="-165" y="19424"/>
                    <wp:lineTo x="165" y="21042"/>
                    <wp:lineTo x="989" y="22391"/>
                    <wp:lineTo x="21254" y="22391"/>
                    <wp:lineTo x="22078" y="21042"/>
                    <wp:lineTo x="22407" y="16996"/>
                    <wp:lineTo x="22407" y="1619"/>
                    <wp:lineTo x="21748" y="-540"/>
                    <wp:lineTo x="21089" y="-809"/>
                    <wp:lineTo x="1153" y="-809"/>
                  </wp:wrapPolygon>
                </wp:wrapThrough>
                <wp:docPr id="324326697" name="Prostokąt: zaokrąglone rogi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7455" cy="1525270"/>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E0C2ACE" w14:textId="77777777" w:rsidR="00C36C5C" w:rsidRDefault="00C36C5C" w:rsidP="00A41303">
                            <w:pPr>
                              <w:pStyle w:val="Ramka"/>
                            </w:pPr>
                            <w:r w:rsidRPr="00EC0A0F">
                              <w:rPr>
                                <w:i/>
                                <w:iCs/>
                              </w:rPr>
                              <w:t xml:space="preserve"> </w:t>
                            </w:r>
                            <w:r w:rsidRPr="00776F23">
                              <w:rPr>
                                <w:i/>
                                <w:iCs/>
                              </w:rPr>
                              <w:t>Płytka termomodernizacja</w:t>
                            </w:r>
                            <w:r>
                              <w:t xml:space="preserve"> polega na wymianie wysokoemisyjnego źródła ciepła, jakim jest np. kocioł na węgiel tzw. kopciuch, na ekologiczne urządzenie. </w:t>
                            </w:r>
                          </w:p>
                          <w:p w14:paraId="43D30C35" w14:textId="77777777" w:rsidR="00C36C5C" w:rsidRPr="00A35815" w:rsidRDefault="00C36C5C" w:rsidP="00A41303">
                            <w:pPr>
                              <w:pStyle w:val="Ramka"/>
                            </w:pPr>
                            <w:r w:rsidRPr="00776F23">
                              <w:rPr>
                                <w:i/>
                                <w:iCs/>
                              </w:rPr>
                              <w:t>Głęboka termomodernizacja</w:t>
                            </w:r>
                            <w:r>
                              <w:t xml:space="preserve"> wiąże się z koniecznością dodatkowych działań, takich jak ocieplenie budynku, wymiana okien czy zamontowanie ekologicznego źródła ciepła.</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CE220" id="_x0000_s1111" style="position:absolute;left:0;text-align:left;margin-left:259.25pt;margin-top:2.7pt;width:196.65pt;height:120.1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" fillcolor="white [3212]" strokecolor="#5b9bd5 [3208]">
                <v:stroke joinstyle="miter"/>
                <v:shadow on="t" color="black" opacity="26214f" origin="-.5" offset="3pt,0"/>
                <v:path arrowok="t"/>
                <v:textbox inset="2mm,2.5mm,2mm,0">
                  <w:txbxContent>
                    <w:p w14:paraId="4E0C2ACE" w14:textId="77777777" w:rsidR="00C36C5C" w:rsidRDefault="00C36C5C" w:rsidP="00A41303">
                      <w:pPr>
                        <w:pStyle w:val="Ramka"/>
                      </w:pPr>
                      <w:r w:rsidRPr="00EC0A0F">
                        <w:rPr>
                          <w:i/>
                          <w:iCs/>
                        </w:rPr>
                        <w:t xml:space="preserve"> </w:t>
                      </w:r>
                      <w:r w:rsidRPr="00776F23">
                        <w:rPr>
                          <w:i/>
                          <w:iCs/>
                        </w:rPr>
                        <w:t>Płytka termomodernizacja</w:t>
                      </w:r>
                      <w:r>
                        <w:t xml:space="preserve"> polega na wymianie wysokoemisyjnego źródła ciepła, jakim jest np. kocioł na węgiel tzw. kopciuch, na ekologiczne urządzenie. </w:t>
                      </w:r>
                    </w:p>
                    <w:p w14:paraId="43D30C35" w14:textId="77777777" w:rsidR="00C36C5C" w:rsidRPr="00A35815" w:rsidRDefault="00C36C5C" w:rsidP="00A41303">
                      <w:pPr>
                        <w:pStyle w:val="Ramka"/>
                      </w:pPr>
                      <w:r w:rsidRPr="00776F23">
                        <w:rPr>
                          <w:i/>
                          <w:iCs/>
                        </w:rPr>
                        <w:t>Głęboka termomodernizacja</w:t>
                      </w:r>
                      <w:r>
                        <w:t xml:space="preserve"> wiąże się z koniecznością dodatkowych działań, takich jak ocieplenie budynku, wymiana okien czy zamontowanie ekologicznego źródła ciepła.</w:t>
                      </w:r>
                    </w:p>
                  </w:txbxContent>
                </v:textbox>
                <w10:wrap type="through" anchorx="margin"/>
              </v:roundrect>
            </w:pict>
          </mc:Fallback>
        </mc:AlternateContent>
      </w:r>
      <w:r>
        <w:t xml:space="preserve">W ramach obowiązującej DSBR </w:t>
      </w:r>
      <w:r w:rsidRPr="00EC0A0F">
        <w:t xml:space="preserve">przyjęto rekomendowany scenariusz, który </w:t>
      </w:r>
      <w:r w:rsidRPr="008E151D">
        <w:rPr>
          <w:b/>
          <w:bCs/>
        </w:rPr>
        <w:t>przewid</w:t>
      </w:r>
      <w:r>
        <w:rPr>
          <w:b/>
          <w:bCs/>
        </w:rPr>
        <w:t>ywał</w:t>
      </w:r>
      <w:r w:rsidRPr="008E151D">
        <w:rPr>
          <w:b/>
          <w:bCs/>
        </w:rPr>
        <w:t xml:space="preserve"> powszechną płytką termomodernizację ze stopniowym upowszechnianiem głębokiej, kompleksowej termomodernizacji w perspektywie do 2030 r.</w:t>
      </w:r>
      <w:r>
        <w:t xml:space="preserve"> </w:t>
      </w:r>
      <w:r w:rsidRPr="00393309">
        <w:t xml:space="preserve">Przyjęcie tego podejścia </w:t>
      </w:r>
      <w:r>
        <w:t xml:space="preserve">miało </w:t>
      </w:r>
      <w:r w:rsidRPr="00393309">
        <w:t>pozwoli</w:t>
      </w:r>
      <w:r>
        <w:t>ć</w:t>
      </w:r>
      <w:r w:rsidRPr="00393309">
        <w:t xml:space="preserve"> również na </w:t>
      </w:r>
      <w:r>
        <w:t xml:space="preserve">szybsze </w:t>
      </w:r>
      <w:r w:rsidRPr="00393309">
        <w:t xml:space="preserve">zredukowanie negatywnego wpływu objęcia sektora mieszkalnictwa systemem </w:t>
      </w:r>
      <w:r>
        <w:t xml:space="preserve">EU </w:t>
      </w:r>
      <w:r w:rsidRPr="00393309">
        <w:t>ETS</w:t>
      </w:r>
      <w:r>
        <w:t>–</w:t>
      </w:r>
      <w:r w:rsidRPr="00393309">
        <w:t>2</w:t>
      </w:r>
      <w:r>
        <w:t xml:space="preserve">, </w:t>
      </w:r>
      <w:r w:rsidRPr="00393309">
        <w:t>przy jednoczesnym wykorzystaniu środków pochodzących z Klimatycznego Funduszu Społecznego</w:t>
      </w:r>
      <w:r>
        <w:t xml:space="preserve">. </w:t>
      </w:r>
      <w:r w:rsidRPr="00F118A9">
        <w:t xml:space="preserve">Przyjęte w </w:t>
      </w:r>
      <w:r w:rsidRPr="00F118A9">
        <w:rPr>
          <w:i/>
          <w:iCs/>
        </w:rPr>
        <w:t>Długoterminowej strategii renowacji budynków scenariusz</w:t>
      </w:r>
      <w:r w:rsidRPr="00F118A9">
        <w:t xml:space="preserve"> </w:t>
      </w:r>
      <w:r>
        <w:t xml:space="preserve">miało pozwolić </w:t>
      </w:r>
      <w:r w:rsidRPr="00F118A9">
        <w:t>na zmodernizowanie najmniej efektywnych budynków (z zużyciem energii powyżej 330 kWh/</w:t>
      </w:r>
      <w:r>
        <w:t>(</w:t>
      </w:r>
      <w:r w:rsidRPr="00F118A9">
        <w:t>m</w:t>
      </w:r>
      <w:r w:rsidRPr="00F118A9">
        <w:rPr>
          <w:vertAlign w:val="superscript"/>
        </w:rPr>
        <w:t>2</w:t>
      </w:r>
      <w:r w:rsidRPr="00F118A9">
        <w:t>rok</w:t>
      </w:r>
      <w:r>
        <w:t>)</w:t>
      </w:r>
      <w:r w:rsidRPr="00F118A9">
        <w:t>) do 2027 r., a więc do pierwszego roku efektywnego funkcjonowania EU ETS</w:t>
      </w:r>
      <w:r>
        <w:noBreakHyphen/>
      </w:r>
      <w:r w:rsidRPr="00F118A9">
        <w:t>2</w:t>
      </w:r>
      <w:r>
        <w:t xml:space="preserve">. </w:t>
      </w:r>
    </w:p>
    <w:p w14:paraId="63A989C1" w14:textId="571A6C27" w:rsidR="00A41303" w:rsidRPr="00DC5106" w:rsidRDefault="00A41303" w:rsidP="00A41303">
      <w:r>
        <w:t>Cel nowo powstałego KPRB pozostanie kierunkowo niezmienny, choć zmienią się poszczególne wartości liczbowe. R</w:t>
      </w:r>
      <w:r w:rsidRPr="00C54CD9">
        <w:t xml:space="preserve">ealizacja </w:t>
      </w:r>
      <w:r>
        <w:t>każdego z dokumentów ma nieść</w:t>
      </w:r>
      <w:r w:rsidRPr="00C54CD9">
        <w:t xml:space="preserve"> za sobą </w:t>
      </w:r>
      <w:r>
        <w:t xml:space="preserve">m.in. </w:t>
      </w:r>
      <w:r w:rsidRPr="00C54CD9">
        <w:t xml:space="preserve">poprawę charakterystyki </w:t>
      </w:r>
      <w:r w:rsidRPr="00C54CD9">
        <w:lastRenderedPageBreak/>
        <w:t>energetycznej budynków</w:t>
      </w:r>
      <w:r w:rsidR="004071EC">
        <w:t xml:space="preserve"> i redukcją kosztów utrzymania budynku</w:t>
      </w:r>
      <w:r w:rsidRPr="00C54CD9">
        <w:t>, pozytywnie wpły</w:t>
      </w:r>
      <w:r>
        <w:t>wać</w:t>
      </w:r>
      <w:r w:rsidRPr="00C54CD9">
        <w:t xml:space="preserve"> na jakość powietrza poprzez zmniejszenie emisji gazów cieplarnianych do atmosfery, </w:t>
      </w:r>
      <w:r>
        <w:t>skutkować poprawą warunków życia ludzi poprzez usunięcie z budynków podczas termomodernizacji wyrobów zawierających azbest,</w:t>
      </w:r>
      <w:r w:rsidRPr="00C54CD9">
        <w:t xml:space="preserve"> a także pozytywnie wpły</w:t>
      </w:r>
      <w:r>
        <w:t>wać</w:t>
      </w:r>
      <w:r w:rsidRPr="00C54CD9">
        <w:t xml:space="preserve"> na generowanie nowych miejsc pracy związanych z</w:t>
      </w:r>
      <w:r w:rsidR="00F96DE3">
        <w:t> </w:t>
      </w:r>
      <w:r w:rsidRPr="00C54CD9">
        <w:t>przeprowadzeniem termomodernizacji obiektów budowlanych</w:t>
      </w:r>
      <w:r w:rsidR="00C21B70">
        <w:t xml:space="preserve"> z wykorzystaniem nowoczesnych materiałów izolacyjnych</w:t>
      </w:r>
      <w:r w:rsidR="00805EE9">
        <w:t xml:space="preserve"> oraz wentylacji z odzyskiem wilgoci i ciepła</w:t>
      </w:r>
      <w:r>
        <w:t>. Trzeba mieć również na uwadze, że</w:t>
      </w:r>
      <w:r w:rsidR="00F96DE3">
        <w:t> </w:t>
      </w:r>
      <w:r>
        <w:t xml:space="preserve">prowadzona </w:t>
      </w:r>
      <w:r w:rsidR="00275594">
        <w:t>termomodernizacja</w:t>
      </w:r>
      <w:r>
        <w:t xml:space="preserve"> powinna prowadzić do zmniejszenia kosztów utrzymania budynku.</w:t>
      </w:r>
      <w:r w:rsidR="00A072F0">
        <w:t xml:space="preserve"> </w:t>
      </w:r>
      <w:r w:rsidR="00A96537">
        <w:t>S</w:t>
      </w:r>
      <w:r w:rsidR="00A072F0">
        <w:t xml:space="preserve">ystemy grzewcze powinny być w wysokim stopniu </w:t>
      </w:r>
      <w:r w:rsidR="00A072F0" w:rsidRPr="00A072F0">
        <w:t>zelektryfikowane i instalowane we współpracy z</w:t>
      </w:r>
      <w:r w:rsidR="00F96DE3">
        <w:t> </w:t>
      </w:r>
      <w:r w:rsidR="00A072F0" w:rsidRPr="00A072F0">
        <w:t>magazynami energii, w tym cieplnej</w:t>
      </w:r>
      <w:r w:rsidR="00805EE9">
        <w:t>.</w:t>
      </w:r>
      <w:r w:rsidR="00573CDF">
        <w:t xml:space="preserve"> </w:t>
      </w:r>
      <w:r w:rsidR="00573CDF" w:rsidRPr="00573CDF">
        <w:t xml:space="preserve">Modernizacja powinna być realizowana przede wszystkim tam, gdzie przyniesie największe korzyści energetyczne i ekonomiczne. </w:t>
      </w:r>
      <w:r w:rsidR="00573CDF">
        <w:t>Tym samym uwzględnia się to, że</w:t>
      </w:r>
      <w:r w:rsidR="00F96DE3">
        <w:t> </w:t>
      </w:r>
      <w:r w:rsidR="00AF7941">
        <w:t>w</w:t>
      </w:r>
      <w:r w:rsidR="00275594" w:rsidRPr="00275594">
        <w:t>ycofaniu z użytku podlega</w:t>
      </w:r>
      <w:r w:rsidR="00941E50">
        <w:t>ć będzie</w:t>
      </w:r>
      <w:r w:rsidR="00275594" w:rsidRPr="00275594">
        <w:t xml:space="preserve"> </w:t>
      </w:r>
      <w:r w:rsidR="00275594">
        <w:t>pewien odsetek</w:t>
      </w:r>
      <w:r w:rsidR="00275594" w:rsidRPr="00275594">
        <w:t xml:space="preserve"> budynków z przedziałów o najgorszej charakterystyce energetycznej</w:t>
      </w:r>
      <w:r w:rsidR="00275594">
        <w:t>.</w:t>
      </w:r>
    </w:p>
    <w:p w14:paraId="55DA398E" w14:textId="22552AC5" w:rsidR="00050C91" w:rsidRDefault="007748B8" w:rsidP="004071EC">
      <w:pPr>
        <w:spacing w:before="360"/>
      </w:pPr>
      <w:r>
        <w:t xml:space="preserve">Dyrektywa EPBD </w:t>
      </w:r>
      <w:r w:rsidR="00010C05">
        <w:t>w</w:t>
      </w:r>
      <w:r w:rsidR="00010C05" w:rsidRPr="00525736">
        <w:t xml:space="preserve">skazuje szereg obszarów, które powinny zostać wskazane w </w:t>
      </w:r>
      <w:r w:rsidR="00525736" w:rsidRPr="00525736">
        <w:t>krajowym planie renowacji budynków</w:t>
      </w:r>
      <w:r w:rsidR="00525736">
        <w:t xml:space="preserve">. </w:t>
      </w:r>
      <w:r w:rsidR="005937D0">
        <w:t>Co</w:t>
      </w:r>
      <w:r w:rsidR="00A03773">
        <w:t> </w:t>
      </w:r>
      <w:r w:rsidR="005937D0">
        <w:t xml:space="preserve">ważne, </w:t>
      </w:r>
      <w:r w:rsidR="00525736">
        <w:t xml:space="preserve">KPRB </w:t>
      </w:r>
      <w:r w:rsidR="004071EC">
        <w:t>wskaże n</w:t>
      </w:r>
      <w:r w:rsidR="00050C91">
        <w:t xml:space="preserve">ową kategoryzację </w:t>
      </w:r>
      <w:r w:rsidR="00526CD9" w:rsidRPr="00050C91">
        <w:rPr>
          <w:b/>
          <w:bCs/>
        </w:rPr>
        <w:t>klas energetycznych</w:t>
      </w:r>
      <w:r w:rsidR="00050C91">
        <w:t>, przy czym:</w:t>
      </w:r>
    </w:p>
    <w:p w14:paraId="0073A283" w14:textId="40C27854" w:rsidR="00664865" w:rsidRDefault="00A03773" w:rsidP="000625AC">
      <w:pPr>
        <w:pStyle w:val="Akapitzlist"/>
        <w:numPr>
          <w:ilvl w:val="1"/>
          <w:numId w:val="82"/>
        </w:numPr>
        <w:ind w:left="567"/>
      </w:pPr>
      <w:r w:rsidRPr="00FA5DFB">
        <w:rPr>
          <w:noProof/>
          <w:lang w:eastAsia="pl-PL"/>
        </w:rPr>
        <mc:AlternateContent>
          <mc:Choice Requires="wps">
            <w:drawing>
              <wp:anchor distT="0" distB="0" distL="114300" distR="114300" simplePos="0" relativeHeight="251598336" behindDoc="1" locked="0" layoutInCell="1" allowOverlap="1" wp14:anchorId="758EAD7B" wp14:editId="1C1DDD59">
                <wp:simplePos x="0" y="0"/>
                <wp:positionH relativeFrom="margin">
                  <wp:posOffset>3678994</wp:posOffset>
                </wp:positionH>
                <wp:positionV relativeFrom="paragraph">
                  <wp:posOffset>57638</wp:posOffset>
                </wp:positionV>
                <wp:extent cx="2045970" cy="909320"/>
                <wp:effectExtent l="19050" t="57150" r="106680" b="81280"/>
                <wp:wrapSquare wrapText="bothSides"/>
                <wp:docPr id="1666156492" name="Prostokąt: zaokrąglone rogi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970" cy="909320"/>
                        </a:xfrm>
                        <a:prstGeom prst="roundRect">
                          <a:avLst>
                            <a:gd name="adj" fmla="val 11857"/>
                          </a:avLst>
                        </a:prstGeom>
                        <a:solidFill>
                          <a:sysClr val="window" lastClr="FFFFFF"/>
                        </a:solidFill>
                        <a:ln w="9525" cap="flat" cmpd="sng" algn="ctr">
                          <a:solidFill>
                            <a:schemeClr val="accent1"/>
                          </a:solidFill>
                          <a:prstDash val="solid"/>
                          <a:miter lim="800000"/>
                        </a:ln>
                        <a:effectLst>
                          <a:outerShdw blurRad="50800" dist="38100" algn="l" rotWithShape="0">
                            <a:prstClr val="black">
                              <a:alpha val="40000"/>
                            </a:prstClr>
                          </a:outerShdw>
                        </a:effectLst>
                      </wps:spPr>
                      <wps:txbx>
                        <w:txbxContent>
                          <w:p w14:paraId="0610813B" w14:textId="471D5624" w:rsidR="00C36C5C" w:rsidRPr="00C1033C" w:rsidRDefault="00C36C5C" w:rsidP="00C1033C">
                            <w:pPr>
                              <w:pStyle w:val="Ramka"/>
                            </w:pPr>
                            <w:r w:rsidRPr="00215424">
                              <w:t xml:space="preserve"> </w:t>
                            </w:r>
                            <w:r w:rsidRPr="00C1033C">
                              <w:rPr>
                                <w:b/>
                                <w:bCs/>
                              </w:rPr>
                              <w:t>Budynek bezemis</w:t>
                            </w:r>
                            <w:r>
                              <w:rPr>
                                <w:b/>
                                <w:bCs/>
                              </w:rPr>
                              <w:t>y</w:t>
                            </w:r>
                            <w:r w:rsidRPr="00C1033C">
                              <w:rPr>
                                <w:b/>
                                <w:bCs/>
                              </w:rPr>
                              <w:t>jny</w:t>
                            </w:r>
                            <w:r>
                              <w:t xml:space="preserve"> (przyszła klasa A) wymaga zerowej lub bardzo małej ilości energii, nie powoduje emisji CO</w:t>
                            </w:r>
                            <w:r w:rsidRPr="00C1033C">
                              <w:rPr>
                                <w:vertAlign w:val="subscript"/>
                              </w:rPr>
                              <w:t>2</w:t>
                            </w:r>
                            <w:r>
                              <w:rPr>
                                <w:vertAlign w:val="subscript"/>
                              </w:rPr>
                              <w:t xml:space="preserve"> </w:t>
                            </w:r>
                            <w:r w:rsidRPr="00C1033C">
                              <w:t xml:space="preserve">z </w:t>
                            </w:r>
                            <w:r>
                              <w:t>paliw kopalnych</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EAD7B" id="_x0000_s1112" style="position:absolute;left:0;text-align:left;margin-left:289.7pt;margin-top:4.55pt;width:161.1pt;height:71.6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" fillcolor="window" strokecolor="#4472c4 [3204]">
                <v:stroke joinstyle="miter"/>
                <v:shadow on="t" color="black" opacity="26214f" origin="-.5" offset="3pt,0"/>
                <v:path arrowok="t"/>
                <v:textbox inset="2mm,2.5mm,2mm,0">
                  <w:txbxContent>
                    <w:p w14:paraId="0610813B" w14:textId="471D5624" w:rsidR="00C36C5C" w:rsidRPr="00C1033C" w:rsidRDefault="00C36C5C" w:rsidP="00C1033C">
                      <w:pPr>
                        <w:pStyle w:val="Ramka"/>
                      </w:pPr>
                      <w:r w:rsidRPr="00215424">
                        <w:t xml:space="preserve"> </w:t>
                      </w:r>
                      <w:r w:rsidRPr="00C1033C">
                        <w:rPr>
                          <w:b/>
                          <w:bCs/>
                        </w:rPr>
                        <w:t xml:space="preserve">Budynek </w:t>
                      </w:r>
                      <w:proofErr w:type="spellStart"/>
                      <w:r w:rsidRPr="00C1033C">
                        <w:rPr>
                          <w:b/>
                          <w:bCs/>
                        </w:rPr>
                        <w:t>bezemis</w:t>
                      </w:r>
                      <w:r>
                        <w:rPr>
                          <w:b/>
                          <w:bCs/>
                        </w:rPr>
                        <w:t>y</w:t>
                      </w:r>
                      <w:r w:rsidRPr="00C1033C">
                        <w:rPr>
                          <w:b/>
                          <w:bCs/>
                        </w:rPr>
                        <w:t>jny</w:t>
                      </w:r>
                      <w:proofErr w:type="spellEnd"/>
                      <w:r>
                        <w:t xml:space="preserve"> (przyszła klasa A) wymaga zerowej lub bardzo małej ilości energii, nie powoduje emisji CO</w:t>
                      </w:r>
                      <w:r w:rsidRPr="00C1033C">
                        <w:rPr>
                          <w:vertAlign w:val="subscript"/>
                        </w:rPr>
                        <w:t>2</w:t>
                      </w:r>
                      <w:r>
                        <w:rPr>
                          <w:vertAlign w:val="subscript"/>
                        </w:rPr>
                        <w:t xml:space="preserve"> </w:t>
                      </w:r>
                      <w:r w:rsidRPr="00C1033C">
                        <w:t xml:space="preserve">z </w:t>
                      </w:r>
                      <w:r>
                        <w:t>paliw kopalnych</w:t>
                      </w:r>
                    </w:p>
                  </w:txbxContent>
                </v:textbox>
                <w10:wrap type="square" anchorx="margin"/>
              </v:roundrect>
            </w:pict>
          </mc:Fallback>
        </mc:AlternateContent>
      </w:r>
      <w:r w:rsidR="00050C91">
        <w:t xml:space="preserve">skalowanie </w:t>
      </w:r>
      <w:r w:rsidR="00CC126F">
        <w:t>będzie</w:t>
      </w:r>
      <w:r w:rsidR="00664865">
        <w:t xml:space="preserve"> op</w:t>
      </w:r>
      <w:r w:rsidR="00CC126F">
        <w:t>ierać się</w:t>
      </w:r>
      <w:r w:rsidR="00664865">
        <w:t xml:space="preserve"> o wskaźniki </w:t>
      </w:r>
      <w:r w:rsidR="002E7983">
        <w:t xml:space="preserve">rocznego </w:t>
      </w:r>
      <w:r w:rsidR="00664865">
        <w:t>zapotrzebowania na</w:t>
      </w:r>
      <w:r w:rsidR="00974007">
        <w:t xml:space="preserve">  </w:t>
      </w:r>
      <w:r w:rsidR="00664865">
        <w:t xml:space="preserve">energię , </w:t>
      </w:r>
    </w:p>
    <w:p w14:paraId="406F195F" w14:textId="0E6CA597" w:rsidR="00CC126F" w:rsidRDefault="00CC126F" w:rsidP="000625AC">
      <w:pPr>
        <w:pStyle w:val="Akapitzlist"/>
        <w:numPr>
          <w:ilvl w:val="1"/>
          <w:numId w:val="82"/>
        </w:numPr>
        <w:ind w:left="567"/>
      </w:pPr>
      <w:r>
        <w:t>klasy będą mieć charakter literowy od A+ do G,</w:t>
      </w:r>
    </w:p>
    <w:p w14:paraId="05E1612A" w14:textId="2DD0DB05" w:rsidR="00050C91" w:rsidRPr="00050C91" w:rsidRDefault="00050C91" w:rsidP="000625AC">
      <w:pPr>
        <w:pStyle w:val="Akapitzlist"/>
        <w:numPr>
          <w:ilvl w:val="1"/>
          <w:numId w:val="82"/>
        </w:numPr>
        <w:ind w:left="567"/>
      </w:pPr>
      <w:r>
        <w:t xml:space="preserve">klasa A </w:t>
      </w:r>
      <w:r w:rsidRPr="00050C91">
        <w:t>odpowiada</w:t>
      </w:r>
      <w:r>
        <w:t>ć będzie „</w:t>
      </w:r>
      <w:r w:rsidRPr="00050C91">
        <w:t>budynkom bezemisyjnym</w:t>
      </w:r>
      <w:r>
        <w:t>”</w:t>
      </w:r>
      <w:r w:rsidR="00B97E6B">
        <w:t>,</w:t>
      </w:r>
      <w:r w:rsidRPr="00050C91">
        <w:t xml:space="preserve"> </w:t>
      </w:r>
    </w:p>
    <w:p w14:paraId="2284DA33" w14:textId="10E05060" w:rsidR="00050C91" w:rsidRDefault="00AD2955" w:rsidP="000625AC">
      <w:pPr>
        <w:pStyle w:val="Akapitzlist"/>
        <w:numPr>
          <w:ilvl w:val="1"/>
          <w:numId w:val="82"/>
        </w:numPr>
        <w:ind w:left="567"/>
      </w:pPr>
      <w:r>
        <w:t xml:space="preserve">klasa A+ </w:t>
      </w:r>
      <w:r w:rsidR="00925A4C">
        <w:t>odpowiada budynkom bezemisyjnyjm, które wnoszą dodatkowy roczny wkład netto do sieci energetycznej z lokalnych OZE</w:t>
      </w:r>
      <w:r w:rsidR="00C05984">
        <w:t>,</w:t>
      </w:r>
    </w:p>
    <w:p w14:paraId="24DE9CAA" w14:textId="225DF0EE" w:rsidR="008D05F0" w:rsidRDefault="008D05F0" w:rsidP="000625AC">
      <w:pPr>
        <w:pStyle w:val="Akapitzlist"/>
        <w:numPr>
          <w:ilvl w:val="1"/>
          <w:numId w:val="82"/>
        </w:numPr>
        <w:ind w:left="567"/>
      </w:pPr>
      <w:r>
        <w:t>klasa G odpowiadać będzie budynkom o najgorszym wskaźniku zużycia energii,</w:t>
      </w:r>
    </w:p>
    <w:p w14:paraId="3A396825" w14:textId="46BB7CE4" w:rsidR="005937D0" w:rsidRDefault="00CC126F" w:rsidP="000625AC">
      <w:pPr>
        <w:pStyle w:val="Akapitzlist"/>
        <w:numPr>
          <w:ilvl w:val="1"/>
          <w:numId w:val="82"/>
        </w:numPr>
        <w:ind w:left="567" w:hanging="357"/>
        <w:contextualSpacing w:val="0"/>
      </w:pPr>
      <w:r>
        <w:t xml:space="preserve">klasy będą wyznaczone oddzielnie dla (a) budynków mieszkalnych jednorodzinnych, (b) wielorodzinnych, (c) </w:t>
      </w:r>
      <w:r w:rsidR="00666527">
        <w:t>użyteczności publicznej</w:t>
      </w:r>
      <w:r w:rsidR="007B519E">
        <w:t>.</w:t>
      </w:r>
    </w:p>
    <w:p w14:paraId="6AD6FE8C" w14:textId="582DD99A" w:rsidR="007D7001" w:rsidRDefault="004071EC" w:rsidP="00A03773">
      <w:pPr>
        <w:spacing w:before="120" w:after="360"/>
      </w:pPr>
      <w:r w:rsidRPr="004071EC">
        <w:rPr>
          <w:i/>
          <w:iCs/>
        </w:rPr>
        <w:t>Krajowy plan renowacji budynków</w:t>
      </w:r>
      <w:r>
        <w:t xml:space="preserve"> musi zachować spójność z KPEiK. Niniejszy dokument wskazuje kierunek działań, ale szczegółów dostarczy </w:t>
      </w:r>
      <w:r w:rsidRPr="004071EC">
        <w:t xml:space="preserve">KPRB. </w:t>
      </w:r>
    </w:p>
    <w:p w14:paraId="4951D7FD" w14:textId="22976161" w:rsidR="007B53EB" w:rsidRDefault="007D7001" w:rsidP="009441AA">
      <w:pPr>
        <w:pStyle w:val="Cele"/>
      </w:pPr>
      <w:r w:rsidRPr="00D73323">
        <w:rPr>
          <w:b/>
          <w:bCs/>
        </w:rPr>
        <w:t>Cel</w:t>
      </w:r>
      <w:r w:rsidRPr="003C534B">
        <w:rPr>
          <w:b/>
          <w:bCs/>
        </w:rPr>
        <w:t>em</w:t>
      </w:r>
      <w:r>
        <w:rPr>
          <w:b/>
          <w:bCs/>
        </w:rPr>
        <w:t xml:space="preserve"> w zakresie redukcji zapotrzebowania na energię istniejących budynków jest zapewnienie, </w:t>
      </w:r>
      <w:bookmarkStart w:id="400" w:name="_Hlk177641917"/>
      <w:r>
        <w:rPr>
          <w:b/>
          <w:bCs/>
        </w:rPr>
        <w:t xml:space="preserve">aby </w:t>
      </w:r>
      <w:bookmarkEnd w:id="400"/>
      <w:r w:rsidR="00CD125F">
        <w:rPr>
          <w:b/>
          <w:bCs/>
        </w:rPr>
        <w:t>do 2050 r.</w:t>
      </w:r>
      <w:r w:rsidR="00CD125F" w:rsidRPr="00CD125F">
        <w:rPr>
          <w:b/>
          <w:bCs/>
        </w:rPr>
        <w:t xml:space="preserve"> </w:t>
      </w:r>
      <w:r w:rsidR="00CD125F">
        <w:rPr>
          <w:b/>
          <w:bCs/>
        </w:rPr>
        <w:t xml:space="preserve">wszystkie istniejące budynki cechowały się </w:t>
      </w:r>
      <w:r w:rsidR="00CD125F" w:rsidRPr="002206DC">
        <w:rPr>
          <w:b/>
          <w:bCs/>
        </w:rPr>
        <w:t>wysok</w:t>
      </w:r>
      <w:r w:rsidR="00CD125F">
        <w:rPr>
          <w:b/>
          <w:bCs/>
        </w:rPr>
        <w:t>ą</w:t>
      </w:r>
      <w:r w:rsidR="00CD125F" w:rsidRPr="002206DC">
        <w:rPr>
          <w:b/>
          <w:bCs/>
        </w:rPr>
        <w:t xml:space="preserve"> efektywności</w:t>
      </w:r>
      <w:r w:rsidR="00CD125F">
        <w:rPr>
          <w:b/>
          <w:bCs/>
        </w:rPr>
        <w:t>ą</w:t>
      </w:r>
      <w:r w:rsidR="00CD125F" w:rsidRPr="002206DC">
        <w:rPr>
          <w:b/>
          <w:bCs/>
        </w:rPr>
        <w:t xml:space="preserve"> energetyczn</w:t>
      </w:r>
      <w:r w:rsidR="00CD125F" w:rsidRPr="00F22ECD">
        <w:t>ą</w:t>
      </w:r>
      <w:r w:rsidR="00F22ECD" w:rsidRPr="00F22ECD">
        <w:t>,</w:t>
      </w:r>
      <w:r w:rsidR="00F22ECD">
        <w:rPr>
          <w:b/>
          <w:bCs/>
        </w:rPr>
        <w:t xml:space="preserve"> </w:t>
      </w:r>
      <w:r w:rsidR="00F22ECD" w:rsidRPr="00F22ECD">
        <w:t>przy tempie renowacji nie mniej niż 2% rocznie</w:t>
      </w:r>
      <w:r>
        <w:t>.</w:t>
      </w:r>
    </w:p>
    <w:p w14:paraId="70B8ADAF" w14:textId="77777777" w:rsidR="00F3711B" w:rsidRDefault="00F3711B" w:rsidP="00776F23">
      <w:pPr>
        <w:pStyle w:val="PaMs"/>
      </w:pPr>
      <w:r w:rsidRPr="00C46DAA">
        <w:t>POLITYKA</w:t>
      </w:r>
    </w:p>
    <w:p w14:paraId="52230268" w14:textId="70732753" w:rsidR="00F957FE" w:rsidRDefault="00776F23" w:rsidP="00F3711B">
      <w:pPr>
        <w:rPr>
          <w:i/>
          <w:iCs/>
        </w:rPr>
      </w:pPr>
      <w:r>
        <w:t xml:space="preserve">Wycofanie węgla z gospodarstw domowych i termomodernizacja to jeden z głównych priorytetów </w:t>
      </w:r>
      <w:r w:rsidR="00CD125F">
        <w:t xml:space="preserve">polityki </w:t>
      </w:r>
      <w:r>
        <w:t xml:space="preserve">Polski. </w:t>
      </w:r>
      <w:r w:rsidR="00AB6D44">
        <w:t xml:space="preserve">Do końca 2026 r. opracowany zostanie </w:t>
      </w:r>
      <w:r w:rsidR="00AB6D44" w:rsidRPr="00AB6D44">
        <w:rPr>
          <w:i/>
          <w:iCs/>
        </w:rPr>
        <w:t>Krajowy plan renowacji budynków</w:t>
      </w:r>
      <w:r w:rsidR="00AB6D44" w:rsidRPr="00780BE9">
        <w:t xml:space="preserve"> </w:t>
      </w:r>
      <w:r w:rsidR="00AB6D44">
        <w:t xml:space="preserve">(zastępujący </w:t>
      </w:r>
      <w:r w:rsidR="00AB6D44" w:rsidRPr="00AB6D44">
        <w:rPr>
          <w:i/>
          <w:iCs/>
        </w:rPr>
        <w:t>Długoterminową</w:t>
      </w:r>
      <w:r w:rsidR="00AB6D44">
        <w:t xml:space="preserve"> </w:t>
      </w:r>
      <w:r w:rsidR="00AB6D44" w:rsidRPr="00AB6D44">
        <w:rPr>
          <w:i/>
          <w:iCs/>
        </w:rPr>
        <w:t>strategię renowacji budynków</w:t>
      </w:r>
      <w:r w:rsidR="004071EC">
        <w:rPr>
          <w:i/>
          <w:iCs/>
        </w:rPr>
        <w:t xml:space="preserve"> </w:t>
      </w:r>
      <w:r w:rsidR="004071EC" w:rsidRPr="004071EC">
        <w:t>z 2022 r.</w:t>
      </w:r>
      <w:r w:rsidR="00AB6D44">
        <w:t>) – zgodnie z dyrektywą EPBD</w:t>
      </w:r>
      <w:r w:rsidR="00AB6D44">
        <w:rPr>
          <w:i/>
          <w:iCs/>
        </w:rPr>
        <w:t xml:space="preserve">. </w:t>
      </w:r>
    </w:p>
    <w:p w14:paraId="72F63F29" w14:textId="46BCC01D" w:rsidR="00D87A8A" w:rsidRDefault="00F957FE" w:rsidP="00F3711B">
      <w:r w:rsidRPr="00F957FE">
        <w:t>Opracowanie i</w:t>
      </w:r>
      <w:r>
        <w:rPr>
          <w:i/>
          <w:iCs/>
        </w:rPr>
        <w:t xml:space="preserve"> </w:t>
      </w:r>
      <w:r w:rsidRPr="00F957FE">
        <w:t>wdrożenie</w:t>
      </w:r>
      <w:r>
        <w:rPr>
          <w:i/>
          <w:iCs/>
        </w:rPr>
        <w:t xml:space="preserve"> </w:t>
      </w:r>
      <w:r w:rsidR="00F22ECD">
        <w:t>KPRB</w:t>
      </w:r>
      <w:r>
        <w:t xml:space="preserve"> ma zapewnić</w:t>
      </w:r>
      <w:r w:rsidR="00D87A8A">
        <w:t>:</w:t>
      </w:r>
    </w:p>
    <w:p w14:paraId="6BF2D76B" w14:textId="37A2662E" w:rsidR="00F957FE" w:rsidRDefault="00F957FE" w:rsidP="000625AC">
      <w:pPr>
        <w:pStyle w:val="Akapitzlist"/>
        <w:numPr>
          <w:ilvl w:val="0"/>
          <w:numId w:val="84"/>
        </w:numPr>
      </w:pPr>
      <w:r>
        <w:t>n</w:t>
      </w:r>
      <w:r w:rsidR="00F22ECD">
        <w:t>ow</w:t>
      </w:r>
      <w:r>
        <w:t>ą skalę</w:t>
      </w:r>
      <w:r w:rsidR="00F22ECD">
        <w:t xml:space="preserve"> klasy energetyczne</w:t>
      </w:r>
      <w:r>
        <w:t xml:space="preserve"> (od A+ do G)</w:t>
      </w:r>
      <w:r w:rsidR="00C05984">
        <w:t>,</w:t>
      </w:r>
    </w:p>
    <w:p w14:paraId="2E11D6BB" w14:textId="3DB7E3F3" w:rsidR="00F957FE" w:rsidRDefault="00F22ECD" w:rsidP="000625AC">
      <w:pPr>
        <w:pStyle w:val="Akapitzlist"/>
        <w:numPr>
          <w:ilvl w:val="0"/>
          <w:numId w:val="84"/>
        </w:numPr>
      </w:pPr>
      <w:r>
        <w:t xml:space="preserve">trajektorie renowacji, </w:t>
      </w:r>
      <w:r w:rsidR="00F957FE">
        <w:t xml:space="preserve">przy czym </w:t>
      </w:r>
      <w:r w:rsidR="00D87A8A">
        <w:t>ma z</w:t>
      </w:r>
      <w:r w:rsidR="0077447B">
        <w:t xml:space="preserve">apewnić </w:t>
      </w:r>
      <w:r w:rsidR="0077447B" w:rsidRPr="00EB52F8">
        <w:t xml:space="preserve">średnie roczne tempo termomodernizacji </w:t>
      </w:r>
      <w:r w:rsidR="00F957FE">
        <w:t xml:space="preserve">było </w:t>
      </w:r>
      <w:r w:rsidR="0077447B">
        <w:t>na</w:t>
      </w:r>
      <w:r w:rsidR="00F96DE3">
        <w:t> </w:t>
      </w:r>
      <w:r w:rsidR="0077447B">
        <w:t xml:space="preserve">poziomie </w:t>
      </w:r>
      <w:r w:rsidR="002E656C">
        <w:t>nie mniej niż</w:t>
      </w:r>
      <w:r w:rsidR="0077447B">
        <w:t xml:space="preserve"> </w:t>
      </w:r>
      <w:r w:rsidR="00790010" w:rsidRPr="00790010">
        <w:rPr>
          <w:b/>
          <w:bCs/>
        </w:rPr>
        <w:t>2</w:t>
      </w:r>
      <w:r w:rsidR="00790010">
        <w:rPr>
          <w:b/>
          <w:bCs/>
        </w:rPr>
        <w:t xml:space="preserve">% </w:t>
      </w:r>
      <w:r w:rsidR="00AB6D44">
        <w:rPr>
          <w:b/>
          <w:bCs/>
        </w:rPr>
        <w:t xml:space="preserve">zasobu poszczególnych typów </w:t>
      </w:r>
      <w:r w:rsidR="00790010">
        <w:rPr>
          <w:b/>
          <w:bCs/>
        </w:rPr>
        <w:t>budynk</w:t>
      </w:r>
      <w:r w:rsidR="00AB6D44">
        <w:rPr>
          <w:b/>
          <w:bCs/>
        </w:rPr>
        <w:t>ów</w:t>
      </w:r>
      <w:r w:rsidR="00790010">
        <w:rPr>
          <w:b/>
          <w:bCs/>
        </w:rPr>
        <w:t xml:space="preserve"> (jednorodzinny, wielorodzinny, użyteczności publicznej)</w:t>
      </w:r>
      <w:r w:rsidR="00F957FE">
        <w:t>,</w:t>
      </w:r>
      <w:r w:rsidR="0077447B" w:rsidRPr="00EB52F8">
        <w:t xml:space="preserve"> </w:t>
      </w:r>
      <w:r w:rsidR="00F957FE">
        <w:t>zakłada się, że udział głębokiej termomodernizacji w</w:t>
      </w:r>
      <w:r w:rsidR="00F96DE3">
        <w:t> </w:t>
      </w:r>
      <w:r w:rsidR="00F957FE">
        <w:t>prowadzonych działaniach będzie stopniowo rósł przy jednoczesnym stosowaniu etapowej termomodernizacji pozostałych budynków,</w:t>
      </w:r>
    </w:p>
    <w:p w14:paraId="0567E189" w14:textId="3614AB7E" w:rsidR="007230D7" w:rsidRDefault="00F957FE" w:rsidP="000625AC">
      <w:pPr>
        <w:pStyle w:val="Akapitzlist"/>
        <w:numPr>
          <w:ilvl w:val="0"/>
          <w:numId w:val="84"/>
        </w:numPr>
      </w:pPr>
      <w:r w:rsidRPr="00D87A8A">
        <w:t>moderniz</w:t>
      </w:r>
      <w:r>
        <w:t>ację</w:t>
      </w:r>
      <w:r w:rsidRPr="00D87A8A">
        <w:t xml:space="preserve"> 16% budynków o</w:t>
      </w:r>
      <w:r>
        <w:t> </w:t>
      </w:r>
      <w:r w:rsidRPr="00D87A8A">
        <w:t>najgorszej charakterystyce energetycznej</w:t>
      </w:r>
      <w:r>
        <w:t xml:space="preserve"> do 2030 r., i 26%</w:t>
      </w:r>
      <w:r w:rsidRPr="00D87A8A">
        <w:t xml:space="preserve"> do 2033 </w:t>
      </w:r>
      <w:r>
        <w:t>r. (przy czym zakłada się, że część budynków o najgorszej charakterystyce będzie podlegać wycofaniu w sposób naturalny)</w:t>
      </w:r>
      <w:r w:rsidR="00C05984">
        <w:t>,</w:t>
      </w:r>
    </w:p>
    <w:p w14:paraId="09B816A4" w14:textId="6CEAECB4" w:rsidR="00F957FE" w:rsidRDefault="007230D7" w:rsidP="000625AC">
      <w:pPr>
        <w:pStyle w:val="Akapitzlist"/>
        <w:numPr>
          <w:ilvl w:val="0"/>
          <w:numId w:val="84"/>
        </w:numPr>
      </w:pPr>
      <w:r>
        <w:t>określenie potrzeb inwestycyjnych i dodatkowych polityk i działań</w:t>
      </w:r>
      <w:r w:rsidR="00F957FE">
        <w:t>.</w:t>
      </w:r>
    </w:p>
    <w:p w14:paraId="542D50D2" w14:textId="5A2C42B8" w:rsidR="000E7124" w:rsidRDefault="000E7124" w:rsidP="00F3711B">
      <w:r>
        <w:lastRenderedPageBreak/>
        <w:t>Warto podkreślić, że podczas prac termomodernizacyjnych należy usuwać z budynków wyroby zawierające azbest, zgodnie z </w:t>
      </w:r>
      <w:r w:rsidRPr="00A03773">
        <w:rPr>
          <w:i/>
          <w:iCs/>
        </w:rPr>
        <w:t>Programem Oczyszczania Kraju z Azbestu na lata 2009-2032</w:t>
      </w:r>
      <w:r>
        <w:t>, jak również z obowiązującymi przepisami.</w:t>
      </w:r>
    </w:p>
    <w:p w14:paraId="32F01833" w14:textId="7A924ED9" w:rsidR="00F3711B" w:rsidRDefault="00780BE9" w:rsidP="00F3711B">
      <w:r>
        <w:t>Na cel</w:t>
      </w:r>
      <w:r w:rsidR="00F957FE">
        <w:t xml:space="preserve"> termomodernizacji</w:t>
      </w:r>
      <w:r>
        <w:t xml:space="preserve"> przeznaczane są zarówno środki z programów priorytetowych, ale także zachęty podatkowe w postaci ulg podatkowych – tzw. ulga termomodernizacyjna. </w:t>
      </w:r>
      <w:r w:rsidR="007230D7">
        <w:t>P</w:t>
      </w:r>
      <w:r w:rsidR="00F957FE">
        <w:t xml:space="preserve">oszczególne programy będą przeznaczone oddzielnie dla budynków </w:t>
      </w:r>
      <w:r w:rsidR="00F957FE" w:rsidRPr="00F957FE">
        <w:t>jednorodzinny</w:t>
      </w:r>
      <w:r w:rsidR="00F957FE">
        <w:t xml:space="preserve">ch </w:t>
      </w:r>
      <w:r w:rsidR="007230D7">
        <w:t>(np. Czyste Powietrze)</w:t>
      </w:r>
      <w:r w:rsidR="00F957FE" w:rsidRPr="00F957FE">
        <w:t>, wielorodzinny</w:t>
      </w:r>
      <w:r w:rsidR="00F957FE">
        <w:t>ch (np. Program TERMO)</w:t>
      </w:r>
      <w:r w:rsidR="00F957FE" w:rsidRPr="00F957FE">
        <w:t>, użyteczności publicznej</w:t>
      </w:r>
      <w:r w:rsidR="00F957FE">
        <w:t xml:space="preserve"> (np. </w:t>
      </w:r>
      <w:r w:rsidR="007230D7">
        <w:t>Modernizacja</w:t>
      </w:r>
      <w:r w:rsidR="00F957FE">
        <w:t xml:space="preserve"> szk</w:t>
      </w:r>
      <w:r w:rsidR="007230D7">
        <w:t>ół</w:t>
      </w:r>
      <w:r w:rsidR="00F957FE">
        <w:t>)</w:t>
      </w:r>
      <w:r w:rsidR="007230D7">
        <w:t>.</w:t>
      </w:r>
    </w:p>
    <w:p w14:paraId="2C8F2932" w14:textId="52B0B39F" w:rsidR="000E7124" w:rsidRDefault="000E7124" w:rsidP="00F3711B">
      <w:r>
        <w:t>Wsparcie finansowe p</w:t>
      </w:r>
      <w:r w:rsidRPr="000E7124">
        <w:t>rzedsięwzię</w:t>
      </w:r>
      <w:r>
        <w:t>ć w budynkach nie-jednorodzinnych wymaga</w:t>
      </w:r>
      <w:r>
        <w:rPr>
          <w:b/>
          <w:bCs/>
        </w:rPr>
        <w:t xml:space="preserve"> </w:t>
      </w:r>
      <w:r w:rsidRPr="008B4BDB">
        <w:rPr>
          <w:b/>
          <w:bCs/>
        </w:rPr>
        <w:t>audyt</w:t>
      </w:r>
      <w:r>
        <w:rPr>
          <w:b/>
          <w:bCs/>
        </w:rPr>
        <w:t>u</w:t>
      </w:r>
      <w:r w:rsidRPr="008B4BDB">
        <w:rPr>
          <w:b/>
          <w:bCs/>
        </w:rPr>
        <w:t xml:space="preserve"> efektywności energetycznej</w:t>
      </w:r>
      <w:r>
        <w:t>. Dokument</w:t>
      </w:r>
      <w:r w:rsidRPr="00E57D7B">
        <w:t xml:space="preserve"> stanowi ocenę istniejącego stanu użytkowania energii w danym obiekcie oraz określa możliwości i środki służące do jego poprawy. Zawiera też także analizę ekonomiczno-energetyczną usprawnień w budynku wraz z wyborem optymalnego zakresu prac modernizacyjnych</w:t>
      </w:r>
      <w:r>
        <w:t>. Zapewnienie odpowiednich wymagań dla osób opracowujących tego typu dokumenty pozwala na</w:t>
      </w:r>
      <w:r w:rsidR="00F96DE3">
        <w:t> </w:t>
      </w:r>
      <w:r>
        <w:t>zachowanie profesjonalności, choć konieczne jest także zapewnienie dostępu do najnowszej wiedzy. Ważną rolę może odegrać w przyszłości także Centrum Wsparcia Transformacji Energetycznej (CTWE). Jednym z jego zadań będzie zapewnienie wsparcia informacyjnego w zakresie planowanych przedsięwzięć.</w:t>
      </w:r>
    </w:p>
    <w:p w14:paraId="41853720" w14:textId="592497CE" w:rsidR="00780BE9" w:rsidRDefault="000E7124" w:rsidP="000E7124">
      <w:pPr>
        <w:spacing w:before="360"/>
      </w:pPr>
      <w:r>
        <w:t xml:space="preserve">Pewną rolę w poprawie efektywności energetycznej budynków </w:t>
      </w:r>
      <w:r w:rsidR="00780BE9">
        <w:t xml:space="preserve">odegra także popularyzacja </w:t>
      </w:r>
      <w:r w:rsidR="00E34F0A" w:rsidRPr="00E54B18">
        <w:rPr>
          <w:b/>
          <w:bCs/>
        </w:rPr>
        <w:t xml:space="preserve">świadectw charakterystyki energetycznej </w:t>
      </w:r>
      <w:r w:rsidRPr="00E54B18">
        <w:rPr>
          <w:b/>
          <w:bCs/>
        </w:rPr>
        <w:t>budynków</w:t>
      </w:r>
      <w:r>
        <w:t xml:space="preserve">. Dokumenty </w:t>
      </w:r>
      <w:r w:rsidR="00780BE9">
        <w:t>zapewni</w:t>
      </w:r>
      <w:r w:rsidR="00FA2604">
        <w:t>aj</w:t>
      </w:r>
      <w:r w:rsidR="00780BE9">
        <w:t xml:space="preserve">ą jednoznaczną informację o zużyciu energii </w:t>
      </w:r>
      <w:r w:rsidR="00661DA0">
        <w:t>przy użytkowaniu budynku</w:t>
      </w:r>
      <w:r w:rsidR="00780BE9">
        <w:t>, a w konsekwencji o</w:t>
      </w:r>
      <w:r w:rsidR="003E5BF8">
        <w:t> </w:t>
      </w:r>
      <w:r w:rsidR="00780BE9">
        <w:t xml:space="preserve">potencjalnych kosztach </w:t>
      </w:r>
      <w:r w:rsidR="00661DA0">
        <w:t xml:space="preserve">energii </w:t>
      </w:r>
      <w:r w:rsidR="00780BE9">
        <w:t xml:space="preserve">oraz zapewnią porównywalność dla potencjalnych nabywców. </w:t>
      </w:r>
      <w:r w:rsidR="00C6197A">
        <w:t xml:space="preserve">Istniejąca </w:t>
      </w:r>
      <w:r w:rsidR="00C6197A" w:rsidRPr="00916755">
        <w:rPr>
          <w:b/>
          <w:bCs/>
        </w:rPr>
        <w:t>Centralna Ewidencja Emisyjności Budynków</w:t>
      </w:r>
      <w:r w:rsidR="00C6197A">
        <w:t xml:space="preserve"> (CEEB)</w:t>
      </w:r>
      <w:r w:rsidR="00B7353A">
        <w:t xml:space="preserve"> wraz z </w:t>
      </w:r>
      <w:r w:rsidR="00A8139B">
        <w:t>tworzonym</w:t>
      </w:r>
      <w:r w:rsidR="00B7353A" w:rsidRPr="00B7353A">
        <w:t xml:space="preserve"> </w:t>
      </w:r>
      <w:r w:rsidR="00B7353A" w:rsidRPr="00B7353A">
        <w:rPr>
          <w:b/>
          <w:bCs/>
        </w:rPr>
        <w:t>Centralnym Rejestrem Charakterystyki Energetycznej Budynków</w:t>
      </w:r>
      <w:r w:rsidR="00B7353A" w:rsidRPr="00B7353A">
        <w:t xml:space="preserve"> (CRChEB)</w:t>
      </w:r>
      <w:r w:rsidR="00C6197A">
        <w:t xml:space="preserve"> </w:t>
      </w:r>
      <w:r w:rsidR="00771802">
        <w:t>– przewidywany</w:t>
      </w:r>
      <w:r w:rsidR="00391D63">
        <w:t>m</w:t>
      </w:r>
      <w:r w:rsidR="00771802">
        <w:t xml:space="preserve"> do wdrożenia </w:t>
      </w:r>
      <w:r w:rsidR="0021653D">
        <w:t xml:space="preserve">w 2026 r. </w:t>
      </w:r>
      <w:r w:rsidR="00A03773">
        <w:t xml:space="preserve">– </w:t>
      </w:r>
      <w:r w:rsidR="00B7353A">
        <w:t xml:space="preserve">będą stanowić doskonałe narzędzie </w:t>
      </w:r>
      <w:r w:rsidR="00E56367">
        <w:t>informacyjne</w:t>
      </w:r>
      <w:r w:rsidR="00C70711">
        <w:t xml:space="preserve"> </w:t>
      </w:r>
      <w:r w:rsidR="00771802">
        <w:t xml:space="preserve">w zakresie stanu i potrzeb </w:t>
      </w:r>
      <w:r w:rsidR="003E5BF8">
        <w:t xml:space="preserve">istniejących </w:t>
      </w:r>
      <w:r w:rsidR="00771802">
        <w:t>bud</w:t>
      </w:r>
      <w:r w:rsidR="003E5BF8">
        <w:t>ynków</w:t>
      </w:r>
      <w:r w:rsidR="00A03773">
        <w:t xml:space="preserve"> ogółem</w:t>
      </w:r>
      <w:r w:rsidR="00E56367">
        <w:t>.</w:t>
      </w:r>
      <w:r w:rsidR="00BF470A" w:rsidRPr="00BF470A">
        <w:t xml:space="preserve"> </w:t>
      </w:r>
    </w:p>
    <w:p w14:paraId="3FDD3DB6" w14:textId="77777777" w:rsidR="00F3711B" w:rsidRPr="00C46DAA" w:rsidRDefault="00F3711B" w:rsidP="00776F23">
      <w:pPr>
        <w:pStyle w:val="PaMs"/>
      </w:pPr>
      <w:r w:rsidRPr="00C46DAA">
        <w:t>DZIAŁANIA</w:t>
      </w:r>
    </w:p>
    <w:p w14:paraId="16C2335E" w14:textId="3EFC7DD7" w:rsidR="00287974" w:rsidRDefault="00287974" w:rsidP="000625AC">
      <w:pPr>
        <w:pStyle w:val="Akapitzlist"/>
        <w:numPr>
          <w:ilvl w:val="0"/>
          <w:numId w:val="121"/>
        </w:numPr>
      </w:pPr>
      <w:r w:rsidRPr="007E1DA7">
        <w:fldChar w:fldCharType="begin"/>
      </w:r>
      <w:r w:rsidRPr="007E1DA7">
        <w:instrText xml:space="preserve"> REF _Ref195884711 \h </w:instrText>
      </w:r>
      <w:r w:rsidR="007E1DA7">
        <w:instrText xml:space="preserve"> \* MERGEFORMAT </w:instrText>
      </w:r>
      <w:r w:rsidRPr="007E1DA7">
        <w:fldChar w:fldCharType="separate"/>
      </w:r>
      <w:r w:rsidR="00871DD5" w:rsidRPr="00871DD5">
        <w:rPr>
          <w:rStyle w:val="Nagwek6Znak"/>
          <w:rFonts w:ascii="Lato" w:hAnsi="Lato"/>
          <w:b w:val="0"/>
        </w:rPr>
        <w:t xml:space="preserve">Działanie </w:t>
      </w:r>
      <w:r w:rsidR="00871DD5" w:rsidRPr="00871DD5">
        <w:rPr>
          <w:lang w:eastAsia="pl-PL"/>
        </w:rPr>
        <w:t>103</w:t>
      </w:r>
      <w:r w:rsidR="00871DD5">
        <w:rPr>
          <w:lang w:eastAsia="pl-PL"/>
        </w:rPr>
        <w:t xml:space="preserve">. </w:t>
      </w:r>
      <w:r w:rsidR="00871DD5" w:rsidRPr="00077D7F">
        <w:rPr>
          <w:lang w:eastAsia="pl-PL"/>
        </w:rPr>
        <w:t>Instrument finansowy – Program Priorytetowy NFOŚiGW – „Moje ciepło”</w:t>
      </w:r>
      <w:r w:rsidRPr="007E1DA7">
        <w:fldChar w:fldCharType="end"/>
      </w:r>
      <w:r w:rsidRPr="007E1DA7">
        <w:t xml:space="preserve"> </w:t>
      </w:r>
    </w:p>
    <w:p w14:paraId="79A91BAB" w14:textId="5E7632E4" w:rsidR="00287974" w:rsidRDefault="00287974" w:rsidP="000625AC">
      <w:pPr>
        <w:pStyle w:val="Akapitzlist"/>
        <w:numPr>
          <w:ilvl w:val="0"/>
          <w:numId w:val="121"/>
        </w:numPr>
      </w:pPr>
      <w:r w:rsidRPr="007E1DA7">
        <w:fldChar w:fldCharType="begin"/>
      </w:r>
      <w:r w:rsidRPr="007E1DA7">
        <w:instrText xml:space="preserve"> REF _Ref195884714 \h </w:instrText>
      </w:r>
      <w:r w:rsidR="007E1DA7">
        <w:instrText xml:space="preserve"> \* MERGEFORMAT </w:instrText>
      </w:r>
      <w:r w:rsidRPr="007E1DA7">
        <w:fldChar w:fldCharType="separate"/>
      </w:r>
      <w:r w:rsidR="00871DD5" w:rsidRPr="00871DD5">
        <w:rPr>
          <w:rStyle w:val="Nagwek6Znak"/>
          <w:rFonts w:ascii="Lato" w:hAnsi="Lato"/>
          <w:b w:val="0"/>
        </w:rPr>
        <w:t xml:space="preserve">Działanie </w:t>
      </w:r>
      <w:r w:rsidR="00871DD5" w:rsidRPr="00871DD5">
        <w:rPr>
          <w:lang w:eastAsia="pl-PL"/>
        </w:rPr>
        <w:t>104</w:t>
      </w:r>
      <w:r w:rsidR="00871DD5">
        <w:rPr>
          <w:lang w:eastAsia="pl-PL"/>
        </w:rPr>
        <w:t xml:space="preserve">. </w:t>
      </w:r>
      <w:r w:rsidR="00871DD5" w:rsidRPr="00077D7F">
        <w:rPr>
          <w:lang w:eastAsia="pl-PL"/>
        </w:rPr>
        <w:t>Instrument finansowy – Program Priorytetowy NFOŚiGW – „Czyste Powietrze”</w:t>
      </w:r>
      <w:r w:rsidRPr="007E1DA7">
        <w:fldChar w:fldCharType="end"/>
      </w:r>
      <w:r w:rsidRPr="007E1DA7">
        <w:t xml:space="preserve"> </w:t>
      </w:r>
    </w:p>
    <w:p w14:paraId="1BB3D36F" w14:textId="6F862E48" w:rsidR="0033150C" w:rsidRPr="00B009A8" w:rsidRDefault="00287974" w:rsidP="000625AC">
      <w:pPr>
        <w:pStyle w:val="Akapitzlist"/>
        <w:numPr>
          <w:ilvl w:val="0"/>
          <w:numId w:val="121"/>
        </w:numPr>
      </w:pPr>
      <w:r w:rsidRPr="00B009A8">
        <w:fldChar w:fldCharType="begin"/>
      </w:r>
      <w:r w:rsidRPr="00B009A8">
        <w:instrText xml:space="preserve"> REF _Ref195884716 \h </w:instrText>
      </w:r>
      <w:r w:rsidR="007E1DA7" w:rsidRPr="00B009A8">
        <w:instrText xml:space="preserve"> \* MERGEFORMAT </w:instrText>
      </w:r>
      <w:r w:rsidRPr="00B009A8">
        <w:fldChar w:fldCharType="separate"/>
      </w:r>
      <w:r w:rsidR="00871DD5" w:rsidRPr="00871DD5">
        <w:rPr>
          <w:rStyle w:val="Nagwek6Znak"/>
          <w:rFonts w:ascii="Lato" w:hAnsi="Lato"/>
          <w:b w:val="0"/>
          <w:bCs/>
        </w:rPr>
        <w:t xml:space="preserve">Działanie </w:t>
      </w:r>
      <w:r w:rsidR="00871DD5" w:rsidRPr="00871DD5">
        <w:rPr>
          <w:lang w:eastAsia="pl-PL"/>
        </w:rPr>
        <w:t>105</w:t>
      </w:r>
      <w:r w:rsidR="00871DD5">
        <w:rPr>
          <w:lang w:eastAsia="pl-PL"/>
        </w:rPr>
        <w:t xml:space="preserve">. </w:t>
      </w:r>
      <w:r w:rsidR="00871DD5" w:rsidRPr="00077D7F">
        <w:rPr>
          <w:lang w:eastAsia="pl-PL"/>
        </w:rPr>
        <w:t>Instrument finansowy – Ulga podatkowa dotycząca wydatków poniesionych na termomodernizację jednorodzinnych budynków mieszkalnych (ulga termomodernizacyjna)</w:t>
      </w:r>
      <w:r w:rsidRPr="00B009A8">
        <w:fldChar w:fldCharType="end"/>
      </w:r>
      <w:r w:rsidRPr="00B009A8">
        <w:t xml:space="preserve"> </w:t>
      </w:r>
    </w:p>
    <w:p w14:paraId="21ABC6DF" w14:textId="2E31BDFD" w:rsidR="0033150C" w:rsidRPr="00B009A8" w:rsidRDefault="00287974" w:rsidP="000625AC">
      <w:pPr>
        <w:pStyle w:val="Akapitzlist"/>
        <w:numPr>
          <w:ilvl w:val="0"/>
          <w:numId w:val="121"/>
        </w:numPr>
        <w:rPr>
          <w:b/>
          <w:bCs/>
        </w:rPr>
      </w:pPr>
      <w:r w:rsidRPr="00B009A8">
        <w:rPr>
          <w:b/>
          <w:bCs/>
        </w:rPr>
        <w:fldChar w:fldCharType="begin"/>
      </w:r>
      <w:r w:rsidRPr="007E1DA7">
        <w:instrText xml:space="preserve"> REF _Ref195884719 \h </w:instrText>
      </w:r>
      <w:r w:rsidR="007E1DA7">
        <w:instrText xml:space="preserve"> \* MERGEFORMAT </w:instrText>
      </w:r>
      <w:r w:rsidRPr="00B009A8">
        <w:rPr>
          <w:b/>
          <w:bCs/>
        </w:rPr>
      </w:r>
      <w:r w:rsidRPr="00B009A8">
        <w:rPr>
          <w:b/>
          <w:bCs/>
        </w:rPr>
        <w:fldChar w:fldCharType="separate"/>
      </w:r>
      <w:r w:rsidR="00871DD5" w:rsidRPr="00871DD5">
        <w:rPr>
          <w:rStyle w:val="Nagwek6Znak"/>
          <w:rFonts w:ascii="Lato" w:hAnsi="Lato"/>
          <w:b w:val="0"/>
          <w:bCs/>
        </w:rPr>
        <w:t>Działanie 106. Instrument finansowy – Program TERMO, wsparcie poprawy efektywności energetycznej w budynkach wielorodzinnych</w:t>
      </w:r>
      <w:r w:rsidRPr="00B009A8">
        <w:rPr>
          <w:b/>
          <w:bCs/>
        </w:rPr>
        <w:fldChar w:fldCharType="end"/>
      </w:r>
      <w:r w:rsidR="0033150C" w:rsidRPr="00B009A8">
        <w:rPr>
          <w:b/>
          <w:bCs/>
        </w:rPr>
        <w:t xml:space="preserve"> </w:t>
      </w:r>
    </w:p>
    <w:p w14:paraId="1A2EB322" w14:textId="2CB21D27" w:rsidR="0033150C" w:rsidRDefault="00287974" w:rsidP="000625AC">
      <w:pPr>
        <w:pStyle w:val="Akapitzlist"/>
        <w:numPr>
          <w:ilvl w:val="0"/>
          <w:numId w:val="121"/>
        </w:numPr>
      </w:pPr>
      <w:r w:rsidRPr="007E1DA7">
        <w:fldChar w:fldCharType="begin"/>
      </w:r>
      <w:r w:rsidRPr="007E1DA7">
        <w:instrText xml:space="preserve"> REF _Ref195884721 \h </w:instrText>
      </w:r>
      <w:r w:rsidR="007E1DA7">
        <w:instrText xml:space="preserve"> \* MERGEFORMAT </w:instrText>
      </w:r>
      <w:r w:rsidRPr="007E1DA7">
        <w:fldChar w:fldCharType="separate"/>
      </w:r>
      <w:r w:rsidR="00871DD5" w:rsidRPr="00871DD5">
        <w:rPr>
          <w:rStyle w:val="Nagwek6Znak"/>
          <w:rFonts w:ascii="Lato" w:hAnsi="Lato"/>
          <w:b w:val="0"/>
        </w:rPr>
        <w:t xml:space="preserve">Działanie </w:t>
      </w:r>
      <w:r w:rsidR="00871DD5" w:rsidRPr="00871DD5">
        <w:t>107</w:t>
      </w:r>
      <w:r w:rsidR="00871DD5">
        <w:t xml:space="preserve">. </w:t>
      </w:r>
      <w:r w:rsidR="00871DD5" w:rsidRPr="00645B8D">
        <w:t>Instrument finansowy – Program Priorytetowy NFOŚiGW – „Modernizacja szkół”</w:t>
      </w:r>
      <w:r w:rsidRPr="007E1DA7">
        <w:fldChar w:fldCharType="end"/>
      </w:r>
      <w:r w:rsidR="0033150C" w:rsidRPr="007E1DA7">
        <w:t xml:space="preserve"> </w:t>
      </w:r>
    </w:p>
    <w:p w14:paraId="6538C7D5" w14:textId="3BE4E322" w:rsidR="0033150C" w:rsidRDefault="00287974" w:rsidP="000625AC">
      <w:pPr>
        <w:pStyle w:val="Akapitzlist"/>
        <w:numPr>
          <w:ilvl w:val="0"/>
          <w:numId w:val="121"/>
        </w:numPr>
      </w:pPr>
      <w:r w:rsidRPr="007E1DA7">
        <w:fldChar w:fldCharType="begin"/>
      </w:r>
      <w:r w:rsidRPr="007E1DA7">
        <w:instrText xml:space="preserve"> REF _Ref195884723 \h </w:instrText>
      </w:r>
      <w:r w:rsidR="007E1DA7">
        <w:instrText xml:space="preserve"> \* MERGEFORMAT </w:instrText>
      </w:r>
      <w:r w:rsidRPr="007E1DA7">
        <w:fldChar w:fldCharType="separate"/>
      </w:r>
      <w:r w:rsidR="00871DD5" w:rsidRPr="00871DD5">
        <w:rPr>
          <w:rStyle w:val="Nagwek6Znak"/>
          <w:rFonts w:ascii="Lato" w:hAnsi="Lato"/>
          <w:b w:val="0"/>
        </w:rPr>
        <w:t xml:space="preserve">Działanie </w:t>
      </w:r>
      <w:r w:rsidR="00871DD5" w:rsidRPr="00871DD5">
        <w:rPr>
          <w:lang w:eastAsia="pl-PL"/>
        </w:rPr>
        <w:t>108</w:t>
      </w:r>
      <w:r w:rsidR="00871DD5">
        <w:rPr>
          <w:lang w:eastAsia="pl-PL"/>
        </w:rPr>
        <w:t xml:space="preserve">. </w:t>
      </w:r>
      <w:r w:rsidR="00871DD5" w:rsidRPr="00077D7F">
        <w:rPr>
          <w:lang w:eastAsia="pl-PL"/>
        </w:rPr>
        <w:t>Instrument finansowy – Program Priorytetowy NFOŚiGW – „Modernizacja budynk</w:t>
      </w:r>
      <w:r w:rsidR="00871DD5">
        <w:rPr>
          <w:lang w:eastAsia="pl-PL"/>
        </w:rPr>
        <w:t>ów</w:t>
      </w:r>
      <w:r w:rsidR="00871DD5" w:rsidRPr="00077D7F">
        <w:rPr>
          <w:lang w:eastAsia="pl-PL"/>
        </w:rPr>
        <w:t xml:space="preserve"> użyteczności publicznej”</w:t>
      </w:r>
      <w:r w:rsidRPr="007E1DA7">
        <w:fldChar w:fldCharType="end"/>
      </w:r>
      <w:r w:rsidR="0033150C" w:rsidRPr="007E1DA7">
        <w:t xml:space="preserve"> </w:t>
      </w:r>
    </w:p>
    <w:p w14:paraId="071EEE55" w14:textId="33955DF7" w:rsidR="007E1DA7" w:rsidRDefault="00287974" w:rsidP="000625AC">
      <w:pPr>
        <w:pStyle w:val="Akapitzlist"/>
        <w:numPr>
          <w:ilvl w:val="0"/>
          <w:numId w:val="121"/>
        </w:numPr>
      </w:pPr>
      <w:r w:rsidRPr="007E1DA7">
        <w:fldChar w:fldCharType="begin"/>
      </w:r>
      <w:r w:rsidRPr="007E1DA7">
        <w:instrText xml:space="preserve"> REF _Ref195884727 \h </w:instrText>
      </w:r>
      <w:r w:rsidR="007E1DA7">
        <w:instrText xml:space="preserve"> \* MERGEFORMAT </w:instrText>
      </w:r>
      <w:r w:rsidRPr="007E1DA7">
        <w:fldChar w:fldCharType="separate"/>
      </w:r>
      <w:r w:rsidR="00871DD5" w:rsidRPr="00871DD5">
        <w:rPr>
          <w:rStyle w:val="Nagwek6Znak"/>
          <w:rFonts w:ascii="Lato" w:hAnsi="Lato"/>
          <w:b w:val="0"/>
        </w:rPr>
        <w:t xml:space="preserve">Działanie </w:t>
      </w:r>
      <w:r w:rsidR="00871DD5" w:rsidRPr="00871DD5">
        <w:t>109</w:t>
      </w:r>
      <w:r w:rsidR="00871DD5">
        <w:t xml:space="preserve">. </w:t>
      </w:r>
      <w:r w:rsidR="00871DD5" w:rsidRPr="00077D7F">
        <w:t>Program wsparcia mikroprzedsiębiorstw – efektywność energetyczna budynków</w:t>
      </w:r>
      <w:r w:rsidRPr="007E1DA7">
        <w:fldChar w:fldCharType="end"/>
      </w:r>
      <w:r w:rsidR="007E1DA7">
        <w:t xml:space="preserve"> </w:t>
      </w:r>
    </w:p>
    <w:p w14:paraId="1B86A44E" w14:textId="6B1E99EA" w:rsidR="0033150C" w:rsidRDefault="00287974" w:rsidP="000625AC">
      <w:pPr>
        <w:pStyle w:val="Akapitzlist"/>
        <w:numPr>
          <w:ilvl w:val="0"/>
          <w:numId w:val="121"/>
        </w:numPr>
      </w:pPr>
      <w:r w:rsidRPr="007E1DA7">
        <w:fldChar w:fldCharType="begin"/>
      </w:r>
      <w:r w:rsidRPr="007E1DA7">
        <w:instrText xml:space="preserve"> REF _Ref195884732 \h </w:instrText>
      </w:r>
      <w:r w:rsidR="007E1DA7">
        <w:instrText xml:space="preserve"> \* MERGEFORMAT </w:instrText>
      </w:r>
      <w:r w:rsidRPr="007E1DA7">
        <w:fldChar w:fldCharType="separate"/>
      </w:r>
      <w:r w:rsidR="00871DD5" w:rsidRPr="00871DD5">
        <w:rPr>
          <w:rStyle w:val="Nagwek6Znak"/>
          <w:rFonts w:ascii="Lato" w:hAnsi="Lato"/>
          <w:b w:val="0"/>
        </w:rPr>
        <w:t xml:space="preserve">Działanie </w:t>
      </w:r>
      <w:r w:rsidR="00871DD5" w:rsidRPr="00871DD5">
        <w:rPr>
          <w:rFonts w:eastAsia="Times New Roman" w:cs="Times New Roman"/>
          <w:color w:val="000000"/>
          <w:lang w:eastAsia="pl-PL"/>
        </w:rPr>
        <w:t xml:space="preserve">110. </w:t>
      </w:r>
      <w:r w:rsidR="00871DD5" w:rsidRPr="00077D7F">
        <w:rPr>
          <w:rFonts w:eastAsia="Times New Roman" w:cs="Times New Roman"/>
          <w:color w:val="000000"/>
          <w:lang w:eastAsia="pl-PL"/>
        </w:rPr>
        <w:t>Efektywny energetycznie sektor publiczny</w:t>
      </w:r>
      <w:r w:rsidRPr="007E1DA7">
        <w:fldChar w:fldCharType="end"/>
      </w:r>
      <w:r w:rsidR="0033150C" w:rsidRPr="007E1DA7">
        <w:t xml:space="preserve"> </w:t>
      </w:r>
    </w:p>
    <w:p w14:paraId="01EF431E" w14:textId="5D76832E" w:rsidR="007E1DA7" w:rsidRPr="007E1DA7" w:rsidRDefault="00287974" w:rsidP="000625AC">
      <w:pPr>
        <w:pStyle w:val="Akapitzlist"/>
        <w:numPr>
          <w:ilvl w:val="0"/>
          <w:numId w:val="121"/>
        </w:numPr>
      </w:pPr>
      <w:r w:rsidRPr="007E1DA7">
        <w:fldChar w:fldCharType="begin"/>
      </w:r>
      <w:r w:rsidRPr="007E1DA7">
        <w:instrText xml:space="preserve"> REF _Ref195884736 \h </w:instrText>
      </w:r>
      <w:r w:rsidR="007E1DA7">
        <w:instrText xml:space="preserve"> \* MERGEFORMAT </w:instrText>
      </w:r>
      <w:r w:rsidRPr="007E1DA7">
        <w:fldChar w:fldCharType="separate"/>
      </w:r>
      <w:r w:rsidR="00871DD5" w:rsidRPr="00871DD5">
        <w:rPr>
          <w:rStyle w:val="Nagwek6Znak"/>
          <w:rFonts w:ascii="Lato" w:hAnsi="Lato"/>
          <w:b w:val="0"/>
          <w:bCs/>
        </w:rPr>
        <w:t xml:space="preserve">Działanie </w:t>
      </w:r>
      <w:r w:rsidR="00871DD5" w:rsidRPr="00871DD5">
        <w:rPr>
          <w:lang w:eastAsia="pl-PL"/>
        </w:rPr>
        <w:t>111</w:t>
      </w:r>
      <w:r w:rsidR="00871DD5">
        <w:rPr>
          <w:lang w:eastAsia="pl-PL"/>
        </w:rPr>
        <w:t xml:space="preserve">. </w:t>
      </w:r>
      <w:r w:rsidR="00871DD5" w:rsidRPr="00351096">
        <w:rPr>
          <w:lang w:eastAsia="pl-PL"/>
        </w:rPr>
        <w:t>Wprowadzenie modelu oceny ofert w przetargach na budowę budynków użyteczności publicznych w oparciu o całkowity koszt cyklu życia (</w:t>
      </w:r>
      <w:r w:rsidR="00871DD5">
        <w:rPr>
          <w:lang w:eastAsia="pl-PL"/>
        </w:rPr>
        <w:t>LCC</w:t>
      </w:r>
      <w:r w:rsidR="00871DD5" w:rsidRPr="00351096">
        <w:rPr>
          <w:lang w:eastAsia="pl-PL"/>
        </w:rPr>
        <w:t>)</w:t>
      </w:r>
      <w:r w:rsidRPr="007E1DA7">
        <w:fldChar w:fldCharType="end"/>
      </w:r>
      <w:r w:rsidR="0033150C" w:rsidRPr="007E1DA7">
        <w:t xml:space="preserve"> </w:t>
      </w:r>
    </w:p>
    <w:p w14:paraId="016D1B7D" w14:textId="6985E4FE" w:rsidR="000853ED" w:rsidRPr="00EC589F" w:rsidRDefault="000853ED" w:rsidP="000625AC">
      <w:pPr>
        <w:pStyle w:val="Akapitzlist"/>
        <w:numPr>
          <w:ilvl w:val="0"/>
          <w:numId w:val="121"/>
        </w:numPr>
      </w:pPr>
      <w:r w:rsidRPr="00EC589F">
        <w:fldChar w:fldCharType="begin"/>
      </w:r>
      <w:r w:rsidRPr="00EC589F">
        <w:instrText xml:space="preserve"> REF _Ref195885229 \h  \* MERGEFORMAT </w:instrText>
      </w:r>
      <w:r w:rsidRPr="00EC589F">
        <w:fldChar w:fldCharType="separate"/>
      </w:r>
      <w:r w:rsidR="00871DD5" w:rsidRPr="00871DD5">
        <w:rPr>
          <w:rStyle w:val="Nagwek6Znak"/>
          <w:rFonts w:ascii="Lato" w:eastAsiaTheme="minorHAnsi" w:hAnsi="Lato" w:cstheme="minorBidi"/>
          <w:b w:val="0"/>
          <w:color w:val="auto"/>
        </w:rPr>
        <w:t xml:space="preserve">Działanie </w:t>
      </w:r>
      <w:r w:rsidR="00871DD5" w:rsidRPr="00871DD5">
        <w:t>113</w:t>
      </w:r>
      <w:r w:rsidR="00871DD5">
        <w:t xml:space="preserve">. </w:t>
      </w:r>
      <w:r w:rsidR="00871DD5" w:rsidRPr="00077D7F">
        <w:t xml:space="preserve">System oceny energetycznej </w:t>
      </w:r>
      <w:r w:rsidR="00871DD5" w:rsidRPr="00077D7F">
        <w:rPr>
          <w:lang w:eastAsia="pl-PL"/>
        </w:rPr>
        <w:t>budynków i systemów technicznych budynków</w:t>
      </w:r>
      <w:r w:rsidRPr="00EC589F">
        <w:fldChar w:fldCharType="end"/>
      </w:r>
    </w:p>
    <w:p w14:paraId="55639219" w14:textId="7CF12FD4" w:rsidR="00EC589F" w:rsidRPr="00EC589F" w:rsidRDefault="00EC589F" w:rsidP="000625AC">
      <w:pPr>
        <w:pStyle w:val="Akapitzlist"/>
        <w:numPr>
          <w:ilvl w:val="0"/>
          <w:numId w:val="121"/>
        </w:numPr>
      </w:pPr>
      <w:r w:rsidRPr="00EC589F">
        <w:fldChar w:fldCharType="begin"/>
      </w:r>
      <w:r w:rsidRPr="00EC589F">
        <w:instrText xml:space="preserve"> REF _Ref198287730 \h </w:instrText>
      </w:r>
      <w:r>
        <w:instrText xml:space="preserve"> \* MERGEFORMAT </w:instrText>
      </w:r>
      <w:r w:rsidRPr="00EC589F">
        <w:fldChar w:fldCharType="separate"/>
      </w:r>
      <w:r w:rsidR="00871DD5" w:rsidRPr="00871DD5">
        <w:rPr>
          <w:rStyle w:val="Nagwek6Znak"/>
          <w:rFonts w:ascii="Lato" w:hAnsi="Lato"/>
          <w:b w:val="0"/>
        </w:rPr>
        <w:t xml:space="preserve">Działanie </w:t>
      </w:r>
      <w:r w:rsidR="00871DD5" w:rsidRPr="00871DD5">
        <w:rPr>
          <w:bCs/>
        </w:rPr>
        <w:t>114. Efektywność energetyczna w budownictwie społecznym uwzględniającym potrzeby grup wrażliwych</w:t>
      </w:r>
      <w:r w:rsidRPr="00EC589F">
        <w:fldChar w:fldCharType="end"/>
      </w:r>
    </w:p>
    <w:p w14:paraId="2333487F" w14:textId="3CF7E471" w:rsidR="00652FF9" w:rsidRPr="00652FF9" w:rsidRDefault="00652FF9" w:rsidP="000625AC">
      <w:pPr>
        <w:pStyle w:val="Akapitzlist"/>
        <w:numPr>
          <w:ilvl w:val="0"/>
          <w:numId w:val="121"/>
        </w:numPr>
      </w:pPr>
      <w:r w:rsidRPr="00652FF9">
        <w:fldChar w:fldCharType="begin"/>
      </w:r>
      <w:r w:rsidRPr="00652FF9">
        <w:instrText xml:space="preserve"> REF _Ref195885467 \h </w:instrText>
      </w:r>
      <w:r>
        <w:instrText xml:space="preserve"> \* MERGEFORMAT </w:instrText>
      </w:r>
      <w:r w:rsidRPr="00652FF9">
        <w:fldChar w:fldCharType="separate"/>
      </w:r>
      <w:r w:rsidR="00871DD5" w:rsidRPr="00871DD5">
        <w:rPr>
          <w:rStyle w:val="Nagwek6Znak"/>
          <w:rFonts w:ascii="Lato" w:hAnsi="Lato"/>
          <w:b w:val="0"/>
        </w:rPr>
        <w:t xml:space="preserve">Działanie </w:t>
      </w:r>
      <w:r w:rsidR="00871DD5" w:rsidRPr="00871DD5">
        <w:rPr>
          <w:lang w:eastAsia="pl-PL"/>
        </w:rPr>
        <w:t xml:space="preserve">146. </w:t>
      </w:r>
      <w:r w:rsidR="00871DD5">
        <w:rPr>
          <w:lang w:eastAsia="pl-PL"/>
        </w:rPr>
        <w:t>Opracowanie i wdrażanie Planu Społeczno-Klimatycznego</w:t>
      </w:r>
      <w:r w:rsidRPr="00652FF9">
        <w:fldChar w:fldCharType="end"/>
      </w:r>
      <w:r w:rsidRPr="00652FF9">
        <w:t xml:space="preserve"> </w:t>
      </w:r>
    </w:p>
    <w:p w14:paraId="1F7E9DB4" w14:textId="312C9BC6" w:rsidR="000853ED" w:rsidRPr="007E1DA7" w:rsidRDefault="00652FF9" w:rsidP="000625AC">
      <w:pPr>
        <w:pStyle w:val="Akapitzlist"/>
        <w:numPr>
          <w:ilvl w:val="0"/>
          <w:numId w:val="121"/>
        </w:numPr>
      </w:pPr>
      <w:r w:rsidRPr="00652FF9">
        <w:fldChar w:fldCharType="begin"/>
      </w:r>
      <w:r w:rsidRPr="00652FF9">
        <w:instrText xml:space="preserve"> REF _Ref195885458 \h </w:instrText>
      </w:r>
      <w:r>
        <w:instrText xml:space="preserve"> \* MERGEFORMAT </w:instrText>
      </w:r>
      <w:r w:rsidRPr="00652FF9">
        <w:fldChar w:fldCharType="separate"/>
      </w:r>
      <w:r w:rsidR="00871DD5" w:rsidRPr="00871DD5">
        <w:rPr>
          <w:rStyle w:val="Nagwek6Znak"/>
          <w:rFonts w:ascii="Lato" w:hAnsi="Lato"/>
          <w:b w:val="0"/>
        </w:rPr>
        <w:t xml:space="preserve">Działanie </w:t>
      </w:r>
      <w:r w:rsidR="00871DD5" w:rsidRPr="00871DD5">
        <w:rPr>
          <w:lang w:eastAsia="pl-PL"/>
        </w:rPr>
        <w:t xml:space="preserve">143. </w:t>
      </w:r>
      <w:r w:rsidR="00871DD5" w:rsidRPr="004D6F82">
        <w:rPr>
          <w:lang w:eastAsia="pl-PL"/>
        </w:rPr>
        <w:t>Stworzenie Centrum Wsparcia Transformacji Energetycznej (CWTE)</w:t>
      </w:r>
      <w:r w:rsidRPr="00652FF9">
        <w:fldChar w:fldCharType="end"/>
      </w:r>
      <w:r w:rsidRPr="00652FF9">
        <w:t xml:space="preserve"> </w:t>
      </w:r>
    </w:p>
    <w:p w14:paraId="02A45B9F" w14:textId="090C47A0" w:rsidR="00054354" w:rsidRPr="00054354" w:rsidRDefault="00054354" w:rsidP="000625AC">
      <w:pPr>
        <w:pStyle w:val="Akapitzlist"/>
        <w:numPr>
          <w:ilvl w:val="0"/>
          <w:numId w:val="121"/>
        </w:numPr>
      </w:pPr>
      <w:r w:rsidRPr="00054354">
        <w:fldChar w:fldCharType="begin"/>
      </w:r>
      <w:r w:rsidRPr="00054354">
        <w:instrText xml:space="preserve"> REF _Ref195888395 \h  \* MERGEFORMAT </w:instrText>
      </w:r>
      <w:r w:rsidRPr="00054354">
        <w:fldChar w:fldCharType="separate"/>
      </w:r>
      <w:r w:rsidR="00871DD5" w:rsidRPr="00871DD5">
        <w:rPr>
          <w:rStyle w:val="Nagwek6Znak"/>
          <w:rFonts w:ascii="Lato" w:hAnsi="Lato"/>
          <w:b w:val="0"/>
        </w:rPr>
        <w:t xml:space="preserve">Działanie </w:t>
      </w:r>
      <w:r w:rsidR="00871DD5" w:rsidRPr="00871DD5">
        <w:rPr>
          <w:lang w:eastAsia="pl-PL"/>
        </w:rPr>
        <w:t xml:space="preserve">147. </w:t>
      </w:r>
      <w:r w:rsidR="00871DD5" w:rsidRPr="004D6F82">
        <w:rPr>
          <w:lang w:eastAsia="pl-PL"/>
        </w:rPr>
        <w:t>Redukowanie ubóstwa energetycznego oraz ochrona odbiorcy wrażliwego</w:t>
      </w:r>
      <w:r w:rsidRPr="00054354">
        <w:fldChar w:fldCharType="end"/>
      </w:r>
    </w:p>
    <w:p w14:paraId="3A235B0C" w14:textId="1360C516" w:rsidR="00054354" w:rsidRPr="00054354" w:rsidRDefault="00054354" w:rsidP="000625AC">
      <w:pPr>
        <w:pStyle w:val="Akapitzlist"/>
        <w:numPr>
          <w:ilvl w:val="0"/>
          <w:numId w:val="121"/>
        </w:numPr>
      </w:pPr>
      <w:r w:rsidRPr="00054354">
        <w:fldChar w:fldCharType="begin"/>
      </w:r>
      <w:r w:rsidRPr="00054354">
        <w:instrText xml:space="preserve"> REF _Ref195888349 \h  \* MERGEFORMAT </w:instrText>
      </w:r>
      <w:r w:rsidRPr="00054354">
        <w:fldChar w:fldCharType="separate"/>
      </w:r>
      <w:r w:rsidR="00871DD5" w:rsidRPr="00871DD5">
        <w:rPr>
          <w:rStyle w:val="Nagwek6Znak"/>
          <w:rFonts w:ascii="Lato" w:hAnsi="Lato"/>
          <w:b w:val="0"/>
        </w:rPr>
        <w:t xml:space="preserve">Działanie </w:t>
      </w:r>
      <w:r w:rsidR="00871DD5" w:rsidRPr="00871DD5">
        <w:rPr>
          <w:lang w:eastAsia="pl-PL"/>
        </w:rPr>
        <w:t xml:space="preserve">152. </w:t>
      </w:r>
      <w:r w:rsidR="00871DD5" w:rsidRPr="004D6F82">
        <w:rPr>
          <w:lang w:eastAsia="pl-PL"/>
        </w:rPr>
        <w:t>Budowanie świadomości w zakresie transformacji energetyczno-klimatycznej</w:t>
      </w:r>
      <w:r w:rsidRPr="00054354">
        <w:fldChar w:fldCharType="end"/>
      </w:r>
    </w:p>
    <w:p w14:paraId="3A342D15" w14:textId="3FB44F3D" w:rsidR="00524E26" w:rsidRPr="00524E26" w:rsidRDefault="003C534B" w:rsidP="00524E26">
      <w:pPr>
        <w:pStyle w:val="Nagwek4"/>
        <w:rPr>
          <w:color w:val="4472C4" w:themeColor="accent1"/>
        </w:rPr>
      </w:pPr>
      <w:bookmarkStart w:id="401" w:name="_Toc175321045"/>
      <w:bookmarkStart w:id="402" w:name="_Toc175479066"/>
      <w:bookmarkStart w:id="403" w:name="_Toc175494543"/>
      <w:bookmarkStart w:id="404" w:name="_Toc175518150"/>
      <w:bookmarkStart w:id="405" w:name="_Toc175571516"/>
      <w:bookmarkStart w:id="406" w:name="_Toc159598310"/>
      <w:bookmarkStart w:id="407" w:name="_Toc195897296"/>
      <w:bookmarkStart w:id="408" w:name="_Toc205203185"/>
      <w:bookmarkEnd w:id="401"/>
      <w:bookmarkEnd w:id="402"/>
      <w:bookmarkEnd w:id="403"/>
      <w:bookmarkEnd w:id="404"/>
      <w:bookmarkEnd w:id="405"/>
      <w:r>
        <w:rPr>
          <w:color w:val="4472C4" w:themeColor="accent1"/>
        </w:rPr>
        <w:lastRenderedPageBreak/>
        <w:t>N</w:t>
      </w:r>
      <w:r w:rsidR="00524E26" w:rsidRPr="00524E26">
        <w:rPr>
          <w:color w:val="4472C4" w:themeColor="accent1"/>
        </w:rPr>
        <w:t>owe bud</w:t>
      </w:r>
      <w:r>
        <w:rPr>
          <w:color w:val="4472C4" w:themeColor="accent1"/>
        </w:rPr>
        <w:t>ownictwo bez</w:t>
      </w:r>
      <w:r w:rsidR="004E7253">
        <w:rPr>
          <w:color w:val="4472C4" w:themeColor="accent1"/>
        </w:rPr>
        <w:t>e</w:t>
      </w:r>
      <w:r>
        <w:rPr>
          <w:color w:val="4472C4" w:themeColor="accent1"/>
        </w:rPr>
        <w:t>misyjne</w:t>
      </w:r>
      <w:bookmarkEnd w:id="406"/>
      <w:bookmarkEnd w:id="407"/>
      <w:bookmarkEnd w:id="408"/>
      <w:r w:rsidR="00524E26" w:rsidRPr="00524E26">
        <w:rPr>
          <w:color w:val="4472C4" w:themeColor="accent1"/>
        </w:rPr>
        <w:t xml:space="preserve"> </w:t>
      </w:r>
    </w:p>
    <w:p w14:paraId="34B0A664" w14:textId="61989EBA" w:rsidR="003C534B" w:rsidRDefault="003C534B" w:rsidP="0066255D">
      <w:r>
        <w:t xml:space="preserve">W ramach dotychczas obowiązującego podejścia wszystkie nowo powstałe budynki są </w:t>
      </w:r>
      <w:r w:rsidRPr="004F3075">
        <w:rPr>
          <w:b/>
          <w:bCs/>
        </w:rPr>
        <w:t>budynkami o</w:t>
      </w:r>
      <w:r w:rsidR="004F3075" w:rsidRPr="004F3075">
        <w:rPr>
          <w:b/>
          <w:bCs/>
        </w:rPr>
        <w:t> </w:t>
      </w:r>
      <w:r w:rsidR="0066255D">
        <w:rPr>
          <w:b/>
          <w:bCs/>
        </w:rPr>
        <w:t xml:space="preserve">niskim (lub </w:t>
      </w:r>
      <w:r w:rsidRPr="004F3075">
        <w:rPr>
          <w:b/>
          <w:bCs/>
        </w:rPr>
        <w:t>niemal zerowym</w:t>
      </w:r>
      <w:r w:rsidR="0066255D">
        <w:rPr>
          <w:b/>
          <w:bCs/>
        </w:rPr>
        <w:t xml:space="preserve">) </w:t>
      </w:r>
      <w:r w:rsidRPr="004F3075">
        <w:rPr>
          <w:b/>
          <w:bCs/>
        </w:rPr>
        <w:t>zużyciu energii</w:t>
      </w:r>
      <w:r>
        <w:t xml:space="preserve"> (</w:t>
      </w:r>
      <w:r w:rsidR="004F3075">
        <w:t xml:space="preserve">ang. </w:t>
      </w:r>
      <w:r w:rsidR="004F3075" w:rsidRPr="004F3075">
        <w:rPr>
          <w:i/>
          <w:iCs/>
        </w:rPr>
        <w:t>n</w:t>
      </w:r>
      <w:r w:rsidRPr="004F3075">
        <w:rPr>
          <w:i/>
          <w:iCs/>
        </w:rPr>
        <w:t xml:space="preserve">early </w:t>
      </w:r>
      <w:r w:rsidR="004F3075" w:rsidRPr="004F3075">
        <w:rPr>
          <w:i/>
          <w:iCs/>
        </w:rPr>
        <w:t>z</w:t>
      </w:r>
      <w:r w:rsidRPr="004F3075">
        <w:rPr>
          <w:i/>
          <w:iCs/>
        </w:rPr>
        <w:t xml:space="preserve">ero </w:t>
      </w:r>
      <w:r w:rsidR="004F3075" w:rsidRPr="004F3075">
        <w:rPr>
          <w:i/>
          <w:iCs/>
        </w:rPr>
        <w:t>e</w:t>
      </w:r>
      <w:r w:rsidRPr="004F3075">
        <w:rPr>
          <w:i/>
          <w:iCs/>
        </w:rPr>
        <w:t xml:space="preserve">nergy </w:t>
      </w:r>
      <w:r w:rsidR="004F3075" w:rsidRPr="004F3075">
        <w:rPr>
          <w:i/>
          <w:iCs/>
        </w:rPr>
        <w:t>b</w:t>
      </w:r>
      <w:r w:rsidRPr="004F3075">
        <w:rPr>
          <w:i/>
          <w:iCs/>
        </w:rPr>
        <w:t>uilding</w:t>
      </w:r>
      <w:r>
        <w:t>, NZEB)</w:t>
      </w:r>
      <w:r w:rsidR="00965CBF">
        <w:t>. NZEB</w:t>
      </w:r>
      <w:r w:rsidR="004F3075">
        <w:t xml:space="preserve"> </w:t>
      </w:r>
      <w:r>
        <w:t xml:space="preserve">to budynek </w:t>
      </w:r>
      <w:r w:rsidR="00803946">
        <w:t>spełnia</w:t>
      </w:r>
      <w:r w:rsidR="00BE60C8">
        <w:t>jący</w:t>
      </w:r>
      <w:r w:rsidR="00803946">
        <w:t xml:space="preserve"> określone </w:t>
      </w:r>
      <w:r w:rsidR="00BE773E">
        <w:t>wymogi związane z oszczędnością energii i izolacyjnością cieplną zawarte w</w:t>
      </w:r>
      <w:r w:rsidR="0040558D">
        <w:t> </w:t>
      </w:r>
      <w:r w:rsidR="00BE773E">
        <w:t>przepisach techniczno-budowlanych</w:t>
      </w:r>
      <w:r w:rsidR="00803946">
        <w:t>, które obowiązują dla budynków zajmowanych przez władze publiczne oraz będących ich własnością od 1 stycznia 2019 r.</w:t>
      </w:r>
      <w:r w:rsidR="00DD286A">
        <w:t xml:space="preserve">, a dla wszystkich pozostałych od </w:t>
      </w:r>
      <w:r w:rsidR="00652F9B">
        <w:t>31 grudnia 2020</w:t>
      </w:r>
      <w:r w:rsidR="00372054">
        <w:t> </w:t>
      </w:r>
      <w:r w:rsidR="00DD286A">
        <w:t>r</w:t>
      </w:r>
      <w:r w:rsidR="001B70EF">
        <w:t xml:space="preserve">. </w:t>
      </w:r>
    </w:p>
    <w:p w14:paraId="3609BBC4" w14:textId="3A41CFD1" w:rsidR="003C534B" w:rsidRDefault="00101743" w:rsidP="00A2500B">
      <w:pPr>
        <w:spacing w:before="360"/>
      </w:pPr>
      <w:bookmarkStart w:id="409" w:name="_Hlk159559396"/>
      <w:r>
        <w:t>D</w:t>
      </w:r>
      <w:r w:rsidR="003C534B">
        <w:t>yrektyw</w:t>
      </w:r>
      <w:r w:rsidR="000E668D">
        <w:t>a</w:t>
      </w:r>
      <w:r w:rsidR="003C534B">
        <w:t xml:space="preserve"> w sprawie charakterystyki energetycznej budynków (EPBD)</w:t>
      </w:r>
      <w:r w:rsidR="00DF11DC">
        <w:t xml:space="preserve"> </w:t>
      </w:r>
      <w:r>
        <w:t>wskazała, że</w:t>
      </w:r>
      <w:r w:rsidR="003C534B">
        <w:t xml:space="preserve"> </w:t>
      </w:r>
      <w:r w:rsidR="003C534B" w:rsidRPr="004F3075">
        <w:t>wszystkie nowe budynki będą</w:t>
      </w:r>
      <w:r w:rsidR="003C534B">
        <w:t xml:space="preserve"> musiały być wznoszone w jeszcze wyższym standardzie energetycznym, w ramach którego </w:t>
      </w:r>
      <w:r w:rsidR="004E7253" w:rsidRPr="004E7253">
        <w:rPr>
          <w:b/>
          <w:bCs/>
        </w:rPr>
        <w:t>od 20</w:t>
      </w:r>
      <w:r w:rsidR="004E7253">
        <w:rPr>
          <w:b/>
          <w:bCs/>
        </w:rPr>
        <w:t>30</w:t>
      </w:r>
      <w:r w:rsidR="004E7253" w:rsidRPr="004E7253">
        <w:rPr>
          <w:b/>
          <w:bCs/>
        </w:rPr>
        <w:t xml:space="preserve"> r.</w:t>
      </w:r>
      <w:r w:rsidR="004E7253">
        <w:t xml:space="preserve"> </w:t>
      </w:r>
      <w:r w:rsidR="003C534B" w:rsidRPr="004F3075">
        <w:rPr>
          <w:b/>
          <w:bCs/>
        </w:rPr>
        <w:t>wznoszone będą jedynie budynki bezemisyjne</w:t>
      </w:r>
      <w:r w:rsidR="004F3075">
        <w:t>.</w:t>
      </w:r>
      <w:bookmarkEnd w:id="409"/>
      <w:r w:rsidR="003E2DE5">
        <w:t xml:space="preserve"> </w:t>
      </w:r>
      <w:r w:rsidR="004F3075">
        <w:t>Z</w:t>
      </w:r>
      <w:r w:rsidR="003C534B">
        <w:t>godnie z</w:t>
      </w:r>
      <w:r w:rsidR="00E266FE">
        <w:t> </w:t>
      </w:r>
      <w:r w:rsidR="003C534B">
        <w:t xml:space="preserve">postanowieniami </w:t>
      </w:r>
      <w:r w:rsidR="004F3075">
        <w:t xml:space="preserve">nowej </w:t>
      </w:r>
      <w:r w:rsidR="003C534B">
        <w:t xml:space="preserve">dyrektywy </w:t>
      </w:r>
      <w:r w:rsidR="004F3075">
        <w:t xml:space="preserve">EPBD </w:t>
      </w:r>
      <w:r w:rsidR="00520563">
        <w:t xml:space="preserve">nowe budynki </w:t>
      </w:r>
      <w:r w:rsidR="004F3075">
        <w:t xml:space="preserve">będą </w:t>
      </w:r>
      <w:r w:rsidR="00C6121A">
        <w:rPr>
          <w:b/>
          <w:bCs/>
        </w:rPr>
        <w:t>o bardzo wysokiej charakterystyce energetycznej</w:t>
      </w:r>
      <w:r w:rsidR="009441AA">
        <w:rPr>
          <w:rStyle w:val="Odwoanieprzypisudolnego"/>
          <w:b/>
          <w:bCs/>
        </w:rPr>
        <w:footnoteReference w:id="87"/>
      </w:r>
      <w:r w:rsidR="00C6121A" w:rsidRPr="004F3075">
        <w:rPr>
          <w:b/>
          <w:bCs/>
        </w:rPr>
        <w:t xml:space="preserve"> lub wymagające </w:t>
      </w:r>
      <w:r w:rsidR="00C6121A">
        <w:rPr>
          <w:b/>
          <w:bCs/>
        </w:rPr>
        <w:t>zerowej lub bardzo</w:t>
      </w:r>
      <w:r w:rsidR="003C534B" w:rsidRPr="004F3075">
        <w:rPr>
          <w:b/>
          <w:bCs/>
        </w:rPr>
        <w:t xml:space="preserve"> małej ilości energii, niegenerującymi bezpośrednio na miejscu żadnych emisji </w:t>
      </w:r>
      <w:r w:rsidR="004F3075">
        <w:rPr>
          <w:b/>
          <w:bCs/>
        </w:rPr>
        <w:t>CO</w:t>
      </w:r>
      <w:r w:rsidR="004F3075" w:rsidRPr="004F3075">
        <w:rPr>
          <w:b/>
          <w:bCs/>
          <w:vertAlign w:val="subscript"/>
        </w:rPr>
        <w:t>2</w:t>
      </w:r>
      <w:r w:rsidR="003C534B" w:rsidRPr="004F3075">
        <w:rPr>
          <w:b/>
          <w:bCs/>
        </w:rPr>
        <w:t xml:space="preserve"> z paliw kopalnych i niegenerującymi żadnych operacyjnych emisji gazów cieplarnianych, lub generującymi bardzo małe ilości </w:t>
      </w:r>
      <w:r w:rsidR="004C1478" w:rsidRPr="004F3075">
        <w:rPr>
          <w:b/>
          <w:bCs/>
        </w:rPr>
        <w:t>operacyjn</w:t>
      </w:r>
      <w:r w:rsidR="004C1478">
        <w:rPr>
          <w:b/>
          <w:bCs/>
        </w:rPr>
        <w:t>e</w:t>
      </w:r>
      <w:r w:rsidR="004C1478" w:rsidRPr="004F3075">
        <w:rPr>
          <w:b/>
          <w:bCs/>
        </w:rPr>
        <w:t xml:space="preserve"> </w:t>
      </w:r>
      <w:r w:rsidR="003C534B" w:rsidRPr="004F3075">
        <w:rPr>
          <w:b/>
          <w:bCs/>
        </w:rPr>
        <w:t>takich emisji</w:t>
      </w:r>
      <w:r w:rsidR="003C534B">
        <w:t xml:space="preserve">. </w:t>
      </w:r>
      <w:r w:rsidR="005E4869">
        <w:t>Taki budynek powinien charakteryzować się niską wartością</w:t>
      </w:r>
      <w:r w:rsidR="005E4869" w:rsidRPr="004F3075">
        <w:rPr>
          <w:b/>
          <w:bCs/>
        </w:rPr>
        <w:t xml:space="preserve"> wskaźnika rocznego zapotrzebowania na energię pierwotną </w:t>
      </w:r>
      <w:r w:rsidR="005E4869">
        <w:rPr>
          <w:b/>
          <w:bCs/>
        </w:rPr>
        <w:t xml:space="preserve">i końcową </w:t>
      </w:r>
      <w:r w:rsidR="005E4869" w:rsidRPr="004F3075">
        <w:rPr>
          <w:b/>
          <w:bCs/>
        </w:rPr>
        <w:t xml:space="preserve">oraz </w:t>
      </w:r>
      <w:r w:rsidR="005E4869">
        <w:rPr>
          <w:b/>
          <w:bCs/>
        </w:rPr>
        <w:t>wysoką</w:t>
      </w:r>
      <w:r w:rsidR="005E4869" w:rsidRPr="004F3075">
        <w:rPr>
          <w:b/>
          <w:bCs/>
        </w:rPr>
        <w:t xml:space="preserve"> izolacyjności</w:t>
      </w:r>
      <w:r w:rsidR="005E4869">
        <w:rPr>
          <w:b/>
          <w:bCs/>
        </w:rPr>
        <w:t>ą</w:t>
      </w:r>
      <w:r w:rsidR="005E4869" w:rsidRPr="004F3075">
        <w:rPr>
          <w:b/>
          <w:bCs/>
        </w:rPr>
        <w:t xml:space="preserve"> ciepln</w:t>
      </w:r>
      <w:r w:rsidR="005E4869">
        <w:rPr>
          <w:b/>
          <w:bCs/>
        </w:rPr>
        <w:t>ą</w:t>
      </w:r>
      <w:r w:rsidR="005E4869" w:rsidRPr="004F3075">
        <w:rPr>
          <w:b/>
          <w:bCs/>
        </w:rPr>
        <w:t xml:space="preserve"> przegród budynku</w:t>
      </w:r>
      <w:r w:rsidR="005E4869">
        <w:rPr>
          <w:b/>
          <w:bCs/>
        </w:rPr>
        <w:t xml:space="preserve">. </w:t>
      </w:r>
      <w:r w:rsidR="003C534B">
        <w:t xml:space="preserve">Możliwe będzie to jedynie przy podłączaniu </w:t>
      </w:r>
      <w:r w:rsidR="00411BD8">
        <w:t>takich</w:t>
      </w:r>
      <w:r w:rsidR="003C534B">
        <w:t xml:space="preserve"> budynków do</w:t>
      </w:r>
      <w:r w:rsidR="00F96DE3">
        <w:t> </w:t>
      </w:r>
      <w:r w:rsidR="003C534B">
        <w:t xml:space="preserve">efektywnych energetycznie systemów ciepłowniczych lub </w:t>
      </w:r>
      <w:r w:rsidR="005025E0">
        <w:t>szerokiego</w:t>
      </w:r>
      <w:r w:rsidR="003C534B">
        <w:t xml:space="preserve"> wykorzystania OZE.</w:t>
      </w:r>
    </w:p>
    <w:p w14:paraId="2D3BE6FE" w14:textId="09CE6596" w:rsidR="003C534B" w:rsidRDefault="003C534B" w:rsidP="004D13B4">
      <w:r>
        <w:t xml:space="preserve">W </w:t>
      </w:r>
      <w:r w:rsidR="00DB230A">
        <w:t>celu popularyzacji</w:t>
      </w:r>
      <w:r>
        <w:t xml:space="preserve"> OZE, jako warunek podstawowy</w:t>
      </w:r>
      <w:r w:rsidR="004F3075">
        <w:t xml:space="preserve"> </w:t>
      </w:r>
      <w:r w:rsidR="007F505C">
        <w:t xml:space="preserve">wprowadzony </w:t>
      </w:r>
      <w:r w:rsidR="00013950">
        <w:t xml:space="preserve">musi zostać </w:t>
      </w:r>
      <w:r w:rsidR="007F505C">
        <w:t xml:space="preserve">obowiązek stosowania instalacji wykorzystujących energię słoneczną do zasilania budynków </w:t>
      </w:r>
      <w:r w:rsidR="00D73DD5">
        <w:t xml:space="preserve">(nieruchomości) </w:t>
      </w:r>
      <w:r w:rsidR="007F505C">
        <w:t xml:space="preserve">w energię </w:t>
      </w:r>
      <w:r w:rsidR="004F3075">
        <w:t>–</w:t>
      </w:r>
      <w:r>
        <w:t xml:space="preserve"> jeżeli jest to odpowiednie pod względem technicznym oraz wykonalne z ekonomicznego i</w:t>
      </w:r>
      <w:r w:rsidR="007F505C">
        <w:t xml:space="preserve"> </w:t>
      </w:r>
      <w:r w:rsidR="00C6121A">
        <w:t xml:space="preserve">technicznego </w:t>
      </w:r>
      <w:r>
        <w:t>punktu widzenia.</w:t>
      </w:r>
      <w:r w:rsidR="00C6121A">
        <w:t xml:space="preserve"> </w:t>
      </w:r>
      <w:r w:rsidR="00101743">
        <w:t>D</w:t>
      </w:r>
      <w:r w:rsidR="00C6121A">
        <w:t>yrektyw</w:t>
      </w:r>
      <w:r w:rsidR="00101743">
        <w:t>a</w:t>
      </w:r>
      <w:r w:rsidR="00C6121A">
        <w:t xml:space="preserve"> EPBD</w:t>
      </w:r>
      <w:r w:rsidR="00D8617B">
        <w:t xml:space="preserve"> </w:t>
      </w:r>
      <w:r w:rsidR="00101743">
        <w:t xml:space="preserve">określiła realizację tego obowiązku dla </w:t>
      </w:r>
      <w:r w:rsidR="00C80399">
        <w:t>różnych</w:t>
      </w:r>
      <w:r w:rsidR="00101743">
        <w:t xml:space="preserve"> typów budynków</w:t>
      </w:r>
      <w:r w:rsidR="00C80399">
        <w:t>, co</w:t>
      </w:r>
      <w:r w:rsidR="00F96DE3">
        <w:t> </w:t>
      </w:r>
      <w:r w:rsidR="00C80399">
        <w:t>przedstawia</w:t>
      </w:r>
      <w:r w:rsidR="00101743">
        <w:t xml:space="preserve"> tabela </w:t>
      </w:r>
      <w:r w:rsidR="000E668D">
        <w:t>p</w:t>
      </w:r>
      <w:r w:rsidR="004D13B4">
        <w:t>oniże</w:t>
      </w:r>
      <w:r w:rsidR="000E668D">
        <w:t>j</w:t>
      </w:r>
      <w:r w:rsidR="00101743">
        <w:t>.</w:t>
      </w:r>
      <w:r w:rsidR="003E2DE5">
        <w:t xml:space="preserve"> </w:t>
      </w:r>
    </w:p>
    <w:tbl>
      <w:tblPr>
        <w:tblStyle w:val="Tabela-Siatka"/>
        <w:tblW w:w="0" w:type="auto"/>
        <w:jc w:val="center"/>
        <w:tblCellMar>
          <w:top w:w="17" w:type="dxa"/>
          <w:left w:w="85" w:type="dxa"/>
          <w:bottom w:w="17" w:type="dxa"/>
          <w:right w:w="85" w:type="dxa"/>
        </w:tblCellMar>
        <w:tblLook w:val="04A0" w:firstRow="1" w:lastRow="0" w:firstColumn="1" w:lastColumn="0" w:noHBand="0" w:noVBand="1"/>
      </w:tblPr>
      <w:tblGrid>
        <w:gridCol w:w="1701"/>
        <w:gridCol w:w="1984"/>
        <w:gridCol w:w="1417"/>
        <w:gridCol w:w="1222"/>
      </w:tblGrid>
      <w:tr w:rsidR="004F2DFD" w:rsidRPr="001A03A5" w14:paraId="1619EC87" w14:textId="77777777" w:rsidTr="00AD2955">
        <w:trPr>
          <w:trHeight w:val="426"/>
          <w:jc w:val="center"/>
        </w:trPr>
        <w:tc>
          <w:tcPr>
            <w:tcW w:w="6324" w:type="dxa"/>
            <w:gridSpan w:val="4"/>
            <w:tcBorders>
              <w:top w:val="nil"/>
              <w:left w:val="nil"/>
              <w:bottom w:val="single" w:sz="4" w:space="0" w:color="A6A6A6" w:themeColor="background1" w:themeShade="A6"/>
              <w:right w:val="nil"/>
            </w:tcBorders>
            <w:vAlign w:val="center"/>
          </w:tcPr>
          <w:p w14:paraId="52A4C4AC" w14:textId="555CC8D7" w:rsidR="004F2DFD" w:rsidRPr="00F978EF" w:rsidRDefault="004F2DFD" w:rsidP="004D13B4">
            <w:pPr>
              <w:pStyle w:val="tyturys"/>
              <w:spacing w:before="120" w:after="120"/>
              <w:rPr>
                <w:sz w:val="20"/>
                <w:szCs w:val="20"/>
              </w:rPr>
            </w:pPr>
            <w:r w:rsidRPr="00F978EF">
              <w:rPr>
                <w:sz w:val="20"/>
                <w:szCs w:val="20"/>
              </w:rPr>
              <w:t>Obowiązk</w:t>
            </w:r>
            <w:r w:rsidR="00DD3499">
              <w:rPr>
                <w:sz w:val="20"/>
                <w:szCs w:val="20"/>
              </w:rPr>
              <w:t>i</w:t>
            </w:r>
            <w:r w:rsidRPr="00F978EF">
              <w:rPr>
                <w:sz w:val="20"/>
                <w:szCs w:val="20"/>
              </w:rPr>
              <w:t xml:space="preserve"> wyposażenia budynku w instalację słoneczn</w:t>
            </w:r>
            <w:r>
              <w:rPr>
                <w:sz w:val="20"/>
                <w:szCs w:val="20"/>
              </w:rPr>
              <w:t>ą</w:t>
            </w:r>
          </w:p>
        </w:tc>
      </w:tr>
      <w:tr w:rsidR="004F2DFD" w:rsidRPr="001A03A5" w14:paraId="07A5C480" w14:textId="77777777" w:rsidTr="00AD2955">
        <w:trPr>
          <w:trHeight w:val="437"/>
          <w:jc w:val="center"/>
        </w:trPr>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4C6E7" w:themeFill="accent1" w:themeFillTint="66"/>
            <w:vAlign w:val="center"/>
          </w:tcPr>
          <w:p w14:paraId="7B93BC0C" w14:textId="77777777" w:rsidR="004F2DFD" w:rsidRPr="007F505C" w:rsidRDefault="004F2DFD" w:rsidP="004D13B4">
            <w:pPr>
              <w:jc w:val="center"/>
              <w:rPr>
                <w:b/>
                <w:bCs/>
                <w:i/>
                <w:iCs/>
                <w:sz w:val="16"/>
                <w:szCs w:val="16"/>
              </w:rPr>
            </w:pPr>
            <w:r w:rsidRPr="007F505C">
              <w:rPr>
                <w:b/>
                <w:bCs/>
                <w:i/>
                <w:iCs/>
                <w:sz w:val="16"/>
                <w:szCs w:val="16"/>
              </w:rPr>
              <w:t>sektor</w:t>
            </w:r>
            <w:r>
              <w:rPr>
                <w:b/>
                <w:bCs/>
                <w:i/>
                <w:iCs/>
                <w:sz w:val="16"/>
                <w:szCs w:val="16"/>
              </w:rPr>
              <w:t xml:space="preserve"> / rodzaj nieruchomości</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4C6E7" w:themeFill="accent1" w:themeFillTint="66"/>
            <w:vAlign w:val="center"/>
          </w:tcPr>
          <w:p w14:paraId="6DA223B9" w14:textId="77777777" w:rsidR="004F2DFD" w:rsidRPr="007F505C" w:rsidRDefault="004F2DFD" w:rsidP="004D13B4">
            <w:pPr>
              <w:jc w:val="center"/>
              <w:rPr>
                <w:b/>
                <w:bCs/>
                <w:i/>
                <w:iCs/>
                <w:sz w:val="16"/>
                <w:szCs w:val="16"/>
              </w:rPr>
            </w:pPr>
            <w:r w:rsidRPr="007F505C">
              <w:rPr>
                <w:b/>
                <w:bCs/>
                <w:i/>
                <w:iCs/>
                <w:sz w:val="16"/>
                <w:szCs w:val="16"/>
              </w:rPr>
              <w:t>typ budynku</w:t>
            </w:r>
            <w:r>
              <w:rPr>
                <w:b/>
                <w:bCs/>
                <w:i/>
                <w:iCs/>
                <w:sz w:val="16"/>
                <w:szCs w:val="16"/>
              </w:rPr>
              <w:t xml:space="preserve"> / nieruchomości</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4C6E7" w:themeFill="accent1" w:themeFillTint="66"/>
            <w:vAlign w:val="center"/>
          </w:tcPr>
          <w:p w14:paraId="00416AB8" w14:textId="77777777" w:rsidR="004F2DFD" w:rsidRPr="007F505C" w:rsidRDefault="004F2DFD" w:rsidP="004D13B4">
            <w:pPr>
              <w:jc w:val="center"/>
              <w:rPr>
                <w:b/>
                <w:bCs/>
                <w:i/>
                <w:iCs/>
                <w:sz w:val="16"/>
                <w:szCs w:val="16"/>
              </w:rPr>
            </w:pPr>
            <w:r>
              <w:rPr>
                <w:b/>
                <w:bCs/>
                <w:i/>
                <w:iCs/>
                <w:sz w:val="16"/>
                <w:szCs w:val="16"/>
              </w:rPr>
              <w:t xml:space="preserve"> </w:t>
            </w:r>
            <w:r w:rsidRPr="007F505C">
              <w:rPr>
                <w:b/>
                <w:bCs/>
                <w:i/>
                <w:iCs/>
                <w:sz w:val="16"/>
                <w:szCs w:val="16"/>
              </w:rPr>
              <w:t>powierzchnia użytkowa</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4C6E7" w:themeFill="accent1" w:themeFillTint="66"/>
            <w:vAlign w:val="center"/>
          </w:tcPr>
          <w:p w14:paraId="68A7C7B8" w14:textId="77777777" w:rsidR="004F2DFD" w:rsidRPr="007F505C" w:rsidRDefault="004F2DFD" w:rsidP="004D13B4">
            <w:pPr>
              <w:jc w:val="center"/>
              <w:rPr>
                <w:b/>
                <w:bCs/>
                <w:i/>
                <w:iCs/>
                <w:sz w:val="16"/>
                <w:szCs w:val="16"/>
              </w:rPr>
            </w:pPr>
            <w:r w:rsidRPr="007F505C">
              <w:rPr>
                <w:b/>
                <w:bCs/>
                <w:i/>
                <w:iCs/>
                <w:sz w:val="16"/>
                <w:szCs w:val="16"/>
              </w:rPr>
              <w:t>pierwszy rok obowiązywania</w:t>
            </w:r>
          </w:p>
        </w:tc>
      </w:tr>
      <w:tr w:rsidR="004F2DFD" w:rsidRPr="001A03A5" w14:paraId="418DBE04" w14:textId="77777777" w:rsidTr="00AD2955">
        <w:trPr>
          <w:trHeight w:val="223"/>
          <w:jc w:val="center"/>
        </w:trPr>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701E84" w14:textId="77777777" w:rsidR="004F2DFD" w:rsidRPr="001A03A5" w:rsidRDefault="004F2DFD" w:rsidP="004D13B4">
            <w:pPr>
              <w:jc w:val="center"/>
              <w:rPr>
                <w:sz w:val="16"/>
                <w:szCs w:val="16"/>
              </w:rPr>
            </w:pPr>
            <w:r w:rsidRPr="001A03A5">
              <w:rPr>
                <w:sz w:val="16"/>
                <w:szCs w:val="16"/>
              </w:rPr>
              <w:t>publiczny</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4F9AC0" w14:textId="77777777" w:rsidR="004F2DFD" w:rsidRPr="001A03A5" w:rsidRDefault="004F2DFD" w:rsidP="004D13B4">
            <w:pPr>
              <w:jc w:val="center"/>
              <w:rPr>
                <w:sz w:val="16"/>
                <w:szCs w:val="16"/>
              </w:rPr>
            </w:pPr>
            <w:r w:rsidRPr="001A03A5">
              <w:rPr>
                <w:sz w:val="16"/>
                <w:szCs w:val="16"/>
              </w:rPr>
              <w:t>nowy</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F087B2" w14:textId="77777777" w:rsidR="004F2DFD" w:rsidRPr="001A03A5" w:rsidRDefault="004F2DFD" w:rsidP="004D13B4">
            <w:pPr>
              <w:jc w:val="center"/>
              <w:rPr>
                <w:sz w:val="16"/>
                <w:szCs w:val="16"/>
              </w:rPr>
            </w:pPr>
            <w:r>
              <w:rPr>
                <w:sz w:val="16"/>
                <w:szCs w:val="16"/>
              </w:rPr>
              <w:t xml:space="preserve">powyżej </w:t>
            </w:r>
            <w:r w:rsidRPr="001A03A5">
              <w:rPr>
                <w:sz w:val="16"/>
                <w:szCs w:val="16"/>
              </w:rPr>
              <w:t>250 m</w:t>
            </w:r>
            <w:r w:rsidRPr="001A03A5">
              <w:rPr>
                <w:sz w:val="16"/>
                <w:szCs w:val="16"/>
                <w:vertAlign w:val="superscript"/>
              </w:rPr>
              <w:t>2</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92B09A" w14:textId="77777777" w:rsidR="004F2DFD" w:rsidRPr="001A03A5" w:rsidRDefault="004F2DFD" w:rsidP="004D13B4">
            <w:pPr>
              <w:jc w:val="center"/>
              <w:rPr>
                <w:sz w:val="16"/>
                <w:szCs w:val="16"/>
              </w:rPr>
            </w:pPr>
            <w:r w:rsidRPr="001A03A5">
              <w:rPr>
                <w:sz w:val="16"/>
                <w:szCs w:val="16"/>
              </w:rPr>
              <w:t>2027</w:t>
            </w:r>
          </w:p>
        </w:tc>
      </w:tr>
      <w:tr w:rsidR="004F2DFD" w:rsidRPr="001A03A5" w14:paraId="09177DA6" w14:textId="77777777" w:rsidTr="00AD2955">
        <w:trPr>
          <w:trHeight w:val="146"/>
          <w:jc w:val="center"/>
        </w:trPr>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BF7086" w14:textId="77777777" w:rsidR="004F2DFD" w:rsidRPr="001A03A5" w:rsidRDefault="004F2DFD" w:rsidP="004D13B4">
            <w:pPr>
              <w:jc w:val="center"/>
              <w:rPr>
                <w:sz w:val="16"/>
                <w:szCs w:val="16"/>
              </w:rPr>
            </w:pPr>
          </w:p>
        </w:tc>
        <w:tc>
          <w:tcPr>
            <w:tcW w:w="198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4CB30C" w14:textId="77777777" w:rsidR="004F2DFD" w:rsidRPr="001A03A5" w:rsidRDefault="004F2DFD" w:rsidP="004D13B4">
            <w:pPr>
              <w:jc w:val="center"/>
              <w:rPr>
                <w:sz w:val="16"/>
                <w:szCs w:val="16"/>
              </w:rPr>
            </w:pPr>
            <w:r w:rsidRPr="001A03A5">
              <w:rPr>
                <w:sz w:val="16"/>
                <w:szCs w:val="16"/>
              </w:rPr>
              <w:t xml:space="preserve">istniejący </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7DC2A1" w14:textId="77777777" w:rsidR="004F2DFD" w:rsidRPr="001A03A5" w:rsidRDefault="004F2DFD" w:rsidP="004D13B4">
            <w:pPr>
              <w:jc w:val="center"/>
              <w:rPr>
                <w:sz w:val="16"/>
                <w:szCs w:val="16"/>
              </w:rPr>
            </w:pPr>
            <w:r>
              <w:rPr>
                <w:sz w:val="16"/>
                <w:szCs w:val="16"/>
              </w:rPr>
              <w:t xml:space="preserve">powyżej </w:t>
            </w:r>
            <w:r w:rsidRPr="001A03A5">
              <w:rPr>
                <w:sz w:val="16"/>
                <w:szCs w:val="16"/>
              </w:rPr>
              <w:t>2000 m</w:t>
            </w:r>
            <w:r w:rsidRPr="001A03A5">
              <w:rPr>
                <w:sz w:val="16"/>
                <w:szCs w:val="16"/>
                <w:vertAlign w:val="superscript"/>
              </w:rPr>
              <w:t>2</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A06A37" w14:textId="77777777" w:rsidR="004F2DFD" w:rsidRPr="001A03A5" w:rsidRDefault="004F2DFD" w:rsidP="004D13B4">
            <w:pPr>
              <w:jc w:val="center"/>
              <w:rPr>
                <w:sz w:val="16"/>
                <w:szCs w:val="16"/>
              </w:rPr>
            </w:pPr>
            <w:r w:rsidRPr="001A03A5">
              <w:rPr>
                <w:sz w:val="16"/>
                <w:szCs w:val="16"/>
              </w:rPr>
              <w:t>2028</w:t>
            </w:r>
          </w:p>
        </w:tc>
      </w:tr>
      <w:tr w:rsidR="004F2DFD" w:rsidRPr="001A03A5" w14:paraId="25B54F99" w14:textId="77777777" w:rsidTr="00AD2955">
        <w:trPr>
          <w:trHeight w:val="146"/>
          <w:jc w:val="center"/>
        </w:trPr>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3C0F96" w14:textId="77777777" w:rsidR="004F2DFD" w:rsidRPr="001A03A5" w:rsidRDefault="004F2DFD" w:rsidP="004D13B4">
            <w:pPr>
              <w:jc w:val="center"/>
              <w:rPr>
                <w:sz w:val="16"/>
                <w:szCs w:val="16"/>
              </w:rPr>
            </w:pPr>
          </w:p>
        </w:tc>
        <w:tc>
          <w:tcPr>
            <w:tcW w:w="198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2ED5DE" w14:textId="77777777" w:rsidR="004F2DFD" w:rsidRPr="001A03A5" w:rsidRDefault="004F2DFD" w:rsidP="004D13B4">
            <w:pPr>
              <w:jc w:val="center"/>
              <w:rPr>
                <w:sz w:val="16"/>
                <w:szCs w:val="16"/>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CF8076" w14:textId="77777777" w:rsidR="004F2DFD" w:rsidRPr="001A03A5" w:rsidRDefault="004F2DFD" w:rsidP="004D13B4">
            <w:pPr>
              <w:jc w:val="center"/>
              <w:rPr>
                <w:sz w:val="16"/>
                <w:szCs w:val="16"/>
              </w:rPr>
            </w:pPr>
            <w:r>
              <w:rPr>
                <w:sz w:val="16"/>
                <w:szCs w:val="16"/>
              </w:rPr>
              <w:t xml:space="preserve">powyżej </w:t>
            </w:r>
            <w:r w:rsidRPr="001A03A5">
              <w:rPr>
                <w:sz w:val="16"/>
                <w:szCs w:val="16"/>
              </w:rPr>
              <w:t>750 m</w:t>
            </w:r>
            <w:r w:rsidRPr="001A03A5">
              <w:rPr>
                <w:sz w:val="16"/>
                <w:szCs w:val="16"/>
                <w:vertAlign w:val="superscript"/>
              </w:rPr>
              <w:t>2</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800E67" w14:textId="77777777" w:rsidR="004F2DFD" w:rsidRPr="001A03A5" w:rsidRDefault="004F2DFD" w:rsidP="004D13B4">
            <w:pPr>
              <w:jc w:val="center"/>
              <w:rPr>
                <w:sz w:val="16"/>
                <w:szCs w:val="16"/>
              </w:rPr>
            </w:pPr>
            <w:r w:rsidRPr="001A03A5">
              <w:rPr>
                <w:sz w:val="16"/>
                <w:szCs w:val="16"/>
              </w:rPr>
              <w:t>2029</w:t>
            </w:r>
          </w:p>
        </w:tc>
      </w:tr>
      <w:tr w:rsidR="004F2DFD" w:rsidRPr="001A03A5" w14:paraId="5D98FDA9" w14:textId="77777777" w:rsidTr="00AD2955">
        <w:trPr>
          <w:trHeight w:val="146"/>
          <w:jc w:val="center"/>
        </w:trPr>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BB73AE" w14:textId="77777777" w:rsidR="004F2DFD" w:rsidRPr="001A03A5" w:rsidRDefault="004F2DFD" w:rsidP="004D13B4">
            <w:pPr>
              <w:jc w:val="center"/>
              <w:rPr>
                <w:sz w:val="16"/>
                <w:szCs w:val="16"/>
              </w:rPr>
            </w:pPr>
          </w:p>
        </w:tc>
        <w:tc>
          <w:tcPr>
            <w:tcW w:w="198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519E8C" w14:textId="77777777" w:rsidR="004F2DFD" w:rsidRPr="001A03A5" w:rsidRDefault="004F2DFD" w:rsidP="004D13B4">
            <w:pPr>
              <w:jc w:val="center"/>
              <w:rPr>
                <w:sz w:val="16"/>
                <w:szCs w:val="16"/>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3C2D83" w14:textId="77777777" w:rsidR="004F2DFD" w:rsidRPr="001A03A5" w:rsidRDefault="004F2DFD" w:rsidP="004D13B4">
            <w:pPr>
              <w:jc w:val="center"/>
              <w:rPr>
                <w:sz w:val="16"/>
                <w:szCs w:val="16"/>
              </w:rPr>
            </w:pPr>
            <w:r>
              <w:rPr>
                <w:sz w:val="16"/>
                <w:szCs w:val="16"/>
              </w:rPr>
              <w:t xml:space="preserve">powyżej </w:t>
            </w:r>
            <w:r w:rsidRPr="001A03A5">
              <w:rPr>
                <w:sz w:val="16"/>
                <w:szCs w:val="16"/>
              </w:rPr>
              <w:t>250 m</w:t>
            </w:r>
            <w:r w:rsidRPr="001A03A5">
              <w:rPr>
                <w:sz w:val="16"/>
                <w:szCs w:val="16"/>
                <w:vertAlign w:val="superscript"/>
              </w:rPr>
              <w:t>2</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AACD76" w14:textId="77777777" w:rsidR="004F2DFD" w:rsidRPr="001A03A5" w:rsidRDefault="004F2DFD" w:rsidP="004D13B4">
            <w:pPr>
              <w:jc w:val="center"/>
              <w:rPr>
                <w:sz w:val="16"/>
                <w:szCs w:val="16"/>
              </w:rPr>
            </w:pPr>
            <w:r w:rsidRPr="001A03A5">
              <w:rPr>
                <w:sz w:val="16"/>
                <w:szCs w:val="16"/>
              </w:rPr>
              <w:t>2031</w:t>
            </w:r>
          </w:p>
        </w:tc>
      </w:tr>
      <w:tr w:rsidR="004F2DFD" w:rsidRPr="001A03A5" w14:paraId="39B758A0" w14:textId="77777777" w:rsidTr="00AD2955">
        <w:trPr>
          <w:trHeight w:val="212"/>
          <w:jc w:val="center"/>
        </w:trPr>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481569" w14:textId="77777777" w:rsidR="004F2DFD" w:rsidRPr="001A03A5" w:rsidRDefault="004F2DFD" w:rsidP="004D13B4">
            <w:pPr>
              <w:jc w:val="center"/>
              <w:rPr>
                <w:sz w:val="16"/>
                <w:szCs w:val="16"/>
              </w:rPr>
            </w:pPr>
            <w:r w:rsidRPr="001A03A5">
              <w:rPr>
                <w:sz w:val="16"/>
                <w:szCs w:val="16"/>
              </w:rPr>
              <w:t>komercyjny</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6A2EE4" w14:textId="77777777" w:rsidR="004F2DFD" w:rsidRPr="001A03A5" w:rsidRDefault="004F2DFD" w:rsidP="004D13B4">
            <w:pPr>
              <w:jc w:val="center"/>
              <w:rPr>
                <w:sz w:val="16"/>
                <w:szCs w:val="16"/>
              </w:rPr>
            </w:pPr>
            <w:r w:rsidRPr="001A03A5">
              <w:rPr>
                <w:sz w:val="16"/>
                <w:szCs w:val="16"/>
              </w:rPr>
              <w:t>nowy</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95C12F" w14:textId="77777777" w:rsidR="004F2DFD" w:rsidRPr="001A03A5" w:rsidRDefault="004F2DFD" w:rsidP="004D13B4">
            <w:pPr>
              <w:jc w:val="center"/>
              <w:rPr>
                <w:sz w:val="16"/>
                <w:szCs w:val="16"/>
              </w:rPr>
            </w:pPr>
            <w:r>
              <w:rPr>
                <w:sz w:val="16"/>
                <w:szCs w:val="16"/>
              </w:rPr>
              <w:t xml:space="preserve">powyżej </w:t>
            </w:r>
            <w:r w:rsidRPr="001A03A5">
              <w:rPr>
                <w:sz w:val="16"/>
                <w:szCs w:val="16"/>
              </w:rPr>
              <w:t>250 m</w:t>
            </w:r>
            <w:r w:rsidRPr="001A03A5">
              <w:rPr>
                <w:sz w:val="16"/>
                <w:szCs w:val="16"/>
                <w:vertAlign w:val="superscript"/>
              </w:rPr>
              <w:t>2</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21188B" w14:textId="77777777" w:rsidR="004F2DFD" w:rsidRPr="001A03A5" w:rsidRDefault="004F2DFD" w:rsidP="004D13B4">
            <w:pPr>
              <w:jc w:val="center"/>
              <w:rPr>
                <w:sz w:val="16"/>
                <w:szCs w:val="16"/>
              </w:rPr>
            </w:pPr>
            <w:r w:rsidRPr="001A03A5">
              <w:rPr>
                <w:sz w:val="16"/>
                <w:szCs w:val="16"/>
              </w:rPr>
              <w:t>2027</w:t>
            </w:r>
          </w:p>
        </w:tc>
      </w:tr>
      <w:tr w:rsidR="004F2DFD" w:rsidRPr="001A03A5" w14:paraId="1EA706BF" w14:textId="77777777" w:rsidTr="00AD2955">
        <w:trPr>
          <w:trHeight w:val="437"/>
          <w:jc w:val="center"/>
        </w:trPr>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CFBA95" w14:textId="77777777" w:rsidR="004F2DFD" w:rsidRPr="001A03A5" w:rsidRDefault="004F2DFD" w:rsidP="004D13B4">
            <w:pPr>
              <w:jc w:val="center"/>
              <w:rPr>
                <w:sz w:val="16"/>
                <w:szCs w:val="16"/>
              </w:rPr>
            </w:pP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35B268" w14:textId="77777777" w:rsidR="004F2DFD" w:rsidRPr="001A03A5" w:rsidRDefault="004F2DFD" w:rsidP="004D13B4">
            <w:pPr>
              <w:jc w:val="center"/>
              <w:rPr>
                <w:sz w:val="16"/>
                <w:szCs w:val="16"/>
              </w:rPr>
            </w:pPr>
            <w:r w:rsidRPr="001A03A5">
              <w:rPr>
                <w:sz w:val="16"/>
                <w:szCs w:val="16"/>
              </w:rPr>
              <w:t>istniejący, przechodzący gruntown</w:t>
            </w:r>
            <w:r>
              <w:rPr>
                <w:sz w:val="16"/>
                <w:szCs w:val="16"/>
              </w:rPr>
              <w:t>ą</w:t>
            </w:r>
            <w:r w:rsidRPr="001A03A5">
              <w:rPr>
                <w:sz w:val="16"/>
                <w:szCs w:val="16"/>
              </w:rPr>
              <w:t xml:space="preserve"> modernizację</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0A162C" w14:textId="77777777" w:rsidR="004F2DFD" w:rsidRPr="001A03A5" w:rsidRDefault="004F2DFD" w:rsidP="004D13B4">
            <w:pPr>
              <w:jc w:val="center"/>
              <w:rPr>
                <w:sz w:val="16"/>
                <w:szCs w:val="16"/>
              </w:rPr>
            </w:pPr>
            <w:r>
              <w:rPr>
                <w:sz w:val="16"/>
                <w:szCs w:val="16"/>
              </w:rPr>
              <w:t xml:space="preserve">powyżej </w:t>
            </w:r>
            <w:r w:rsidRPr="001A03A5">
              <w:rPr>
                <w:sz w:val="16"/>
                <w:szCs w:val="16"/>
              </w:rPr>
              <w:t>500 m</w:t>
            </w:r>
            <w:r w:rsidRPr="001A03A5">
              <w:rPr>
                <w:sz w:val="16"/>
                <w:szCs w:val="16"/>
                <w:vertAlign w:val="superscript"/>
              </w:rPr>
              <w:t>2</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018062" w14:textId="77777777" w:rsidR="004F2DFD" w:rsidRPr="001A03A5" w:rsidRDefault="004F2DFD" w:rsidP="004D13B4">
            <w:pPr>
              <w:jc w:val="center"/>
              <w:rPr>
                <w:sz w:val="16"/>
                <w:szCs w:val="16"/>
              </w:rPr>
            </w:pPr>
            <w:r w:rsidRPr="001A03A5">
              <w:rPr>
                <w:sz w:val="16"/>
                <w:szCs w:val="16"/>
              </w:rPr>
              <w:t>2028</w:t>
            </w:r>
          </w:p>
        </w:tc>
      </w:tr>
      <w:tr w:rsidR="004F2DFD" w:rsidRPr="001A03A5" w14:paraId="565B45FC" w14:textId="77777777" w:rsidTr="00AD2955">
        <w:trPr>
          <w:trHeight w:val="223"/>
          <w:jc w:val="center"/>
        </w:trPr>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BA8A62" w14:textId="77777777" w:rsidR="004F2DFD" w:rsidRPr="001A03A5" w:rsidRDefault="004F2DFD" w:rsidP="004D13B4">
            <w:pPr>
              <w:jc w:val="center"/>
              <w:rPr>
                <w:sz w:val="16"/>
                <w:szCs w:val="16"/>
              </w:rPr>
            </w:pPr>
            <w:r w:rsidRPr="001A03A5">
              <w:rPr>
                <w:sz w:val="16"/>
                <w:szCs w:val="16"/>
              </w:rPr>
              <w:t>budynek mieszkalny</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5B7F88" w14:textId="77777777" w:rsidR="004F2DFD" w:rsidRPr="001A03A5" w:rsidRDefault="004F2DFD" w:rsidP="004D13B4">
            <w:pPr>
              <w:jc w:val="center"/>
              <w:rPr>
                <w:sz w:val="16"/>
                <w:szCs w:val="16"/>
              </w:rPr>
            </w:pPr>
            <w:r w:rsidRPr="001A03A5">
              <w:rPr>
                <w:sz w:val="16"/>
                <w:szCs w:val="16"/>
              </w:rPr>
              <w:t>nowy</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386B83" w14:textId="77777777" w:rsidR="004F2DFD" w:rsidRPr="001A03A5" w:rsidRDefault="004F2DFD" w:rsidP="004D13B4">
            <w:pPr>
              <w:jc w:val="center"/>
              <w:rPr>
                <w:sz w:val="16"/>
                <w:szCs w:val="16"/>
              </w:rPr>
            </w:pPr>
            <w:r>
              <w:rPr>
                <w:sz w:val="16"/>
                <w:szCs w:val="16"/>
              </w:rPr>
              <w:t>wszystkie</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8131AA" w14:textId="77777777" w:rsidR="004F2DFD" w:rsidRPr="001A03A5" w:rsidRDefault="004F2DFD" w:rsidP="004D13B4">
            <w:pPr>
              <w:jc w:val="center"/>
              <w:rPr>
                <w:sz w:val="16"/>
                <w:szCs w:val="16"/>
              </w:rPr>
            </w:pPr>
            <w:r w:rsidRPr="001A03A5">
              <w:rPr>
                <w:sz w:val="16"/>
                <w:szCs w:val="16"/>
              </w:rPr>
              <w:t>2030</w:t>
            </w:r>
          </w:p>
        </w:tc>
      </w:tr>
      <w:tr w:rsidR="004F2DFD" w:rsidRPr="001A03A5" w14:paraId="693D97B3" w14:textId="77777777" w:rsidTr="00AD2955">
        <w:trPr>
          <w:trHeight w:val="223"/>
          <w:jc w:val="center"/>
        </w:trPr>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98BEE0" w14:textId="77777777" w:rsidR="004F2DFD" w:rsidRPr="001A03A5" w:rsidRDefault="004F2DFD" w:rsidP="004D13B4">
            <w:pPr>
              <w:jc w:val="center"/>
              <w:rPr>
                <w:sz w:val="16"/>
                <w:szCs w:val="16"/>
              </w:rPr>
            </w:pPr>
            <w:r w:rsidRPr="001A03A5">
              <w:rPr>
                <w:sz w:val="16"/>
                <w:szCs w:val="16"/>
              </w:rPr>
              <w:t>parking</w:t>
            </w:r>
            <w:r>
              <w:rPr>
                <w:sz w:val="16"/>
                <w:szCs w:val="16"/>
              </w:rPr>
              <w:t xml:space="preserve"> przylegający do budynku</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DF4130" w14:textId="77777777" w:rsidR="004F2DFD" w:rsidRPr="001A03A5" w:rsidRDefault="004F2DFD" w:rsidP="004D13B4">
            <w:pPr>
              <w:jc w:val="center"/>
              <w:rPr>
                <w:sz w:val="16"/>
                <w:szCs w:val="16"/>
              </w:rPr>
            </w:pPr>
            <w:r w:rsidRPr="001A03A5">
              <w:rPr>
                <w:sz w:val="16"/>
                <w:szCs w:val="16"/>
              </w:rPr>
              <w:t>nowy</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D48F8E" w14:textId="20D752A6" w:rsidR="004F2DFD" w:rsidRPr="001A03A5" w:rsidRDefault="00C1033C" w:rsidP="004D13B4">
            <w:pPr>
              <w:jc w:val="center"/>
              <w:rPr>
                <w:sz w:val="16"/>
                <w:szCs w:val="16"/>
              </w:rPr>
            </w:pPr>
            <w:r>
              <w:rPr>
                <w:sz w:val="16"/>
                <w:szCs w:val="16"/>
              </w:rPr>
              <w:t>–</w:t>
            </w:r>
          </w:p>
        </w:tc>
        <w:tc>
          <w:tcPr>
            <w:tcW w:w="12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93E824" w14:textId="77777777" w:rsidR="004F2DFD" w:rsidRPr="001A03A5" w:rsidRDefault="004F2DFD" w:rsidP="004D13B4">
            <w:pPr>
              <w:jc w:val="center"/>
              <w:rPr>
                <w:sz w:val="16"/>
                <w:szCs w:val="16"/>
              </w:rPr>
            </w:pPr>
            <w:r w:rsidRPr="001A03A5">
              <w:rPr>
                <w:sz w:val="16"/>
                <w:szCs w:val="16"/>
              </w:rPr>
              <w:t>2030</w:t>
            </w:r>
          </w:p>
        </w:tc>
      </w:tr>
    </w:tbl>
    <w:p w14:paraId="12750173" w14:textId="77777777" w:rsidR="00F978EF" w:rsidRDefault="00F978EF" w:rsidP="003C534B"/>
    <w:p w14:paraId="440ABAB9" w14:textId="1CBC9B60" w:rsidR="00F3711B" w:rsidRPr="00B377B2" w:rsidRDefault="004E7253" w:rsidP="00F3711B">
      <w:pPr>
        <w:pStyle w:val="Cele"/>
      </w:pPr>
      <w:r w:rsidRPr="00D73323">
        <w:rPr>
          <w:b/>
          <w:bCs/>
        </w:rPr>
        <w:t>Cel</w:t>
      </w:r>
      <w:r w:rsidRPr="003C534B">
        <w:rPr>
          <w:b/>
          <w:bCs/>
        </w:rPr>
        <w:t>em</w:t>
      </w:r>
      <w:r>
        <w:rPr>
          <w:b/>
          <w:bCs/>
        </w:rPr>
        <w:t xml:space="preserve"> w zakresie zapotrzebowania na energię przez nowe budynki jest zapewnienie, aby od 1 stycznia 2030 r. wszystkie nowe budynki budowane w Polsce były bezemisyjne</w:t>
      </w:r>
      <w:r w:rsidRPr="004E7253">
        <w:t xml:space="preserve">, a w przypadku budynków zajmowanych przez urzędy organów publicznych </w:t>
      </w:r>
      <w:r w:rsidR="00AD2955">
        <w:t xml:space="preserve">– </w:t>
      </w:r>
      <w:r w:rsidRPr="004E7253">
        <w:t>od 1 stycznia 2028 r.</w:t>
      </w:r>
    </w:p>
    <w:p w14:paraId="18CA138F" w14:textId="77777777" w:rsidR="00F3711B" w:rsidRDefault="00F3711B" w:rsidP="004E7253">
      <w:pPr>
        <w:pStyle w:val="PaMs"/>
      </w:pPr>
      <w:r w:rsidRPr="00C46DAA">
        <w:lastRenderedPageBreak/>
        <w:t>POLITYKA</w:t>
      </w:r>
    </w:p>
    <w:p w14:paraId="5CBB3BDC" w14:textId="4E1BEB1B" w:rsidR="002C4E90" w:rsidRDefault="002C4E90" w:rsidP="000B7A79">
      <w:r>
        <w:t>Potrzeba redukcji zużycia energii w budynkach, a tym samym obniżenie kosztów ich powodują, że</w:t>
      </w:r>
      <w:r w:rsidR="00F96DE3">
        <w:t> </w:t>
      </w:r>
      <w:r>
        <w:t xml:space="preserve">stopniowo zwiększane są </w:t>
      </w:r>
      <w:r w:rsidR="00F46336">
        <w:t>wymagania</w:t>
      </w:r>
      <w:r>
        <w:t xml:space="preserve">, które muszą spełniać nowe budynki. Od początku 2030 r. nowe budynki będą musiały spełniać </w:t>
      </w:r>
      <w:r w:rsidR="00F46336" w:rsidRPr="002C4E90">
        <w:rPr>
          <w:b/>
          <w:bCs/>
        </w:rPr>
        <w:t>warunki techniczne</w:t>
      </w:r>
      <w:r w:rsidR="00F46336">
        <w:t xml:space="preserve"> właściwe dla </w:t>
      </w:r>
      <w:r w:rsidRPr="00F46336">
        <w:t>statusu</w:t>
      </w:r>
      <w:r w:rsidRPr="00F46336">
        <w:rPr>
          <w:b/>
          <w:bCs/>
          <w:i/>
          <w:iCs/>
        </w:rPr>
        <w:t xml:space="preserve"> budynku bezemisyjnego</w:t>
      </w:r>
      <w:r w:rsidR="00F46336">
        <w:t>.</w:t>
      </w:r>
      <w:r w:rsidR="003E2DE5">
        <w:t xml:space="preserve"> </w:t>
      </w:r>
    </w:p>
    <w:p w14:paraId="5F277A45" w14:textId="0B12F861" w:rsidR="000B7A79" w:rsidRDefault="00F46336" w:rsidP="000B7A79">
      <w:r>
        <w:t>Z tego względu planowana jest</w:t>
      </w:r>
      <w:r w:rsidR="000B7A79">
        <w:t xml:space="preserve"> analiza/przegląd obowiązujących przepisów techniczno-budowlanych w obszarze efektywności energetycznej. W pierwszej kolejności zweryfikowane zostanie </w:t>
      </w:r>
      <w:r w:rsidR="000B7A79" w:rsidRPr="000B7A79">
        <w:rPr>
          <w:b/>
          <w:bCs/>
        </w:rPr>
        <w:t>czy wymagania określone w przepisach właściwie uwzględniają poziom rozwoju techniki w sektorze budowlanym</w:t>
      </w:r>
      <w:r w:rsidR="000B7A79">
        <w:rPr>
          <w:b/>
          <w:bCs/>
        </w:rPr>
        <w:t>.</w:t>
      </w:r>
      <w:r w:rsidR="000B7A79">
        <w:t xml:space="preserve"> Niezbędne będzie określenie czy powszechnie dostępne wyroby budowlane, urządzenia oraz stosowane technologie, pozwalają spełnić wymagania stawiane w przepisach lub pozwalają te wymagania zaostrzyć. Analiza wyznaczy kierunek działań w obszarze ewentualnych działań wspierających w obszarze stosowania wysokoefektywnych rozwiązań techniczno-instalacyjnych, wyrobów budowlanych itp.</w:t>
      </w:r>
    </w:p>
    <w:p w14:paraId="088A829C" w14:textId="407EEC13" w:rsidR="000B7A79" w:rsidRDefault="000B7A79" w:rsidP="000B7A79">
      <w:r>
        <w:t>Niezbędna będzie ocena w obszarze potrzeb wsparcia rozwoju, zastosowania i upowszechnienia tych nowatorskich rozwiązań, które ze względu na swą początkową fazę istnienia, są szczególnie drogie w zastosowaniu.</w:t>
      </w:r>
    </w:p>
    <w:p w14:paraId="51E96BAA" w14:textId="20174CD1" w:rsidR="00F46336" w:rsidRDefault="000B7A79" w:rsidP="00F46336">
      <w:r>
        <w:t xml:space="preserve">Działania wspierające będą koncentrować się nie tylko na ewentualnych celowanych programach pomocowych czy preferencyjnych źródłach finansowania – ale również na </w:t>
      </w:r>
      <w:r w:rsidRPr="000B7A79">
        <w:rPr>
          <w:b/>
          <w:bCs/>
        </w:rPr>
        <w:t>zwiększeniu podaży wykwalifikowanych ekspertów, dofinansowaniu prac badawczych.</w:t>
      </w:r>
      <w:r w:rsidR="00F46336" w:rsidRPr="00F46336">
        <w:t xml:space="preserve"> </w:t>
      </w:r>
    </w:p>
    <w:p w14:paraId="6C185832" w14:textId="6725FDE4" w:rsidR="00F46336" w:rsidRDefault="00F46336" w:rsidP="00F46336">
      <w:r>
        <w:t>Konieczność prowadzenia racjonalnej i efektywnej polityki mieszkaniowej, jak również nadal występujący niedobór lokali mieszkalnych, w dostępnych dla społeczeństwa cenach, powoduje, że podejmowane będą działania, które odciążą społeczeństwo Polski w tym obszarze.</w:t>
      </w:r>
    </w:p>
    <w:p w14:paraId="1A290AF4" w14:textId="77777777" w:rsidR="00F3711B" w:rsidRPr="00C46DAA" w:rsidRDefault="00F3711B" w:rsidP="004E7253">
      <w:pPr>
        <w:pStyle w:val="PaMs"/>
      </w:pPr>
      <w:r w:rsidRPr="00C46DAA">
        <w:t>DZIAŁANIA</w:t>
      </w:r>
    </w:p>
    <w:p w14:paraId="15EA1092" w14:textId="1224FE57" w:rsidR="00E030AD" w:rsidRDefault="00E030AD" w:rsidP="003530A9">
      <w:pPr>
        <w:pStyle w:val="Akapitzlist"/>
        <w:numPr>
          <w:ilvl w:val="0"/>
          <w:numId w:val="3"/>
        </w:numPr>
        <w:rPr>
          <w:szCs w:val="20"/>
        </w:rPr>
      </w:pPr>
      <w:r w:rsidRPr="002D0669">
        <w:rPr>
          <w:lang w:eastAsia="pl-PL"/>
        </w:rPr>
        <w:fldChar w:fldCharType="begin"/>
      </w:r>
      <w:r w:rsidRPr="002D0669">
        <w:rPr>
          <w:lang w:eastAsia="pl-PL"/>
        </w:rPr>
        <w:instrText xml:space="preserve"> REF _Ref203401018 \h </w:instrText>
      </w:r>
      <w:r w:rsidR="002D0669">
        <w:rPr>
          <w:lang w:eastAsia="pl-PL"/>
        </w:rPr>
        <w:instrText xml:space="preserve"> \* MERGEFORMAT </w:instrText>
      </w:r>
      <w:r w:rsidRPr="002D0669">
        <w:rPr>
          <w:lang w:eastAsia="pl-PL"/>
        </w:rPr>
      </w:r>
      <w:r w:rsidRPr="002D0669">
        <w:rPr>
          <w:lang w:eastAsia="pl-PL"/>
        </w:rPr>
        <w:fldChar w:fldCharType="separate"/>
      </w:r>
      <w:r w:rsidR="00871DD5" w:rsidRPr="00871DD5">
        <w:rPr>
          <w:lang w:eastAsia="pl-PL"/>
        </w:rPr>
        <w:t xml:space="preserve">Działanie </w:t>
      </w:r>
      <w:r w:rsidR="00871DD5">
        <w:rPr>
          <w:lang w:eastAsia="pl-PL"/>
        </w:rPr>
        <w:t>28</w:t>
      </w:r>
      <w:r w:rsidR="00871DD5" w:rsidRPr="00871DD5">
        <w:rPr>
          <w:lang w:eastAsia="pl-PL"/>
        </w:rPr>
        <w:t>. Rozwój rynku pomp ciepła w Polsce</w:t>
      </w:r>
      <w:r w:rsidRPr="002D0669">
        <w:rPr>
          <w:lang w:eastAsia="pl-PL"/>
        </w:rPr>
        <w:fldChar w:fldCharType="end"/>
      </w:r>
    </w:p>
    <w:p w14:paraId="5061EAEC" w14:textId="4858A176" w:rsidR="007D1651" w:rsidRDefault="007D1651" w:rsidP="003530A9">
      <w:pPr>
        <w:pStyle w:val="Akapitzlist"/>
        <w:numPr>
          <w:ilvl w:val="0"/>
          <w:numId w:val="3"/>
        </w:numPr>
        <w:rPr>
          <w:szCs w:val="20"/>
        </w:rPr>
      </w:pPr>
      <w:r w:rsidRPr="007D1651">
        <w:rPr>
          <w:szCs w:val="20"/>
        </w:rPr>
        <w:fldChar w:fldCharType="begin"/>
      </w:r>
      <w:r w:rsidRPr="007D1651">
        <w:rPr>
          <w:szCs w:val="20"/>
        </w:rPr>
        <w:instrText xml:space="preserve"> REF _Ref198288378 \h </w:instrText>
      </w:r>
      <w:r>
        <w:rPr>
          <w:szCs w:val="20"/>
        </w:rPr>
        <w:instrText xml:space="preserve"> \* MERGEFORMAT </w:instrText>
      </w:r>
      <w:r w:rsidRPr="007D1651">
        <w:rPr>
          <w:szCs w:val="20"/>
        </w:rPr>
      </w:r>
      <w:r w:rsidRPr="007D1651">
        <w:rPr>
          <w:szCs w:val="20"/>
        </w:rPr>
        <w:fldChar w:fldCharType="separate"/>
      </w:r>
      <w:r w:rsidR="00871DD5" w:rsidRPr="00871DD5">
        <w:rPr>
          <w:rStyle w:val="Nagwek6Znak"/>
          <w:rFonts w:ascii="Lato" w:hAnsi="Lato"/>
          <w:b w:val="0"/>
        </w:rPr>
        <w:t xml:space="preserve">Działanie </w:t>
      </w:r>
      <w:r w:rsidR="00871DD5">
        <w:rPr>
          <w:lang w:eastAsia="pl-PL"/>
        </w:rPr>
        <w:t xml:space="preserve">102. </w:t>
      </w:r>
      <w:r w:rsidR="00871DD5" w:rsidRPr="00077D7F">
        <w:rPr>
          <w:lang w:eastAsia="pl-PL"/>
        </w:rPr>
        <w:t>Wprowadzenie wymogów w zakresie wykorzystania energii słonecznej w</w:t>
      </w:r>
      <w:r w:rsidR="00871DD5">
        <w:rPr>
          <w:lang w:eastAsia="pl-PL"/>
        </w:rPr>
        <w:t> </w:t>
      </w:r>
      <w:r w:rsidR="00871DD5" w:rsidRPr="00077D7F">
        <w:rPr>
          <w:lang w:eastAsia="pl-PL"/>
        </w:rPr>
        <w:t>budynkach</w:t>
      </w:r>
      <w:r w:rsidRPr="007D1651">
        <w:rPr>
          <w:szCs w:val="20"/>
        </w:rPr>
        <w:fldChar w:fldCharType="end"/>
      </w:r>
    </w:p>
    <w:p w14:paraId="042826F4" w14:textId="002AF198" w:rsidR="008F7515" w:rsidRDefault="008F7515" w:rsidP="003530A9">
      <w:pPr>
        <w:pStyle w:val="Akapitzlist"/>
        <w:numPr>
          <w:ilvl w:val="0"/>
          <w:numId w:val="3"/>
        </w:numPr>
        <w:rPr>
          <w:szCs w:val="20"/>
        </w:rPr>
      </w:pPr>
      <w:r w:rsidRPr="00BF4E42">
        <w:rPr>
          <w:lang w:eastAsia="pl-PL"/>
        </w:rPr>
        <w:fldChar w:fldCharType="begin"/>
      </w:r>
      <w:r w:rsidRPr="00BF4E42">
        <w:rPr>
          <w:lang w:eastAsia="pl-PL"/>
        </w:rPr>
        <w:instrText xml:space="preserve"> REF _Ref203398819 \h </w:instrText>
      </w:r>
      <w:r w:rsidR="00BF4E42">
        <w:rPr>
          <w:lang w:eastAsia="pl-PL"/>
        </w:rPr>
        <w:instrText xml:space="preserve"> \* MERGEFORMAT </w:instrText>
      </w:r>
      <w:r w:rsidRPr="00BF4E42">
        <w:rPr>
          <w:lang w:eastAsia="pl-PL"/>
        </w:rPr>
      </w:r>
      <w:r w:rsidRPr="00BF4E42">
        <w:rPr>
          <w:lang w:eastAsia="pl-PL"/>
        </w:rPr>
        <w:fldChar w:fldCharType="separate"/>
      </w:r>
      <w:r w:rsidR="00871DD5">
        <w:rPr>
          <w:lang w:eastAsia="pl-PL"/>
        </w:rPr>
        <w:t xml:space="preserve">Działanie </w:t>
      </w:r>
      <w:r w:rsidR="00871DD5" w:rsidRPr="00871DD5">
        <w:rPr>
          <w:lang w:eastAsia="pl-PL"/>
        </w:rPr>
        <w:t>103</w:t>
      </w:r>
      <w:r w:rsidR="00871DD5">
        <w:rPr>
          <w:lang w:eastAsia="pl-PL"/>
        </w:rPr>
        <w:t xml:space="preserve">. </w:t>
      </w:r>
      <w:r w:rsidR="00871DD5" w:rsidRPr="00077D7F">
        <w:rPr>
          <w:lang w:eastAsia="pl-PL"/>
        </w:rPr>
        <w:t>Instrument finansowy – Program Priorytetowy NFOŚiGW – „Moje ciepło”</w:t>
      </w:r>
      <w:r w:rsidRPr="00BF4E42">
        <w:rPr>
          <w:lang w:eastAsia="pl-PL"/>
        </w:rPr>
        <w:fldChar w:fldCharType="end"/>
      </w:r>
    </w:p>
    <w:p w14:paraId="7F586309" w14:textId="33E88A6B" w:rsidR="00824C3B" w:rsidRPr="007D1651" w:rsidRDefault="00824C3B" w:rsidP="003530A9">
      <w:pPr>
        <w:pStyle w:val="Akapitzlist"/>
        <w:numPr>
          <w:ilvl w:val="0"/>
          <w:numId w:val="3"/>
        </w:numPr>
        <w:rPr>
          <w:szCs w:val="20"/>
        </w:rPr>
      </w:pPr>
      <w:r w:rsidRPr="00BF4E42">
        <w:rPr>
          <w:lang w:eastAsia="pl-PL"/>
        </w:rPr>
        <w:fldChar w:fldCharType="begin"/>
      </w:r>
      <w:r w:rsidRPr="00BF4E42">
        <w:rPr>
          <w:lang w:eastAsia="pl-PL"/>
        </w:rPr>
        <w:instrText xml:space="preserve"> REF _Ref203398846 \h </w:instrText>
      </w:r>
      <w:r w:rsidR="00BF4E42">
        <w:rPr>
          <w:lang w:eastAsia="pl-PL"/>
        </w:rPr>
        <w:instrText xml:space="preserve"> \* MERGEFORMAT </w:instrText>
      </w:r>
      <w:r w:rsidRPr="00BF4E42">
        <w:rPr>
          <w:lang w:eastAsia="pl-PL"/>
        </w:rPr>
      </w:r>
      <w:r w:rsidRPr="00BF4E42">
        <w:rPr>
          <w:lang w:eastAsia="pl-PL"/>
        </w:rPr>
        <w:fldChar w:fldCharType="separate"/>
      </w:r>
      <w:r w:rsidR="00871DD5">
        <w:rPr>
          <w:lang w:eastAsia="pl-PL"/>
        </w:rPr>
        <w:t xml:space="preserve">Działanie </w:t>
      </w:r>
      <w:r w:rsidR="00871DD5" w:rsidRPr="00871DD5">
        <w:rPr>
          <w:lang w:eastAsia="pl-PL"/>
        </w:rPr>
        <w:t>111</w:t>
      </w:r>
      <w:r w:rsidR="00871DD5">
        <w:rPr>
          <w:lang w:eastAsia="pl-PL"/>
        </w:rPr>
        <w:t xml:space="preserve">. </w:t>
      </w:r>
      <w:r w:rsidR="00871DD5" w:rsidRPr="00351096">
        <w:rPr>
          <w:lang w:eastAsia="pl-PL"/>
        </w:rPr>
        <w:t>Wprowadzenie modelu oceny ofert w przetargach na budowę budynków użyteczności publicznych w oparciu o całkowity koszt cyklu życia (</w:t>
      </w:r>
      <w:r w:rsidR="00871DD5">
        <w:rPr>
          <w:lang w:eastAsia="pl-PL"/>
        </w:rPr>
        <w:t>LCC</w:t>
      </w:r>
      <w:r w:rsidR="00871DD5" w:rsidRPr="00351096">
        <w:rPr>
          <w:lang w:eastAsia="pl-PL"/>
        </w:rPr>
        <w:t>)</w:t>
      </w:r>
      <w:r w:rsidRPr="00BF4E42">
        <w:rPr>
          <w:lang w:eastAsia="pl-PL"/>
        </w:rPr>
        <w:fldChar w:fldCharType="end"/>
      </w:r>
    </w:p>
    <w:p w14:paraId="5ABE71E9" w14:textId="16B1D1EC" w:rsidR="00686227" w:rsidRPr="00686227" w:rsidRDefault="00686227" w:rsidP="003530A9">
      <w:pPr>
        <w:pStyle w:val="Akapitzlist"/>
        <w:numPr>
          <w:ilvl w:val="0"/>
          <w:numId w:val="3"/>
        </w:numPr>
        <w:rPr>
          <w:szCs w:val="20"/>
        </w:rPr>
      </w:pPr>
      <w:r w:rsidRPr="00686227">
        <w:rPr>
          <w:szCs w:val="20"/>
        </w:rPr>
        <w:fldChar w:fldCharType="begin"/>
      </w:r>
      <w:r w:rsidRPr="00686227">
        <w:rPr>
          <w:szCs w:val="20"/>
        </w:rPr>
        <w:instrText xml:space="preserve"> REF _Ref195885094 \h </w:instrText>
      </w:r>
      <w:r>
        <w:rPr>
          <w:szCs w:val="20"/>
        </w:rPr>
        <w:instrText xml:space="preserve"> \* MERGEFORMAT </w:instrText>
      </w:r>
      <w:r w:rsidRPr="00686227">
        <w:rPr>
          <w:szCs w:val="20"/>
        </w:rPr>
      </w:r>
      <w:r w:rsidRPr="00686227">
        <w:rPr>
          <w:szCs w:val="20"/>
        </w:rPr>
        <w:fldChar w:fldCharType="separate"/>
      </w:r>
      <w:r w:rsidR="00871DD5">
        <w:rPr>
          <w:lang w:eastAsia="pl-PL"/>
        </w:rPr>
        <w:t xml:space="preserve">Działanie </w:t>
      </w:r>
      <w:r w:rsidR="00871DD5" w:rsidRPr="00871DD5">
        <w:rPr>
          <w:lang w:eastAsia="pl-PL"/>
        </w:rPr>
        <w:t>112</w:t>
      </w:r>
      <w:r w:rsidR="00871DD5">
        <w:rPr>
          <w:lang w:eastAsia="pl-PL"/>
        </w:rPr>
        <w:t xml:space="preserve">. </w:t>
      </w:r>
      <w:r w:rsidR="00871DD5" w:rsidRPr="00077D7F">
        <w:rPr>
          <w:lang w:eastAsia="pl-PL"/>
        </w:rPr>
        <w:t>Wdrażanie nowych standardów energetycznych stawianych nowym budynkom oraz budynkom podlegającym ważniejszym renowacjom</w:t>
      </w:r>
      <w:r w:rsidRPr="00686227">
        <w:rPr>
          <w:szCs w:val="20"/>
        </w:rPr>
        <w:fldChar w:fldCharType="end"/>
      </w:r>
    </w:p>
    <w:p w14:paraId="5841F834" w14:textId="5D1F9D74" w:rsidR="00BA3CD9" w:rsidRPr="00686227" w:rsidRDefault="00AA1805" w:rsidP="003530A9">
      <w:pPr>
        <w:pStyle w:val="Akapitzlist"/>
        <w:numPr>
          <w:ilvl w:val="0"/>
          <w:numId w:val="3"/>
        </w:numPr>
        <w:rPr>
          <w:szCs w:val="20"/>
        </w:rPr>
      </w:pPr>
      <w:r w:rsidRPr="00BF4E42">
        <w:rPr>
          <w:lang w:eastAsia="pl-PL"/>
        </w:rPr>
        <w:fldChar w:fldCharType="begin"/>
      </w:r>
      <w:r w:rsidRPr="00BF4E42">
        <w:rPr>
          <w:lang w:eastAsia="pl-PL"/>
        </w:rPr>
        <w:instrText xml:space="preserve"> REF _Ref203398321 \h </w:instrText>
      </w:r>
      <w:r w:rsidR="00BF4E42">
        <w:rPr>
          <w:lang w:eastAsia="pl-PL"/>
        </w:rPr>
        <w:instrText xml:space="preserve"> \* MERGEFORMAT </w:instrText>
      </w:r>
      <w:r w:rsidRPr="00BF4E42">
        <w:rPr>
          <w:lang w:eastAsia="pl-PL"/>
        </w:rPr>
      </w:r>
      <w:r w:rsidRPr="00BF4E42">
        <w:rPr>
          <w:lang w:eastAsia="pl-PL"/>
        </w:rPr>
        <w:fldChar w:fldCharType="separate"/>
      </w:r>
      <w:r w:rsidR="00871DD5">
        <w:rPr>
          <w:lang w:eastAsia="pl-PL"/>
        </w:rPr>
        <w:t xml:space="preserve">Działanie </w:t>
      </w:r>
      <w:r w:rsidR="00871DD5" w:rsidRPr="00871DD5">
        <w:rPr>
          <w:lang w:eastAsia="pl-PL"/>
        </w:rPr>
        <w:t>113</w:t>
      </w:r>
      <w:r w:rsidR="00871DD5">
        <w:rPr>
          <w:lang w:eastAsia="pl-PL"/>
        </w:rPr>
        <w:t xml:space="preserve">. </w:t>
      </w:r>
      <w:r w:rsidR="00871DD5" w:rsidRPr="00077D7F">
        <w:rPr>
          <w:lang w:eastAsia="pl-PL"/>
        </w:rPr>
        <w:t>System oceny energetycznej budynków i systemów technicznych budynków</w:t>
      </w:r>
      <w:r w:rsidRPr="00BF4E42">
        <w:rPr>
          <w:lang w:eastAsia="pl-PL"/>
        </w:rPr>
        <w:fldChar w:fldCharType="end"/>
      </w:r>
    </w:p>
    <w:p w14:paraId="38FF15BF" w14:textId="46341984" w:rsidR="0056593C" w:rsidRPr="00686227" w:rsidRDefault="0056593C" w:rsidP="003530A9">
      <w:pPr>
        <w:pStyle w:val="Akapitzlist"/>
        <w:numPr>
          <w:ilvl w:val="0"/>
          <w:numId w:val="3"/>
        </w:numPr>
        <w:rPr>
          <w:szCs w:val="20"/>
        </w:rPr>
      </w:pPr>
      <w:r w:rsidRPr="00BF4E42">
        <w:rPr>
          <w:lang w:eastAsia="pl-PL"/>
        </w:rPr>
        <w:fldChar w:fldCharType="begin"/>
      </w:r>
      <w:r w:rsidRPr="00BF4E42">
        <w:rPr>
          <w:lang w:eastAsia="pl-PL"/>
        </w:rPr>
        <w:instrText xml:space="preserve"> REF _Ref198287730 \h </w:instrText>
      </w:r>
      <w:r w:rsidR="00BF4E42">
        <w:rPr>
          <w:lang w:eastAsia="pl-PL"/>
        </w:rPr>
        <w:instrText xml:space="preserve"> \* MERGEFORMAT </w:instrText>
      </w:r>
      <w:r w:rsidRPr="00BF4E42">
        <w:rPr>
          <w:lang w:eastAsia="pl-PL"/>
        </w:rPr>
      </w:r>
      <w:r w:rsidRPr="00BF4E42">
        <w:rPr>
          <w:lang w:eastAsia="pl-PL"/>
        </w:rPr>
        <w:fldChar w:fldCharType="separate"/>
      </w:r>
      <w:r w:rsidR="00871DD5">
        <w:rPr>
          <w:lang w:eastAsia="pl-PL"/>
        </w:rPr>
        <w:t xml:space="preserve">Działanie </w:t>
      </w:r>
      <w:r w:rsidR="00871DD5" w:rsidRPr="00871DD5">
        <w:rPr>
          <w:lang w:eastAsia="pl-PL"/>
        </w:rPr>
        <w:t>114</w:t>
      </w:r>
      <w:r w:rsidR="00871DD5">
        <w:rPr>
          <w:lang w:eastAsia="pl-PL"/>
        </w:rPr>
        <w:t xml:space="preserve">. </w:t>
      </w:r>
      <w:r w:rsidR="00871DD5" w:rsidRPr="0094341E">
        <w:rPr>
          <w:lang w:eastAsia="pl-PL"/>
        </w:rPr>
        <w:t>Efektywność energetyczna w budownictwie społecznym uwzględniającym potrzeby grup wrażliwych</w:t>
      </w:r>
      <w:r w:rsidRPr="00BF4E42">
        <w:rPr>
          <w:lang w:eastAsia="pl-PL"/>
        </w:rPr>
        <w:fldChar w:fldCharType="end"/>
      </w:r>
    </w:p>
    <w:p w14:paraId="19977D08" w14:textId="77777777" w:rsidR="00F3711B" w:rsidRDefault="00F3711B" w:rsidP="007F22F4"/>
    <w:p w14:paraId="7C5BA0E6" w14:textId="4D8BC607" w:rsidR="008838A2" w:rsidRDefault="008838A2" w:rsidP="007F22F4">
      <w:pPr>
        <w:sectPr w:rsidR="008838A2" w:rsidSect="005209BA">
          <w:pgSz w:w="11906" w:h="16838"/>
          <w:pgMar w:top="1417" w:right="1417" w:bottom="1417" w:left="1417" w:header="708" w:footer="708" w:gutter="0"/>
          <w:cols w:space="708"/>
          <w:docGrid w:linePitch="360"/>
        </w:sectPr>
      </w:pPr>
    </w:p>
    <w:p w14:paraId="352E0DC3" w14:textId="5D3D9B5A" w:rsidR="00691EA7" w:rsidRDefault="00CC2A63" w:rsidP="00CC2A63">
      <w:pPr>
        <w:pStyle w:val="Nagwek2"/>
      </w:pPr>
      <w:bookmarkStart w:id="410" w:name="_Toc159598311"/>
      <w:bookmarkStart w:id="411" w:name="_Toc195897297"/>
      <w:bookmarkStart w:id="412" w:name="_Toc205203186"/>
      <w:r>
        <w:rPr>
          <w:noProof/>
          <w:lang w:eastAsia="pl-PL"/>
        </w:rPr>
        <w:lastRenderedPageBreak/>
        <w:drawing>
          <wp:anchor distT="0" distB="0" distL="114300" distR="114300" simplePos="0" relativeHeight="251477504" behindDoc="0" locked="0" layoutInCell="1" allowOverlap="1" wp14:anchorId="08F4BBBE" wp14:editId="61CB370E">
            <wp:simplePos x="0" y="0"/>
            <wp:positionH relativeFrom="margin">
              <wp:posOffset>-617220</wp:posOffset>
            </wp:positionH>
            <wp:positionV relativeFrom="paragraph">
              <wp:posOffset>-591276</wp:posOffset>
            </wp:positionV>
            <wp:extent cx="6982460" cy="4034256"/>
            <wp:effectExtent l="0" t="0" r="8890" b="4445"/>
            <wp:wrapNone/>
            <wp:docPr id="1339311388" name="Obraz 6" descr="Obraz zawierający rura, maszyna, przemysł, sta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11388" name="Obraz 6" descr="Obraz zawierający rura, maszyna, przemysł, stal&#10;&#10;Opis wygenerowany automatycznie"/>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a:stretch/>
                  </pic:blipFill>
                  <pic:spPr bwMode="auto">
                    <a:xfrm>
                      <a:off x="0" y="0"/>
                      <a:ext cx="6982460" cy="40342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1EA7">
        <w:t>Bezpieczeństwo energetyczne</w:t>
      </w:r>
      <w:bookmarkEnd w:id="410"/>
      <w:bookmarkEnd w:id="411"/>
      <w:bookmarkEnd w:id="412"/>
    </w:p>
    <w:p w14:paraId="1F241408" w14:textId="77777777" w:rsidR="00DC3D34" w:rsidRDefault="00DC3D34" w:rsidP="007F22F4"/>
    <w:p w14:paraId="0104E78C" w14:textId="64FB5F41" w:rsidR="00DC3D34" w:rsidRDefault="00DC3D34" w:rsidP="007F22F4"/>
    <w:p w14:paraId="37DF48D3" w14:textId="77777777" w:rsidR="00DC3D34" w:rsidRDefault="00DC3D34" w:rsidP="007F22F4"/>
    <w:p w14:paraId="0256C5EF" w14:textId="77777777" w:rsidR="00DC3D34" w:rsidRDefault="00DC3D34" w:rsidP="007F22F4"/>
    <w:p w14:paraId="0FD67D2B" w14:textId="77777777" w:rsidR="00DC3D34" w:rsidRDefault="00DC3D34" w:rsidP="007F22F4"/>
    <w:p w14:paraId="554E0597" w14:textId="77777777" w:rsidR="00DC3D34" w:rsidRDefault="00DC3D34" w:rsidP="007F22F4"/>
    <w:p w14:paraId="0A395BEB" w14:textId="77777777" w:rsidR="00DC3D34" w:rsidRDefault="00DC3D34" w:rsidP="007F22F4"/>
    <w:p w14:paraId="5B6C384E" w14:textId="77777777" w:rsidR="00DC3D34" w:rsidRDefault="00DC3D34" w:rsidP="007F22F4"/>
    <w:p w14:paraId="105EA0C5" w14:textId="77777777" w:rsidR="00DC3D34" w:rsidRDefault="00DC3D34" w:rsidP="007F22F4"/>
    <w:p w14:paraId="52ABBF29" w14:textId="77777777" w:rsidR="00DC3D34" w:rsidRDefault="00DC3D34" w:rsidP="007F22F4"/>
    <w:p w14:paraId="7AA1C3D1" w14:textId="2F9DED0F" w:rsidR="00DC3D34" w:rsidRDefault="00C342F2" w:rsidP="007F22F4">
      <w:r>
        <w:rPr>
          <w:noProof/>
          <w:lang w:eastAsia="pl-PL"/>
        </w:rPr>
        <mc:AlternateContent>
          <mc:Choice Requires="wps">
            <w:drawing>
              <wp:anchor distT="0" distB="0" distL="114300" distR="114300" simplePos="0" relativeHeight="251427328" behindDoc="0" locked="0" layoutInCell="1" allowOverlap="1" wp14:anchorId="2932509F" wp14:editId="04A6B875">
                <wp:simplePos x="0" y="0"/>
                <wp:positionH relativeFrom="margin">
                  <wp:posOffset>-614045</wp:posOffset>
                </wp:positionH>
                <wp:positionV relativeFrom="paragraph">
                  <wp:posOffset>267426</wp:posOffset>
                </wp:positionV>
                <wp:extent cx="7019925" cy="1644015"/>
                <wp:effectExtent l="0" t="0" r="9525" b="0"/>
                <wp:wrapNone/>
                <wp:docPr id="1997746350"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1644015"/>
                        </a:xfrm>
                        <a:prstGeom prst="rect">
                          <a:avLst/>
                        </a:prstGeom>
                        <a:solidFill>
                          <a:srgbClr val="C00000">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EBE538" w14:textId="3229BFB8" w:rsidR="00C36C5C" w:rsidRPr="00B6117F" w:rsidRDefault="00C36C5C" w:rsidP="009110E8">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 xml:space="preserve">Wymiar 3. </w:t>
                            </w:r>
                            <w:r>
                              <w:rPr>
                                <w:rFonts w:ascii="Bahnschrift" w:hAnsi="Bahnschrift"/>
                                <w:color w:val="FFFFFF" w:themeColor="light1"/>
                                <w:kern w:val="24"/>
                                <w:sz w:val="72"/>
                                <w:szCs w:val="72"/>
                              </w:rPr>
                              <w:br/>
                            </w:r>
                            <w:r>
                              <w:rPr>
                                <w:rFonts w:ascii="Bahnschrift" w:hAnsi="Bahnschrift"/>
                                <w:color w:val="FFFFFF" w:themeColor="light1"/>
                                <w:kern w:val="24"/>
                                <w:sz w:val="64"/>
                                <w:szCs w:val="64"/>
                              </w:rPr>
                              <w:t>Bezpieczeństwo energetyczne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932509F" id="Prostokąt 43" o:spid="_x0000_s1113" style="position:absolute;left:0;text-align:left;margin-left:-48.35pt;margin-top:21.05pt;width:552.75pt;height:129.45pt;z-index:25142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" fillcolor="#c00000" stroked="f" strokeweight="1pt">
                <v:fill opacity="52428f"/>
                <v:textbox>
                  <w:txbxContent>
                    <w:p w14:paraId="50EBE538" w14:textId="3229BFB8" w:rsidR="00C36C5C" w:rsidRPr="00B6117F" w:rsidRDefault="00C36C5C" w:rsidP="009110E8">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 xml:space="preserve">Wymiar 3. </w:t>
                      </w:r>
                      <w:r>
                        <w:rPr>
                          <w:rFonts w:ascii="Bahnschrift" w:hAnsi="Bahnschrift"/>
                          <w:color w:val="FFFFFF" w:themeColor="light1"/>
                          <w:kern w:val="24"/>
                          <w:sz w:val="72"/>
                          <w:szCs w:val="72"/>
                        </w:rPr>
                        <w:br/>
                      </w:r>
                      <w:r>
                        <w:rPr>
                          <w:rFonts w:ascii="Bahnschrift" w:hAnsi="Bahnschrift"/>
                          <w:color w:val="FFFFFF" w:themeColor="light1"/>
                          <w:kern w:val="24"/>
                          <w:sz w:val="64"/>
                          <w:szCs w:val="64"/>
                        </w:rPr>
                        <w:t>Bezpieczeństwo energetyczne</w:t>
                      </w:r>
                    </w:p>
                  </w:txbxContent>
                </v:textbox>
                <w10:wrap anchorx="margin"/>
              </v:rect>
            </w:pict>
          </mc:Fallback>
        </mc:AlternateContent>
      </w:r>
    </w:p>
    <w:p w14:paraId="0AEC3847" w14:textId="5F573520" w:rsidR="00CC2A63" w:rsidRDefault="00CC2A63" w:rsidP="007F22F4"/>
    <w:p w14:paraId="2CBB7FAD" w14:textId="1A039CB1" w:rsidR="00CC2A63" w:rsidRDefault="00CC2A63" w:rsidP="007F22F4"/>
    <w:p w14:paraId="04C08BF4" w14:textId="52E99E7A" w:rsidR="00CC2A63" w:rsidRDefault="00CC2A63" w:rsidP="007F22F4"/>
    <w:p w14:paraId="61349A94" w14:textId="17341115" w:rsidR="00CC2A63" w:rsidRDefault="00CC2A63" w:rsidP="007F22F4"/>
    <w:p w14:paraId="3C616D61" w14:textId="370E8D17" w:rsidR="00CC2A63" w:rsidRDefault="00CC2A63" w:rsidP="007F22F4"/>
    <w:p w14:paraId="3FEF1891" w14:textId="332E41EE" w:rsidR="00DC3D34" w:rsidRDefault="00DC3D34" w:rsidP="007F22F4"/>
    <w:p w14:paraId="609739D1" w14:textId="2B1F338C" w:rsidR="00564F99" w:rsidRDefault="00173360" w:rsidP="00C342F2">
      <w:pPr>
        <w:spacing w:before="360"/>
      </w:pPr>
      <w:r>
        <w:t>Dost</w:t>
      </w:r>
      <w:r w:rsidR="009C52A3">
        <w:t>ęp do</w:t>
      </w:r>
      <w:r>
        <w:t xml:space="preserve"> energii </w:t>
      </w:r>
      <w:r w:rsidR="009C52A3">
        <w:t>warunkuje funkcjonowanie gospodar</w:t>
      </w:r>
      <w:r w:rsidR="009A1852">
        <w:t>ki</w:t>
      </w:r>
      <w:r w:rsidR="009C52A3">
        <w:t xml:space="preserve">, w tym pokrywanie podstawowych potrzeb ludzkich. Dlatego </w:t>
      </w:r>
      <w:r w:rsidR="009C52A3" w:rsidRPr="009C52A3">
        <w:rPr>
          <w:b/>
          <w:bCs/>
        </w:rPr>
        <w:t>bezpieczeństwo energetyczne</w:t>
      </w:r>
      <w:r w:rsidR="009C52A3">
        <w:t xml:space="preserve"> jest </w:t>
      </w:r>
      <w:r w:rsidR="009C52A3" w:rsidRPr="009C52A3">
        <w:rPr>
          <w:b/>
          <w:bCs/>
        </w:rPr>
        <w:t>trzecim wymiarem unii energetycznej</w:t>
      </w:r>
      <w:r w:rsidR="009C52A3">
        <w:t>, a</w:t>
      </w:r>
      <w:r w:rsidR="00ED0C69">
        <w:t> </w:t>
      </w:r>
      <w:r w:rsidR="009C52A3">
        <w:t>jednocześnie stanowi warunek w</w:t>
      </w:r>
      <w:r w:rsidR="00BC084E">
        <w:t>y</w:t>
      </w:r>
      <w:r w:rsidR="009C52A3">
        <w:t>jściowy</w:t>
      </w:r>
      <w:r w:rsidR="009A1852">
        <w:t xml:space="preserve"> </w:t>
      </w:r>
      <w:r w:rsidR="009C52A3">
        <w:t>realizacji wszystkich celów</w:t>
      </w:r>
      <w:r w:rsidR="00ED0C69">
        <w:t xml:space="preserve"> w zakresie transformacji energetycznej</w:t>
      </w:r>
      <w:r w:rsidR="009C52A3">
        <w:t xml:space="preserve">. </w:t>
      </w:r>
      <w:r w:rsidR="00060C25">
        <w:t xml:space="preserve">Z krajowej perspektywy bezpieczeństwo energetyczne ma priorytetowy charakter, a wzmacnianie </w:t>
      </w:r>
      <w:r w:rsidR="008269FA">
        <w:t xml:space="preserve">niezależności </w:t>
      </w:r>
      <w:r w:rsidR="00060C25">
        <w:t xml:space="preserve">energetycznej stało się kluczowe w obliczu skutków kryzysu wywołanego wojną </w:t>
      </w:r>
      <w:r w:rsidR="00E030AD">
        <w:t>w</w:t>
      </w:r>
      <w:r w:rsidR="00060C25">
        <w:t xml:space="preserve"> Ukrainie. </w:t>
      </w:r>
      <w:r w:rsidR="00564F99">
        <w:t>Zagwarantowanie pewnych dostaw paliw i</w:t>
      </w:r>
      <w:r w:rsidR="009A1852">
        <w:t> </w:t>
      </w:r>
      <w:r w:rsidR="00564F99">
        <w:t>energii – jak w uproszczeniu można nazwać bezpieczeństwo energetyczne – wymaga, by z</w:t>
      </w:r>
      <w:r>
        <w:t>miany w</w:t>
      </w:r>
      <w:r w:rsidR="009A1852">
        <w:t> </w:t>
      </w:r>
      <w:r>
        <w:t>sektorze energetycznym</w:t>
      </w:r>
      <w:r w:rsidR="00564F99">
        <w:t xml:space="preserve"> zachodziły w sposób </w:t>
      </w:r>
      <w:r w:rsidR="00C61F47">
        <w:t>zaplanowany</w:t>
      </w:r>
      <w:r w:rsidR="00564F99">
        <w:t>, dlatego powinny opierać się na określonych założeniach i</w:t>
      </w:r>
      <w:r w:rsidR="008E4324">
        <w:t xml:space="preserve"> </w:t>
      </w:r>
      <w:r w:rsidR="00564F99">
        <w:t>celach</w:t>
      </w:r>
      <w:r w:rsidR="009A1852">
        <w:t>. Choć</w:t>
      </w:r>
      <w:r w:rsidR="00F96DE3">
        <w:t> </w:t>
      </w:r>
      <w:r w:rsidR="009A1852">
        <w:t>dążenie do</w:t>
      </w:r>
      <w:r w:rsidR="00060C25">
        <w:t> </w:t>
      </w:r>
      <w:r w:rsidR="009A1852">
        <w:t>neutralności klimatycznej wiąże się z odchodzeniem od paliw kopalnych, niezbędne jest zagwarantowanie bezpieczeństwa dostaw tych surowców do gospodarki i odbiorców</w:t>
      </w:r>
      <w:r w:rsidR="00024489">
        <w:t xml:space="preserve"> w okresie przejściowym. </w:t>
      </w:r>
      <w:r w:rsidR="00C61F47">
        <w:t>Docelowo</w:t>
      </w:r>
      <w:r w:rsidR="00024489">
        <w:t xml:space="preserve"> technologie zeroemisyjne i magazynowanie energii</w:t>
      </w:r>
      <w:r w:rsidR="002302BA">
        <w:t xml:space="preserve"> </w:t>
      </w:r>
      <w:r w:rsidR="0077085C">
        <w:t>pokryją</w:t>
      </w:r>
      <w:r w:rsidR="002302BA">
        <w:t xml:space="preserve"> w przyszłości</w:t>
      </w:r>
      <w:r w:rsidR="00C61F47">
        <w:t> </w:t>
      </w:r>
      <w:r w:rsidR="00CF4501">
        <w:t xml:space="preserve">po akceptowalnym koszcie </w:t>
      </w:r>
      <w:r w:rsidR="00024489">
        <w:t xml:space="preserve">zapotrzebowanie </w:t>
      </w:r>
      <w:r w:rsidR="00952815">
        <w:t xml:space="preserve">na </w:t>
      </w:r>
      <w:r w:rsidR="00024489">
        <w:t>energię w</w:t>
      </w:r>
      <w:r w:rsidR="00952815">
        <w:t> </w:t>
      </w:r>
      <w:r w:rsidR="00024489">
        <w:t>transporcie; na energię elektryczną w</w:t>
      </w:r>
      <w:r w:rsidR="00C61F47">
        <w:t> </w:t>
      </w:r>
      <w:r w:rsidR="00024489">
        <w:t>systemie nasyconym</w:t>
      </w:r>
      <w:r w:rsidR="00C61F47">
        <w:t xml:space="preserve"> źródłami</w:t>
      </w:r>
      <w:r w:rsidR="00024489">
        <w:t xml:space="preserve"> odnawialnymi zależnymi od</w:t>
      </w:r>
      <w:r w:rsidR="00060C25">
        <w:t> </w:t>
      </w:r>
      <w:r w:rsidR="00024489">
        <w:t>warunków atmosferycznych</w:t>
      </w:r>
      <w:r w:rsidR="00CF4501">
        <w:t>;</w:t>
      </w:r>
      <w:r w:rsidR="00024489">
        <w:t xml:space="preserve"> </w:t>
      </w:r>
      <w:r w:rsidR="00CF4501">
        <w:t xml:space="preserve">zapewniały </w:t>
      </w:r>
      <w:r w:rsidR="00024489">
        <w:t xml:space="preserve">komfort cieplny </w:t>
      </w:r>
      <w:r w:rsidR="00CF4501">
        <w:t>w budynkach, a także by przedsiębiorstwa wytwarzały produkty i usługi w oparciu o czystą</w:t>
      </w:r>
      <w:r w:rsidR="00952815">
        <w:t xml:space="preserve"> i</w:t>
      </w:r>
      <w:r w:rsidR="00F96DE3">
        <w:t> </w:t>
      </w:r>
      <w:r w:rsidR="00952815">
        <w:t xml:space="preserve">zawsze </w:t>
      </w:r>
      <w:r w:rsidR="00CF4501">
        <w:t xml:space="preserve">dostępną energię. </w:t>
      </w:r>
    </w:p>
    <w:p w14:paraId="392D4F46" w14:textId="4BAEE77C" w:rsidR="007F22F4" w:rsidRDefault="00471A6A" w:rsidP="007F22F4">
      <w:r>
        <w:t xml:space="preserve">W tej części </w:t>
      </w:r>
      <w:r w:rsidR="00C61F47">
        <w:t>a</w:t>
      </w:r>
      <w:r>
        <w:t xml:space="preserve">KPEiK </w:t>
      </w:r>
      <w:r w:rsidRPr="003772B3">
        <w:t xml:space="preserve">ujęto </w:t>
      </w:r>
      <w:r>
        <w:t xml:space="preserve">założenia i cele </w:t>
      </w:r>
      <w:r w:rsidRPr="003772B3">
        <w:t>związane z</w:t>
      </w:r>
      <w:r>
        <w:t xml:space="preserve"> </w:t>
      </w:r>
      <w:r w:rsidR="00975F51">
        <w:t>niezależnością</w:t>
      </w:r>
      <w:r w:rsidR="00C342F2">
        <w:t xml:space="preserve"> energetyczną oraz dostępem do surowców krytycznych, </w:t>
      </w:r>
      <w:r>
        <w:t xml:space="preserve">pewnością pokrycia zapotrzebowania na </w:t>
      </w:r>
      <w:r w:rsidRPr="00471A6A">
        <w:rPr>
          <w:b/>
          <w:bCs/>
        </w:rPr>
        <w:t>gaz ziemny, na ropę naftową i paliwa ciekłe</w:t>
      </w:r>
      <w:r>
        <w:t xml:space="preserve">; następnie określono kwestie związane z pokryciem zapotrzebowania na </w:t>
      </w:r>
      <w:r w:rsidRPr="00471A6A">
        <w:rPr>
          <w:b/>
          <w:bCs/>
        </w:rPr>
        <w:t>węgiel</w:t>
      </w:r>
      <w:r>
        <w:t>, a</w:t>
      </w:r>
      <w:r w:rsidR="00EE3BB8">
        <w:t xml:space="preserve"> także zapotrzebowanie na paliwo jądrowe oraz wodór i jego pochodne</w:t>
      </w:r>
      <w:r w:rsidR="00023909">
        <w:t xml:space="preserve"> chemiczne</w:t>
      </w:r>
      <w:r w:rsidR="00EE3BB8">
        <w:t>. D</w:t>
      </w:r>
      <w:r w:rsidR="00C61F47">
        <w:t>alszym</w:t>
      </w:r>
      <w:r>
        <w:t xml:space="preserve"> obszarem tego wymiaru jest pewność pokrycia zapotrzebowania na </w:t>
      </w:r>
      <w:r w:rsidRPr="00471A6A">
        <w:rPr>
          <w:b/>
          <w:bCs/>
        </w:rPr>
        <w:t>energię elektryczną</w:t>
      </w:r>
      <w:r>
        <w:t xml:space="preserve">. </w:t>
      </w:r>
      <w:r w:rsidR="00C61F47">
        <w:t>Zagadnienia są</w:t>
      </w:r>
      <w:r w:rsidR="00F96DE3">
        <w:t> </w:t>
      </w:r>
      <w:r w:rsidR="00C61F47">
        <w:t>uszeregowane bez priorytetyzacji.</w:t>
      </w:r>
      <w:r w:rsidR="007F22F4">
        <w:br w:type="page"/>
      </w:r>
    </w:p>
    <w:p w14:paraId="282B3473" w14:textId="02A9A2E6" w:rsidR="0034179E" w:rsidRDefault="0034179E" w:rsidP="0034179E">
      <w:pPr>
        <w:pStyle w:val="Nagwek3"/>
        <w:rPr>
          <w:color w:val="C00000"/>
        </w:rPr>
      </w:pPr>
      <w:bookmarkStart w:id="413" w:name="_Toc159598312"/>
      <w:bookmarkStart w:id="414" w:name="_Toc195897298"/>
      <w:bookmarkStart w:id="415" w:name="_Toc205203187"/>
      <w:r>
        <w:rPr>
          <w:color w:val="C00000"/>
        </w:rPr>
        <w:lastRenderedPageBreak/>
        <w:t>Zapewnienie bezpieczeństwa energetycznego – cel ogólny</w:t>
      </w:r>
      <w:bookmarkEnd w:id="413"/>
      <w:bookmarkEnd w:id="414"/>
      <w:bookmarkEnd w:id="415"/>
      <w:r>
        <w:rPr>
          <w:color w:val="C00000"/>
        </w:rPr>
        <w:t xml:space="preserve"> </w:t>
      </w:r>
    </w:p>
    <w:p w14:paraId="1C87FA98" w14:textId="66E8FBFD" w:rsidR="0034179E" w:rsidRDefault="0034179E" w:rsidP="0034179E">
      <w:r>
        <w:rPr>
          <w:noProof/>
          <w:lang w:eastAsia="pl-PL"/>
        </w:rPr>
        <mc:AlternateContent>
          <mc:Choice Requires="wps">
            <w:drawing>
              <wp:anchor distT="0" distB="0" distL="114300" distR="114300" simplePos="0" relativeHeight="251528704" behindDoc="1" locked="0" layoutInCell="1" allowOverlap="1" wp14:anchorId="0B48EF3F" wp14:editId="77B8EEAF">
                <wp:simplePos x="0" y="0"/>
                <wp:positionH relativeFrom="margin">
                  <wp:posOffset>2821305</wp:posOffset>
                </wp:positionH>
                <wp:positionV relativeFrom="paragraph">
                  <wp:posOffset>58420</wp:posOffset>
                </wp:positionV>
                <wp:extent cx="2839720" cy="1486535"/>
                <wp:effectExtent l="19050" t="57150" r="113030" b="68580"/>
                <wp:wrapSquare wrapText="bothSides"/>
                <wp:docPr id="1677976397" name="Prostokąt: zaokrąglone rogi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9720" cy="1486535"/>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B5E3530" w14:textId="7EC5F4FF" w:rsidR="00C36C5C" w:rsidRPr="004E21CF" w:rsidRDefault="00C36C5C" w:rsidP="0034179E">
                            <w:pPr>
                              <w:pStyle w:val="Ramka"/>
                            </w:pPr>
                            <w:r>
                              <w:t xml:space="preserve">Z praktycznego punktu widzenia, od strony łańcucha dostaw – </w:t>
                            </w:r>
                            <w:r w:rsidRPr="00564F99">
                              <w:rPr>
                                <w:i/>
                                <w:iCs/>
                              </w:rPr>
                              <w:t>bezpieczeństwo energetyczne</w:t>
                            </w:r>
                            <w:r>
                              <w:t xml:space="preserve"> to pewność pokrycia zapotrzebowania na surowce energetyczne (zasobami krajowymi lub importowanymi) dla gospodarki; pewność transportu i dystrybucji tych surowców oraz paliw; następnie pewność produkcji energii elektrycznej i ciepła, a także ich przesył i dystrybucja do odbiorców końcowych.</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B48EF3F" id="Prostokąt: zaokrąglone rogi 42" o:spid="_x0000_s1114" style="position:absolute;left:0;text-align:left;margin-left:222.15pt;margin-top:4.6pt;width:223.6pt;height:117.05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" fillcolor="white [3212]" strokecolor="#c00000" strokeweight=".5pt">
                <v:stroke joinstyle="miter"/>
                <v:shadow on="t" color="black" opacity="26214f" origin="-.5" offset="3pt,0"/>
                <v:path arrowok="t"/>
                <v:textbox style="mso-fit-shape-to-text:t" inset="2mm,2.5mm,2mm,0">
                  <w:txbxContent>
                    <w:p w14:paraId="3B5E3530" w14:textId="7EC5F4FF" w:rsidR="00C36C5C" w:rsidRPr="004E21CF" w:rsidRDefault="00C36C5C" w:rsidP="0034179E">
                      <w:pPr>
                        <w:pStyle w:val="Ramka"/>
                      </w:pPr>
                      <w:r>
                        <w:t xml:space="preserve">Z praktycznego punktu widzenia, od strony łańcucha dostaw – </w:t>
                      </w:r>
                      <w:r w:rsidRPr="00564F99">
                        <w:rPr>
                          <w:i/>
                          <w:iCs/>
                        </w:rPr>
                        <w:t>bezpieczeństwo energetyczne</w:t>
                      </w:r>
                      <w:r>
                        <w:t xml:space="preserve"> to pewność pokrycia zapotrzebowania na surowce energetyczne (zasobami krajowymi lub importowanymi) dla gospodarki; pewność transportu i dystrybucji tych surowców oraz paliw; następnie pewność produkcji energii elektrycznej i ciepła, a także ich przesył i dystrybucja do odbiorców końcowych.</w:t>
                      </w:r>
                    </w:p>
                  </w:txbxContent>
                </v:textbox>
                <w10:wrap type="square" anchorx="margin"/>
              </v:roundrect>
            </w:pict>
          </mc:Fallback>
        </mc:AlternateContent>
      </w:r>
      <w:r>
        <w:t xml:space="preserve">W ujęciu prawnym </w:t>
      </w:r>
      <w:r w:rsidRPr="00564F99">
        <w:rPr>
          <w:i/>
          <w:iCs/>
        </w:rPr>
        <w:t>bezpieczeństwo energetyczne</w:t>
      </w:r>
      <w:r>
        <w:t xml:space="preserve"> to </w:t>
      </w:r>
      <w:r w:rsidRPr="00471A6A">
        <w:t>stan gospodarki umożliwiający pokrycie bieżącego i</w:t>
      </w:r>
      <w:r>
        <w:t xml:space="preserve"> </w:t>
      </w:r>
      <w:r w:rsidRPr="00471A6A">
        <w:t>perspektywicznego</w:t>
      </w:r>
      <w:r>
        <w:t xml:space="preserve"> </w:t>
      </w:r>
      <w:r w:rsidRPr="00471A6A">
        <w:t>zapotrzebowania odbiorców na paliwa i energię</w:t>
      </w:r>
      <w:r>
        <w:t xml:space="preserve"> </w:t>
      </w:r>
      <w:r w:rsidRPr="00471A6A">
        <w:t>w sposób technicznie i ekonomicznie uzasadniony, przy zachowaniu wymagań ochrony środowiska</w:t>
      </w:r>
      <w:r>
        <w:rPr>
          <w:rStyle w:val="Odwoanieprzypisudolnego"/>
        </w:rPr>
        <w:footnoteReference w:id="88"/>
      </w:r>
      <w:r>
        <w:t xml:space="preserve">. </w:t>
      </w:r>
    </w:p>
    <w:p w14:paraId="27A55264" w14:textId="77777777" w:rsidR="0034179E" w:rsidRDefault="0034179E" w:rsidP="0034179E">
      <w:r>
        <w:t>W tej części określono ogólny cel w zakresie bezpieczeństwa energetycznego, będący wynikiem realizacji celów określonych w odniesieniu do poszczególnych segmentów sektora paliwowo-energetycznego, które określono w kolejnych obszarach wymiaru 3.</w:t>
      </w:r>
    </w:p>
    <w:p w14:paraId="0C569083" w14:textId="0FF36D5F" w:rsidR="0034179E" w:rsidRPr="003F0371" w:rsidRDefault="0034179E" w:rsidP="0034179E">
      <w:pPr>
        <w:pStyle w:val="Nagwek4"/>
        <w:rPr>
          <w:color w:val="C00000"/>
        </w:rPr>
      </w:pPr>
      <w:bookmarkStart w:id="416" w:name="_Toc159598313"/>
      <w:bookmarkStart w:id="417" w:name="_Toc195897299"/>
      <w:bookmarkStart w:id="418" w:name="_Toc205203188"/>
      <w:r w:rsidRPr="003F0371">
        <w:rPr>
          <w:color w:val="C00000"/>
        </w:rPr>
        <w:t xml:space="preserve">Zapewnienie </w:t>
      </w:r>
      <w:bookmarkEnd w:id="416"/>
      <w:bookmarkEnd w:id="417"/>
      <w:r w:rsidR="00861401">
        <w:rPr>
          <w:color w:val="C00000"/>
        </w:rPr>
        <w:t xml:space="preserve">niezależności </w:t>
      </w:r>
      <w:r w:rsidR="000F465F">
        <w:rPr>
          <w:color w:val="C00000"/>
        </w:rPr>
        <w:t>energetyczne</w:t>
      </w:r>
      <w:r w:rsidR="00861401">
        <w:rPr>
          <w:color w:val="C00000"/>
        </w:rPr>
        <w:t>j</w:t>
      </w:r>
      <w:bookmarkEnd w:id="418"/>
      <w:r w:rsidRPr="003F0371">
        <w:rPr>
          <w:color w:val="C00000"/>
        </w:rPr>
        <w:t xml:space="preserve"> </w:t>
      </w:r>
    </w:p>
    <w:p w14:paraId="6FF29E52" w14:textId="195D7A9F" w:rsidR="0034179E" w:rsidRDefault="0034179E" w:rsidP="0034179E">
      <w:r>
        <w:t>Kryzys energetyczny, który rozpoczął się w 2021 r. i został pogłębiony wybuchem wojny na Ukrainie w lutym 2022 r. spowodował, że bezpieczeństwo energetyczne pierwszy raz od wielu lat wymagało bezpośredniej i natychmiastowej interwencji. Uwidoczniły się także obszary wymagające wzmocnienia, tak aby zredukować ryzyko zaburzenia pewności dostaw paliw i energii oraz wpływu jednego wydarzenia na ceny paliw i energii, a w konsekwencji na inflację.</w:t>
      </w:r>
      <w:r w:rsidR="00554085">
        <w:t xml:space="preserve"> </w:t>
      </w:r>
      <w:r w:rsidR="0068322A">
        <w:t>Szczególn</w:t>
      </w:r>
      <w:r w:rsidR="00631013">
        <w:t xml:space="preserve">ej dyskusji poddawano kwestie zależności </w:t>
      </w:r>
      <w:r w:rsidR="009E5506">
        <w:t xml:space="preserve">dostaw od surowców i paliw </w:t>
      </w:r>
      <w:r w:rsidR="00EA6DEB">
        <w:t>importowanych</w:t>
      </w:r>
      <w:r w:rsidR="009C7BA1">
        <w:t xml:space="preserve"> oraz </w:t>
      </w:r>
      <w:r w:rsidR="00446E89">
        <w:t>związanych z tym</w:t>
      </w:r>
      <w:r w:rsidR="00464488">
        <w:t xml:space="preserve"> </w:t>
      </w:r>
      <w:r w:rsidR="004A7001">
        <w:t xml:space="preserve">wydatków. </w:t>
      </w:r>
      <w:r w:rsidR="004A7001" w:rsidRPr="00652FF9">
        <w:rPr>
          <w:color w:val="000000" w:themeColor="text1"/>
          <w:szCs w:val="18"/>
        </w:rPr>
        <w:t>W 2023 r.</w:t>
      </w:r>
      <w:r w:rsidR="004A7001" w:rsidRPr="00652FF9">
        <w:rPr>
          <w:color w:val="000000" w:themeColor="text1"/>
        </w:rPr>
        <w:t xml:space="preserve"> koszt importu do Polski surowców energetycznych wyniósł ok. 130 mld zł</w:t>
      </w:r>
      <w:r w:rsidR="00CF31A6">
        <w:rPr>
          <w:color w:val="000000" w:themeColor="text1"/>
        </w:rPr>
        <w:t>.</w:t>
      </w:r>
      <w:r w:rsidR="00A8309E">
        <w:rPr>
          <w:color w:val="000000" w:themeColor="text1"/>
        </w:rPr>
        <w:t xml:space="preserve"> </w:t>
      </w:r>
      <w:r w:rsidR="00E52734">
        <w:rPr>
          <w:color w:val="000000" w:themeColor="text1"/>
        </w:rPr>
        <w:t>Tak istotne</w:t>
      </w:r>
      <w:r w:rsidR="00A8309E">
        <w:rPr>
          <w:color w:val="000000" w:themeColor="text1"/>
        </w:rPr>
        <w:t xml:space="preserve"> wydatki mogłyby być alternatywnie ponoszone </w:t>
      </w:r>
      <w:r w:rsidR="0035675C">
        <w:rPr>
          <w:color w:val="000000" w:themeColor="text1"/>
        </w:rPr>
        <w:t>na inwestycje</w:t>
      </w:r>
      <w:r w:rsidR="00E52734">
        <w:rPr>
          <w:color w:val="000000" w:themeColor="text1"/>
        </w:rPr>
        <w:t xml:space="preserve"> w </w:t>
      </w:r>
      <w:r w:rsidR="000927FE">
        <w:rPr>
          <w:color w:val="000000" w:themeColor="text1"/>
        </w:rPr>
        <w:t xml:space="preserve">rozwiązania </w:t>
      </w:r>
      <w:r w:rsidR="00E52734">
        <w:rPr>
          <w:color w:val="000000" w:themeColor="text1"/>
        </w:rPr>
        <w:t>bezemisyjne,</w:t>
      </w:r>
      <w:r w:rsidR="000927FE">
        <w:rPr>
          <w:color w:val="000000" w:themeColor="text1"/>
        </w:rPr>
        <w:t xml:space="preserve"> wysokosprawne, nowoczesne, innowacyjne – wspierając krajową </w:t>
      </w:r>
      <w:r w:rsidR="00857115">
        <w:rPr>
          <w:color w:val="000000" w:themeColor="text1"/>
        </w:rPr>
        <w:t>gospodarkę i jej konkurencyjność,</w:t>
      </w:r>
      <w:r w:rsidR="003F2C17">
        <w:rPr>
          <w:color w:val="000000" w:themeColor="text1"/>
        </w:rPr>
        <w:t xml:space="preserve"> </w:t>
      </w:r>
      <w:r w:rsidR="00CE6A17">
        <w:rPr>
          <w:color w:val="000000" w:themeColor="text1"/>
        </w:rPr>
        <w:t>redukując</w:t>
      </w:r>
      <w:r w:rsidR="007E7B70">
        <w:rPr>
          <w:color w:val="000000" w:themeColor="text1"/>
        </w:rPr>
        <w:t xml:space="preserve"> opóźnienia w</w:t>
      </w:r>
      <w:r w:rsidR="00F96DE3">
        <w:rPr>
          <w:color w:val="000000" w:themeColor="text1"/>
        </w:rPr>
        <w:t> </w:t>
      </w:r>
      <w:r w:rsidR="007E7B70">
        <w:rPr>
          <w:color w:val="000000" w:themeColor="text1"/>
        </w:rPr>
        <w:t xml:space="preserve">transformacji </w:t>
      </w:r>
      <w:r w:rsidR="00CE6A17">
        <w:rPr>
          <w:color w:val="000000" w:themeColor="text1"/>
        </w:rPr>
        <w:t>klimatyczno-energetycznej</w:t>
      </w:r>
      <w:r w:rsidR="007E7B70">
        <w:rPr>
          <w:color w:val="000000" w:themeColor="text1"/>
        </w:rPr>
        <w:t xml:space="preserve"> i </w:t>
      </w:r>
      <w:r w:rsidR="00C05984">
        <w:rPr>
          <w:color w:val="000000" w:themeColor="text1"/>
        </w:rPr>
        <w:t>wpływając</w:t>
      </w:r>
      <w:r w:rsidR="007E7B70">
        <w:rPr>
          <w:color w:val="000000" w:themeColor="text1"/>
        </w:rPr>
        <w:t xml:space="preserve"> na </w:t>
      </w:r>
      <w:r w:rsidR="00844474">
        <w:rPr>
          <w:color w:val="000000" w:themeColor="text1"/>
        </w:rPr>
        <w:t>obniżenie kosztów wytwarzania energii.</w:t>
      </w:r>
    </w:p>
    <w:p w14:paraId="49B09A7D" w14:textId="5C59777D" w:rsidR="0034179E" w:rsidRDefault="0034179E" w:rsidP="0034179E">
      <w:r>
        <w:t xml:space="preserve">Zarówno w unijnej, jak i krajowej polityce energetycznej silnie zaczęto podkreślać znaczenie </w:t>
      </w:r>
      <w:r w:rsidR="007972DA">
        <w:rPr>
          <w:b/>
          <w:bCs/>
        </w:rPr>
        <w:t>niezależności</w:t>
      </w:r>
      <w:r w:rsidR="007972DA" w:rsidRPr="000B376A">
        <w:rPr>
          <w:b/>
          <w:bCs/>
        </w:rPr>
        <w:t xml:space="preserve"> </w:t>
      </w:r>
      <w:r w:rsidRPr="000B376A">
        <w:rPr>
          <w:b/>
          <w:bCs/>
        </w:rPr>
        <w:t>energetycznej</w:t>
      </w:r>
      <w:r>
        <w:rPr>
          <w:b/>
          <w:bCs/>
        </w:rPr>
        <w:t xml:space="preserve"> i wzmacniania odporności na zaburzenia występujące na arenie geopolitycznej</w:t>
      </w:r>
      <w:r>
        <w:t>, którą rozumieć należy jako zdolność do pokrycia zapotrzebowania na paliwa i</w:t>
      </w:r>
      <w:r w:rsidR="00F96DE3">
        <w:t> </w:t>
      </w:r>
      <w:r>
        <w:t xml:space="preserve">energię niezależnie od działań podmiotów i sytuacji zewnętrznej. </w:t>
      </w:r>
      <w:r w:rsidR="00C342F2" w:rsidRPr="00780164">
        <w:t>Oznacza to konieczność zapewnienia dywersyfikacji importu zarówno pod względem źródeł energii, jak i kierunków dostaw. Taka</w:t>
      </w:r>
      <w:r w:rsidR="00F96DE3">
        <w:t> </w:t>
      </w:r>
      <w:r w:rsidR="00C342F2" w:rsidRPr="00780164">
        <w:t>dywersyfikacja powinna minimalizować wpływ ewentualnych zakłóceń w jednym sektorze lub w</w:t>
      </w:r>
      <w:r w:rsidR="008155B0">
        <w:t> </w:t>
      </w:r>
      <w:r w:rsidR="00C342F2" w:rsidRPr="00780164">
        <w:t xml:space="preserve">dostawach z konkretnego kierunku na cały sektor energetyczny </w:t>
      </w:r>
      <w:r w:rsidR="00C342F2">
        <w:t>i</w:t>
      </w:r>
      <w:r w:rsidR="00C342F2" w:rsidRPr="00780164">
        <w:t xml:space="preserve"> ograniczać ryzyko wzrostu cen energii</w:t>
      </w:r>
      <w:r>
        <w:t>.</w:t>
      </w:r>
    </w:p>
    <w:p w14:paraId="17237A11" w14:textId="01507030" w:rsidR="0034179E" w:rsidRDefault="0034179E" w:rsidP="0034179E">
      <w:pPr>
        <w:pStyle w:val="Cele"/>
        <w:rPr>
          <w:rStyle w:val="CeleZnak"/>
          <w:b/>
        </w:rPr>
      </w:pPr>
      <w:r w:rsidRPr="008952BB">
        <w:rPr>
          <w:rStyle w:val="CeleZnak"/>
          <w:bCs/>
        </w:rPr>
        <w:t>Polska jako cel określa</w:t>
      </w:r>
      <w:r>
        <w:rPr>
          <w:rStyle w:val="CeleZnak"/>
          <w:b/>
        </w:rPr>
        <w:t xml:space="preserve"> trwałe zapewnienie </w:t>
      </w:r>
      <w:r w:rsidR="00861401">
        <w:rPr>
          <w:rStyle w:val="CeleZnak"/>
          <w:b/>
        </w:rPr>
        <w:t xml:space="preserve">niezależności </w:t>
      </w:r>
      <w:r>
        <w:rPr>
          <w:rStyle w:val="CeleZnak"/>
          <w:b/>
        </w:rPr>
        <w:t>energetycznej</w:t>
      </w:r>
      <w:r w:rsidR="00D867A0">
        <w:rPr>
          <w:rStyle w:val="CeleZnak"/>
          <w:b/>
        </w:rPr>
        <w:t xml:space="preserve"> </w:t>
      </w:r>
      <w:r>
        <w:rPr>
          <w:rStyle w:val="CeleZnak"/>
          <w:b/>
        </w:rPr>
        <w:t>i dążenie do jej wzmacniania. W</w:t>
      </w:r>
      <w:r w:rsidR="000541F6">
        <w:rPr>
          <w:rStyle w:val="CeleZnak"/>
          <w:b/>
        </w:rPr>
        <w:t xml:space="preserve"> </w:t>
      </w:r>
      <w:r>
        <w:rPr>
          <w:rStyle w:val="CeleZnak"/>
          <w:b/>
        </w:rPr>
        <w:t xml:space="preserve">tym kontekście Polska będzie dążyć do zapewnienia </w:t>
      </w:r>
      <w:r w:rsidR="006E4EA1">
        <w:rPr>
          <w:rStyle w:val="CeleZnak"/>
          <w:b/>
        </w:rPr>
        <w:t xml:space="preserve">wskaźnika </w:t>
      </w:r>
      <w:r>
        <w:rPr>
          <w:rStyle w:val="CeleZnak"/>
          <w:b/>
        </w:rPr>
        <w:t>niezależności energetycznej powyżej średniej unijnej.</w:t>
      </w:r>
    </w:p>
    <w:p w14:paraId="470E8AAF" w14:textId="60F9DC97" w:rsidR="0034179E" w:rsidRDefault="0034179E" w:rsidP="0034179E">
      <w:r>
        <w:t xml:space="preserve">Ze względu na wielowymiarowość </w:t>
      </w:r>
      <w:r w:rsidR="000F465F">
        <w:t>bezpieczeństwa energetycznego</w:t>
      </w:r>
      <w:r>
        <w:t xml:space="preserve"> żadna miara nie pozwala w pełni ocenić realizacji celu. Wpływ na to ma spełnienie pozostałych celów określonych w tym wymiarze – od optymalizacji struktury wydobywczej, dywersyfikacji struktury zużycia energii po dywersyfikację dostaw surowców, a w przypadku ich niespełnienia ocena zapewnienia </w:t>
      </w:r>
      <w:r w:rsidR="003F579B">
        <w:t>bezpieczeństwa energetycznego</w:t>
      </w:r>
      <w:r>
        <w:t xml:space="preserve"> jest zależna od wystąpienia silnych zakłóceń w dostawach energii lub wzrostu cen energii do poziomów nieakceptowalnych przez gospodarkę.</w:t>
      </w:r>
    </w:p>
    <w:p w14:paraId="7580A4F1" w14:textId="77777777" w:rsidR="0034179E" w:rsidRDefault="0034179E" w:rsidP="0034179E">
      <w:pPr>
        <w:pStyle w:val="PaMs"/>
      </w:pPr>
      <w:r w:rsidRPr="00C46DAA">
        <w:lastRenderedPageBreak/>
        <w:t>POLITYKA</w:t>
      </w:r>
    </w:p>
    <w:p w14:paraId="73EC1471" w14:textId="45FAA414" w:rsidR="0041527F" w:rsidRDefault="0034179E" w:rsidP="0041527F">
      <w:r>
        <w:t xml:space="preserve">Do zapewnienia </w:t>
      </w:r>
      <w:r w:rsidR="000B1FFD">
        <w:t>niezależności energetycznej</w:t>
      </w:r>
      <w:r>
        <w:t xml:space="preserve">, </w:t>
      </w:r>
      <w:r w:rsidR="000D1AC6">
        <w:t>a</w:t>
      </w:r>
      <w:r>
        <w:t xml:space="preserve"> w </w:t>
      </w:r>
      <w:r w:rsidRPr="00975A22">
        <w:t>konsekwencji odporności gospodarki</w:t>
      </w:r>
      <w:r>
        <w:t xml:space="preserve">, przyczyniać się będzie odpowiednio zdywersyfikowana </w:t>
      </w:r>
      <w:r w:rsidRPr="005751F2">
        <w:rPr>
          <w:b/>
          <w:bCs/>
        </w:rPr>
        <w:t xml:space="preserve">struktura </w:t>
      </w:r>
      <w:r>
        <w:rPr>
          <w:b/>
          <w:bCs/>
        </w:rPr>
        <w:t xml:space="preserve">paliwowa </w:t>
      </w:r>
      <w:r w:rsidRPr="005751F2">
        <w:rPr>
          <w:b/>
          <w:bCs/>
        </w:rPr>
        <w:t>zużycia</w:t>
      </w:r>
      <w:r>
        <w:t xml:space="preserve"> energii pierwotnej i finalnej w gospodarce oraz </w:t>
      </w:r>
      <w:r w:rsidRPr="005751F2">
        <w:rPr>
          <w:b/>
          <w:bCs/>
        </w:rPr>
        <w:t>zachowanie ograniczonego poziomu zależności importowej</w:t>
      </w:r>
      <w:r>
        <w:t xml:space="preserve">. </w:t>
      </w:r>
      <w:r w:rsidR="00CB731B" w:rsidRPr="0041527F">
        <w:t xml:space="preserve">Kluczowe znaczenie będzie miała </w:t>
      </w:r>
      <w:r w:rsidRPr="005408CE">
        <w:rPr>
          <w:b/>
          <w:bCs/>
        </w:rPr>
        <w:t>dywersyfikacj</w:t>
      </w:r>
      <w:r>
        <w:rPr>
          <w:b/>
          <w:bCs/>
        </w:rPr>
        <w:t>a</w:t>
      </w:r>
      <w:r w:rsidRPr="005408CE">
        <w:rPr>
          <w:b/>
          <w:bCs/>
        </w:rPr>
        <w:t xml:space="preserve"> struktury wytwarzania energii</w:t>
      </w:r>
      <w:r>
        <w:t xml:space="preserve"> oparta </w:t>
      </w:r>
      <w:r w:rsidR="004079A7">
        <w:t xml:space="preserve">na </w:t>
      </w:r>
      <w:r>
        <w:t>zróżnicowany</w:t>
      </w:r>
      <w:r w:rsidR="00CB731B">
        <w:t>m</w:t>
      </w:r>
      <w:r>
        <w:t xml:space="preserve"> strukturalnie </w:t>
      </w:r>
      <w:r w:rsidR="005A6AC0">
        <w:t xml:space="preserve">wzroście </w:t>
      </w:r>
      <w:r>
        <w:t>wykorzystania krajowych</w:t>
      </w:r>
      <w:r w:rsidR="00422A69">
        <w:t>,</w:t>
      </w:r>
      <w:r>
        <w:t xml:space="preserve"> w szczególności zeroemisyjnych źródeł energii (przy czym w przypadku pokrycia zapotrzebowania na energię elektryczną niezbędne jest jednoczesne zapewnienie </w:t>
      </w:r>
      <w:r w:rsidR="004079A7" w:rsidRPr="0041527F">
        <w:t>stabilności pracy krajowego systemu elektroenergetycznego</w:t>
      </w:r>
      <w:r w:rsidR="004079A7">
        <w:t xml:space="preserve">). </w:t>
      </w:r>
      <w:r w:rsidR="004079A7" w:rsidRPr="0041527F">
        <w:t>Mimo wielu korzyści, rozwój energetyki jądrowej wiąże się z zależnością</w:t>
      </w:r>
      <w:r w:rsidR="00C342F2" w:rsidRPr="00F622C6">
        <w:t xml:space="preserve"> od importu paliwa jądrowego. Jednocześnie może pozytywnie wpłynąć na </w:t>
      </w:r>
      <w:r w:rsidR="00697125">
        <w:t>bezpieczeństwo energetyczne</w:t>
      </w:r>
      <w:r w:rsidR="00131E84">
        <w:t>,</w:t>
      </w:r>
      <w:r w:rsidR="00C342F2" w:rsidRPr="00F622C6">
        <w:t xml:space="preserve"> dzięki możliwości </w:t>
      </w:r>
      <w:r w:rsidR="00131E84">
        <w:t xml:space="preserve">tworzenia </w:t>
      </w:r>
      <w:r w:rsidR="00C342F2" w:rsidRPr="00F622C6">
        <w:t xml:space="preserve">wieloletnich zapasów tego paliwa, co </w:t>
      </w:r>
      <w:r w:rsidR="00FA7AEC" w:rsidRPr="00F622C6">
        <w:t xml:space="preserve">pozwala na utrzymanie stabilności dostaw </w:t>
      </w:r>
      <w:r w:rsidR="00FA7AEC">
        <w:t xml:space="preserve">i </w:t>
      </w:r>
      <w:r w:rsidR="00C342F2" w:rsidRPr="00F622C6">
        <w:t>jest wymagane przez międzynarodowe standardy</w:t>
      </w:r>
      <w:r>
        <w:t>.</w:t>
      </w:r>
    </w:p>
    <w:p w14:paraId="5DBA46FB" w14:textId="3B755F9E" w:rsidR="0034179E" w:rsidRDefault="0034179E" w:rsidP="0034179E">
      <w:r>
        <w:t xml:space="preserve">Choć dążyć się będzie do stopniowego zastępowania paliw kopalnych przez zeroemisyjne źródła energii i alternatywne rozwiązania, w przejściowym okresie transformacji konieczne jest </w:t>
      </w:r>
      <w:r w:rsidR="00CB596F">
        <w:rPr>
          <w:b/>
          <w:bCs/>
        </w:rPr>
        <w:t>utrzymanie odpowiedniego poziomu</w:t>
      </w:r>
      <w:r w:rsidRPr="00C42CCF">
        <w:rPr>
          <w:b/>
          <w:bCs/>
        </w:rPr>
        <w:t xml:space="preserve"> dywersyfikacji dostaw gazu ziemnego i ropy naftowej</w:t>
      </w:r>
      <w:r>
        <w:t xml:space="preserve">. W odniesieniu do zapotrzebowania na węgiel kamienny, dążyć się będzie do możliwości pokrycia zapotrzebowania na ten surowiec zasobami krajowymi, co będzie szczególnie dużym wyzwaniem w obszarze popytu gospodarstw domowych i innych drobnych odbiorców. </w:t>
      </w:r>
      <w:r w:rsidR="002E75FF" w:rsidRPr="002E75FF">
        <w:t xml:space="preserve">W celu </w:t>
      </w:r>
      <w:r w:rsidR="002E75FF" w:rsidRPr="001705FB">
        <w:rPr>
          <w:b/>
        </w:rPr>
        <w:t>zabezpieczenia krajowych potrzeb energetycznych</w:t>
      </w:r>
      <w:r w:rsidR="002E75FF" w:rsidRPr="002E75FF">
        <w:t xml:space="preserve"> dążyć się będzie do ich realizacji w oparciu o źródła wytwórcze zlokalizowane w kraju. Jednocześnie nie wyklucza się kontynuacji międzysystemowej wymiany energii z państwami sąsiednimi.</w:t>
      </w:r>
      <w:r>
        <w:t xml:space="preserve"> Zapotrzebowanie na ciepło, ze względu na specyfikę funkcjonowania sektora</w:t>
      </w:r>
      <w:r w:rsidR="00E30F95">
        <w:t>,</w:t>
      </w:r>
      <w:r>
        <w:t xml:space="preserve"> będzie pokrywane źródłami własnymi.</w:t>
      </w:r>
    </w:p>
    <w:p w14:paraId="27C64AC4" w14:textId="20E20DC3" w:rsidR="000541F6" w:rsidRPr="00F179C0" w:rsidRDefault="00F82708" w:rsidP="0034179E">
      <w:pPr>
        <w:rPr>
          <w:i/>
          <w:iCs/>
        </w:rPr>
      </w:pPr>
      <w:r>
        <w:rPr>
          <w:i/>
          <w:iCs/>
        </w:rPr>
        <w:t xml:space="preserve">Uszczegółowienie ww. kwestii stanowią polityki </w:t>
      </w:r>
      <w:r w:rsidR="0034179E">
        <w:rPr>
          <w:i/>
          <w:iCs/>
        </w:rPr>
        <w:t>i działania wskazane przy kolejnych celach szczegółowych.</w:t>
      </w:r>
    </w:p>
    <w:p w14:paraId="50AE4C58" w14:textId="77777777" w:rsidR="0034179E" w:rsidRPr="00C46DAA" w:rsidRDefault="0034179E" w:rsidP="0034179E">
      <w:pPr>
        <w:pStyle w:val="PaMs"/>
      </w:pPr>
      <w:r w:rsidRPr="00C46DAA">
        <w:t>DZIAŁANIA</w:t>
      </w:r>
    </w:p>
    <w:p w14:paraId="49B3A189" w14:textId="68B33089" w:rsidR="0034179E" w:rsidRDefault="0034179E" w:rsidP="0034179E">
      <w:pPr>
        <w:rPr>
          <w:i/>
          <w:iCs/>
        </w:rPr>
      </w:pPr>
      <w:r w:rsidRPr="00B401BF">
        <w:rPr>
          <w:i/>
          <w:iCs/>
        </w:rPr>
        <w:t xml:space="preserve">Do </w:t>
      </w:r>
      <w:r>
        <w:rPr>
          <w:i/>
          <w:iCs/>
        </w:rPr>
        <w:t>realizacji celu przyczyniać się będą działania opisane w odniesieniu do kolejnych celów szczegółowych – od działań wpływających na dywersyfikację dostaw surowców</w:t>
      </w:r>
      <w:r w:rsidR="00EB71AE">
        <w:rPr>
          <w:i/>
          <w:iCs/>
        </w:rPr>
        <w:t xml:space="preserve"> importowanych</w:t>
      </w:r>
      <w:r>
        <w:rPr>
          <w:i/>
          <w:iCs/>
        </w:rPr>
        <w:t xml:space="preserve">, przez zapewnienie pokrycia zapotrzebowania na energię elektryczną i ciepło oraz zastępowanie paliw kopalnych </w:t>
      </w:r>
      <w:r w:rsidR="006E1A83">
        <w:rPr>
          <w:i/>
          <w:iCs/>
        </w:rPr>
        <w:t>innymi</w:t>
      </w:r>
      <w:r>
        <w:rPr>
          <w:i/>
          <w:iCs/>
        </w:rPr>
        <w:t xml:space="preserve"> źródłami </w:t>
      </w:r>
      <w:r w:rsidR="001705FB">
        <w:rPr>
          <w:i/>
          <w:iCs/>
        </w:rPr>
        <w:t>e</w:t>
      </w:r>
      <w:r w:rsidR="003A6776">
        <w:rPr>
          <w:i/>
          <w:iCs/>
        </w:rPr>
        <w:t>nergii</w:t>
      </w:r>
      <w:r>
        <w:rPr>
          <w:i/>
          <w:iCs/>
        </w:rPr>
        <w:t xml:space="preserve"> i</w:t>
      </w:r>
      <w:r w:rsidR="00073B46">
        <w:rPr>
          <w:i/>
          <w:iCs/>
        </w:rPr>
        <w:t> </w:t>
      </w:r>
      <w:r>
        <w:rPr>
          <w:i/>
          <w:iCs/>
        </w:rPr>
        <w:t>surowcami</w:t>
      </w:r>
      <w:r w:rsidR="000459D7">
        <w:rPr>
          <w:i/>
          <w:iCs/>
        </w:rPr>
        <w:t>, w szczególności</w:t>
      </w:r>
      <w:r w:rsidR="000459D7" w:rsidRPr="000459D7">
        <w:rPr>
          <w:i/>
          <w:iCs/>
        </w:rPr>
        <w:t xml:space="preserve"> </w:t>
      </w:r>
      <w:r w:rsidR="000459D7">
        <w:rPr>
          <w:i/>
          <w:iCs/>
        </w:rPr>
        <w:t>własnymi</w:t>
      </w:r>
      <w:r>
        <w:rPr>
          <w:i/>
          <w:iCs/>
        </w:rPr>
        <w:t>.</w:t>
      </w:r>
    </w:p>
    <w:p w14:paraId="7D1931C9" w14:textId="1C0B2A5F" w:rsidR="00F179C0" w:rsidRPr="00F179C0" w:rsidRDefault="00F179C0" w:rsidP="00F179C0">
      <w:pPr>
        <w:pStyle w:val="Nagwek4"/>
        <w:rPr>
          <w:color w:val="C00000"/>
        </w:rPr>
      </w:pPr>
      <w:bookmarkStart w:id="419" w:name="_Ref175329723"/>
      <w:bookmarkStart w:id="420" w:name="_Ref175329735"/>
      <w:bookmarkStart w:id="421" w:name="_Toc195897300"/>
      <w:bookmarkStart w:id="422" w:name="_Toc205203189"/>
      <w:r w:rsidRPr="00F179C0">
        <w:rPr>
          <w:color w:val="C00000"/>
        </w:rPr>
        <w:t>Perspektywiczne pokrywanie zapotrzebowania na</w:t>
      </w:r>
      <w:r>
        <w:rPr>
          <w:color w:val="C00000"/>
        </w:rPr>
        <w:t> </w:t>
      </w:r>
      <w:r w:rsidRPr="00F179C0">
        <w:rPr>
          <w:color w:val="C00000"/>
        </w:rPr>
        <w:t>surowce krytyczne</w:t>
      </w:r>
      <w:bookmarkEnd w:id="419"/>
      <w:bookmarkEnd w:id="420"/>
      <w:bookmarkEnd w:id="421"/>
      <w:bookmarkEnd w:id="422"/>
      <w:r w:rsidRPr="00F179C0">
        <w:rPr>
          <w:color w:val="C00000"/>
        </w:rPr>
        <w:t xml:space="preserve"> </w:t>
      </w:r>
    </w:p>
    <w:p w14:paraId="3926DEDC" w14:textId="06875755" w:rsidR="008C1A13" w:rsidRDefault="00F179C0" w:rsidP="00CF1FAC">
      <w:r>
        <w:t>W świetle realizacji założeń transformacji energetycznej wzrasta rola surowców nieenergetycznych. Lit, nikiel, kobalt i grafit mają kluczowe znaczenie do produkcji baterii i magazynów energii. Pierwiastki ziem rzadkich są niezbędne do trwałych magnesów, które są konieczne do produkcji silników elektrycznych i turbin wiatrowych. Produkcja wodoru wymaga niklu lub metali z grupy platynowców w zależności od rodzaju technologii. Miedź i aluminium są podstawowymi surowcami w</w:t>
      </w:r>
      <w:r w:rsidR="008155B0">
        <w:t> </w:t>
      </w:r>
      <w:r>
        <w:t>prawie wszystkich technologiach związanych z</w:t>
      </w:r>
      <w:r w:rsidR="008155B0">
        <w:t> </w:t>
      </w:r>
      <w:r>
        <w:t>energią elektryczną. Surowce krytyczne to surowce o dużym znaczeniu gospodarczym dla UE, których podaż może z dużym prawdopodobieństwem ulec zakłóceniom z powodu koncentracji źródeł oraz braku dobrych, przystępnych cenowo substytutów.</w:t>
      </w:r>
      <w:r w:rsidR="008C1A13">
        <w:t xml:space="preserve"> </w:t>
      </w:r>
    </w:p>
    <w:p w14:paraId="12925138" w14:textId="1B36B1C2" w:rsidR="00F179C0" w:rsidRDefault="008C1A13" w:rsidP="00F179C0">
      <w:r>
        <w:t xml:space="preserve">Na poziomie UE określono listę surowców krytycznych. </w:t>
      </w:r>
      <w:r w:rsidRPr="008C1A13">
        <w:rPr>
          <w:b/>
          <w:bCs/>
        </w:rPr>
        <w:t xml:space="preserve">Spośród 34 zidentyfikowanych surowców krytycznych </w:t>
      </w:r>
      <w:r w:rsidR="004223E5">
        <w:rPr>
          <w:b/>
          <w:bCs/>
        </w:rPr>
        <w:t>1</w:t>
      </w:r>
      <w:r w:rsidR="009A1651">
        <w:rPr>
          <w:b/>
          <w:bCs/>
        </w:rPr>
        <w:t>7</w:t>
      </w:r>
      <w:r w:rsidR="004223E5" w:rsidRPr="008C1A13">
        <w:rPr>
          <w:b/>
          <w:bCs/>
        </w:rPr>
        <w:t xml:space="preserve"> </w:t>
      </w:r>
      <w:r w:rsidRPr="008C1A13">
        <w:rPr>
          <w:b/>
          <w:bCs/>
        </w:rPr>
        <w:t>trafiło na listę surowców strategicznych</w:t>
      </w:r>
      <w:r w:rsidR="00546ECB">
        <w:rPr>
          <w:rStyle w:val="Odwoanieprzypisudolnego"/>
          <w:b/>
          <w:bCs/>
        </w:rPr>
        <w:footnoteReference w:id="89"/>
      </w:r>
      <w:r w:rsidR="00E21A05" w:rsidRPr="00E21A05">
        <w:t xml:space="preserve"> (na </w:t>
      </w:r>
      <w:r w:rsidR="00E21A05">
        <w:t xml:space="preserve">rysunku </w:t>
      </w:r>
      <w:r w:rsidR="00E30F95">
        <w:t>oznaczone</w:t>
      </w:r>
      <w:r w:rsidR="00E21A05">
        <w:t xml:space="preserve"> na żółto)</w:t>
      </w:r>
      <w:r w:rsidR="00E21A05" w:rsidRPr="00E21A05">
        <w:t>.</w:t>
      </w:r>
      <w:r w:rsidR="000D3722">
        <w:t xml:space="preserve"> </w:t>
      </w:r>
    </w:p>
    <w:p w14:paraId="04F9FCBB" w14:textId="0E99E5A0" w:rsidR="00E21A05" w:rsidRDefault="00E21A05" w:rsidP="00F179C0"/>
    <w:tbl>
      <w:tblPr>
        <w:tblStyle w:val="Tabela-Siatka"/>
        <w:tblpPr w:leftFromText="141" w:rightFromText="141" w:vertAnchor="text" w:horzAnchor="page" w:tblpX="4656" w:tblpY="7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tblGrid>
      <w:tr w:rsidR="003B64E6" w14:paraId="20B76E4B" w14:textId="77777777" w:rsidTr="00C2303D">
        <w:trPr>
          <w:trHeight w:val="6198"/>
        </w:trPr>
        <w:tc>
          <w:tcPr>
            <w:tcW w:w="6276" w:type="dxa"/>
          </w:tcPr>
          <w:p w14:paraId="7A260C6B" w14:textId="49FE04AF" w:rsidR="003B64E6" w:rsidRDefault="00C2303D" w:rsidP="003B78B0">
            <w:pPr>
              <w:pStyle w:val="tyturys"/>
            </w:pPr>
            <w:r>
              <w:rPr>
                <w:noProof/>
                <w:lang w:eastAsia="pl-PL"/>
              </w:rPr>
              <w:lastRenderedPageBreak/>
              <mc:AlternateContent>
                <mc:Choice Requires="wpg">
                  <w:drawing>
                    <wp:anchor distT="0" distB="0" distL="114300" distR="114300" simplePos="0" relativeHeight="251906560" behindDoc="0" locked="0" layoutInCell="1" allowOverlap="1" wp14:anchorId="310691AE" wp14:editId="5FFA9A6F">
                      <wp:simplePos x="0" y="0"/>
                      <wp:positionH relativeFrom="column">
                        <wp:posOffset>1724</wp:posOffset>
                      </wp:positionH>
                      <wp:positionV relativeFrom="paragraph">
                        <wp:posOffset>476976</wp:posOffset>
                      </wp:positionV>
                      <wp:extent cx="3845560" cy="3381375"/>
                      <wp:effectExtent l="0" t="0" r="2540" b="9525"/>
                      <wp:wrapNone/>
                      <wp:docPr id="1498592502" name="Grupa 3"/>
                      <wp:cNvGraphicFramePr/>
                      <a:graphic xmlns:a="http://schemas.openxmlformats.org/drawingml/2006/main">
                        <a:graphicData uri="http://schemas.microsoft.com/office/word/2010/wordprocessingGroup">
                          <wpg:wgp>
                            <wpg:cNvGrpSpPr/>
                            <wpg:grpSpPr>
                              <a:xfrm>
                                <a:off x="0" y="0"/>
                                <a:ext cx="3845560" cy="3381375"/>
                                <a:chOff x="0" y="0"/>
                                <a:chExt cx="3845560" cy="3381375"/>
                              </a:xfrm>
                            </wpg:grpSpPr>
                            <pic:pic xmlns:pic="http://schemas.openxmlformats.org/drawingml/2006/picture">
                              <pic:nvPicPr>
                                <pic:cNvPr id="64305101" name="Obraz 1" descr="Obraz zawierający tekst, zrzut ekranu, krąg, Czcionka&#10;&#10;Opis wygenerowany automatycznie"/>
                                <pic:cNvPicPr>
                                  <a:picLocks noChangeAspect="1"/>
                                </pic:cNvPicPr>
                              </pic:nvPicPr>
                              <pic:blipFill rotWithShape="1">
                                <a:blip r:embed="rId82"/>
                                <a:srcRect l="3142" b="6318"/>
                                <a:stretch/>
                              </pic:blipFill>
                              <pic:spPr bwMode="auto">
                                <a:xfrm>
                                  <a:off x="0" y="0"/>
                                  <a:ext cx="3845560" cy="3381375"/>
                                </a:xfrm>
                                <a:prstGeom prst="rect">
                                  <a:avLst/>
                                </a:prstGeom>
                                <a:ln>
                                  <a:noFill/>
                                </a:ln>
                                <a:extLst>
                                  <a:ext uri="{53640926-AAD7-44D8-BBD7-CCE9431645EC}">
                                    <a14:shadowObscured xmlns:a14="http://schemas.microsoft.com/office/drawing/2010/main"/>
                                  </a:ext>
                                </a:extLst>
                              </pic:spPr>
                            </pic:pic>
                            <wpg:grpSp>
                              <wpg:cNvPr id="716938969" name="Grupa 2"/>
                              <wpg:cNvGrpSpPr/>
                              <wpg:grpSpPr>
                                <a:xfrm>
                                  <a:off x="81642" y="1001485"/>
                                  <a:ext cx="2649493" cy="1459843"/>
                                  <a:chOff x="0" y="0"/>
                                  <a:chExt cx="2649493" cy="1459843"/>
                                </a:xfrm>
                              </wpg:grpSpPr>
                              <wps:wsp>
                                <wps:cNvPr id="931577671" name="Owal 1"/>
                                <wps:cNvSpPr>
                                  <a:spLocks noChangeAspect="1"/>
                                </wps:cNvSpPr>
                                <wps:spPr>
                                  <a:xfrm>
                                    <a:off x="2128158" y="919843"/>
                                    <a:ext cx="521335" cy="521335"/>
                                  </a:xfrm>
                                  <a:prstGeom prst="ellipse">
                                    <a:avLst/>
                                  </a:prstGeom>
                                  <a:solidFill>
                                    <a:srgbClr val="96B0D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A51A68" w14:textId="7F1D043E" w:rsidR="00C36C5C" w:rsidRPr="00C2303D" w:rsidRDefault="00C36C5C" w:rsidP="00CA6554">
                                      <w:pPr>
                                        <w:pStyle w:val="Bezodstpw"/>
                                        <w:rPr>
                                          <w:rFonts w:ascii="Aptos" w:hAnsi="Aptos"/>
                                          <w:color w:val="44546A" w:themeColor="text2"/>
                                        </w:rPr>
                                      </w:pPr>
                                      <w:r w:rsidRPr="00C2303D">
                                        <w:rPr>
                                          <w:rFonts w:ascii="Aptos" w:hAnsi="Aptos"/>
                                          <w:color w:val="44546A" w:themeColor="text2"/>
                                        </w:rPr>
                                        <w:t>MLZR</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33900469" name="Owal 1"/>
                                <wps:cNvSpPr>
                                  <a:spLocks noChangeAspect="1"/>
                                </wps:cNvSpPr>
                                <wps:spPr>
                                  <a:xfrm>
                                    <a:off x="511629" y="919843"/>
                                    <a:ext cx="540000" cy="54000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C9ECE8" w14:textId="497CD50D" w:rsidR="00C36C5C" w:rsidRPr="00C2303D" w:rsidRDefault="00C36C5C" w:rsidP="00AC32A8">
                                      <w:pPr>
                                        <w:spacing w:after="0"/>
                                        <w:jc w:val="center"/>
                                        <w:rPr>
                                          <w:rFonts w:ascii="Aptos" w:hAnsi="Aptos"/>
                                          <w:color w:val="44546A" w:themeColor="text2"/>
                                          <w:sz w:val="16"/>
                                          <w:szCs w:val="16"/>
                                        </w:rPr>
                                      </w:pPr>
                                      <w:r w:rsidRPr="00C2303D">
                                        <w:rPr>
                                          <w:rFonts w:ascii="Aptos" w:hAnsi="Aptos"/>
                                          <w:color w:val="44546A" w:themeColor="text2"/>
                                          <w:sz w:val="16"/>
                                          <w:szCs w:val="16"/>
                                        </w:rPr>
                                        <w:t>magnez</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136463959" name="Owal 1"/>
                                <wps:cNvSpPr>
                                  <a:spLocks noChangeAspect="1"/>
                                </wps:cNvSpPr>
                                <wps:spPr>
                                  <a:xfrm>
                                    <a:off x="0" y="0"/>
                                    <a:ext cx="521335" cy="521335"/>
                                  </a:xfrm>
                                  <a:prstGeom prst="ellipse">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A94C1B" w14:textId="74816254" w:rsidR="00C36C5C" w:rsidRPr="00CA6554" w:rsidRDefault="00C36C5C" w:rsidP="00C2303D">
                                      <w:pPr>
                                        <w:pStyle w:val="Bezodstpw"/>
                                        <w:rPr>
                                          <w:rFonts w:ascii="Aptos" w:hAnsi="Aptos"/>
                                        </w:rPr>
                                      </w:pPr>
                                      <w:r w:rsidRPr="00C2303D">
                                        <w:rPr>
                                          <w:rFonts w:ascii="Aptos" w:hAnsi="Aptos"/>
                                          <w:color w:val="44546A" w:themeColor="text2"/>
                                        </w:rPr>
                                        <w:t>MCZR</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grpSp>
                          </wpg:wgp>
                        </a:graphicData>
                      </a:graphic>
                    </wp:anchor>
                  </w:drawing>
                </mc:Choice>
                <mc:Fallback>
                  <w:pict>
                    <v:group w14:anchorId="310691AE" id="Grupa 3" o:spid="_x0000_s1115" style="position:absolute;left:0;text-align:left;margin-left:.15pt;margin-top:37.55pt;width:302.8pt;height:266.25pt;z-index:251906560" coordsize="38455,33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">
                      <v:shape id="Obraz 1" o:spid="_x0000_s1116" type="#_x0000_t75" alt="Obraz zawierający tekst, zrzut ekranu, krąg, Czcionka&#10;&#10;Opis wygenerowany automatycznie" style="position:absolute;width:38455;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">
                        <v:imagedata r:id="rId83" o:title="Obraz zawierający tekst, zrzut ekranu, krąg, Czcionka&#10;&#10;Opis wygenerowany automatycznie" cropbottom="4141f" cropleft="2059f"/>
                      </v:shape>
                      <v:group id="Grupa 2" o:spid="_x0000_s1117" style="position:absolute;left:816;top:10014;width:26495;height:14599" coordsize="26494,1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">
                        <v:oval id="Owal 1" o:spid="_x0000_s1118" style="position:absolute;left:21281;top:9198;width:5213;height:5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" fillcolor="#96b0de" stroked="f" strokeweight="1pt">
                          <v:stroke joinstyle="miter"/>
                          <o:lock v:ext="edit" aspectratio="t"/>
                          <v:textbox inset="0,,0">
                            <w:txbxContent>
                              <w:p w14:paraId="66A51A68" w14:textId="7F1D043E" w:rsidR="00C36C5C" w:rsidRPr="00C2303D" w:rsidRDefault="00C36C5C" w:rsidP="00CA6554">
                                <w:pPr>
                                  <w:pStyle w:val="Bezodstpw"/>
                                  <w:rPr>
                                    <w:rFonts w:ascii="Aptos" w:hAnsi="Aptos"/>
                                    <w:color w:val="44546A" w:themeColor="text2"/>
                                  </w:rPr>
                                </w:pPr>
                                <w:r w:rsidRPr="00C2303D">
                                  <w:rPr>
                                    <w:rFonts w:ascii="Aptos" w:hAnsi="Aptos"/>
                                    <w:color w:val="44546A" w:themeColor="text2"/>
                                  </w:rPr>
                                  <w:t>MLZR</w:t>
                                </w:r>
                              </w:p>
                            </w:txbxContent>
                          </v:textbox>
                        </v:oval>
                        <v:oval id="Owal 1" o:spid="_x0000_s1119" style="position:absolute;left:5116;top:9198;width:5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" fillcolor="#ffc000 [3207]" stroked="f" strokeweight="1pt">
                          <v:stroke joinstyle="miter"/>
                          <o:lock v:ext="edit" aspectratio="t"/>
                          <v:textbox inset="0,,0">
                            <w:txbxContent>
                              <w:p w14:paraId="6BC9ECE8" w14:textId="497CD50D" w:rsidR="00C36C5C" w:rsidRPr="00C2303D" w:rsidRDefault="00C36C5C" w:rsidP="00AC32A8">
                                <w:pPr>
                                  <w:spacing w:after="0"/>
                                  <w:jc w:val="center"/>
                                  <w:rPr>
                                    <w:rFonts w:ascii="Aptos" w:hAnsi="Aptos"/>
                                    <w:color w:val="44546A" w:themeColor="text2"/>
                                    <w:sz w:val="16"/>
                                    <w:szCs w:val="16"/>
                                  </w:rPr>
                                </w:pPr>
                                <w:r w:rsidRPr="00C2303D">
                                  <w:rPr>
                                    <w:rFonts w:ascii="Aptos" w:hAnsi="Aptos"/>
                                    <w:color w:val="44546A" w:themeColor="text2"/>
                                    <w:sz w:val="16"/>
                                    <w:szCs w:val="16"/>
                                  </w:rPr>
                                  <w:t>magnez</w:t>
                                </w:r>
                              </w:p>
                            </w:txbxContent>
                          </v:textbox>
                        </v:oval>
                        <v:oval id="Owal 1" o:spid="_x0000_s1120" style="position:absolute;width:5213;height:5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" fillcolor="#ffc000" stroked="f" strokeweight="1pt">
                          <v:stroke joinstyle="miter"/>
                          <o:lock v:ext="edit" aspectratio="t"/>
                          <v:textbox inset="0,,0">
                            <w:txbxContent>
                              <w:p w14:paraId="64A94C1B" w14:textId="74816254" w:rsidR="00C36C5C" w:rsidRPr="00CA6554" w:rsidRDefault="00C36C5C" w:rsidP="00C2303D">
                                <w:pPr>
                                  <w:pStyle w:val="Bezodstpw"/>
                                  <w:rPr>
                                    <w:rFonts w:ascii="Aptos" w:hAnsi="Aptos"/>
                                  </w:rPr>
                                </w:pPr>
                                <w:r w:rsidRPr="00C2303D">
                                  <w:rPr>
                                    <w:rFonts w:ascii="Aptos" w:hAnsi="Aptos"/>
                                    <w:color w:val="44546A" w:themeColor="text2"/>
                                  </w:rPr>
                                  <w:t>MCZR</w:t>
                                </w:r>
                              </w:p>
                            </w:txbxContent>
                          </v:textbox>
                        </v:oval>
                      </v:group>
                    </v:group>
                  </w:pict>
                </mc:Fallback>
              </mc:AlternateContent>
            </w:r>
            <w:r w:rsidR="003B64E6">
              <w:t>Surowce</w:t>
            </w:r>
            <w:r w:rsidR="0063763E">
              <w:t xml:space="preserve"> krytyczne</w:t>
            </w:r>
            <w:r w:rsidR="003B78B0">
              <w:t xml:space="preserve">, w tym strategiczne </w:t>
            </w:r>
            <w:r w:rsidR="003B78B0">
              <w:br/>
            </w:r>
            <w:r w:rsidR="003B78B0" w:rsidRPr="003B78B0">
              <w:rPr>
                <w:sz w:val="22"/>
                <w:szCs w:val="24"/>
              </w:rPr>
              <w:t>(oznaczone na żółto)</w:t>
            </w:r>
            <w:r w:rsidR="003B64E6" w:rsidRPr="003B78B0">
              <w:rPr>
                <w:sz w:val="22"/>
                <w:szCs w:val="24"/>
              </w:rPr>
              <w:t xml:space="preserve"> </w:t>
            </w:r>
          </w:p>
        </w:tc>
      </w:tr>
      <w:tr w:rsidR="003B78B0" w14:paraId="6BF9D1D6" w14:textId="77777777" w:rsidTr="00C2303D">
        <w:trPr>
          <w:trHeight w:val="341"/>
        </w:trPr>
        <w:tc>
          <w:tcPr>
            <w:tcW w:w="6276" w:type="dxa"/>
          </w:tcPr>
          <w:p w14:paraId="02C21DB1" w14:textId="2B69090F" w:rsidR="00060E23" w:rsidRPr="00CF1FAC" w:rsidRDefault="00F77CF3" w:rsidP="00060E23">
            <w:pPr>
              <w:spacing w:before="120"/>
              <w:jc w:val="left"/>
              <w:rPr>
                <w:noProof/>
              </w:rPr>
            </w:pPr>
            <w:r w:rsidRPr="00060E23">
              <w:rPr>
                <w:noProof/>
                <w:sz w:val="18"/>
                <w:szCs w:val="18"/>
              </w:rPr>
              <w:t>MCZR – metale ciężkie ziem</w:t>
            </w:r>
            <w:r w:rsidR="00060E23" w:rsidRPr="00060E23">
              <w:rPr>
                <w:noProof/>
                <w:sz w:val="18"/>
                <w:szCs w:val="18"/>
              </w:rPr>
              <w:t xml:space="preserve"> rzadkich</w:t>
            </w:r>
            <w:r w:rsidR="00060E23">
              <w:rPr>
                <w:noProof/>
                <w:sz w:val="18"/>
                <w:szCs w:val="18"/>
              </w:rPr>
              <w:t xml:space="preserve">, </w:t>
            </w:r>
            <w:r w:rsidR="00060E23" w:rsidRPr="00060E23">
              <w:rPr>
                <w:noProof/>
                <w:sz w:val="18"/>
                <w:szCs w:val="18"/>
              </w:rPr>
              <w:t>MLZR – metale lekkie ziem rzadkich</w:t>
            </w:r>
          </w:p>
        </w:tc>
      </w:tr>
    </w:tbl>
    <w:p w14:paraId="35FAEA0C" w14:textId="25A7F5D6" w:rsidR="00C870A7" w:rsidRDefault="00337C3F" w:rsidP="0063763E">
      <w:pPr>
        <w:spacing w:after="80"/>
      </w:pPr>
      <w:r w:rsidRPr="00337C3F">
        <w:t>Unijna transformacja ekologiczna</w:t>
      </w:r>
      <w:r w:rsidR="0063763E">
        <w:t xml:space="preserve"> </w:t>
      </w:r>
      <w:r w:rsidRPr="00337C3F">
        <w:t>będzie</w:t>
      </w:r>
      <w:r w:rsidR="0063763E">
        <w:t xml:space="preserve"> </w:t>
      </w:r>
      <w:r w:rsidRPr="00337C3F">
        <w:t>wymagać rozbudowania lokalnej produkcji baterii, paneli słonecznych, magnesów trwałych oraz innych czystych techn</w:t>
      </w:r>
      <w:r>
        <w:t xml:space="preserve">ologii. </w:t>
      </w:r>
      <w:r w:rsidR="00E21A05">
        <w:t>Z</w:t>
      </w:r>
      <w:r w:rsidR="0063763E">
        <w:t> </w:t>
      </w:r>
      <w:r w:rsidR="00E21A05">
        <w:t>dotychczasowych analiz wynika, że zarówno Unia Europejska, jak i</w:t>
      </w:r>
      <w:r w:rsidR="0063763E">
        <w:t> </w:t>
      </w:r>
      <w:r w:rsidR="00E21A05">
        <w:t>Polska jest silnie uzależniona od dostaw surowców krytycznych z</w:t>
      </w:r>
      <w:r w:rsidR="0063763E">
        <w:t> </w:t>
      </w:r>
      <w:r w:rsidR="00E21A05">
        <w:t xml:space="preserve">rynków trzecich, głównie z Chin. </w:t>
      </w:r>
    </w:p>
    <w:p w14:paraId="5F02512B" w14:textId="208FA0CE" w:rsidR="00337C3F" w:rsidRPr="00337C3F" w:rsidRDefault="00337C3F" w:rsidP="0063763E">
      <w:pPr>
        <w:spacing w:after="80"/>
      </w:pPr>
      <w:r w:rsidRPr="00337C3F">
        <w:t xml:space="preserve">Aby zmniejszyć zależność od państw trzecich w zakresie dostępu do surowców </w:t>
      </w:r>
      <w:r w:rsidR="00546ECB">
        <w:t>strategicznych</w:t>
      </w:r>
      <w:r w:rsidRPr="00337C3F">
        <w:t>, UE wyznaczyła następujące cele na 2030 r.:</w:t>
      </w:r>
    </w:p>
    <w:p w14:paraId="3BAA2B9B" w14:textId="4BACEE0A" w:rsidR="00337C3F" w:rsidRDefault="00337C3F" w:rsidP="000625AC">
      <w:pPr>
        <w:pStyle w:val="Akapitzlist"/>
        <w:numPr>
          <w:ilvl w:val="0"/>
          <w:numId w:val="39"/>
        </w:numPr>
        <w:spacing w:after="80"/>
        <w:ind w:left="426"/>
      </w:pPr>
      <w:r w:rsidRPr="00337C3F">
        <w:rPr>
          <w:b/>
          <w:bCs/>
        </w:rPr>
        <w:t>wydobycie w UE</w:t>
      </w:r>
      <w:r>
        <w:rPr>
          <w:b/>
          <w:bCs/>
        </w:rPr>
        <w:t xml:space="preserve"> </w:t>
      </w:r>
      <w:r w:rsidRPr="00337C3F">
        <w:t>–</w:t>
      </w:r>
      <w:r>
        <w:t xml:space="preserve"> co najmniej 10% rocznego zużycia w UE ma pochodzić z wydobycia w UE;</w:t>
      </w:r>
    </w:p>
    <w:p w14:paraId="0A579DB9" w14:textId="1C4E10A2" w:rsidR="00337C3F" w:rsidRDefault="00337C3F" w:rsidP="000625AC">
      <w:pPr>
        <w:pStyle w:val="Akapitzlist"/>
        <w:numPr>
          <w:ilvl w:val="0"/>
          <w:numId w:val="39"/>
        </w:numPr>
        <w:spacing w:after="80"/>
        <w:ind w:left="426"/>
      </w:pPr>
      <w:r w:rsidRPr="00337C3F">
        <w:rPr>
          <w:b/>
          <w:bCs/>
        </w:rPr>
        <w:t>przetwarzanie w UE</w:t>
      </w:r>
      <w:r>
        <w:t xml:space="preserve"> – co najmniej 40% rocznego zużycia w UE ma pochodzić z</w:t>
      </w:r>
      <w:r w:rsidR="00526CF7">
        <w:t> </w:t>
      </w:r>
      <w:r>
        <w:t>przetwarzania w UE;</w:t>
      </w:r>
    </w:p>
    <w:p w14:paraId="5E4A6F76" w14:textId="6A7FF4EC" w:rsidR="00337C3F" w:rsidRDefault="00337C3F" w:rsidP="000625AC">
      <w:pPr>
        <w:pStyle w:val="Akapitzlist"/>
        <w:numPr>
          <w:ilvl w:val="0"/>
          <w:numId w:val="39"/>
        </w:numPr>
        <w:spacing w:after="80"/>
        <w:ind w:left="426"/>
      </w:pPr>
      <w:r w:rsidRPr="00337C3F">
        <w:rPr>
          <w:b/>
          <w:bCs/>
        </w:rPr>
        <w:t>recykling w UE</w:t>
      </w:r>
      <w:r>
        <w:t xml:space="preserve"> – co najmniej 25% rocznego zużycia w UE ma pochodzić z wewnętrznego recyklingu;</w:t>
      </w:r>
    </w:p>
    <w:p w14:paraId="3858AC49" w14:textId="09A67892" w:rsidR="00337C3F" w:rsidRPr="00337C3F" w:rsidRDefault="00337C3F" w:rsidP="000625AC">
      <w:pPr>
        <w:pStyle w:val="Akapitzlist"/>
        <w:numPr>
          <w:ilvl w:val="0"/>
          <w:numId w:val="39"/>
        </w:numPr>
        <w:spacing w:after="80"/>
        <w:ind w:left="426"/>
      </w:pPr>
      <w:r w:rsidRPr="00337C3F">
        <w:rPr>
          <w:b/>
          <w:bCs/>
        </w:rPr>
        <w:t>źródła zewnętrzne</w:t>
      </w:r>
      <w:r>
        <w:t xml:space="preserve"> – z jednego państwa trzeciego ma pochodzić nie więcej niż 65% rocznego zużycia w Unii każdego z surowców strategicznych na odpowiednim etapie przetwarzania.</w:t>
      </w:r>
    </w:p>
    <w:p w14:paraId="420B8E69" w14:textId="4815683D" w:rsidR="00DB67BA" w:rsidRDefault="00337C3F" w:rsidP="00337C3F">
      <w:pPr>
        <w:spacing w:before="360" w:after="80"/>
      </w:pPr>
      <w:r>
        <w:t xml:space="preserve">Aby spełnić te cele, </w:t>
      </w:r>
      <w:r w:rsidR="00A667FB">
        <w:t xml:space="preserve">w 2024 r. </w:t>
      </w:r>
      <w:r>
        <w:t xml:space="preserve">przyjęto rozporządzenie </w:t>
      </w:r>
      <w:r w:rsidR="00E21A05" w:rsidRPr="00E21A05">
        <w:t xml:space="preserve">UE </w:t>
      </w:r>
      <w:r w:rsidR="000F0F23">
        <w:t xml:space="preserve">2024/1252 </w:t>
      </w:r>
      <w:r w:rsidR="00E21A05" w:rsidRPr="00E21A05">
        <w:t xml:space="preserve">dot. surowców krytycznych – </w:t>
      </w:r>
      <w:r w:rsidR="00E21A05" w:rsidRPr="006F3153">
        <w:rPr>
          <w:i/>
          <w:iCs/>
        </w:rPr>
        <w:t>Critical Raw Materia</w:t>
      </w:r>
      <w:r w:rsidR="00546ECB">
        <w:rPr>
          <w:i/>
          <w:iCs/>
        </w:rPr>
        <w:t>l</w:t>
      </w:r>
      <w:r w:rsidR="00425199">
        <w:rPr>
          <w:i/>
          <w:iCs/>
        </w:rPr>
        <w:t>s</w:t>
      </w:r>
      <w:r w:rsidR="00E21A05" w:rsidRPr="006F3153">
        <w:rPr>
          <w:i/>
          <w:iCs/>
        </w:rPr>
        <w:t xml:space="preserve"> Act</w:t>
      </w:r>
      <w:r w:rsidR="00A667FB">
        <w:t>. Celem jego wdrożenia jest</w:t>
      </w:r>
      <w:r w:rsidR="00DB67BA">
        <w:t xml:space="preserve"> wzmocni</w:t>
      </w:r>
      <w:r w:rsidR="00546ECB">
        <w:t>enie</w:t>
      </w:r>
      <w:r w:rsidR="00DB67BA">
        <w:t xml:space="preserve"> wszystki</w:t>
      </w:r>
      <w:r w:rsidR="00546ECB">
        <w:t>ch</w:t>
      </w:r>
      <w:r w:rsidR="00DB67BA">
        <w:t xml:space="preserve"> etap</w:t>
      </w:r>
      <w:r w:rsidR="00546ECB">
        <w:t>ów</w:t>
      </w:r>
      <w:r w:rsidR="00DB67BA">
        <w:t xml:space="preserve"> europejskiego łańcucha wartości surowców krytycznych:</w:t>
      </w:r>
    </w:p>
    <w:p w14:paraId="46201641" w14:textId="77777777" w:rsidR="00546ECB" w:rsidRDefault="00546ECB" w:rsidP="000625AC">
      <w:pPr>
        <w:pStyle w:val="Akapitzlist"/>
        <w:numPr>
          <w:ilvl w:val="0"/>
          <w:numId w:val="38"/>
        </w:numPr>
      </w:pPr>
      <w:r>
        <w:t>dywersyfikacja unijnego importu i zmniejszenie zależności strategicznych;</w:t>
      </w:r>
    </w:p>
    <w:p w14:paraId="58028A5D" w14:textId="77777777" w:rsidR="00546ECB" w:rsidRDefault="00546ECB" w:rsidP="000625AC">
      <w:pPr>
        <w:pStyle w:val="Akapitzlist"/>
        <w:numPr>
          <w:ilvl w:val="0"/>
          <w:numId w:val="38"/>
        </w:numPr>
      </w:pPr>
      <w:r>
        <w:t>zwiększenie zdolności UE do monitorowania i łagodzenie ryzyka zakłóceń w podaży surowców krytycznych;</w:t>
      </w:r>
    </w:p>
    <w:p w14:paraId="7482E7F3" w14:textId="299FD6DE" w:rsidR="00546ECB" w:rsidRDefault="00546ECB" w:rsidP="000625AC">
      <w:pPr>
        <w:pStyle w:val="Akapitzlist"/>
        <w:numPr>
          <w:ilvl w:val="0"/>
          <w:numId w:val="38"/>
        </w:numPr>
      </w:pPr>
      <w:r>
        <w:t>ulepszenie obiegu zamknięt</w:t>
      </w:r>
      <w:r w:rsidR="00A51625">
        <w:t>ego</w:t>
      </w:r>
      <w:r>
        <w:t xml:space="preserve"> i zrównoważonego rozwoju.</w:t>
      </w:r>
    </w:p>
    <w:p w14:paraId="12427A2F" w14:textId="784CCF4A" w:rsidR="00F179C0" w:rsidRDefault="00F179C0" w:rsidP="00CE7EE0">
      <w:pPr>
        <w:spacing w:after="240"/>
      </w:pPr>
      <w:r>
        <w:t>Obecne działania UE oraz Polski polegają na dywersyfikacji dostaw tych surowców</w:t>
      </w:r>
      <w:r w:rsidR="00445816">
        <w:t xml:space="preserve">, ale także na </w:t>
      </w:r>
      <w:r>
        <w:t>prowadzeni</w:t>
      </w:r>
      <w:r w:rsidR="00445816">
        <w:t>u</w:t>
      </w:r>
      <w:r>
        <w:t xml:space="preserve"> prac poszukiwawczych na terenie UE, wsparciu recyklingu oraz substytucji, a także prowadzeniu odpowiedniej współpracy międzynarodowej. </w:t>
      </w:r>
      <w:r w:rsidR="00546ECB">
        <w:t xml:space="preserve">Działania te są realizowane w ramach wdrażania </w:t>
      </w:r>
      <w:r w:rsidR="00546ECB" w:rsidRPr="00CE7EE0">
        <w:rPr>
          <w:i/>
        </w:rPr>
        <w:t>Polityki Surowcowej Państwa</w:t>
      </w:r>
      <w:r w:rsidR="00546ECB">
        <w:t>.</w:t>
      </w:r>
    </w:p>
    <w:p w14:paraId="0DDDDAC7" w14:textId="0689BC80" w:rsidR="00524DB9" w:rsidRPr="002631F2" w:rsidRDefault="00524DB9" w:rsidP="002631F2">
      <w:pPr>
        <w:pStyle w:val="Cele"/>
        <w:rPr>
          <w:b/>
          <w:bCs/>
        </w:rPr>
      </w:pPr>
      <w:r w:rsidRPr="002631F2">
        <w:rPr>
          <w:b/>
          <w:bCs/>
        </w:rPr>
        <w:t xml:space="preserve">Celem </w:t>
      </w:r>
      <w:r w:rsidR="00C870A7">
        <w:rPr>
          <w:b/>
          <w:bCs/>
        </w:rPr>
        <w:t xml:space="preserve">w najbliższej perspektywie </w:t>
      </w:r>
      <w:r w:rsidRPr="002631F2">
        <w:rPr>
          <w:b/>
          <w:bCs/>
        </w:rPr>
        <w:t xml:space="preserve">jest weryfikacja możliwości pokrywania zapotrzebowania na surowce </w:t>
      </w:r>
      <w:r w:rsidR="002631F2" w:rsidRPr="002631F2">
        <w:rPr>
          <w:b/>
          <w:bCs/>
        </w:rPr>
        <w:t>krytyczne</w:t>
      </w:r>
      <w:r w:rsidRPr="002631F2">
        <w:rPr>
          <w:b/>
          <w:bCs/>
        </w:rPr>
        <w:t xml:space="preserve"> i </w:t>
      </w:r>
      <w:r w:rsidR="002631F2" w:rsidRPr="002631F2">
        <w:rPr>
          <w:b/>
          <w:bCs/>
        </w:rPr>
        <w:t>strategiczne w następstwie krajowego pozyskania.</w:t>
      </w:r>
    </w:p>
    <w:p w14:paraId="225D02BC" w14:textId="67059B14" w:rsidR="00F179C0" w:rsidRDefault="00F179C0" w:rsidP="00F179C0">
      <w:pPr>
        <w:pStyle w:val="PaMs"/>
      </w:pPr>
      <w:r>
        <w:t>POLITYKA</w:t>
      </w:r>
    </w:p>
    <w:p w14:paraId="0D14A102" w14:textId="79E0D051" w:rsidR="00445816" w:rsidRDefault="005176B7" w:rsidP="00445816">
      <w:r w:rsidRPr="005176B7">
        <w:t>W Polsce mogą występować złoża kopalin, które są kluczowe dla produkcji surowców strategicznych i</w:t>
      </w:r>
      <w:r w:rsidR="00526CF7">
        <w:t> </w:t>
      </w:r>
      <w:r w:rsidRPr="005176B7">
        <w:t>krytycznych, zarówno na potrzeby krajowe, jak i w szerszym kontekście UE</w:t>
      </w:r>
      <w:r w:rsidR="00445816">
        <w:t xml:space="preserve">. Ich eksploatacja wymagałaby przeprowadzenia szczegółowej inwentaryzacji złóż </w:t>
      </w:r>
      <w:r>
        <w:t>pierwotnych i wtórnych, w tym złóż</w:t>
      </w:r>
      <w:r w:rsidR="00445816">
        <w:t xml:space="preserve"> </w:t>
      </w:r>
      <w:r w:rsidR="00445816">
        <w:lastRenderedPageBreak/>
        <w:t xml:space="preserve">konwencjonalnych i niekonwencjonalnych </w:t>
      </w:r>
      <w:r w:rsidR="0011335E">
        <w:t xml:space="preserve">węglowodorów </w:t>
      </w:r>
      <w:r w:rsidR="00445816">
        <w:t xml:space="preserve">oraz </w:t>
      </w:r>
      <w:r w:rsidR="002B0159">
        <w:t>wykonania</w:t>
      </w:r>
      <w:r w:rsidR="00445816">
        <w:t xml:space="preserve"> analiz techniczno-ekonomicznych możliwości ich wykorzystania dla potrzeb przemysłu.</w:t>
      </w:r>
    </w:p>
    <w:p w14:paraId="4C4639F7" w14:textId="2B52C1BA" w:rsidR="005C7CC6" w:rsidRDefault="005176B7" w:rsidP="005C7CC6">
      <w:r>
        <w:t xml:space="preserve">Zgodnie z </w:t>
      </w:r>
      <w:r w:rsidRPr="00AC32A8">
        <w:rPr>
          <w:i/>
        </w:rPr>
        <w:t xml:space="preserve">Bilansem </w:t>
      </w:r>
      <w:r w:rsidR="00F71299">
        <w:rPr>
          <w:i/>
          <w:iCs/>
        </w:rPr>
        <w:t>zasobów</w:t>
      </w:r>
      <w:r w:rsidRPr="00AC32A8">
        <w:rPr>
          <w:i/>
          <w:iCs/>
        </w:rPr>
        <w:t xml:space="preserve"> </w:t>
      </w:r>
      <w:r w:rsidRPr="00AC32A8">
        <w:rPr>
          <w:i/>
        </w:rPr>
        <w:t>złóż kopalin</w:t>
      </w:r>
      <w:r w:rsidR="00F14972" w:rsidRPr="00D14FF1">
        <w:rPr>
          <w:rStyle w:val="Odwoanieprzypisudolnego"/>
        </w:rPr>
        <w:footnoteReference w:id="90"/>
      </w:r>
      <w:r>
        <w:t xml:space="preserve"> na </w:t>
      </w:r>
      <w:r w:rsidR="00F71299">
        <w:t xml:space="preserve">koniec </w:t>
      </w:r>
      <w:r>
        <w:t>202</w:t>
      </w:r>
      <w:r w:rsidR="00257ADF">
        <w:t>4</w:t>
      </w:r>
      <w:r w:rsidR="00AC32A8">
        <w:t xml:space="preserve"> r.</w:t>
      </w:r>
      <w:r>
        <w:t>, na</w:t>
      </w:r>
      <w:r w:rsidRPr="00702A3B">
        <w:t xml:space="preserve"> obszarze Polski występują złoża różnych kopalin, co stwarza możliwość obecności surowców odpowiadających na potrzeby innowacyjnej transformacji, w tym tzw. surowców krytycznych i strategicznych</w:t>
      </w:r>
      <w:r w:rsidR="00445816">
        <w:t xml:space="preserve">. </w:t>
      </w:r>
      <w:r>
        <w:t xml:space="preserve">W związku z tym </w:t>
      </w:r>
      <w:r w:rsidR="00445816">
        <w:t>opracowany</w:t>
      </w:r>
      <w:r w:rsidR="00546ECB">
        <w:t>, a</w:t>
      </w:r>
      <w:r w:rsidR="00526CF7">
        <w:t> </w:t>
      </w:r>
      <w:r w:rsidR="00546ECB">
        <w:t>następnie wdrażany</w:t>
      </w:r>
      <w:r w:rsidR="00445816">
        <w:t xml:space="preserve"> zostanie </w:t>
      </w:r>
      <w:r w:rsidR="00445816" w:rsidRPr="002631F2">
        <w:rPr>
          <w:i/>
          <w:iCs/>
        </w:rPr>
        <w:t>Krajowy program poszukiwań surowców krytycznych</w:t>
      </w:r>
      <w:r w:rsidR="00445816">
        <w:t xml:space="preserve">, </w:t>
      </w:r>
      <w:r w:rsidRPr="00702A3B">
        <w:t>którego celem będzie identyfikacja perspektywicznych złóż kopalin wykorzystywanych do produkcji surowców krytycznych i</w:t>
      </w:r>
      <w:r w:rsidR="006C1B08">
        <w:t> </w:t>
      </w:r>
      <w:r w:rsidRPr="00702A3B">
        <w:t>strategicznych, niezbędnych do realizacji transformacji energetycznej w UE.</w:t>
      </w:r>
      <w:r>
        <w:t xml:space="preserve"> </w:t>
      </w:r>
      <w:r w:rsidR="005C7CC6">
        <w:t xml:space="preserve">Biorąc pod uwagę cele związane z transformacją energetyczną, wprowadzeniem przez Unię Europejską rozporządzenia dot. surowców krytycznych oraz obecną sytuację geopolityczną, kluczowa w kontekście zapewnienia stabilności energetycznej staje się </w:t>
      </w:r>
      <w:r w:rsidR="005C7CC6" w:rsidRPr="005A7A45">
        <w:rPr>
          <w:b/>
        </w:rPr>
        <w:t xml:space="preserve">aktualizacja </w:t>
      </w:r>
      <w:r w:rsidR="005C7CC6" w:rsidRPr="005A7A45">
        <w:rPr>
          <w:b/>
          <w:i/>
        </w:rPr>
        <w:t>Polityki Surowcowej Państwa</w:t>
      </w:r>
      <w:r w:rsidR="005C7CC6">
        <w:t>. Dokumentu</w:t>
      </w:r>
      <w:r w:rsidR="005A7A45">
        <w:t>,</w:t>
      </w:r>
      <w:r w:rsidR="005C7CC6">
        <w:t xml:space="preserve"> którego głównym celem jest zapewnienie bezpieczeństwa surowcowego państwa, poprzez zabezpieczenie potrzeb bieżących i przyszłych oraz stałe poszerzanie bazy zasobowej kopalin do produkcji surowców (w</w:t>
      </w:r>
      <w:r w:rsidR="005A7A45">
        <w:t> </w:t>
      </w:r>
      <w:r w:rsidR="005C7CC6">
        <w:t xml:space="preserve">tym surowców energetycznych i surowców krytycznych). Rosnące napięcia międzynarodowe oraz zmiany w globalnych łańcuchach dostaw podkreślają jak istotne jest zapewnienie bezpieczeństwa energetycznego, które można osiągnąć tylko poprzez stabilne dostawy kluczowych surowców. Transformacja energetyczna wymaga dostępu do szeregu surowców krytycznych m.in. takich jak lit, kobalt czy metale ziem rzadkich, które są niezbędne do produkcji technologii odnawialnej energii oraz jej magazynowania. Rozporządzenie UE o surowcach krytycznych stanowi fundament w definiowaniu priorytetów w dostępie do tych surowców i określa jasny kierunek działań w tym aspekcie. Aktualizacja </w:t>
      </w:r>
      <w:r w:rsidR="005C7CC6" w:rsidRPr="00EF7EB3">
        <w:rPr>
          <w:i/>
        </w:rPr>
        <w:t>Polityki Surowcowej Państwa</w:t>
      </w:r>
      <w:r w:rsidR="005C7CC6">
        <w:t xml:space="preserve"> pozwoli m.in. na wyznaczeni</w:t>
      </w:r>
      <w:r w:rsidR="009964AA">
        <w:t>e</w:t>
      </w:r>
      <w:r w:rsidR="005C7CC6">
        <w:t xml:space="preserve"> nowych kierunków działań dot. zapewnienia bezpieczeństwa surowcowego kraju również w zakresie surowców krytycznych dla UE. </w:t>
      </w:r>
      <w:r w:rsidR="0071277A">
        <w:t xml:space="preserve">Niemniej jednak trzeba wyraźnie podkreślić, że niedostateczna podaż surowców krytycznych i strategicznych może oddziaływać na nieosiągnięcie zamierzonego tempa transformacji. To z kolei uzasadnia </w:t>
      </w:r>
      <w:r w:rsidR="0072727F">
        <w:t>pot</w:t>
      </w:r>
      <w:r w:rsidR="00C914D4">
        <w:t>r</w:t>
      </w:r>
      <w:r w:rsidR="0072727F">
        <w:t>zebę</w:t>
      </w:r>
      <w:r w:rsidR="0071277A">
        <w:t xml:space="preserve"> zachowania co najmniej częściowego dostępu do surowców energetycznych, infrastruktury i</w:t>
      </w:r>
      <w:r w:rsidR="00526CF7">
        <w:t> </w:t>
      </w:r>
      <w:r w:rsidR="0071277A">
        <w:t>kompetencji.</w:t>
      </w:r>
    </w:p>
    <w:p w14:paraId="5F0BF84E" w14:textId="116A997F" w:rsidR="00F179C0" w:rsidRDefault="002631F2" w:rsidP="002631F2">
      <w:pPr>
        <w:pStyle w:val="PaMs"/>
      </w:pPr>
      <w:r>
        <w:t>DZIAŁANIA</w:t>
      </w:r>
    </w:p>
    <w:p w14:paraId="44DE4057" w14:textId="5BDB6F45" w:rsidR="00B16503" w:rsidRPr="00B16503" w:rsidRDefault="00B16503" w:rsidP="003530A9">
      <w:pPr>
        <w:pStyle w:val="Akapitzlist"/>
        <w:numPr>
          <w:ilvl w:val="0"/>
          <w:numId w:val="3"/>
        </w:numPr>
        <w:rPr>
          <w:rStyle w:val="Nagwek6Znak"/>
          <w:rFonts w:ascii="Lato" w:hAnsi="Lato"/>
        </w:rPr>
      </w:pPr>
      <w:r w:rsidRPr="00B16503">
        <w:rPr>
          <w:rStyle w:val="Nagwek6Znak"/>
          <w:rFonts w:ascii="Lato" w:hAnsi="Lato"/>
        </w:rPr>
        <w:fldChar w:fldCharType="begin"/>
      </w:r>
      <w:r w:rsidRPr="00B16503">
        <w:rPr>
          <w:rStyle w:val="Nagwek6Znak"/>
          <w:rFonts w:ascii="Lato" w:hAnsi="Lato"/>
        </w:rPr>
        <w:instrText xml:space="preserve"> REF _Ref195890058 \h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116. </w:t>
      </w:r>
      <w:r w:rsidR="00871DD5" w:rsidRPr="008A5AE2">
        <w:rPr>
          <w:lang w:eastAsia="pl-PL"/>
        </w:rPr>
        <w:t>Opracowanie i wdrażanie Krajowego programu poszukiwań surowców krytycznych</w:t>
      </w:r>
      <w:r w:rsidRPr="00B16503">
        <w:rPr>
          <w:rStyle w:val="Nagwek6Znak"/>
          <w:rFonts w:ascii="Lato" w:hAnsi="Lato"/>
        </w:rPr>
        <w:fldChar w:fldCharType="end"/>
      </w:r>
    </w:p>
    <w:bookmarkStart w:id="423" w:name="_Hlk196380675"/>
    <w:p w14:paraId="1D105632" w14:textId="78AFE46D" w:rsidR="00B16503" w:rsidRPr="00B16503" w:rsidRDefault="00B16503" w:rsidP="003530A9">
      <w:pPr>
        <w:pStyle w:val="Akapitzlist"/>
        <w:numPr>
          <w:ilvl w:val="0"/>
          <w:numId w:val="3"/>
        </w:numPr>
        <w:rPr>
          <w:rStyle w:val="Nagwek6Znak"/>
          <w:rFonts w:ascii="Lato" w:hAnsi="Lato"/>
        </w:rPr>
      </w:pPr>
      <w:r w:rsidRPr="00B16503">
        <w:rPr>
          <w:rStyle w:val="Nagwek6Znak"/>
          <w:rFonts w:ascii="Lato" w:hAnsi="Lato"/>
        </w:rPr>
        <w:fldChar w:fldCharType="begin"/>
      </w:r>
      <w:r w:rsidRPr="00B16503">
        <w:rPr>
          <w:rStyle w:val="Nagwek6Znak"/>
          <w:rFonts w:ascii="Lato" w:hAnsi="Lato"/>
        </w:rPr>
        <w:instrText xml:space="preserve"> REF _Ref195890076 \h </w:instrText>
      </w:r>
      <w:r>
        <w:rPr>
          <w:rStyle w:val="Nagwek6Znak"/>
          <w:rFonts w:ascii="Lato" w:hAnsi="Lato"/>
        </w:rPr>
        <w:instrText xml:space="preserve">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117. </w:t>
      </w:r>
      <w:r w:rsidR="00871DD5" w:rsidRPr="008A5AE2">
        <w:rPr>
          <w:lang w:eastAsia="pl-PL"/>
        </w:rPr>
        <w:t>Efektywna gospodarka surowcami ważnymi dla krajowej i unijnej gospodarki</w:t>
      </w:r>
      <w:r w:rsidRPr="00B16503">
        <w:rPr>
          <w:rStyle w:val="Nagwek6Znak"/>
          <w:rFonts w:ascii="Lato" w:hAnsi="Lato"/>
        </w:rPr>
        <w:fldChar w:fldCharType="end"/>
      </w:r>
    </w:p>
    <w:p w14:paraId="3056A58D" w14:textId="129FFD19" w:rsidR="00B16503" w:rsidRPr="004C2C13" w:rsidRDefault="00B16503" w:rsidP="003530A9">
      <w:pPr>
        <w:pStyle w:val="Akapitzlist"/>
        <w:numPr>
          <w:ilvl w:val="0"/>
          <w:numId w:val="3"/>
        </w:numPr>
        <w:rPr>
          <w:rStyle w:val="Nagwek6Znak"/>
          <w:rFonts w:ascii="Lato" w:hAnsi="Lato"/>
        </w:rPr>
      </w:pPr>
      <w:r w:rsidRPr="00B16503">
        <w:rPr>
          <w:rStyle w:val="Nagwek6Znak"/>
          <w:rFonts w:ascii="Lato" w:hAnsi="Lato"/>
        </w:rPr>
        <w:fldChar w:fldCharType="begin"/>
      </w:r>
      <w:r w:rsidRPr="00B16503">
        <w:rPr>
          <w:rStyle w:val="Nagwek6Znak"/>
          <w:rFonts w:ascii="Lato" w:hAnsi="Lato"/>
        </w:rPr>
        <w:instrText xml:space="preserve"> REF _Ref195890082 \h </w:instrText>
      </w:r>
      <w:r>
        <w:rPr>
          <w:rStyle w:val="Nagwek6Znak"/>
          <w:rFonts w:ascii="Lato" w:hAnsi="Lato"/>
        </w:rPr>
        <w:instrText xml:space="preserve">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118. </w:t>
      </w:r>
      <w:r w:rsidR="00871DD5" w:rsidRPr="008A5AE2">
        <w:rPr>
          <w:lang w:eastAsia="pl-PL"/>
        </w:rPr>
        <w:t>Aktualizacja Polityki Surowcowej Państwa</w:t>
      </w:r>
      <w:r w:rsidRPr="00B16503">
        <w:rPr>
          <w:rStyle w:val="Nagwek6Znak"/>
          <w:rFonts w:ascii="Lato" w:hAnsi="Lato"/>
        </w:rPr>
        <w:fldChar w:fldCharType="end"/>
      </w:r>
    </w:p>
    <w:p w14:paraId="25E00985" w14:textId="37FE2FF9" w:rsidR="00C04D9C" w:rsidRDefault="00C04D9C" w:rsidP="00C04D9C">
      <w:pPr>
        <w:pStyle w:val="Nagwek3"/>
        <w:rPr>
          <w:color w:val="C00000"/>
        </w:rPr>
      </w:pPr>
      <w:bookmarkStart w:id="424" w:name="_Toc195897301"/>
      <w:bookmarkStart w:id="425" w:name="_Toc195899546"/>
      <w:bookmarkStart w:id="426" w:name="_Ref195178641"/>
      <w:bookmarkStart w:id="427" w:name="_Toc159598314"/>
      <w:bookmarkStart w:id="428" w:name="_Toc195897302"/>
      <w:bookmarkStart w:id="429" w:name="_Toc205203190"/>
      <w:bookmarkEnd w:id="423"/>
      <w:bookmarkEnd w:id="424"/>
      <w:bookmarkEnd w:id="425"/>
      <w:r w:rsidRPr="00550223">
        <w:rPr>
          <w:color w:val="C00000"/>
        </w:rPr>
        <w:t>Pokrycie zapotrzebowania na</w:t>
      </w:r>
      <w:r w:rsidR="00060C25">
        <w:rPr>
          <w:color w:val="C00000"/>
        </w:rPr>
        <w:t> </w:t>
      </w:r>
      <w:r w:rsidRPr="00550223">
        <w:rPr>
          <w:color w:val="C00000"/>
        </w:rPr>
        <w:t>węgiel</w:t>
      </w:r>
      <w:bookmarkEnd w:id="426"/>
      <w:bookmarkEnd w:id="427"/>
      <w:bookmarkEnd w:id="428"/>
      <w:bookmarkEnd w:id="429"/>
    </w:p>
    <w:p w14:paraId="1EDA0C09" w14:textId="090967FC" w:rsidR="00C04D9C" w:rsidRDefault="00C04D9C" w:rsidP="00C04D9C">
      <w:r w:rsidRPr="00690C92">
        <w:rPr>
          <w:b/>
          <w:bCs/>
        </w:rPr>
        <w:t>Węgiel kamienny</w:t>
      </w:r>
      <w:r w:rsidR="00657F2A" w:rsidRPr="00690C92">
        <w:rPr>
          <w:b/>
          <w:bCs/>
        </w:rPr>
        <w:t xml:space="preserve"> energetyczny</w:t>
      </w:r>
      <w:r>
        <w:t xml:space="preserve"> od wielu lat stanowi podstawę pokrycia zapotrzebowania na energię pierwotną w Polsce, ale trend ten ulega zmianie, </w:t>
      </w:r>
      <w:r w:rsidR="008155B0">
        <w:t>ponieważ</w:t>
      </w:r>
      <w:r>
        <w:t xml:space="preserve"> Polska weszła na ścieżkę transformacji energetycznej. W</w:t>
      </w:r>
      <w:r w:rsidR="008155B0">
        <w:t> </w:t>
      </w:r>
      <w:r>
        <w:t>kolejnych latach wykorzystanie węgla będzie stopniowo zastępowane przez paliwa zeroemisyjne, a</w:t>
      </w:r>
      <w:r w:rsidR="008155B0">
        <w:t> </w:t>
      </w:r>
      <w:r>
        <w:t xml:space="preserve">przejściowo również przez gaz ziemny, który charakteryzuje się niższą niż w przypadku węgla emisyjnością, ale w tym okresie niezbędne jest również pokrycie zapotrzebowania na ten surowiec. </w:t>
      </w:r>
    </w:p>
    <w:p w14:paraId="6B4F026A" w14:textId="4C1DB967" w:rsidR="00E31C30" w:rsidRDefault="00E31C30" w:rsidP="00C04D9C">
      <w:r w:rsidRPr="00690C92">
        <w:rPr>
          <w:b/>
          <w:bCs/>
        </w:rPr>
        <w:t>Węgiel kamienny koksowy</w:t>
      </w:r>
      <w:r>
        <w:t xml:space="preserve"> </w:t>
      </w:r>
      <w:r w:rsidRPr="0024780B">
        <w:t xml:space="preserve">od 2014 r. uznawany jest </w:t>
      </w:r>
      <w:r w:rsidR="00926A6C">
        <w:t xml:space="preserve">na poziomie </w:t>
      </w:r>
      <w:r w:rsidR="00690C92">
        <w:t>UE</w:t>
      </w:r>
      <w:r w:rsidR="00926A6C">
        <w:t xml:space="preserve"> </w:t>
      </w:r>
      <w:r w:rsidRPr="0024780B">
        <w:t>za surowiec krytyczny</w:t>
      </w:r>
      <w:r w:rsidR="00D312E0">
        <w:rPr>
          <w:rStyle w:val="Odwoanieprzypisudolnego"/>
        </w:rPr>
        <w:footnoteReference w:id="91"/>
      </w:r>
      <w:r w:rsidRPr="0024780B">
        <w:t xml:space="preserve"> dla europejskiej gospodarki, </w:t>
      </w:r>
      <w:r>
        <w:t xml:space="preserve">w szczególności </w:t>
      </w:r>
      <w:r w:rsidRPr="0024780B">
        <w:t>ze względu na jego kluczową rolę w produkcji stali</w:t>
      </w:r>
      <w:r w:rsidR="003D6142">
        <w:t xml:space="preserve"> </w:t>
      </w:r>
      <w:r w:rsidR="00DB087F">
        <w:t xml:space="preserve">i innych przemysłów ciężkich </w:t>
      </w:r>
      <w:r w:rsidR="003D6142">
        <w:t>jako wsad</w:t>
      </w:r>
      <w:r w:rsidRPr="0024780B">
        <w:t>. W</w:t>
      </w:r>
      <w:r>
        <w:t> </w:t>
      </w:r>
      <w:r w:rsidRPr="0024780B">
        <w:t xml:space="preserve">przeciwieństwie do węgla do celów energetycznych, zapotrzebowanie </w:t>
      </w:r>
      <w:r w:rsidRPr="0024780B">
        <w:lastRenderedPageBreak/>
        <w:t>na węgiel koksowy utrzymuje się na stabilnym poziomie i jest ściśle powiązane z europejskim rynkiem stali.</w:t>
      </w:r>
      <w:r>
        <w:t xml:space="preserve"> Ta z kolei jest niezbędna do przeprowadzenia transformacji</w:t>
      </w:r>
      <w:r w:rsidR="00BC51FA">
        <w:rPr>
          <w:rStyle w:val="Odwoanieprzypisudolnego"/>
        </w:rPr>
        <w:footnoteReference w:id="92"/>
      </w:r>
      <w:r>
        <w:t>.</w:t>
      </w:r>
    </w:p>
    <w:p w14:paraId="053ADCBE" w14:textId="10BD9F35" w:rsidR="007D25E0" w:rsidRDefault="00E31C30" w:rsidP="007D25E0">
      <w:r w:rsidRPr="00690C92">
        <w:rPr>
          <w:b/>
          <w:bCs/>
        </w:rPr>
        <w:t>Węgiel brunatny</w:t>
      </w:r>
      <w:r>
        <w:t xml:space="preserve"> to stosunkowo tani surowiec, ale </w:t>
      </w:r>
      <w:r w:rsidR="005F4A68">
        <w:t>jednocześnie wysokoemisyjny. W</w:t>
      </w:r>
      <w:r>
        <w:t xml:space="preserve"> świetle rosnących cen uprawnień do emisji CO</w:t>
      </w:r>
      <w:r w:rsidRPr="00E31C30">
        <w:rPr>
          <w:vertAlign w:val="subscript"/>
        </w:rPr>
        <w:t>2</w:t>
      </w:r>
      <w:r w:rsidR="005F4A68" w:rsidRPr="00901FEA">
        <w:t xml:space="preserve"> </w:t>
      </w:r>
      <w:r w:rsidR="005F4A68" w:rsidRPr="005F4A68">
        <w:t xml:space="preserve">jego </w:t>
      </w:r>
      <w:r w:rsidR="005F4A68">
        <w:t xml:space="preserve">wykorzystanie staje się coraz mniej opłacalne, a </w:t>
      </w:r>
      <w:r w:rsidR="003D6142">
        <w:t xml:space="preserve">dodatkowo </w:t>
      </w:r>
      <w:r w:rsidR="005F4A68">
        <w:t xml:space="preserve">aspekty środowiskowe </w:t>
      </w:r>
      <w:r w:rsidR="003D6142">
        <w:t>s</w:t>
      </w:r>
      <w:r w:rsidR="005F4A68">
        <w:t>powo</w:t>
      </w:r>
      <w:r w:rsidR="003D6142">
        <w:t>dowały</w:t>
      </w:r>
      <w:r w:rsidR="005F4A68">
        <w:t xml:space="preserve">, że </w:t>
      </w:r>
      <w:r w:rsidR="003D6142">
        <w:t>w poprzednich latach nie były podejmowane inwestycje w</w:t>
      </w:r>
      <w:r w:rsidR="00526CF7">
        <w:t> </w:t>
      </w:r>
      <w:r w:rsidR="00F12CE4">
        <w:t xml:space="preserve">rozpoznawanie, dokumentowanie złóż węgla brunatnego oraz </w:t>
      </w:r>
      <w:r w:rsidR="003D6142">
        <w:t xml:space="preserve">nowe </w:t>
      </w:r>
      <w:r w:rsidR="00F12CE4">
        <w:t>kopalnie odkrywkowe</w:t>
      </w:r>
      <w:r w:rsidR="003D6142">
        <w:t>.</w:t>
      </w:r>
      <w:r w:rsidR="00292DE9">
        <w:t xml:space="preserve"> W tej części dokumentu opisane z</w:t>
      </w:r>
      <w:r w:rsidR="002B62F7">
        <w:t>ostanie podejście do wykorzystania tego surowca.</w:t>
      </w:r>
      <w:r w:rsidR="007D25E0" w:rsidRPr="007D25E0">
        <w:t xml:space="preserve"> </w:t>
      </w:r>
    </w:p>
    <w:p w14:paraId="2D7734EC" w14:textId="437C8CB7" w:rsidR="00C04D9C" w:rsidRPr="00FD411D" w:rsidRDefault="00C04D9C" w:rsidP="00C04D9C">
      <w:pPr>
        <w:pStyle w:val="Nagwek4"/>
        <w:rPr>
          <w:color w:val="C00000"/>
        </w:rPr>
      </w:pPr>
      <w:bookmarkStart w:id="430" w:name="_Toc195897303"/>
      <w:bookmarkStart w:id="431" w:name="_Toc195899548"/>
      <w:bookmarkStart w:id="432" w:name="_Toc195897304"/>
      <w:bookmarkStart w:id="433" w:name="_Toc195899549"/>
      <w:bookmarkStart w:id="434" w:name="_Toc195897305"/>
      <w:bookmarkStart w:id="435" w:name="_Toc195899550"/>
      <w:bookmarkStart w:id="436" w:name="_Toc188214728"/>
      <w:bookmarkStart w:id="437" w:name="_Toc188264826"/>
      <w:bookmarkStart w:id="438" w:name="_Toc188264932"/>
      <w:bookmarkStart w:id="439" w:name="_Toc189413430"/>
      <w:bookmarkStart w:id="440" w:name="_Toc189413550"/>
      <w:bookmarkStart w:id="441" w:name="_Toc190032568"/>
      <w:bookmarkStart w:id="442" w:name="_Toc193048444"/>
      <w:bookmarkStart w:id="443" w:name="_Toc194413495"/>
      <w:bookmarkStart w:id="444" w:name="_Toc195811724"/>
      <w:bookmarkStart w:id="445" w:name="_Toc195869237"/>
      <w:bookmarkStart w:id="446" w:name="_Toc195869353"/>
      <w:bookmarkStart w:id="447" w:name="_Toc195897306"/>
      <w:bookmarkStart w:id="448" w:name="_Toc195899551"/>
      <w:bookmarkStart w:id="449" w:name="_Toc188214729"/>
      <w:bookmarkStart w:id="450" w:name="_Toc188264827"/>
      <w:bookmarkStart w:id="451" w:name="_Toc188264933"/>
      <w:bookmarkStart w:id="452" w:name="_Toc189413431"/>
      <w:bookmarkStart w:id="453" w:name="_Toc189413551"/>
      <w:bookmarkStart w:id="454" w:name="_Toc190032569"/>
      <w:bookmarkStart w:id="455" w:name="_Toc193048445"/>
      <w:bookmarkStart w:id="456" w:name="_Toc194413496"/>
      <w:bookmarkStart w:id="457" w:name="_Toc195811725"/>
      <w:bookmarkStart w:id="458" w:name="_Toc195869238"/>
      <w:bookmarkStart w:id="459" w:name="_Toc195869354"/>
      <w:bookmarkStart w:id="460" w:name="_Toc159598315"/>
      <w:bookmarkStart w:id="461" w:name="_Toc195897308"/>
      <w:bookmarkStart w:id="462" w:name="_Toc205203191"/>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FD411D">
        <w:rPr>
          <w:color w:val="C00000"/>
        </w:rPr>
        <w:t xml:space="preserve">Zapewnienie </w:t>
      </w:r>
      <w:r w:rsidR="00F60341">
        <w:rPr>
          <w:color w:val="C00000"/>
        </w:rPr>
        <w:t>podaży</w:t>
      </w:r>
      <w:r w:rsidRPr="00FD411D">
        <w:rPr>
          <w:color w:val="C00000"/>
        </w:rPr>
        <w:t xml:space="preserve"> na węgiel kamienny </w:t>
      </w:r>
      <w:r w:rsidR="00F60341">
        <w:rPr>
          <w:color w:val="C00000"/>
        </w:rPr>
        <w:t>energetyczny i koksowy</w:t>
      </w:r>
      <w:bookmarkEnd w:id="460"/>
      <w:bookmarkEnd w:id="461"/>
      <w:bookmarkEnd w:id="462"/>
    </w:p>
    <w:p w14:paraId="51360A57" w14:textId="1E8F7A6F" w:rsidR="00C04D9C" w:rsidRDefault="00C04D9C" w:rsidP="00C04D9C">
      <w:r>
        <w:t xml:space="preserve">Krajowy surowiec pokrywa większość zapotrzebowania na węgiel kamienny. </w:t>
      </w:r>
      <w:r w:rsidR="00767708">
        <w:t xml:space="preserve">Do </w:t>
      </w:r>
      <w:r w:rsidR="009D35D8">
        <w:t>2016 r. wy</w:t>
      </w:r>
      <w:r w:rsidR="001D22B4">
        <w:t>dobycie</w:t>
      </w:r>
      <w:r w:rsidR="009C0DBE">
        <w:t xml:space="preserve"> (bez</w:t>
      </w:r>
      <w:r w:rsidR="00526CF7">
        <w:t> </w:t>
      </w:r>
      <w:r w:rsidR="009C0DBE">
        <w:t>uwzględnienia zmiany zapasów)</w:t>
      </w:r>
      <w:r w:rsidR="001D22B4">
        <w:t xml:space="preserve"> w krajowych kopalniach węgla kamiennego (KWK) odpowiadało </w:t>
      </w:r>
      <w:r w:rsidR="009D35D8">
        <w:t>90%</w:t>
      </w:r>
      <w:r w:rsidR="001D22B4">
        <w:t xml:space="preserve"> krajowego zużycia</w:t>
      </w:r>
      <w:r w:rsidR="009142BF">
        <w:t>, w kolej</w:t>
      </w:r>
      <w:r w:rsidR="00341883">
        <w:t>n</w:t>
      </w:r>
      <w:r w:rsidR="009142BF">
        <w:t>ych latach</w:t>
      </w:r>
      <w:r w:rsidR="00341883">
        <w:t xml:space="preserve"> do 202</w:t>
      </w:r>
      <w:r w:rsidR="00FF4FC5">
        <w:t>4</w:t>
      </w:r>
      <w:r w:rsidR="00341883">
        <w:t xml:space="preserve"> r. wynosiło </w:t>
      </w:r>
      <w:r w:rsidR="004B6A39">
        <w:t>87-79</w:t>
      </w:r>
      <w:r w:rsidR="00341883">
        <w:t>%</w:t>
      </w:r>
      <w:r>
        <w:rPr>
          <w:rStyle w:val="Odwoanieprzypisudolnego"/>
        </w:rPr>
        <w:footnoteReference w:id="93"/>
      </w:r>
      <w:r w:rsidR="006D597D">
        <w:t>.</w:t>
      </w:r>
      <w:r>
        <w:t xml:space="preserve"> </w:t>
      </w:r>
      <w:r w:rsidR="006D597D">
        <w:t>Ze</w:t>
      </w:r>
      <w:r w:rsidRPr="004938AB">
        <w:t xml:space="preserve"> </w:t>
      </w:r>
      <w:r>
        <w:t xml:space="preserve">względu na właściwości fizyko-chemiczne krajowy surowiec zaspokaja przede wszystkim potrzeby sektora energetyki zawodowej. Popyt gospodarstw domowych pokrywany jest </w:t>
      </w:r>
      <w:r w:rsidR="005E0263">
        <w:t xml:space="preserve">w znacznej mierze </w:t>
      </w:r>
      <w:r>
        <w:t xml:space="preserve"> surowcem z</w:t>
      </w:r>
      <w:r w:rsidR="0055590C">
        <w:t> </w:t>
      </w:r>
      <w:r>
        <w:t>importu</w:t>
      </w:r>
      <w:r w:rsidR="0079105A">
        <w:rPr>
          <w:rStyle w:val="Odwoanieprzypisudolnego"/>
        </w:rPr>
        <w:footnoteReference w:id="94"/>
      </w:r>
      <w:r>
        <w:t xml:space="preserve">. </w:t>
      </w:r>
    </w:p>
    <w:p w14:paraId="213785D2" w14:textId="1F2A0F32" w:rsidR="00C04D9C" w:rsidRDefault="00C04D9C" w:rsidP="00C04D9C">
      <w:r>
        <w:t xml:space="preserve">Choć energetyczne wykorzystanie węgla wiąże się z emisjami, atutem źródeł opartych na tym paliwie jest ich </w:t>
      </w:r>
      <w:r w:rsidR="00F12CE4">
        <w:t xml:space="preserve">zdolność operacyjna, </w:t>
      </w:r>
      <w:r w:rsidR="00F12CE4" w:rsidRPr="003F4D7F">
        <w:t>umożliwiająca produkcję energii zgodną z zapotrzebowaniem w różnych okresach</w:t>
      </w:r>
      <w:r>
        <w:t xml:space="preserve">. Z tego względu zmniejszanie wykorzystania </w:t>
      </w:r>
      <w:r w:rsidRPr="00673535">
        <w:t>węgla musi być skorelowane w czasie z budową nowych</w:t>
      </w:r>
      <w:r w:rsidR="009A6A12">
        <w:t xml:space="preserve"> </w:t>
      </w:r>
      <w:r w:rsidRPr="00673535">
        <w:t xml:space="preserve">źródeł oraz rozwiązań takich jak magazynowanie energii. </w:t>
      </w:r>
      <w:r>
        <w:t xml:space="preserve">To stanowi główną determinantę popytu na krajowy surowiec. </w:t>
      </w:r>
    </w:p>
    <w:p w14:paraId="75788F47" w14:textId="4DD76153" w:rsidR="000A461A" w:rsidRDefault="00BC084E" w:rsidP="000A461A">
      <w:r>
        <w:t xml:space="preserve">Na wykorzystanie węgla w gospodarce krajowej wpływ mają unijne regulacje klimatyczno-energetyczne. Oprócz celów ogólnych </w:t>
      </w:r>
      <w:r w:rsidR="008A79DA">
        <w:t>dotyczących</w:t>
      </w:r>
      <w:r>
        <w:t xml:space="preserve"> redukcji emisji </w:t>
      </w:r>
      <w:r w:rsidR="00AD0FB0">
        <w:t>GHG</w:t>
      </w:r>
      <w:r>
        <w:t xml:space="preserve">, kształtowane są również przez </w:t>
      </w:r>
      <w:r w:rsidRPr="00220367">
        <w:rPr>
          <w:b/>
          <w:bCs/>
        </w:rPr>
        <w:t>regulacje dot</w:t>
      </w:r>
      <w:r w:rsidR="00514FF3" w:rsidRPr="00220367">
        <w:rPr>
          <w:b/>
          <w:bCs/>
        </w:rPr>
        <w:t>yczące</w:t>
      </w:r>
      <w:r w:rsidRPr="00220367">
        <w:rPr>
          <w:b/>
          <w:bCs/>
        </w:rPr>
        <w:t xml:space="preserve"> redukcji emisji metanu</w:t>
      </w:r>
      <w:r w:rsidR="000A461A">
        <w:t xml:space="preserve">. Rozporządzenie </w:t>
      </w:r>
      <w:r w:rsidR="00D2232E">
        <w:t>UE 20</w:t>
      </w:r>
      <w:r w:rsidR="00DE63FB">
        <w:t xml:space="preserve">24/1787 </w:t>
      </w:r>
      <w:r w:rsidR="000A461A" w:rsidRPr="00514FF3">
        <w:rPr>
          <w:i/>
          <w:iCs/>
        </w:rPr>
        <w:t>w sprawie redukcji emisji metanu w</w:t>
      </w:r>
      <w:r w:rsidR="007D657E">
        <w:rPr>
          <w:i/>
          <w:iCs/>
        </w:rPr>
        <w:t> </w:t>
      </w:r>
      <w:r w:rsidR="000A461A" w:rsidRPr="00514FF3">
        <w:rPr>
          <w:i/>
          <w:iCs/>
        </w:rPr>
        <w:t xml:space="preserve">sektorze energetycznym </w:t>
      </w:r>
      <w:r w:rsidR="000A461A">
        <w:t>ma na względzie zachowanie i poprawę stanu środowiska poprzez redukcję emisji metanu z energii pochodzącej z paliw kopalnych produkowanej lub zużywanej w UE. Rozporządzenie dotyczy również ograniczenia emisji metanu z sektora węglowego i</w:t>
      </w:r>
      <w:r w:rsidR="00E30F95">
        <w:t> </w:t>
      </w:r>
      <w:r w:rsidR="000A461A">
        <w:t>zakłada nałożenie m.in. na przedsiębiorstwa górnicze ograniczenia emisji metanu odpowiednio: do 5</w:t>
      </w:r>
      <w:r w:rsidR="001D68F5">
        <w:t> </w:t>
      </w:r>
      <w:r w:rsidR="000A461A">
        <w:t>t/</w:t>
      </w:r>
      <w:r w:rsidR="001D68F5">
        <w:t>kt</w:t>
      </w:r>
      <w:r w:rsidR="000A461A">
        <w:t xml:space="preserve"> wydobytego węgla do 1 stycznia 2027 r. oraz do 3 t/</w:t>
      </w:r>
      <w:r w:rsidR="001D68F5">
        <w:t>kt</w:t>
      </w:r>
      <w:r w:rsidR="000A461A">
        <w:t xml:space="preserve"> wydobytego węgla do 1 stycznia 2031 r., co</w:t>
      </w:r>
      <w:r w:rsidR="00DC5106">
        <w:t> </w:t>
      </w:r>
      <w:r w:rsidR="000A461A">
        <w:t>w</w:t>
      </w:r>
      <w:r w:rsidR="001D68F5">
        <w:t> </w:t>
      </w:r>
      <w:r w:rsidR="000A461A">
        <w:t>warunkach polskich rodzić będzie dodatkowe wyzwania</w:t>
      </w:r>
      <w:r w:rsidR="00BD2CC0">
        <w:t xml:space="preserve">, ponieważ w wielu </w:t>
      </w:r>
      <w:r w:rsidR="00025783">
        <w:t>przedsiębiorstwach</w:t>
      </w:r>
      <w:r w:rsidR="00BD2CC0">
        <w:t xml:space="preserve"> górniczych poziom emisji metanu jest wyższy </w:t>
      </w:r>
      <w:r w:rsidR="001963FF">
        <w:t>niż podane wyżej wartości progowe</w:t>
      </w:r>
      <w:r w:rsidR="00170DEE">
        <w:t xml:space="preserve">. </w:t>
      </w:r>
      <w:r w:rsidR="00F12CE4" w:rsidRPr="003F4D7F">
        <w:t>Dotychczasowe przedsięwzięcia wskazują, że koszty inwestycji związanych z gospodarczym wykorzystaniem metanu górniczego stanowią istotne wyzwanie ekonomiczne.</w:t>
      </w:r>
      <w:r w:rsidR="00CD064B">
        <w:rPr>
          <w:rStyle w:val="Odwoanieprzypisudolnego"/>
        </w:rPr>
        <w:footnoteReference w:id="95"/>
      </w:r>
      <w:r w:rsidR="00C05984">
        <w:t>.</w:t>
      </w:r>
    </w:p>
    <w:p w14:paraId="595F8ED5" w14:textId="476BCE57" w:rsidR="00C04D9C" w:rsidRDefault="00BC084E" w:rsidP="00C04D9C">
      <w:bookmarkStart w:id="463" w:name="_Hlk159935424"/>
      <w:r>
        <w:t xml:space="preserve">Górnictwo węglowe i energetyka oparta na węglu stanowi stosunkowo duży segment krajowej gospodarki, dlatego sposób przeprowadzania transformacji musi przebiegać również z uwzględnieniem </w:t>
      </w:r>
      <w:r>
        <w:lastRenderedPageBreak/>
        <w:t>sprawiedliwego wymiaru transformacji regionów węglowych</w:t>
      </w:r>
      <w:bookmarkEnd w:id="463"/>
      <w:r>
        <w:t xml:space="preserve">. Z tego względu zawarto dwie umowy społeczne mające na celu </w:t>
      </w:r>
      <w:r w:rsidRPr="00CD72EB">
        <w:t>zapewnieni</w:t>
      </w:r>
      <w:r>
        <w:t>e</w:t>
      </w:r>
      <w:r w:rsidRPr="00CD72EB">
        <w:t xml:space="preserve"> stabilności procesu wygaszania</w:t>
      </w:r>
      <w:r>
        <w:t xml:space="preserve"> kopalń</w:t>
      </w:r>
      <w:r w:rsidR="00C04D9C">
        <w:rPr>
          <w:rStyle w:val="Odwoanieprzypisudolnego"/>
        </w:rPr>
        <w:footnoteReference w:id="96"/>
      </w:r>
      <w:r w:rsidR="00C04D9C">
        <w:t>.</w:t>
      </w:r>
    </w:p>
    <w:p w14:paraId="41F777D7" w14:textId="46B27DB1" w:rsidR="00C04D9C" w:rsidRDefault="00C04D9C" w:rsidP="00C04D9C">
      <w:r>
        <w:t xml:space="preserve">W 2022 r. </w:t>
      </w:r>
      <w:r w:rsidR="008F3F4E">
        <w:t xml:space="preserve">złożono wniosek </w:t>
      </w:r>
      <w:r w:rsidR="00167DE2">
        <w:t xml:space="preserve">notyfikacyjny </w:t>
      </w:r>
      <w:r w:rsidR="008F3F4E">
        <w:t>do KE w</w:t>
      </w:r>
      <w:r w:rsidR="001D68F5">
        <w:t xml:space="preserve"> sprawie</w:t>
      </w:r>
      <w:r w:rsidR="008F3F4E">
        <w:t xml:space="preserve"> </w:t>
      </w:r>
      <w:r>
        <w:t xml:space="preserve">tzw. </w:t>
      </w:r>
      <w:r w:rsidRPr="00AE40F7">
        <w:rPr>
          <w:b/>
          <w:bCs/>
        </w:rPr>
        <w:t>Now</w:t>
      </w:r>
      <w:r w:rsidR="008F3F4E" w:rsidRPr="00AE40F7">
        <w:rPr>
          <w:b/>
          <w:bCs/>
        </w:rPr>
        <w:t>ego</w:t>
      </w:r>
      <w:r w:rsidRPr="00AE40F7">
        <w:rPr>
          <w:b/>
          <w:bCs/>
        </w:rPr>
        <w:t xml:space="preserve"> System</w:t>
      </w:r>
      <w:r w:rsidR="008F3F4E" w:rsidRPr="00AE40F7">
        <w:rPr>
          <w:b/>
          <w:bCs/>
        </w:rPr>
        <w:t>u</w:t>
      </w:r>
      <w:r w:rsidRPr="00AE40F7">
        <w:rPr>
          <w:b/>
          <w:bCs/>
        </w:rPr>
        <w:t xml:space="preserve"> Wsparcia dla sektora wydobywczego węgla kamiennego</w:t>
      </w:r>
      <w:r w:rsidR="008F3F4E">
        <w:t>, który</w:t>
      </w:r>
      <w:r w:rsidRPr="006328A9">
        <w:t xml:space="preserve"> uwzględnia</w:t>
      </w:r>
      <w:r w:rsidR="008F3F4E">
        <w:t>ł</w:t>
      </w:r>
      <w:r w:rsidRPr="006328A9">
        <w:t xml:space="preserve"> umowę społeczną do</w:t>
      </w:r>
      <w:r>
        <w:t>tyczącą</w:t>
      </w:r>
      <w:r w:rsidRPr="006328A9">
        <w:t xml:space="preserve"> transformacji sektora górnictwa węgla kamiennego z 2021</w:t>
      </w:r>
      <w:r w:rsidR="0034179E">
        <w:t> </w:t>
      </w:r>
      <w:r w:rsidRPr="006328A9">
        <w:t>r.</w:t>
      </w:r>
      <w:r>
        <w:t xml:space="preserve"> Aby zapobiec niekontrolowanej upadłości spółek system przewiduje dopłaty w</w:t>
      </w:r>
      <w:r w:rsidR="001D68F5">
        <w:t> </w:t>
      </w:r>
      <w:r>
        <w:t>przypadku, gdy różnica między kosztami a dochodami jest dodatnia, ale</w:t>
      </w:r>
      <w:r w:rsidR="00526CF7">
        <w:t> </w:t>
      </w:r>
      <w:r>
        <w:t>jednocześnie ustanowiony jest mechanizm cen referencyjnych oraz określone limity wydobycia.</w:t>
      </w:r>
      <w:r w:rsidR="0034179E">
        <w:t xml:space="preserve"> </w:t>
      </w:r>
      <w:r w:rsidR="001D68F5">
        <w:t>Z</w:t>
      </w:r>
      <w:r w:rsidR="0034179E">
        <w:t xml:space="preserve">akończenie procesu notyfikacji </w:t>
      </w:r>
      <w:r w:rsidR="001D68F5">
        <w:t xml:space="preserve">planowane jest </w:t>
      </w:r>
      <w:r w:rsidR="0034179E">
        <w:t>w 202</w:t>
      </w:r>
      <w:r w:rsidR="00490FB6">
        <w:t>5</w:t>
      </w:r>
      <w:r w:rsidR="00A11BF5">
        <w:t xml:space="preserve"> </w:t>
      </w:r>
      <w:r w:rsidR="0034179E">
        <w:t>r.</w:t>
      </w:r>
      <w:r w:rsidR="00167DE2">
        <w:t xml:space="preserve"> </w:t>
      </w:r>
      <w:r w:rsidR="007F37DB">
        <w:t>P</w:t>
      </w:r>
      <w:r w:rsidR="0009095B" w:rsidRPr="0009095B">
        <w:t>roces stopniowego wygaszenia działalności</w:t>
      </w:r>
      <w:r w:rsidR="00E85E21">
        <w:t xml:space="preserve"> dotyczy</w:t>
      </w:r>
      <w:r w:rsidR="0009095B" w:rsidRPr="0009095B">
        <w:t xml:space="preserve"> 12 podziemnych zakładów górniczych </w:t>
      </w:r>
      <w:r w:rsidR="00AE7545">
        <w:t xml:space="preserve">(ZG) </w:t>
      </w:r>
      <w:r w:rsidR="0009095B" w:rsidRPr="0009095B">
        <w:t>wydobywających węgiel kamienny energetyczny</w:t>
      </w:r>
      <w:r w:rsidR="00E85E21">
        <w:t>:</w:t>
      </w:r>
    </w:p>
    <w:p w14:paraId="5B88C16E" w14:textId="23EA178A" w:rsidR="00C820D3" w:rsidRPr="00C820D3" w:rsidRDefault="007C0124" w:rsidP="000625AC">
      <w:pPr>
        <w:pStyle w:val="Akapitzlist"/>
        <w:numPr>
          <w:ilvl w:val="0"/>
          <w:numId w:val="58"/>
        </w:numPr>
        <w:ind w:left="567"/>
      </w:pPr>
      <w:r w:rsidRPr="007C0124">
        <w:t xml:space="preserve">7 zakładów </w:t>
      </w:r>
      <w:r w:rsidR="00AE7545">
        <w:t xml:space="preserve">górniczych </w:t>
      </w:r>
      <w:r>
        <w:t xml:space="preserve">w </w:t>
      </w:r>
      <w:r w:rsidRPr="007C0124">
        <w:t>Polsk</w:t>
      </w:r>
      <w:r>
        <w:t>iej</w:t>
      </w:r>
      <w:r w:rsidRPr="007C0124">
        <w:t xml:space="preserve"> </w:t>
      </w:r>
      <w:r w:rsidRPr="00C820D3">
        <w:t>Grupie Górniczej S.A.: KWK RUDA w Rudzie Śląskiej (Ruch Pokój został już zlikwidowany, do likwidacji pozostały Ruch Bielszowice i Ruch Halemba), KWK Bolesław Śmiały w</w:t>
      </w:r>
      <w:r w:rsidR="00C820D3" w:rsidRPr="00C820D3">
        <w:t> </w:t>
      </w:r>
      <w:r w:rsidRPr="00C820D3">
        <w:t>Łaziskach Górnych, KWK Sośnica w Gliwicach, KWK Piast</w:t>
      </w:r>
      <w:r w:rsidR="00AE7545">
        <w:t>–</w:t>
      </w:r>
      <w:r w:rsidRPr="00C820D3">
        <w:t>Ziemowit w Bieruniu, KWK Staszic</w:t>
      </w:r>
      <w:r w:rsidR="00F63CA0">
        <w:t>–</w:t>
      </w:r>
      <w:r w:rsidR="00814428">
        <w:t>Wujek</w:t>
      </w:r>
      <w:r w:rsidRPr="00C820D3">
        <w:t xml:space="preserve"> w</w:t>
      </w:r>
      <w:r w:rsidR="00C820D3" w:rsidRPr="00C820D3">
        <w:t> </w:t>
      </w:r>
      <w:r w:rsidRPr="00C820D3">
        <w:t>Katowicach, KWK Mysłowice</w:t>
      </w:r>
      <w:r w:rsidR="00AE7545">
        <w:t>–</w:t>
      </w:r>
      <w:r w:rsidRPr="00C820D3">
        <w:t>Wesoła w Mysłowicach i KWK ROW w Rybniku (Ruchy Rydułtowy, Marcel, Chwałowice i Jankowice)</w:t>
      </w:r>
      <w:r w:rsidR="00C05984">
        <w:t>,</w:t>
      </w:r>
    </w:p>
    <w:p w14:paraId="4BD0A2C5" w14:textId="08072B34" w:rsidR="007C0124" w:rsidRPr="00C820D3" w:rsidRDefault="007C0124" w:rsidP="000625AC">
      <w:pPr>
        <w:pStyle w:val="Akapitzlist"/>
        <w:numPr>
          <w:ilvl w:val="0"/>
          <w:numId w:val="58"/>
        </w:numPr>
        <w:ind w:left="567"/>
      </w:pPr>
      <w:r w:rsidRPr="00C820D3">
        <w:t>3 zakłady górnicze w Południowym Koncernie Węglowym S.A. – ZG Brzeszcze w Brzeszczach, ZG Sobieski w Jaworznie i ZG Janina w Libiążu</w:t>
      </w:r>
      <w:r w:rsidR="00C820D3" w:rsidRPr="00C820D3">
        <w:t>,</w:t>
      </w:r>
    </w:p>
    <w:p w14:paraId="1E013F1A" w14:textId="71FC7BDA" w:rsidR="007C0124" w:rsidRPr="007C0124" w:rsidRDefault="007C0124" w:rsidP="000625AC">
      <w:pPr>
        <w:pStyle w:val="Akapitzlist"/>
        <w:numPr>
          <w:ilvl w:val="0"/>
          <w:numId w:val="58"/>
        </w:numPr>
        <w:ind w:left="567"/>
      </w:pPr>
      <w:r w:rsidRPr="00C820D3">
        <w:t>1 zakład górniczy w Lubelskim Węg</w:t>
      </w:r>
      <w:r w:rsidR="00C820D3" w:rsidRPr="00C820D3">
        <w:t>lu</w:t>
      </w:r>
      <w:r w:rsidRPr="00C820D3">
        <w:t xml:space="preserve"> Bogdanka</w:t>
      </w:r>
      <w:r w:rsidRPr="007C0124">
        <w:t xml:space="preserve"> S.A. </w:t>
      </w:r>
      <w:r w:rsidR="00C820D3">
        <w:t xml:space="preserve">– </w:t>
      </w:r>
      <w:r w:rsidRPr="007C0124">
        <w:t>Kopalnia Bogdanka</w:t>
      </w:r>
      <w:r w:rsidR="00C820D3">
        <w:t>,</w:t>
      </w:r>
    </w:p>
    <w:p w14:paraId="58C8EED0" w14:textId="60E504F9" w:rsidR="00E85E21" w:rsidRDefault="007C0124" w:rsidP="000625AC">
      <w:pPr>
        <w:pStyle w:val="Akapitzlist"/>
        <w:numPr>
          <w:ilvl w:val="0"/>
          <w:numId w:val="58"/>
        </w:numPr>
        <w:ind w:left="567"/>
      </w:pPr>
      <w:r>
        <w:t>1 zakład górniczy w</w:t>
      </w:r>
      <w:r w:rsidRPr="007C0124">
        <w:t xml:space="preserve"> </w:t>
      </w:r>
      <w:r w:rsidR="00AE7545">
        <w:t>W</w:t>
      </w:r>
      <w:r w:rsidRPr="007C0124">
        <w:t>ęglokoks Kraj S.A. – KWK Bobrek</w:t>
      </w:r>
      <w:r w:rsidR="00AE7545">
        <w:t>–</w:t>
      </w:r>
      <w:r w:rsidRPr="007C0124">
        <w:t>Piekary.</w:t>
      </w:r>
    </w:p>
    <w:p w14:paraId="0FD8B7BA" w14:textId="0158ACAD" w:rsidR="00FB5DF7" w:rsidRDefault="006D5582" w:rsidP="00FB5DF7">
      <w:r>
        <w:t xml:space="preserve">Wydobycie węgla kamiennego </w:t>
      </w:r>
      <w:r w:rsidR="00C35075">
        <w:t xml:space="preserve">w Polsce </w:t>
      </w:r>
      <w:r w:rsidR="00CD31E9">
        <w:t>sukcesywnie spada</w:t>
      </w:r>
      <w:r w:rsidR="00C35075">
        <w:t>. Po wybuchu pandemii spadło poniżej 60</w:t>
      </w:r>
      <w:r w:rsidR="00C81DE4">
        <w:t> </w:t>
      </w:r>
      <w:r w:rsidR="00C35075">
        <w:t xml:space="preserve">mln t, a </w:t>
      </w:r>
      <w:r w:rsidR="00AD6C9E">
        <w:t xml:space="preserve">w </w:t>
      </w:r>
      <w:r w:rsidR="00C35075">
        <w:t xml:space="preserve">2024 </w:t>
      </w:r>
      <w:r w:rsidR="00AD6C9E">
        <w:t xml:space="preserve">r. </w:t>
      </w:r>
      <w:r w:rsidR="00500A40">
        <w:t xml:space="preserve">wyniosło </w:t>
      </w:r>
      <w:r w:rsidR="00C35075">
        <w:t xml:space="preserve">blisko </w:t>
      </w:r>
      <w:r w:rsidR="00500A40">
        <w:t>44 mln t</w:t>
      </w:r>
      <w:r w:rsidR="004B6A39">
        <w:rPr>
          <w:rStyle w:val="Odwoanieprzypisudolnego"/>
        </w:rPr>
        <w:footnoteReference w:id="97"/>
      </w:r>
      <w:r w:rsidR="00500A40">
        <w:t xml:space="preserve">, z czego </w:t>
      </w:r>
      <w:r w:rsidR="00E01D02">
        <w:t>32,6 mln t to węgiel energetyczny, a</w:t>
      </w:r>
      <w:r w:rsidR="00CD31E9">
        <w:t> </w:t>
      </w:r>
      <w:r w:rsidR="00E01D02">
        <w:t xml:space="preserve">pozostałe </w:t>
      </w:r>
      <w:r w:rsidR="00A95612">
        <w:t>ponad 11</w:t>
      </w:r>
      <w:r w:rsidR="00C81DE4">
        <w:t> </w:t>
      </w:r>
      <w:r w:rsidR="00A95612">
        <w:t>mln t to</w:t>
      </w:r>
      <w:r w:rsidR="00B26A4F">
        <w:t xml:space="preserve"> węgiel koksow</w:t>
      </w:r>
      <w:r w:rsidR="00AD6C9E">
        <w:t>y.</w:t>
      </w:r>
      <w:r w:rsidR="00992343">
        <w:t xml:space="preserve"> </w:t>
      </w:r>
      <w:r w:rsidR="00D372ED" w:rsidRPr="00D372ED">
        <w:t>Zakończenie</w:t>
      </w:r>
      <w:r w:rsidR="00D372ED">
        <w:t xml:space="preserve"> krajowej</w:t>
      </w:r>
      <w:r w:rsidR="00D372ED" w:rsidRPr="00D372ED">
        <w:t xml:space="preserve"> eksploatacji węgla kamiennego energetycznego nastąpi najpóźniej w 2049</w:t>
      </w:r>
      <w:r w:rsidR="00D372ED">
        <w:t xml:space="preserve"> </w:t>
      </w:r>
      <w:r w:rsidR="00D372ED" w:rsidRPr="00D372ED">
        <w:t>r.</w:t>
      </w:r>
    </w:p>
    <w:p w14:paraId="4DBD539D" w14:textId="1BD65D6A" w:rsidR="00C04D9C" w:rsidRPr="00F77BDA" w:rsidRDefault="00F77BDA" w:rsidP="00F77BDA">
      <w:pPr>
        <w:pStyle w:val="Cele"/>
        <w:rPr>
          <w:rStyle w:val="CeleZnak"/>
          <w:b/>
        </w:rPr>
      </w:pPr>
      <w:r w:rsidRPr="00F77BDA">
        <w:rPr>
          <w:rStyle w:val="CeleZnak"/>
          <w:b/>
        </w:rPr>
        <w:t xml:space="preserve">Prognozy wskazują, że krajowe </w:t>
      </w:r>
      <w:r w:rsidR="0097636C">
        <w:rPr>
          <w:rStyle w:val="CeleZnak"/>
          <w:b/>
        </w:rPr>
        <w:t>zużycie</w:t>
      </w:r>
      <w:r w:rsidR="0097636C" w:rsidRPr="00F77BDA">
        <w:rPr>
          <w:rStyle w:val="CeleZnak"/>
          <w:b/>
        </w:rPr>
        <w:t xml:space="preserve"> </w:t>
      </w:r>
      <w:r>
        <w:rPr>
          <w:rStyle w:val="CeleZnak"/>
          <w:b/>
        </w:rPr>
        <w:t xml:space="preserve">węgla kamiennego energetycznego </w:t>
      </w:r>
      <w:r w:rsidRPr="00F77BDA">
        <w:rPr>
          <w:rStyle w:val="CeleZnak"/>
          <w:b/>
        </w:rPr>
        <w:t>nie</w:t>
      </w:r>
      <w:r w:rsidR="0097636C">
        <w:rPr>
          <w:rStyle w:val="CeleZnak"/>
          <w:b/>
        </w:rPr>
        <w:t> </w:t>
      </w:r>
      <w:r w:rsidRPr="00F77BDA">
        <w:rPr>
          <w:rStyle w:val="CeleZnak"/>
          <w:b/>
        </w:rPr>
        <w:t xml:space="preserve">przekroczy </w:t>
      </w:r>
      <w:r w:rsidR="0097636C">
        <w:rPr>
          <w:rStyle w:val="CeleZnak"/>
          <w:b/>
        </w:rPr>
        <w:t>22,5</w:t>
      </w:r>
      <w:r>
        <w:rPr>
          <w:rStyle w:val="CeleZnak"/>
          <w:b/>
        </w:rPr>
        <w:t xml:space="preserve"> </w:t>
      </w:r>
      <w:r w:rsidRPr="00F77BDA">
        <w:rPr>
          <w:rStyle w:val="CeleZnak"/>
          <w:b/>
        </w:rPr>
        <w:t>mln t w 2030 r.</w:t>
      </w:r>
      <w:r w:rsidR="00FF0470">
        <w:rPr>
          <w:rStyle w:val="CeleZnak"/>
          <w:b/>
        </w:rPr>
        <w:t xml:space="preserve">, a </w:t>
      </w:r>
      <w:r w:rsidR="00B361E7">
        <w:rPr>
          <w:rStyle w:val="CeleZnak"/>
          <w:b/>
        </w:rPr>
        <w:t>import powinien mieć charakter jedynie uzupełniający.</w:t>
      </w:r>
      <w:r w:rsidR="00912C2F">
        <w:rPr>
          <w:rStyle w:val="CeleZnak"/>
          <w:b/>
        </w:rPr>
        <w:t xml:space="preserve"> </w:t>
      </w:r>
    </w:p>
    <w:p w14:paraId="18B228AD" w14:textId="488CC58B" w:rsidR="005056CD" w:rsidRDefault="00731295" w:rsidP="005056CD">
      <w:r>
        <w:t>Ze względu na to, że w</w:t>
      </w:r>
      <w:r w:rsidR="000A1177">
        <w:t>ydobyci</w:t>
      </w:r>
      <w:r w:rsidR="008078BD">
        <w:t>e</w:t>
      </w:r>
      <w:r w:rsidR="000A1177">
        <w:t xml:space="preserve"> </w:t>
      </w:r>
      <w:r w:rsidR="00F44D1B" w:rsidRPr="006413C7">
        <w:rPr>
          <w:b/>
          <w:bCs/>
        </w:rPr>
        <w:t>węgla kamiennego koksowego</w:t>
      </w:r>
      <w:r w:rsidR="00F44D1B">
        <w:t xml:space="preserve"> </w:t>
      </w:r>
      <w:r>
        <w:t xml:space="preserve">służy </w:t>
      </w:r>
      <w:r w:rsidR="00C77E8F">
        <w:t>w szczególności produkcji stali</w:t>
      </w:r>
      <w:r w:rsidR="00FE1B7E">
        <w:t xml:space="preserve"> i</w:t>
      </w:r>
      <w:r w:rsidR="00526CF7">
        <w:t> </w:t>
      </w:r>
      <w:r w:rsidR="00FE1B7E">
        <w:t>innych elementów niezbędnych do transformacji</w:t>
      </w:r>
      <w:r w:rsidR="00C77E8F">
        <w:t>, a nie jest przeznaczony na produkcję energii na cele komunalno-bytowe</w:t>
      </w:r>
      <w:r w:rsidR="00D04665">
        <w:t xml:space="preserve"> jego wydobycie jest pożądane. </w:t>
      </w:r>
      <w:r w:rsidR="009E502D">
        <w:t xml:space="preserve">Aktualnie </w:t>
      </w:r>
      <w:r w:rsidR="00A57C4A">
        <w:t xml:space="preserve">unijne rozporządzenie metanowe nie dotyczy </w:t>
      </w:r>
      <w:r w:rsidR="000119A9">
        <w:t>kopalń</w:t>
      </w:r>
      <w:r w:rsidR="00A57C4A">
        <w:t xml:space="preserve"> węgla koksowego, ale d</w:t>
      </w:r>
      <w:r w:rsidR="00A85617">
        <w:t>o</w:t>
      </w:r>
      <w:r w:rsidR="00F40F27">
        <w:t> </w:t>
      </w:r>
      <w:r w:rsidR="00F40F27" w:rsidRPr="00F40F27">
        <w:t>5 sierpnia 2027</w:t>
      </w:r>
      <w:r w:rsidR="00F105F3">
        <w:t> </w:t>
      </w:r>
      <w:r w:rsidR="00F40F27" w:rsidRPr="00F40F27">
        <w:t>r. Komisja przyjmuje akt delegowany</w:t>
      </w:r>
      <w:r w:rsidR="008B436B">
        <w:rPr>
          <w:rStyle w:val="Odwoanieprzypisudolnego"/>
        </w:rPr>
        <w:footnoteReference w:id="98"/>
      </w:r>
      <w:r w:rsidR="00F40F27" w:rsidRPr="00F40F27">
        <w:t xml:space="preserve"> wprowadz</w:t>
      </w:r>
      <w:r w:rsidR="008B436B">
        <w:t>ający</w:t>
      </w:r>
      <w:r w:rsidR="00F40F27" w:rsidRPr="00F40F27">
        <w:t xml:space="preserve"> ogranicze</w:t>
      </w:r>
      <w:r w:rsidR="009E502D">
        <w:t>nia</w:t>
      </w:r>
      <w:r w:rsidR="00F40F27" w:rsidRPr="00F40F27">
        <w:t xml:space="preserve"> uwalniania do atmosfery metanu z szybów wentylacyjnych </w:t>
      </w:r>
      <w:r w:rsidR="000119A9">
        <w:t>dla tej działalności</w:t>
      </w:r>
      <w:r w:rsidR="00F40F27" w:rsidRPr="00F40F27">
        <w:t>.</w:t>
      </w:r>
      <w:r w:rsidR="00F105F3">
        <w:t xml:space="preserve"> Wymaga to odpowiedniego przygotowania przez przedsiębiorstwa górnicze. </w:t>
      </w:r>
    </w:p>
    <w:p w14:paraId="53FADB7C" w14:textId="40CD2285" w:rsidR="00C04D9C" w:rsidRPr="00673535" w:rsidRDefault="00C04D9C" w:rsidP="00C04D9C">
      <w:pPr>
        <w:pStyle w:val="PaMs"/>
      </w:pPr>
      <w:r w:rsidRPr="00673535">
        <w:t>POLITYKA</w:t>
      </w:r>
    </w:p>
    <w:p w14:paraId="59C31929" w14:textId="55863363" w:rsidR="00C04D9C" w:rsidRDefault="00C73EC8" w:rsidP="00C04D9C">
      <w:r w:rsidRPr="00657F25">
        <w:rPr>
          <w:b/>
          <w:bCs/>
        </w:rPr>
        <w:t xml:space="preserve">Polityka państwa nastawiona jest na </w:t>
      </w:r>
      <w:r w:rsidR="00872480" w:rsidRPr="00657F25">
        <w:rPr>
          <w:b/>
          <w:bCs/>
        </w:rPr>
        <w:t>redukcję</w:t>
      </w:r>
      <w:r w:rsidRPr="00657F25">
        <w:rPr>
          <w:b/>
          <w:bCs/>
        </w:rPr>
        <w:t xml:space="preserve"> </w:t>
      </w:r>
      <w:r w:rsidR="00872480" w:rsidRPr="00657F25">
        <w:rPr>
          <w:b/>
          <w:bCs/>
        </w:rPr>
        <w:t>zapotrzebowania</w:t>
      </w:r>
      <w:r w:rsidRPr="00657F25">
        <w:rPr>
          <w:b/>
          <w:bCs/>
        </w:rPr>
        <w:t xml:space="preserve"> na </w:t>
      </w:r>
      <w:r w:rsidR="00872480" w:rsidRPr="00657F25">
        <w:rPr>
          <w:b/>
          <w:bCs/>
        </w:rPr>
        <w:t>węgiel</w:t>
      </w:r>
      <w:r w:rsidRPr="00657F25">
        <w:rPr>
          <w:b/>
          <w:bCs/>
        </w:rPr>
        <w:t xml:space="preserve"> </w:t>
      </w:r>
      <w:r w:rsidR="00872480" w:rsidRPr="00657F25">
        <w:rPr>
          <w:b/>
          <w:bCs/>
        </w:rPr>
        <w:t>kamienny</w:t>
      </w:r>
      <w:r w:rsidR="00872480">
        <w:t xml:space="preserve">. </w:t>
      </w:r>
      <w:r w:rsidR="00C04D9C" w:rsidRPr="00E63CF3">
        <w:t xml:space="preserve">Głównym źródłem pokrycia </w:t>
      </w:r>
      <w:r w:rsidR="00872480">
        <w:t>popytu</w:t>
      </w:r>
      <w:r w:rsidR="00C04D9C" w:rsidRPr="00E63CF3">
        <w:t xml:space="preserve"> na </w:t>
      </w:r>
      <w:r w:rsidR="00C04D9C" w:rsidRPr="00657F2A">
        <w:rPr>
          <w:b/>
          <w:bCs/>
        </w:rPr>
        <w:t xml:space="preserve">węgiel kamienny </w:t>
      </w:r>
      <w:r w:rsidR="00657F2A" w:rsidRPr="00657F2A">
        <w:rPr>
          <w:b/>
          <w:bCs/>
        </w:rPr>
        <w:t>energetyczny</w:t>
      </w:r>
      <w:r w:rsidR="00657F2A">
        <w:t xml:space="preserve"> </w:t>
      </w:r>
      <w:r w:rsidR="00872480">
        <w:t xml:space="preserve">w </w:t>
      </w:r>
      <w:r w:rsidR="00657F25">
        <w:t xml:space="preserve">okresie transformacji </w:t>
      </w:r>
      <w:r w:rsidR="00C04D9C" w:rsidRPr="00E63CF3">
        <w:t>będzie wydobycie krajowe, a import powinien mieć jedynie charakter uzupełniający, dlatego priorytetem jest zapewnienie możliwie najwyższej ekonomiki wydobycia surowca w kraju</w:t>
      </w:r>
      <w:r w:rsidR="00C04D9C">
        <w:t xml:space="preserve">. </w:t>
      </w:r>
    </w:p>
    <w:p w14:paraId="2CA91010" w14:textId="60B59772" w:rsidR="00C04D9C" w:rsidRDefault="00C04D9C" w:rsidP="00C04D9C">
      <w:r>
        <w:lastRenderedPageBreak/>
        <w:t>Zawarte umowy społeczne</w:t>
      </w:r>
      <w:r>
        <w:rPr>
          <w:rStyle w:val="Odwoanieprzypisudolnego"/>
        </w:rPr>
        <w:footnoteReference w:id="99"/>
      </w:r>
      <w:r>
        <w:t xml:space="preserve"> </w:t>
      </w:r>
      <w:r w:rsidR="00AB3F82">
        <w:t xml:space="preserve">i </w:t>
      </w:r>
      <w:r w:rsidR="00AB3F82" w:rsidRPr="00025783">
        <w:rPr>
          <w:b/>
          <w:bCs/>
        </w:rPr>
        <w:t xml:space="preserve">negocjowany z Komisją Europejską </w:t>
      </w:r>
      <w:r w:rsidR="00FA199F" w:rsidRPr="00025783">
        <w:rPr>
          <w:b/>
          <w:bCs/>
        </w:rPr>
        <w:t>Nowy S</w:t>
      </w:r>
      <w:r w:rsidR="00AB3F82" w:rsidRPr="00025783">
        <w:rPr>
          <w:b/>
          <w:bCs/>
        </w:rPr>
        <w:t xml:space="preserve">ystem </w:t>
      </w:r>
      <w:r w:rsidR="00FA199F" w:rsidRPr="00025783">
        <w:rPr>
          <w:b/>
          <w:bCs/>
        </w:rPr>
        <w:t>W</w:t>
      </w:r>
      <w:r w:rsidR="00AB3F82" w:rsidRPr="00025783">
        <w:rPr>
          <w:b/>
          <w:bCs/>
        </w:rPr>
        <w:t>sparcia</w:t>
      </w:r>
      <w:r w:rsidR="00FA199F" w:rsidRPr="00025783">
        <w:rPr>
          <w:b/>
          <w:bCs/>
        </w:rPr>
        <w:t xml:space="preserve"> dla sektora wydobywczego węgla kamiennego</w:t>
      </w:r>
      <w:r w:rsidR="00AB3F82">
        <w:t xml:space="preserve"> </w:t>
      </w:r>
      <w:r>
        <w:t xml:space="preserve">mają zapewniać podaż surowca dla gospodarki, a jednocześnie mają na celu sprawiedliwe przeprowadzenie transformacji energetycznej – uwzględniając wpływ na pracowników branży węglowej i całych regionów zależnych od gospodarki węglowej. W przypadku bardzo istotnej zmiany na rynku – np. w wyniku istotnych wzrostów cen EUA, spadków cen </w:t>
      </w:r>
      <w:r w:rsidR="00E0109D">
        <w:t xml:space="preserve">surowca </w:t>
      </w:r>
      <w:r>
        <w:t xml:space="preserve">lub szybszej niż prognozowana transformacji energetycznej, </w:t>
      </w:r>
      <w:r w:rsidRPr="00260F5F">
        <w:t>harmonogram</w:t>
      </w:r>
      <w:r w:rsidR="001A1448">
        <w:t>y</w:t>
      </w:r>
      <w:r w:rsidRPr="00260F5F">
        <w:t xml:space="preserve"> zamykania kopalń </w:t>
      </w:r>
      <w:r>
        <w:t xml:space="preserve">powinny ulec renegocjacji, z zachowaniem praw pracowniczych. </w:t>
      </w:r>
    </w:p>
    <w:p w14:paraId="7E7C2FC5" w14:textId="3F752051" w:rsidR="00BE0CA6" w:rsidRDefault="00CE7930" w:rsidP="00447355">
      <w:pPr>
        <w:spacing w:after="80"/>
      </w:pPr>
      <w:r>
        <w:t>W</w:t>
      </w:r>
      <w:r w:rsidR="00812FB7">
        <w:t xml:space="preserve">sparcie </w:t>
      </w:r>
      <w:r w:rsidR="004115D5">
        <w:t xml:space="preserve">finansowe i organizacyjne </w:t>
      </w:r>
      <w:r w:rsidR="00812FB7">
        <w:t xml:space="preserve">może być kierowane </w:t>
      </w:r>
      <w:r w:rsidR="004115D5">
        <w:t xml:space="preserve">także </w:t>
      </w:r>
      <w:r w:rsidR="00812FB7" w:rsidRPr="009C66F4">
        <w:rPr>
          <w:b/>
          <w:bCs/>
        </w:rPr>
        <w:t>na potrzeby</w:t>
      </w:r>
      <w:r w:rsidR="00D40498" w:rsidRPr="009C66F4">
        <w:rPr>
          <w:b/>
          <w:bCs/>
        </w:rPr>
        <w:t xml:space="preserve"> </w:t>
      </w:r>
      <w:r w:rsidR="002A3217" w:rsidRPr="009C66F4">
        <w:rPr>
          <w:b/>
          <w:bCs/>
        </w:rPr>
        <w:t>ograniczania negatywnego oddziaływania na środowisko wynikającego z wydobywania kopalin</w:t>
      </w:r>
      <w:r w:rsidR="00194FC1">
        <w:t xml:space="preserve"> </w:t>
      </w:r>
      <w:r w:rsidR="002A3217">
        <w:t xml:space="preserve">czy </w:t>
      </w:r>
      <w:r w:rsidR="002A3217" w:rsidRPr="002A3217">
        <w:t>likwidacji zakładów górniczych</w:t>
      </w:r>
      <w:r w:rsidR="002A3217">
        <w:t xml:space="preserve">. </w:t>
      </w:r>
      <w:r w:rsidR="00EF583F">
        <w:t xml:space="preserve">Istniejący program NFOŚiGW </w:t>
      </w:r>
      <w:r w:rsidR="00EF583F" w:rsidRPr="004E72D9">
        <w:rPr>
          <w:i/>
          <w:iCs/>
        </w:rPr>
        <w:t xml:space="preserve">Zmniejszenie uciążliwości </w:t>
      </w:r>
      <w:r w:rsidR="00F12CE4" w:rsidRPr="001C7D0B">
        <w:rPr>
          <w:i/>
          <w:iCs/>
        </w:rPr>
        <w:t xml:space="preserve">związanych z wydobyciem </w:t>
      </w:r>
      <w:r w:rsidR="00F12CE4" w:rsidRPr="00461347">
        <w:t>kopalin</w:t>
      </w:r>
      <w:r w:rsidR="00F12CE4" w:rsidRPr="001C7D0B">
        <w:rPr>
          <w:i/>
          <w:iCs/>
        </w:rPr>
        <w:t xml:space="preserve"> </w:t>
      </w:r>
      <w:r w:rsidR="00461347">
        <w:t>powinien</w:t>
      </w:r>
      <w:r w:rsidR="00F12CE4" w:rsidRPr="00E0773E">
        <w:t xml:space="preserve"> być dostosowan</w:t>
      </w:r>
      <w:r w:rsidR="000819AA">
        <w:t>y</w:t>
      </w:r>
      <w:r w:rsidR="00F12CE4" w:rsidRPr="00E0773E">
        <w:t xml:space="preserve"> do zidentyfikowanych problemów, w celu zminimalizowania negatywnego wpływu na najbardziej dotknięte obszary</w:t>
      </w:r>
      <w:r w:rsidR="00F12CE4">
        <w:rPr>
          <w:i/>
          <w:iCs/>
        </w:rPr>
        <w:t>.</w:t>
      </w:r>
      <w:r w:rsidR="00CC3A04">
        <w:t xml:space="preserve"> </w:t>
      </w:r>
      <w:r w:rsidR="00BE0CA6">
        <w:t xml:space="preserve">Działania </w:t>
      </w:r>
      <w:r w:rsidR="00CC3A04">
        <w:t xml:space="preserve">wspierające </w:t>
      </w:r>
      <w:r w:rsidR="00DC2EA9">
        <w:t>powinny polegać w szczególności na:</w:t>
      </w:r>
    </w:p>
    <w:p w14:paraId="393FEF7E" w14:textId="36FBC206" w:rsidR="00BE0CA6" w:rsidRDefault="00BE0CA6" w:rsidP="000625AC">
      <w:pPr>
        <w:pStyle w:val="Akapitzlist"/>
        <w:numPr>
          <w:ilvl w:val="0"/>
          <w:numId w:val="62"/>
        </w:numPr>
      </w:pPr>
      <w:r>
        <w:t>rekultywacji gruntów</w:t>
      </w:r>
      <w:r w:rsidR="00051D66">
        <w:t>,</w:t>
      </w:r>
    </w:p>
    <w:p w14:paraId="3ABBD2B1" w14:textId="0B6599E6" w:rsidR="003D3808" w:rsidRDefault="00DC2EA9" w:rsidP="000625AC">
      <w:pPr>
        <w:pStyle w:val="Akapitzlist"/>
        <w:numPr>
          <w:ilvl w:val="0"/>
          <w:numId w:val="62"/>
        </w:numPr>
      </w:pPr>
      <w:r>
        <w:t>uzdatnianiu</w:t>
      </w:r>
      <w:r w:rsidR="003D3808">
        <w:t xml:space="preserve">, </w:t>
      </w:r>
      <w:r w:rsidR="003D3808" w:rsidRPr="003D3808">
        <w:t>odprowadzani</w:t>
      </w:r>
      <w:r w:rsidR="003D3808">
        <w:t>u</w:t>
      </w:r>
      <w:r w:rsidR="003D3808" w:rsidRPr="003D3808">
        <w:t xml:space="preserve"> lub zagospodarowani</w:t>
      </w:r>
      <w:r w:rsidR="003D3808">
        <w:t>u</w:t>
      </w:r>
      <w:r w:rsidR="003D3808" w:rsidRPr="003D3808">
        <w:t xml:space="preserve"> wód kopalnianych</w:t>
      </w:r>
      <w:r w:rsidR="00051D66">
        <w:t>,</w:t>
      </w:r>
    </w:p>
    <w:p w14:paraId="2034C1B2" w14:textId="67C91295" w:rsidR="00C14D0B" w:rsidRDefault="00C14D0B" w:rsidP="000625AC">
      <w:pPr>
        <w:pStyle w:val="Akapitzlist"/>
        <w:numPr>
          <w:ilvl w:val="0"/>
          <w:numId w:val="62"/>
        </w:numPr>
      </w:pPr>
      <w:r w:rsidRPr="00C14D0B">
        <w:t>wprowadzani</w:t>
      </w:r>
      <w:r w:rsidR="00051D66">
        <w:t>u</w:t>
      </w:r>
      <w:r w:rsidRPr="00C14D0B">
        <w:t xml:space="preserve"> technologii ograniczających </w:t>
      </w:r>
      <w:r w:rsidR="00051D66">
        <w:t>negatywny wpływ górnictwa na środowisko.</w:t>
      </w:r>
    </w:p>
    <w:p w14:paraId="0C05BDBB" w14:textId="77777777" w:rsidR="00812FB7" w:rsidRDefault="00812FB7" w:rsidP="00CA6554">
      <w:pPr>
        <w:pStyle w:val="Bezodstpw"/>
      </w:pPr>
    </w:p>
    <w:p w14:paraId="09A1F76C" w14:textId="54465988" w:rsidR="000733AD" w:rsidRDefault="00BC084E" w:rsidP="000733AD">
      <w:bookmarkStart w:id="464" w:name="_Hlk159935497"/>
      <w:r>
        <w:t xml:space="preserve">Ze względu na fakt, że właściwości krajowego surowca odpowiadają przede wszystkim potrzebom sektora energetyki zawodowej, </w:t>
      </w:r>
      <w:r w:rsidRPr="00D70D2F">
        <w:rPr>
          <w:b/>
          <w:bCs/>
        </w:rPr>
        <w:t>priorytetem pozostaje zmniejszanie zapotrzebowania na węgiel kamienny w gospodarstwach domowych</w:t>
      </w:r>
      <w:r>
        <w:t xml:space="preserve"> i odejście od jego wykorzystania, co ograniczy potrzeby importowe i wpłynie korzystanie na jakość powietrza.</w:t>
      </w:r>
      <w:r w:rsidR="00AB70F1">
        <w:t xml:space="preserve"> </w:t>
      </w:r>
      <w:bookmarkEnd w:id="464"/>
      <w:r w:rsidR="00AB70F1">
        <w:t xml:space="preserve">Dopuszcza się, </w:t>
      </w:r>
      <w:r w:rsidR="000733AD" w:rsidRPr="000733AD">
        <w:t>aby w przypadku niektórych zakładów górniczych zakończenie pracy</w:t>
      </w:r>
      <w:r w:rsidR="00AD3AF2">
        <w:t xml:space="preserve"> </w:t>
      </w:r>
      <w:r w:rsidR="000733AD" w:rsidRPr="000733AD">
        <w:t>nie miało charakteru trwałego zamknięcia, lecz opierało się tzw. systemie</w:t>
      </w:r>
      <w:r w:rsidR="00AD3AF2">
        <w:t xml:space="preserve"> </w:t>
      </w:r>
      <w:r w:rsidR="000733AD" w:rsidRPr="000733AD">
        <w:t>wstrzymanej eksploatacji. Uniknięcie zatapiania i</w:t>
      </w:r>
      <w:r w:rsidR="00526CF7">
        <w:t> </w:t>
      </w:r>
      <w:r w:rsidR="000733AD" w:rsidRPr="000733AD">
        <w:t>zniszczenia infrastruktury pozwoli</w:t>
      </w:r>
      <w:r w:rsidR="00AD3AF2">
        <w:t xml:space="preserve"> </w:t>
      </w:r>
      <w:r w:rsidR="000733AD" w:rsidRPr="000733AD">
        <w:t>na zapewnienie swego rodzaju rezerwy o charakterze strategicznym, na wypadek,</w:t>
      </w:r>
      <w:r w:rsidR="00AD3AF2">
        <w:t xml:space="preserve"> </w:t>
      </w:r>
      <w:r w:rsidR="000733AD" w:rsidRPr="000733AD">
        <w:t>gdyby przebieg transformacji odbiegał od wybranego scenariusza lub gdyby</w:t>
      </w:r>
      <w:r w:rsidR="00AD3AF2">
        <w:t xml:space="preserve"> </w:t>
      </w:r>
      <w:r w:rsidR="000733AD" w:rsidRPr="000733AD">
        <w:t>wystąpiła sytuacja kryzysowa, wymuszająca przywrócenie eksploatacji złóż.</w:t>
      </w:r>
    </w:p>
    <w:p w14:paraId="68D9BF70" w14:textId="6EC9B860" w:rsidR="00F105F3" w:rsidRDefault="00B23079" w:rsidP="0026143B">
      <w:pPr>
        <w:spacing w:before="360"/>
      </w:pPr>
      <w:r>
        <w:t>Ze względu na to, że węgiel koksowy jest niezbędny d</w:t>
      </w:r>
      <w:r w:rsidR="00DB087F">
        <w:t xml:space="preserve">la przemysłu ciężkiego, jest trudno zastępowalny, a przy tym cechuje się ograniczonym poziomem zanieczyszczeń </w:t>
      </w:r>
      <w:r w:rsidR="00DB087F" w:rsidRPr="00C216C4">
        <w:t>n</w:t>
      </w:r>
      <w:r w:rsidRPr="00C216C4">
        <w:t>ie przew</w:t>
      </w:r>
      <w:r w:rsidR="00DB087F" w:rsidRPr="00C216C4">
        <w:t>iduje się redukcji produkcji węgla koksowego</w:t>
      </w:r>
      <w:r w:rsidR="0024780B" w:rsidRPr="0024780B">
        <w:t>.</w:t>
      </w:r>
      <w:r w:rsidR="00DE41AF">
        <w:t xml:space="preserve"> L</w:t>
      </w:r>
      <w:r w:rsidR="00DE41AF" w:rsidRPr="00DE41AF">
        <w:t>okalna produkcja b</w:t>
      </w:r>
      <w:r w:rsidR="00DE41AF">
        <w:t>ędzie</w:t>
      </w:r>
      <w:r w:rsidR="00DE41AF" w:rsidRPr="00DE41AF">
        <w:t xml:space="preserve"> chroniona przez krajowe </w:t>
      </w:r>
      <w:r w:rsidR="00DE41AF">
        <w:t>regulacje i powinna być wspierana przez</w:t>
      </w:r>
      <w:r w:rsidR="00DE41AF" w:rsidRPr="00DE41AF">
        <w:t xml:space="preserve"> unijne regulacje. </w:t>
      </w:r>
      <w:r w:rsidR="00802AFB">
        <w:t>W</w:t>
      </w:r>
      <w:r w:rsidR="00802AFB" w:rsidRPr="00DE41AF">
        <w:t xml:space="preserve"> dobie wyzwania</w:t>
      </w:r>
      <w:r w:rsidR="00802AFB">
        <w:t>,</w:t>
      </w:r>
      <w:r w:rsidR="00802AFB" w:rsidRPr="00DE41AF">
        <w:t xml:space="preserve"> jakie stanowi transformacja </w:t>
      </w:r>
      <w:r w:rsidR="006C3632">
        <w:t>energetyczna</w:t>
      </w:r>
      <w:r w:rsidR="00802AFB" w:rsidRPr="00DE41AF">
        <w:t xml:space="preserve">, </w:t>
      </w:r>
      <w:r w:rsidR="006C3632">
        <w:rPr>
          <w:b/>
          <w:bCs/>
        </w:rPr>
        <w:t>z</w:t>
      </w:r>
      <w:r w:rsidR="00DE41AF" w:rsidRPr="004955DE">
        <w:rPr>
          <w:b/>
          <w:bCs/>
        </w:rPr>
        <w:t xml:space="preserve">asoby węgla koksowego </w:t>
      </w:r>
      <w:r w:rsidR="004955DE" w:rsidRPr="004955DE">
        <w:rPr>
          <w:b/>
          <w:bCs/>
        </w:rPr>
        <w:t>stanowią</w:t>
      </w:r>
      <w:r w:rsidR="00DE41AF" w:rsidRPr="004955DE">
        <w:rPr>
          <w:b/>
          <w:bCs/>
        </w:rPr>
        <w:t xml:space="preserve"> strategiczną rezerwę</w:t>
      </w:r>
      <w:r w:rsidR="00DE41AF" w:rsidRPr="00DE41AF">
        <w:t xml:space="preserve"> dla hutnictwa, </w:t>
      </w:r>
      <w:r w:rsidR="00802AFB">
        <w:t>europejskiego</w:t>
      </w:r>
      <w:r w:rsidR="00847384">
        <w:t xml:space="preserve"> </w:t>
      </w:r>
      <w:r w:rsidR="00802AFB">
        <w:t>i krajowego</w:t>
      </w:r>
      <w:r w:rsidR="00DE41AF" w:rsidRPr="00DE41AF">
        <w:t>.</w:t>
      </w:r>
    </w:p>
    <w:p w14:paraId="03F092D8" w14:textId="77777777" w:rsidR="00C04D9C" w:rsidRPr="00C46DAA" w:rsidRDefault="00C04D9C" w:rsidP="00C04D9C">
      <w:pPr>
        <w:pStyle w:val="PaMs"/>
      </w:pPr>
      <w:r w:rsidRPr="00C46DAA">
        <w:t>DZIAŁANIA</w:t>
      </w:r>
    </w:p>
    <w:p w14:paraId="38F946EE" w14:textId="2A16A7FD" w:rsidR="0029019B" w:rsidRPr="0029019B" w:rsidRDefault="0029019B" w:rsidP="003530A9">
      <w:pPr>
        <w:pStyle w:val="Akapitzlist"/>
        <w:numPr>
          <w:ilvl w:val="0"/>
          <w:numId w:val="3"/>
        </w:numPr>
      </w:pPr>
      <w:r w:rsidRPr="0029019B">
        <w:fldChar w:fldCharType="begin"/>
      </w:r>
      <w:r w:rsidRPr="0029019B">
        <w:instrText xml:space="preserve"> REF _Ref195890182 \h </w:instrText>
      </w:r>
      <w:r>
        <w:instrText xml:space="preserve"> \* MERGEFORMAT </w:instrText>
      </w:r>
      <w:r w:rsidRPr="0029019B">
        <w:fldChar w:fldCharType="separate"/>
      </w:r>
      <w:r w:rsidR="00871DD5" w:rsidRPr="00871DD5">
        <w:rPr>
          <w:rStyle w:val="Nagwek6Znak"/>
          <w:rFonts w:ascii="Lato" w:hAnsi="Lato"/>
          <w:b w:val="0"/>
        </w:rPr>
        <w:t xml:space="preserve">Działanie </w:t>
      </w:r>
      <w:r w:rsidR="00871DD5" w:rsidRPr="00871DD5">
        <w:rPr>
          <w:lang w:eastAsia="pl-PL"/>
        </w:rPr>
        <w:t xml:space="preserve">116. </w:t>
      </w:r>
      <w:r w:rsidR="00871DD5" w:rsidRPr="008A5AE2">
        <w:rPr>
          <w:lang w:eastAsia="pl-PL"/>
        </w:rPr>
        <w:t>Opracowanie i wdrażanie Krajowego programu poszukiwań surowców krytycznych</w:t>
      </w:r>
      <w:r w:rsidRPr="0029019B">
        <w:fldChar w:fldCharType="end"/>
      </w:r>
    </w:p>
    <w:p w14:paraId="258ABC02" w14:textId="05BB82B0" w:rsidR="0029019B" w:rsidRPr="00EE58D5" w:rsidRDefault="0029019B" w:rsidP="003530A9">
      <w:pPr>
        <w:pStyle w:val="Akapitzlist"/>
        <w:numPr>
          <w:ilvl w:val="0"/>
          <w:numId w:val="3"/>
        </w:numPr>
      </w:pPr>
      <w:r w:rsidRPr="00EE58D5">
        <w:fldChar w:fldCharType="begin"/>
      </w:r>
      <w:r w:rsidRPr="00EE58D5">
        <w:instrText xml:space="preserve"> REF _Ref195890164 \h  \* MERGEFORMAT </w:instrText>
      </w:r>
      <w:r w:rsidRPr="00EE58D5">
        <w:fldChar w:fldCharType="separate"/>
      </w:r>
      <w:r w:rsidR="00871DD5" w:rsidRPr="00871DD5">
        <w:rPr>
          <w:rStyle w:val="Nagwek6Znak"/>
          <w:rFonts w:ascii="Lato" w:hAnsi="Lato"/>
          <w:b w:val="0"/>
        </w:rPr>
        <w:t xml:space="preserve">Działanie </w:t>
      </w:r>
      <w:r w:rsidR="00871DD5" w:rsidRPr="00871DD5">
        <w:rPr>
          <w:lang w:eastAsia="pl-PL"/>
        </w:rPr>
        <w:t xml:space="preserve">117. </w:t>
      </w:r>
      <w:r w:rsidR="00871DD5" w:rsidRPr="008A5AE2">
        <w:rPr>
          <w:lang w:eastAsia="pl-PL"/>
        </w:rPr>
        <w:t>Efektywna gospodarka surowcami ważnymi dla krajowej i unijnej gospodarki</w:t>
      </w:r>
      <w:r w:rsidRPr="00EE58D5">
        <w:fldChar w:fldCharType="end"/>
      </w:r>
    </w:p>
    <w:p w14:paraId="3980F370" w14:textId="7CF03DC6" w:rsidR="00B21B1B" w:rsidRPr="00675898" w:rsidRDefault="00B21B1B" w:rsidP="00B21B1B">
      <w:pPr>
        <w:pStyle w:val="Akapitzlist"/>
        <w:numPr>
          <w:ilvl w:val="0"/>
          <w:numId w:val="3"/>
        </w:numPr>
        <w:rPr>
          <w:rFonts w:eastAsiaTheme="majorEastAsia" w:cstheme="majorBidi"/>
          <w:b/>
          <w:color w:val="000000" w:themeColor="text1"/>
        </w:rPr>
      </w:pPr>
      <w:r w:rsidRPr="00B16503">
        <w:rPr>
          <w:rStyle w:val="Nagwek6Znak"/>
          <w:rFonts w:ascii="Lato" w:hAnsi="Lato"/>
        </w:rPr>
        <w:fldChar w:fldCharType="begin"/>
      </w:r>
      <w:r w:rsidRPr="00B16503">
        <w:rPr>
          <w:rStyle w:val="Nagwek6Znak"/>
          <w:rFonts w:ascii="Lato" w:hAnsi="Lato"/>
        </w:rPr>
        <w:instrText xml:space="preserve"> REF _Ref195890082 \h </w:instrText>
      </w:r>
      <w:r>
        <w:rPr>
          <w:rStyle w:val="Nagwek6Znak"/>
          <w:rFonts w:ascii="Lato" w:hAnsi="Lato"/>
        </w:rPr>
        <w:instrText xml:space="preserve">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118. </w:t>
      </w:r>
      <w:r w:rsidR="00871DD5" w:rsidRPr="008A5AE2">
        <w:rPr>
          <w:lang w:eastAsia="pl-PL"/>
        </w:rPr>
        <w:t>Aktualizacja Polityki Surowcowej Państwa</w:t>
      </w:r>
      <w:r w:rsidRPr="00B16503">
        <w:rPr>
          <w:rStyle w:val="Nagwek6Znak"/>
          <w:rFonts w:ascii="Lato" w:hAnsi="Lato"/>
        </w:rPr>
        <w:fldChar w:fldCharType="end"/>
      </w:r>
    </w:p>
    <w:p w14:paraId="437EE4BB" w14:textId="5DD69B52" w:rsidR="0029019B" w:rsidRPr="00EE58D5" w:rsidRDefault="00EE58D5" w:rsidP="003530A9">
      <w:pPr>
        <w:pStyle w:val="Akapitzlist"/>
        <w:numPr>
          <w:ilvl w:val="0"/>
          <w:numId w:val="3"/>
        </w:numPr>
      </w:pPr>
      <w:r w:rsidRPr="00EE58D5">
        <w:fldChar w:fldCharType="begin"/>
      </w:r>
      <w:r w:rsidRPr="00EE58D5">
        <w:instrText xml:space="preserve"> REF _Ref195890260 \h </w:instrText>
      </w:r>
      <w:r>
        <w:instrText xml:space="preserve"> \* MERGEFORMAT </w:instrText>
      </w:r>
      <w:r w:rsidRPr="00EE58D5">
        <w:fldChar w:fldCharType="separate"/>
      </w:r>
      <w:r w:rsidR="00871DD5" w:rsidRPr="00871DD5">
        <w:rPr>
          <w:rStyle w:val="Nagwek6Znak"/>
          <w:rFonts w:ascii="Lato" w:hAnsi="Lato"/>
          <w:b w:val="0"/>
        </w:rPr>
        <w:t xml:space="preserve">Działanie </w:t>
      </w:r>
      <w:r w:rsidR="00871DD5" w:rsidRPr="00871DD5">
        <w:rPr>
          <w:lang w:eastAsia="pl-PL"/>
        </w:rPr>
        <w:t xml:space="preserve">150. </w:t>
      </w:r>
      <w:r w:rsidR="00871DD5" w:rsidRPr="004D6F82">
        <w:rPr>
          <w:lang w:eastAsia="pl-PL"/>
        </w:rPr>
        <w:t>Zapewnienie wsparcia dla regionów węglowych</w:t>
      </w:r>
      <w:r w:rsidRPr="00EE58D5">
        <w:fldChar w:fldCharType="end"/>
      </w:r>
    </w:p>
    <w:p w14:paraId="2B58B32D" w14:textId="7915F7F9" w:rsidR="00EE58D5" w:rsidRPr="00EE58D5" w:rsidRDefault="00EE58D5" w:rsidP="003530A9">
      <w:pPr>
        <w:pStyle w:val="Akapitzlist"/>
        <w:numPr>
          <w:ilvl w:val="0"/>
          <w:numId w:val="3"/>
        </w:numPr>
      </w:pPr>
      <w:r w:rsidRPr="00EE58D5">
        <w:fldChar w:fldCharType="begin"/>
      </w:r>
      <w:r w:rsidRPr="00EE58D5">
        <w:instrText xml:space="preserve"> REF _Ref195890267 \h </w:instrText>
      </w:r>
      <w:r>
        <w:instrText xml:space="preserve"> \* MERGEFORMAT </w:instrText>
      </w:r>
      <w:r w:rsidRPr="00EE58D5">
        <w:fldChar w:fldCharType="separate"/>
      </w:r>
      <w:r w:rsidR="00871DD5" w:rsidRPr="00871DD5">
        <w:rPr>
          <w:rStyle w:val="Nagwek6Znak"/>
          <w:rFonts w:ascii="Lato" w:hAnsi="Lato"/>
          <w:b w:val="0"/>
        </w:rPr>
        <w:t xml:space="preserve">Działanie </w:t>
      </w:r>
      <w:r w:rsidR="00871DD5" w:rsidRPr="00871DD5">
        <w:rPr>
          <w:lang w:eastAsia="pl-PL"/>
        </w:rPr>
        <w:t>151.</w:t>
      </w:r>
      <w:r w:rsidR="00871DD5" w:rsidRPr="004D6F82">
        <w:rPr>
          <w:lang w:eastAsia="pl-PL"/>
        </w:rPr>
        <w:t xml:space="preserve"> Zapewnienie rozwoju regionów</w:t>
      </w:r>
      <w:r w:rsidR="00871DD5">
        <w:rPr>
          <w:lang w:eastAsia="pl-PL"/>
        </w:rPr>
        <w:t xml:space="preserve"> </w:t>
      </w:r>
      <w:r w:rsidR="00871DD5" w:rsidRPr="004D6F82">
        <w:rPr>
          <w:lang w:eastAsia="pl-PL"/>
        </w:rPr>
        <w:t>węglowych</w:t>
      </w:r>
      <w:r w:rsidRPr="00EE58D5">
        <w:fldChar w:fldCharType="end"/>
      </w:r>
    </w:p>
    <w:p w14:paraId="5E135D9A" w14:textId="77777777" w:rsidR="001C13F7" w:rsidRDefault="001C13F7" w:rsidP="001C13F7">
      <w:bookmarkStart w:id="465" w:name="_Toc195897309"/>
      <w:bookmarkStart w:id="466" w:name="_Toc195899554"/>
      <w:bookmarkStart w:id="467" w:name="_Toc195897310"/>
      <w:bookmarkStart w:id="468" w:name="_Toc195899555"/>
      <w:bookmarkStart w:id="469" w:name="_Toc195897311"/>
      <w:bookmarkStart w:id="470" w:name="_Toc195899556"/>
      <w:bookmarkStart w:id="471" w:name="_Toc195897312"/>
      <w:bookmarkEnd w:id="465"/>
      <w:bookmarkEnd w:id="466"/>
      <w:bookmarkEnd w:id="467"/>
      <w:bookmarkEnd w:id="468"/>
      <w:bookmarkEnd w:id="469"/>
      <w:bookmarkEnd w:id="470"/>
    </w:p>
    <w:p w14:paraId="17F7444C" w14:textId="596F7670" w:rsidR="000B1ECE" w:rsidRPr="002A3724" w:rsidRDefault="000B1ECE" w:rsidP="000B1ECE">
      <w:pPr>
        <w:pStyle w:val="Nagwek4"/>
        <w:rPr>
          <w:color w:val="C00000"/>
        </w:rPr>
      </w:pPr>
      <w:bookmarkStart w:id="472" w:name="_Toc205203192"/>
      <w:r w:rsidRPr="002A3724">
        <w:rPr>
          <w:color w:val="C00000"/>
        </w:rPr>
        <w:lastRenderedPageBreak/>
        <w:t>Stopniowe odchodzenie od węgla brunatnego</w:t>
      </w:r>
      <w:bookmarkEnd w:id="471"/>
      <w:bookmarkEnd w:id="472"/>
    </w:p>
    <w:p w14:paraId="55C63E67" w14:textId="29E593B2" w:rsidR="00843214" w:rsidRDefault="00A978C2" w:rsidP="00843214">
      <w:r>
        <w:t xml:space="preserve">Elektrownie na węgiel </w:t>
      </w:r>
      <w:r w:rsidR="00601C0B">
        <w:t>kamienny</w:t>
      </w:r>
      <w:r w:rsidR="002D7052">
        <w:t xml:space="preserve"> i bruna</w:t>
      </w:r>
      <w:r w:rsidR="0081609E">
        <w:t>tny przez</w:t>
      </w:r>
      <w:r w:rsidR="00601C0B">
        <w:t xml:space="preserve"> dziesięciolecia </w:t>
      </w:r>
      <w:r w:rsidR="00595DD1">
        <w:t>stanowiły podstawę wytwarzania energii elektrycznej w Polsce</w:t>
      </w:r>
      <w:r w:rsidR="00543B4F">
        <w:t>.</w:t>
      </w:r>
      <w:r w:rsidR="0081609E">
        <w:t xml:space="preserve"> Nadal </w:t>
      </w:r>
      <w:r w:rsidR="00366A23">
        <w:t>odpowiadają za większość wytwarzania, ale ich rola ulega stopniowej zmianie</w:t>
      </w:r>
      <w:r w:rsidR="000470B0">
        <w:t xml:space="preserve">. Techniczny jednostkowy koszt wytwarzania energii z węgla brunatnego jest </w:t>
      </w:r>
      <w:r w:rsidR="00272883">
        <w:t xml:space="preserve">stosunkowo niski, ale </w:t>
      </w:r>
      <w:r w:rsidR="00C06747">
        <w:t xml:space="preserve">ze względu na </w:t>
      </w:r>
      <w:r w:rsidR="00262EC7">
        <w:t>wysoką emisyjność tego typu jednostek</w:t>
      </w:r>
      <w:r w:rsidR="00A167FD">
        <w:t xml:space="preserve"> koszty uprawnień do emisji istotnie podwyższają </w:t>
      </w:r>
      <w:r w:rsidR="004B2248">
        <w:t>koszt wytworzenia każdej MWh</w:t>
      </w:r>
      <w:r w:rsidR="00543B4F">
        <w:rPr>
          <w:rStyle w:val="Odwoanieprzypisudolnego"/>
        </w:rPr>
        <w:footnoteReference w:id="100"/>
      </w:r>
      <w:r w:rsidR="00543B4F">
        <w:t>.</w:t>
      </w:r>
      <w:r w:rsidR="00F54DF8">
        <w:t xml:space="preserve"> Negatywny wpływ na środowisko</w:t>
      </w:r>
      <w:r w:rsidR="002F6FE8">
        <w:t xml:space="preserve"> (</w:t>
      </w:r>
      <w:r w:rsidR="00F441CC">
        <w:t xml:space="preserve">m.in. </w:t>
      </w:r>
      <w:r w:rsidR="003545E8">
        <w:t>obniżenie poziomu wód gruntowych,</w:t>
      </w:r>
      <w:r w:rsidR="00995012">
        <w:t xml:space="preserve"> degradacja</w:t>
      </w:r>
      <w:r w:rsidR="00F441CC">
        <w:t xml:space="preserve"> </w:t>
      </w:r>
      <w:r w:rsidR="003545E8">
        <w:t>środowiska glebowego</w:t>
      </w:r>
      <w:r w:rsidR="002F6FE8">
        <w:t>)</w:t>
      </w:r>
      <w:r w:rsidR="00D13253">
        <w:t>, wysoki poziom emisyjności wpływaj</w:t>
      </w:r>
      <w:r w:rsidR="00FA16E8">
        <w:t xml:space="preserve">ący na </w:t>
      </w:r>
      <w:r w:rsidR="004D7431">
        <w:t>r</w:t>
      </w:r>
      <w:r w:rsidR="00F54DF8">
        <w:t xml:space="preserve">osnące </w:t>
      </w:r>
      <w:r w:rsidR="004D7431">
        <w:t xml:space="preserve">koszty wytwarzania energii elektrycznej z węgla brunatnego </w:t>
      </w:r>
      <w:r w:rsidR="00FA16E8">
        <w:t>i dodatkowo utrudniony udział w</w:t>
      </w:r>
      <w:r w:rsidR="00526CF7">
        <w:t> </w:t>
      </w:r>
      <w:r w:rsidR="00FA16E8">
        <w:t>mechanizmach wsparcia</w:t>
      </w:r>
      <w:r w:rsidR="002A6728">
        <w:t xml:space="preserve">, a także zależność od </w:t>
      </w:r>
      <w:r w:rsidR="00F12CE4">
        <w:t xml:space="preserve">kopalni odkrywkowych </w:t>
      </w:r>
      <w:r w:rsidR="004D7431">
        <w:t xml:space="preserve">powodują, że </w:t>
      </w:r>
      <w:r w:rsidR="009E49D0">
        <w:t>wykorzystanie węgla brunatnego w krajowej gospodarce będzie spadać</w:t>
      </w:r>
      <w:r w:rsidR="00AD60AD">
        <w:t>.</w:t>
      </w:r>
      <w:r w:rsidR="008B323C">
        <w:t xml:space="preserve"> </w:t>
      </w:r>
    </w:p>
    <w:p w14:paraId="0450D781" w14:textId="567B79EA" w:rsidR="00DE0C7F" w:rsidRPr="00FE0088" w:rsidRDefault="00AD60AD" w:rsidP="005F6C66">
      <w:pPr>
        <w:rPr>
          <w:b/>
          <w:bCs/>
        </w:rPr>
      </w:pPr>
      <w:r>
        <w:t xml:space="preserve">W Polsce wydobycie węgla brunatnego odbywa się w </w:t>
      </w:r>
      <w:r w:rsidR="00A97E14">
        <w:t>kopalniach zlokalizowanych w okolicy Elektrowni</w:t>
      </w:r>
      <w:r w:rsidR="002A4E97">
        <w:t xml:space="preserve"> Bełchatów, Elektrowni Turów </w:t>
      </w:r>
      <w:r w:rsidR="00270E3F">
        <w:t xml:space="preserve">na Dolnym Śląsku oraz </w:t>
      </w:r>
      <w:r w:rsidR="002A4E97">
        <w:t>ZE PAK w Wielkopolsce</w:t>
      </w:r>
      <w:r w:rsidR="00682915">
        <w:t xml:space="preserve"> i jest ściśle z</w:t>
      </w:r>
      <w:r w:rsidR="00331F87" w:rsidRPr="00331F87">
        <w:t xml:space="preserve"> </w:t>
      </w:r>
      <w:r w:rsidR="00331F87">
        <w:t>powiązane</w:t>
      </w:r>
      <w:r w:rsidR="00FE0088">
        <w:t xml:space="preserve"> z </w:t>
      </w:r>
      <w:r w:rsidR="00331F87" w:rsidRPr="00331F87">
        <w:t xml:space="preserve">pracą </w:t>
      </w:r>
      <w:r w:rsidR="00FE0088">
        <w:t xml:space="preserve">tych </w:t>
      </w:r>
      <w:r w:rsidR="00331F87" w:rsidRPr="00331F87">
        <w:t>elektrowni</w:t>
      </w:r>
      <w:r w:rsidR="00FE0088">
        <w:t>.</w:t>
      </w:r>
      <w:r w:rsidR="00331F87" w:rsidRPr="00331F87">
        <w:t xml:space="preserve"> </w:t>
      </w:r>
      <w:r w:rsidR="008C21D9">
        <w:t>Każda z tych jednostek</w:t>
      </w:r>
      <w:r w:rsidR="00FC2341">
        <w:t xml:space="preserve"> </w:t>
      </w:r>
      <w:r w:rsidR="00531D55">
        <w:t xml:space="preserve">ma określony plan odstawienia bloków, przy czym </w:t>
      </w:r>
      <w:r w:rsidR="002015F4">
        <w:t xml:space="preserve">zakończenie pracy elektrowni może nastąpić wcześniej niż </w:t>
      </w:r>
      <w:r w:rsidR="00E5344F">
        <w:t>s</w:t>
      </w:r>
      <w:r w:rsidR="002015F4">
        <w:t>czerpanie złóż.</w:t>
      </w:r>
      <w:r w:rsidR="008C21D9">
        <w:t xml:space="preserve"> </w:t>
      </w:r>
    </w:p>
    <w:p w14:paraId="11D1F253" w14:textId="46F9288E" w:rsidR="00086C3F" w:rsidRPr="00086C3F" w:rsidRDefault="00086C3F" w:rsidP="00086C3F">
      <w:pPr>
        <w:pStyle w:val="PaMs"/>
      </w:pPr>
      <w:r w:rsidRPr="00086C3F">
        <w:t>POLITYKA</w:t>
      </w:r>
    </w:p>
    <w:p w14:paraId="4F806A23" w14:textId="553C10E1" w:rsidR="00086C3F" w:rsidRDefault="00086C3F" w:rsidP="00086C3F">
      <w:r w:rsidRPr="00086C3F">
        <w:t xml:space="preserve">Mając na względzie </w:t>
      </w:r>
      <w:r>
        <w:t>negatywny wpływ na środowisko, wysoki poziom emisyjności wpływający na rosnące koszty wytwarzania energii elektrycznej z węgla brunatnego</w:t>
      </w:r>
      <w:r w:rsidR="00EE3A19">
        <w:t>, konwencjonalne wydobycie węgla brunatnego na potrzeby energetyczne będzie zmniejszane</w:t>
      </w:r>
      <w:r w:rsidR="0057472F">
        <w:t>.</w:t>
      </w:r>
    </w:p>
    <w:p w14:paraId="29AC1683" w14:textId="2DE74343" w:rsidR="00C567F7" w:rsidRDefault="004E45DB" w:rsidP="00086C3F">
      <w:r>
        <w:t>Z</w:t>
      </w:r>
      <w:r w:rsidR="00C567F7" w:rsidRPr="00DB246B">
        <w:t xml:space="preserve">łoża węgla brunatnego o wielkości </w:t>
      </w:r>
      <w:r w:rsidR="00DC691B" w:rsidRPr="00DC691B">
        <w:t>i wartości zasobów będą</w:t>
      </w:r>
      <w:r w:rsidR="00DC691B">
        <w:t xml:space="preserve"> </w:t>
      </w:r>
      <w:r w:rsidR="00C567F7" w:rsidRPr="00DB246B">
        <w:t xml:space="preserve">stanowić „rezerwę strategiczną”. Z tego względu tego typu złoża będą zabezpieczone przed </w:t>
      </w:r>
      <w:r w:rsidR="008113DB">
        <w:t xml:space="preserve">zwartą </w:t>
      </w:r>
      <w:r w:rsidR="00C567F7" w:rsidRPr="00DB246B">
        <w:t xml:space="preserve">zabudową terenów nad nimi (dotyczy wyłącznie terenów dotychczas niezabudowanych). </w:t>
      </w:r>
    </w:p>
    <w:p w14:paraId="1E73E0B8" w14:textId="26A1334D" w:rsidR="006F34B5" w:rsidRDefault="004E000C" w:rsidP="000C52B5">
      <w:pPr>
        <w:pStyle w:val="Nagwek3"/>
        <w:rPr>
          <w:color w:val="C00000"/>
        </w:rPr>
      </w:pPr>
      <w:bookmarkStart w:id="473" w:name="_Toc198034188"/>
      <w:bookmarkStart w:id="474" w:name="_Toc198107725"/>
      <w:bookmarkStart w:id="475" w:name="_Toc198288814"/>
      <w:bookmarkStart w:id="476" w:name="_Toc198288962"/>
      <w:bookmarkStart w:id="477" w:name="_Toc198289197"/>
      <w:bookmarkStart w:id="478" w:name="_Toc198303574"/>
      <w:bookmarkStart w:id="479" w:name="_Toc198303983"/>
      <w:bookmarkStart w:id="480" w:name="_Toc198304175"/>
      <w:bookmarkStart w:id="481" w:name="_Toc198304504"/>
      <w:bookmarkStart w:id="482" w:name="_Toc198316809"/>
      <w:bookmarkStart w:id="483" w:name="_Toc159598316"/>
      <w:bookmarkStart w:id="484" w:name="_Ref189120932"/>
      <w:bookmarkStart w:id="485" w:name="_Ref189120952"/>
      <w:bookmarkStart w:id="486" w:name="_Ref195893053"/>
      <w:bookmarkStart w:id="487" w:name="_Toc195897313"/>
      <w:bookmarkStart w:id="488" w:name="_Toc205203193"/>
      <w:bookmarkEnd w:id="473"/>
      <w:bookmarkEnd w:id="474"/>
      <w:bookmarkEnd w:id="475"/>
      <w:bookmarkEnd w:id="476"/>
      <w:bookmarkEnd w:id="477"/>
      <w:bookmarkEnd w:id="478"/>
      <w:bookmarkEnd w:id="479"/>
      <w:bookmarkEnd w:id="480"/>
      <w:bookmarkEnd w:id="481"/>
      <w:bookmarkEnd w:id="482"/>
      <w:r>
        <w:rPr>
          <w:color w:val="C00000"/>
        </w:rPr>
        <w:t>P</w:t>
      </w:r>
      <w:r w:rsidR="008A46D0">
        <w:rPr>
          <w:color w:val="C00000"/>
        </w:rPr>
        <w:t>okrycie</w:t>
      </w:r>
      <w:r>
        <w:rPr>
          <w:color w:val="C00000"/>
        </w:rPr>
        <w:t xml:space="preserve"> </w:t>
      </w:r>
      <w:r w:rsidR="000D4915">
        <w:rPr>
          <w:color w:val="C00000"/>
        </w:rPr>
        <w:t>zapotrzebowania na</w:t>
      </w:r>
      <w:r w:rsidR="00D4249D">
        <w:rPr>
          <w:color w:val="C00000"/>
        </w:rPr>
        <w:t> </w:t>
      </w:r>
      <w:r w:rsidR="000D4915">
        <w:rPr>
          <w:color w:val="C00000"/>
        </w:rPr>
        <w:t>gaz</w:t>
      </w:r>
      <w:r w:rsidR="008A46D0">
        <w:rPr>
          <w:color w:val="C00000"/>
        </w:rPr>
        <w:t> </w:t>
      </w:r>
      <w:r w:rsidR="000D4915">
        <w:rPr>
          <w:color w:val="C00000"/>
        </w:rPr>
        <w:t>ziemny</w:t>
      </w:r>
      <w:bookmarkEnd w:id="483"/>
      <w:bookmarkEnd w:id="484"/>
      <w:bookmarkEnd w:id="485"/>
      <w:bookmarkEnd w:id="486"/>
      <w:bookmarkEnd w:id="487"/>
      <w:bookmarkEnd w:id="488"/>
    </w:p>
    <w:p w14:paraId="610EA4E1" w14:textId="7F105E96" w:rsidR="0038115D" w:rsidRDefault="00DE0CED" w:rsidP="005B0E34">
      <w:r>
        <w:rPr>
          <w:noProof/>
          <w:lang w:eastAsia="pl-PL"/>
        </w:rPr>
        <mc:AlternateContent>
          <mc:Choice Requires="wps">
            <w:drawing>
              <wp:anchor distT="0" distB="0" distL="114300" distR="114300" simplePos="0" relativeHeight="251482624" behindDoc="1" locked="0" layoutInCell="1" allowOverlap="1" wp14:anchorId="6B1C642B" wp14:editId="4C0BFF75">
                <wp:simplePos x="0" y="0"/>
                <wp:positionH relativeFrom="margin">
                  <wp:posOffset>3126105</wp:posOffset>
                </wp:positionH>
                <wp:positionV relativeFrom="paragraph">
                  <wp:posOffset>66675</wp:posOffset>
                </wp:positionV>
                <wp:extent cx="2531110" cy="666750"/>
                <wp:effectExtent l="19050" t="57150" r="97790" b="61595"/>
                <wp:wrapSquare wrapText="bothSides"/>
                <wp:docPr id="2124906607" name="Prostokąt: zaokrąglone rogi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110" cy="666750"/>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B0A8996" w14:textId="3CCC838B" w:rsidR="00C36C5C" w:rsidRPr="004E21CF" w:rsidRDefault="00C36C5C" w:rsidP="00E267CA">
                            <w:pPr>
                              <w:pStyle w:val="Ramka"/>
                            </w:pPr>
                            <w:r>
                              <w:t xml:space="preserve">Ze względu na ograniczone zasoby krajowe gazu ziemnego, większość zapotrzebowania jest pokrywana surowcem z importu oraz wydobyciem własnym poza granicami kraju.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B1C642B" id="Prostokąt: zaokrąglone rogi 40" o:spid="_x0000_s1121" style="position:absolute;left:0;text-align:left;margin-left:246.15pt;margin-top:5.25pt;width:199.3pt;height:52.5pt;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" fillcolor="white [3212]" strokecolor="#c00000" strokeweight=".5pt">
                <v:stroke joinstyle="miter"/>
                <v:shadow on="t" color="black" opacity="26214f" origin="-.5" offset="3pt,0"/>
                <v:path arrowok="t"/>
                <v:textbox style="mso-fit-shape-to-text:t" inset="2mm,2.5mm,2mm,0">
                  <w:txbxContent>
                    <w:p w14:paraId="1B0A8996" w14:textId="3CCC838B" w:rsidR="00C36C5C" w:rsidRPr="004E21CF" w:rsidRDefault="00C36C5C" w:rsidP="00E267CA">
                      <w:pPr>
                        <w:pStyle w:val="Ramka"/>
                      </w:pPr>
                      <w:r>
                        <w:t xml:space="preserve">Ze względu na ograniczone zasoby krajowe gazu ziemnego, większość zapotrzebowania jest pokrywana surowcem z importu oraz wydobyciem własnym poza granicami kraju. </w:t>
                      </w:r>
                    </w:p>
                  </w:txbxContent>
                </v:textbox>
                <w10:wrap type="square" anchorx="margin"/>
              </v:roundrect>
            </w:pict>
          </mc:Fallback>
        </mc:AlternateContent>
      </w:r>
      <w:r w:rsidR="0038115D">
        <w:t>Gaz ziemny odpowiada za istotn</w:t>
      </w:r>
      <w:r w:rsidR="00D83268">
        <w:t>ą</w:t>
      </w:r>
      <w:r w:rsidR="0038115D">
        <w:t xml:space="preserve"> część pokrycia zapotrzebowania na energię pierwotn</w:t>
      </w:r>
      <w:r w:rsidR="00D83268">
        <w:t>ą</w:t>
      </w:r>
      <w:r w:rsidR="0038115D">
        <w:t xml:space="preserve"> w kraju, a popyt na ten surowiec nie ulegnie spadkowi wcześniej niż </w:t>
      </w:r>
      <w:r w:rsidR="00CB596F">
        <w:t>w</w:t>
      </w:r>
      <w:r w:rsidR="0038115D">
        <w:t xml:space="preserve"> 2030 r. – </w:t>
      </w:r>
      <w:r w:rsidR="00E53753">
        <w:t>wówczas przewiduje się szczyt zapotrzebowania.</w:t>
      </w:r>
      <w:r w:rsidR="0038115D">
        <w:t xml:space="preserve"> </w:t>
      </w:r>
      <w:r w:rsidR="00E53753" w:rsidRPr="00B3563C">
        <w:rPr>
          <w:b/>
          <w:bCs/>
        </w:rPr>
        <w:t>Ze względu na p</w:t>
      </w:r>
      <w:r w:rsidR="00CB596F" w:rsidRPr="00B3563C">
        <w:rPr>
          <w:b/>
          <w:bCs/>
        </w:rPr>
        <w:t xml:space="preserve">omostową </w:t>
      </w:r>
      <w:r w:rsidR="00E53753" w:rsidRPr="00B3563C">
        <w:rPr>
          <w:b/>
          <w:bCs/>
        </w:rPr>
        <w:t>rolę w</w:t>
      </w:r>
      <w:r w:rsidR="00CB596F" w:rsidRPr="00B3563C">
        <w:rPr>
          <w:b/>
          <w:bCs/>
        </w:rPr>
        <w:t xml:space="preserve"> procesie </w:t>
      </w:r>
      <w:r w:rsidR="00E53753" w:rsidRPr="00B3563C">
        <w:rPr>
          <w:b/>
          <w:bCs/>
        </w:rPr>
        <w:t>transformacji energetycznej</w:t>
      </w:r>
      <w:r w:rsidR="00E53753">
        <w:t>,</w:t>
      </w:r>
      <w:r w:rsidR="0038115D">
        <w:t xml:space="preserve"> niezbędne jest zagwarantowanie pewności dostaw tego surowca do odbiorców.</w:t>
      </w:r>
    </w:p>
    <w:p w14:paraId="433E4AC1" w14:textId="458FD365" w:rsidR="00B613FC" w:rsidRDefault="0038115D" w:rsidP="005B0E34">
      <w:r>
        <w:t>W tej części określono cele dotyczące</w:t>
      </w:r>
      <w:r w:rsidR="00B613FC">
        <w:t xml:space="preserve"> dywersyfikacji dostaw gazu ziemnego spoza kraju, </w:t>
      </w:r>
      <w:r w:rsidR="00FE0740">
        <w:t>pokrywania części popytu na surowiec zasobami własnymi, a także zapewniania odpowiednio rozwiniętej i sprawnej infrastruktury krajowej</w:t>
      </w:r>
      <w:r w:rsidR="004D1ABA">
        <w:t xml:space="preserve"> i transgranicznej</w:t>
      </w:r>
      <w:r w:rsidR="00FE0740">
        <w:t xml:space="preserve">, która umożliwia odbiorcom dostęp do surowca. </w:t>
      </w:r>
    </w:p>
    <w:p w14:paraId="6A7C8B8E" w14:textId="033ACB12" w:rsidR="00FE0740" w:rsidRDefault="00D0260B" w:rsidP="00B613FC">
      <w:r>
        <w:t>Obok określenia polityk i działań mających na celu pokrycie popytu na gaz ziemny, niezbędne jest także zdefiniowanie celów dotyczących gotowości do radzenia sobie z ograniczeniami lub przerwami w dostawach surowca, co również uwzględniono w tej części dokumentu.</w:t>
      </w:r>
    </w:p>
    <w:p w14:paraId="44EAAEEE" w14:textId="3577ECD4" w:rsidR="00B03CB7" w:rsidRDefault="00B03CB7" w:rsidP="00B613FC">
      <w:r w:rsidRPr="009E06F7">
        <w:rPr>
          <w:rStyle w:val="odesaniedozaZnak"/>
        </w:rPr>
        <w:lastRenderedPageBreak/>
        <w:t xml:space="preserve">Część zagadnień związanych z </w:t>
      </w:r>
      <w:r w:rsidR="00125DD4" w:rsidRPr="009E06F7">
        <w:rPr>
          <w:rStyle w:val="odesaniedozaZnak"/>
        </w:rPr>
        <w:t>połączeniami międzysystemowymi znajduje się</w:t>
      </w:r>
      <w:r w:rsidRPr="009E06F7">
        <w:rPr>
          <w:rStyle w:val="odesaniedozaZnak"/>
        </w:rPr>
        <w:t xml:space="preserve"> w 4. wymiarze.</w:t>
      </w:r>
      <w:r w:rsidR="009672C6" w:rsidRPr="009E06F7">
        <w:rPr>
          <w:rStyle w:val="odesaniedozaZnak"/>
        </w:rPr>
        <w:t xml:space="preserve"> Na</w:t>
      </w:r>
      <w:r w:rsidR="009672C6" w:rsidRPr="004C1E35">
        <w:rPr>
          <w:rStyle w:val="odesaniedozaZnak"/>
        </w:rPr>
        <w:t xml:space="preserve">tomiast szczegółowe dane </w:t>
      </w:r>
      <w:r w:rsidR="00597577" w:rsidRPr="004C1E35">
        <w:rPr>
          <w:rStyle w:val="odesaniedozaZnak"/>
        </w:rPr>
        <w:t xml:space="preserve">o infrastrukturze </w:t>
      </w:r>
      <w:r w:rsidR="005646FA" w:rsidRPr="004C1E35">
        <w:rPr>
          <w:rStyle w:val="odesaniedozaZnak"/>
        </w:rPr>
        <w:t xml:space="preserve">i źródłach importu </w:t>
      </w:r>
      <w:r w:rsidR="00597577" w:rsidRPr="004C1E35">
        <w:rPr>
          <w:rStyle w:val="odesaniedozaZnak"/>
        </w:rPr>
        <w:t>dostępne są w załączniku 2 do KPEiK w rozdzia</w:t>
      </w:r>
      <w:r w:rsidR="005646FA" w:rsidRPr="004C1E35">
        <w:rPr>
          <w:rStyle w:val="odesaniedozaZnak"/>
        </w:rPr>
        <w:t>łach</w:t>
      </w:r>
      <w:r w:rsidR="00597577" w:rsidRPr="004C1E35">
        <w:rPr>
          <w:rStyle w:val="odesaniedozaZnak"/>
        </w:rPr>
        <w:t xml:space="preserve"> 4.1 i</w:t>
      </w:r>
      <w:r w:rsidR="009E06F7">
        <w:rPr>
          <w:rStyle w:val="odesaniedozaZnak"/>
        </w:rPr>
        <w:t> </w:t>
      </w:r>
      <w:r w:rsidR="00597577" w:rsidRPr="004C1E35">
        <w:rPr>
          <w:rStyle w:val="odesaniedozaZnak"/>
        </w:rPr>
        <w:t>4.2</w:t>
      </w:r>
      <w:r w:rsidR="005646FA" w:rsidRPr="004C1E35">
        <w:rPr>
          <w:rStyle w:val="odesaniedozaZnak"/>
        </w:rPr>
        <w:t xml:space="preserve"> oraz 3.6</w:t>
      </w:r>
      <w:r w:rsidR="00597577" w:rsidRPr="004C1E35">
        <w:rPr>
          <w:rStyle w:val="odesaniedozaZnak"/>
        </w:rPr>
        <w:t>.</w:t>
      </w:r>
    </w:p>
    <w:tbl>
      <w:tblPr>
        <w:tblStyle w:val="Tabela-Siatka"/>
        <w:tblpPr w:leftFromText="141" w:rightFromText="141" w:vertAnchor="text" w:horzAnchor="margin" w:tblpXSpec="right" w:tblpY="24"/>
        <w:tblW w:w="0" w:type="auto"/>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tblLayout w:type="fixed"/>
        <w:tblLook w:val="04A0" w:firstRow="1" w:lastRow="0" w:firstColumn="1" w:lastColumn="0" w:noHBand="0" w:noVBand="1"/>
      </w:tblPr>
      <w:tblGrid>
        <w:gridCol w:w="993"/>
        <w:gridCol w:w="1417"/>
      </w:tblGrid>
      <w:tr w:rsidR="00184C80" w:rsidRPr="006A47D6" w14:paraId="38219BB6" w14:textId="77777777" w:rsidTr="001C13F7">
        <w:tc>
          <w:tcPr>
            <w:tcW w:w="2410" w:type="dxa"/>
            <w:gridSpan w:val="2"/>
          </w:tcPr>
          <w:p w14:paraId="1F3E67D2" w14:textId="77777777" w:rsidR="00184C80" w:rsidRPr="00D32EE4" w:rsidRDefault="00184C80" w:rsidP="00184C80">
            <w:pPr>
              <w:pStyle w:val="nawigator"/>
              <w:spacing w:after="60"/>
              <w:rPr>
                <w:b w:val="0"/>
                <w:bCs/>
                <w:color w:val="74121D"/>
              </w:rPr>
            </w:pPr>
            <w:r>
              <w:rPr>
                <w:b w:val="0"/>
                <w:bCs/>
                <w:color w:val="74121D"/>
              </w:rPr>
              <w:t>zużycie gazu ziemnego</w:t>
            </w:r>
          </w:p>
        </w:tc>
      </w:tr>
      <w:tr w:rsidR="00184C80" w:rsidRPr="006A47D6" w14:paraId="79D6FAE2" w14:textId="77777777" w:rsidTr="001C13F7">
        <w:tc>
          <w:tcPr>
            <w:tcW w:w="993" w:type="dxa"/>
          </w:tcPr>
          <w:p w14:paraId="7C5F6656" w14:textId="77777777" w:rsidR="00184C80" w:rsidRPr="00D32EE4" w:rsidRDefault="00184C80" w:rsidP="00184C80">
            <w:pPr>
              <w:pStyle w:val="nawigator"/>
              <w:jc w:val="right"/>
              <w:rPr>
                <w:b w:val="0"/>
                <w:bCs/>
                <w:color w:val="74121D"/>
              </w:rPr>
            </w:pPr>
            <w:r w:rsidRPr="00D32EE4">
              <w:rPr>
                <w:b w:val="0"/>
                <w:bCs/>
                <w:color w:val="74121D"/>
              </w:rPr>
              <w:t>2030</w:t>
            </w:r>
          </w:p>
        </w:tc>
        <w:tc>
          <w:tcPr>
            <w:tcW w:w="1417" w:type="dxa"/>
          </w:tcPr>
          <w:p w14:paraId="72E5ED8C" w14:textId="213C3AFE" w:rsidR="00184C80" w:rsidRPr="006A47D6" w:rsidRDefault="00A453A5" w:rsidP="00184C80">
            <w:pPr>
              <w:pStyle w:val="nawigator"/>
              <w:rPr>
                <w:color w:val="74121D"/>
              </w:rPr>
            </w:pPr>
            <w:r>
              <w:rPr>
                <w:color w:val="74121D"/>
              </w:rPr>
              <w:t>24,7</w:t>
            </w:r>
            <w:r w:rsidR="00184C80">
              <w:rPr>
                <w:color w:val="74121D"/>
              </w:rPr>
              <w:t xml:space="preserve"> mld </w:t>
            </w:r>
            <w:r w:rsidR="00184C80" w:rsidRPr="00F51585">
              <w:rPr>
                <w:color w:val="74121D"/>
              </w:rPr>
              <w:t>m</w:t>
            </w:r>
            <w:r w:rsidR="00184C80" w:rsidRPr="00F51585">
              <w:rPr>
                <w:color w:val="74121D"/>
                <w:vertAlign w:val="superscript"/>
              </w:rPr>
              <w:t>3</w:t>
            </w:r>
          </w:p>
        </w:tc>
      </w:tr>
      <w:tr w:rsidR="00184C80" w:rsidRPr="006A47D6" w14:paraId="225D258C" w14:textId="77777777" w:rsidTr="001C13F7">
        <w:tc>
          <w:tcPr>
            <w:tcW w:w="993" w:type="dxa"/>
          </w:tcPr>
          <w:p w14:paraId="4763A703" w14:textId="77777777" w:rsidR="00184C80" w:rsidRPr="00D32EE4" w:rsidRDefault="00184C80" w:rsidP="00184C80">
            <w:pPr>
              <w:pStyle w:val="nawigator"/>
              <w:jc w:val="right"/>
              <w:rPr>
                <w:b w:val="0"/>
                <w:bCs/>
                <w:color w:val="74121D"/>
              </w:rPr>
            </w:pPr>
            <w:r w:rsidRPr="00D32EE4">
              <w:rPr>
                <w:b w:val="0"/>
                <w:bCs/>
                <w:color w:val="74121D"/>
              </w:rPr>
              <w:t>2040</w:t>
            </w:r>
          </w:p>
        </w:tc>
        <w:tc>
          <w:tcPr>
            <w:tcW w:w="1417" w:type="dxa"/>
          </w:tcPr>
          <w:p w14:paraId="550B021E" w14:textId="793FF0DA" w:rsidR="00184C80" w:rsidRPr="006A47D6" w:rsidRDefault="00184C80" w:rsidP="00184C80">
            <w:pPr>
              <w:pStyle w:val="nawigator"/>
              <w:rPr>
                <w:color w:val="74121D"/>
              </w:rPr>
            </w:pPr>
            <w:r>
              <w:rPr>
                <w:color w:val="74121D"/>
              </w:rPr>
              <w:t>1</w:t>
            </w:r>
            <w:r w:rsidR="00A21E9F">
              <w:rPr>
                <w:color w:val="74121D"/>
              </w:rPr>
              <w:t>2,</w:t>
            </w:r>
            <w:r>
              <w:rPr>
                <w:color w:val="74121D"/>
              </w:rPr>
              <w:t>3</w:t>
            </w:r>
            <w:r w:rsidRPr="00F51585">
              <w:rPr>
                <w:color w:val="74121D"/>
              </w:rPr>
              <w:t xml:space="preserve"> mld m</w:t>
            </w:r>
            <w:r w:rsidRPr="00F51585">
              <w:rPr>
                <w:color w:val="74121D"/>
                <w:vertAlign w:val="superscript"/>
              </w:rPr>
              <w:t>3</w:t>
            </w:r>
          </w:p>
        </w:tc>
      </w:tr>
    </w:tbl>
    <w:p w14:paraId="44AA2DA4" w14:textId="3993B7AC" w:rsidR="00184C80" w:rsidRPr="00AC053A" w:rsidRDefault="0051165B" w:rsidP="00184C80">
      <w:r>
        <w:t>W 202</w:t>
      </w:r>
      <w:r w:rsidR="004B6A39">
        <w:t>4</w:t>
      </w:r>
      <w:r>
        <w:t xml:space="preserve"> r. łączne zużycie gazu ziemnego wyniosło </w:t>
      </w:r>
      <w:r w:rsidR="00F63A71">
        <w:t>ponad</w:t>
      </w:r>
      <w:r w:rsidR="00A21E9F">
        <w:t xml:space="preserve"> </w:t>
      </w:r>
      <w:r w:rsidR="0047786A">
        <w:t>1</w:t>
      </w:r>
      <w:r w:rsidR="00F63A71">
        <w:t>9 </w:t>
      </w:r>
      <w:r>
        <w:t>mld m</w:t>
      </w:r>
      <w:r w:rsidRPr="00AB7C90">
        <w:rPr>
          <w:vertAlign w:val="superscript"/>
        </w:rPr>
        <w:t>3</w:t>
      </w:r>
      <w:r w:rsidR="00F63A71">
        <w:t xml:space="preserve"> (</w:t>
      </w:r>
      <w:r w:rsidR="00F63A71" w:rsidRPr="00F63A71">
        <w:t>ekwiwalentu gazu wysokometanowego</w:t>
      </w:r>
      <w:r w:rsidR="00F63A71">
        <w:t>).</w:t>
      </w:r>
      <w:r w:rsidR="00A21E9F">
        <w:rPr>
          <w:rStyle w:val="Odwoanieprzypisudolnego"/>
        </w:rPr>
        <w:footnoteReference w:id="101"/>
      </w:r>
      <w:r>
        <w:t xml:space="preserve"> </w:t>
      </w:r>
      <w:r w:rsidR="00184C80">
        <w:t>A</w:t>
      </w:r>
      <w:r w:rsidR="007F38BA">
        <w:t>naliz</w:t>
      </w:r>
      <w:r w:rsidR="00C25C7A">
        <w:t>y</w:t>
      </w:r>
      <w:r w:rsidR="007F38BA">
        <w:t xml:space="preserve"> do KPEiK </w:t>
      </w:r>
      <w:r w:rsidR="00184C80">
        <w:t>przewiduj</w:t>
      </w:r>
      <w:r w:rsidR="00C25C7A">
        <w:t>ą</w:t>
      </w:r>
      <w:r w:rsidR="00184C80">
        <w:t xml:space="preserve"> się, że szczyt krajowego zapotrzebowania na gaz ziemny nastąpi w okresie 2025–2030 i będzie wynosić ok. </w:t>
      </w:r>
      <w:r w:rsidR="00AD5524">
        <w:t>24,7</w:t>
      </w:r>
      <w:r w:rsidR="00184C80">
        <w:t xml:space="preserve"> mld m</w:t>
      </w:r>
      <w:r w:rsidR="00184C80" w:rsidRPr="00AB7C90">
        <w:rPr>
          <w:vertAlign w:val="superscript"/>
        </w:rPr>
        <w:t>3</w:t>
      </w:r>
      <w:r w:rsidR="00184C80">
        <w:t>. W perspektywie 2040 r. może wynieść ok. 1</w:t>
      </w:r>
      <w:r w:rsidR="00A21E9F">
        <w:t>2,</w:t>
      </w:r>
      <w:r w:rsidR="00184C80">
        <w:t>3 mld m</w:t>
      </w:r>
      <w:r w:rsidR="00184C80" w:rsidRPr="00AB7C90">
        <w:rPr>
          <w:vertAlign w:val="superscript"/>
        </w:rPr>
        <w:t>3</w:t>
      </w:r>
      <w:r w:rsidR="00184C80">
        <w:t>.</w:t>
      </w:r>
      <w:r w:rsidR="00184C80">
        <w:rPr>
          <w:vertAlign w:val="superscript"/>
        </w:rPr>
        <w:t xml:space="preserve"> </w:t>
      </w:r>
      <w:r w:rsidR="00184C80">
        <w:rPr>
          <w:rStyle w:val="Odwoanieprzypisudolnego"/>
        </w:rPr>
        <w:footnoteReference w:id="102"/>
      </w:r>
    </w:p>
    <w:p w14:paraId="1BDCA0B6" w14:textId="4F816E86" w:rsidR="006F34B5" w:rsidRPr="001D79FD" w:rsidRDefault="006F34B5" w:rsidP="001D79FD">
      <w:pPr>
        <w:pStyle w:val="Nagwek4"/>
        <w:rPr>
          <w:color w:val="C00000"/>
        </w:rPr>
      </w:pPr>
      <w:bookmarkStart w:id="489" w:name="_Toc159598317"/>
      <w:bookmarkStart w:id="490" w:name="_Ref189122149"/>
      <w:bookmarkStart w:id="491" w:name="_Toc195897314"/>
      <w:bookmarkStart w:id="492" w:name="_Toc205203194"/>
      <w:r w:rsidRPr="001D79FD">
        <w:rPr>
          <w:color w:val="C00000"/>
        </w:rPr>
        <w:t xml:space="preserve">Dywersyfikacja dostaw </w:t>
      </w:r>
      <w:r w:rsidR="00550223">
        <w:rPr>
          <w:color w:val="C00000"/>
        </w:rPr>
        <w:t xml:space="preserve">(importu) </w:t>
      </w:r>
      <w:r w:rsidRPr="001D79FD">
        <w:rPr>
          <w:color w:val="C00000"/>
        </w:rPr>
        <w:t>gazu ziemnego</w:t>
      </w:r>
      <w:bookmarkEnd w:id="489"/>
      <w:bookmarkEnd w:id="490"/>
      <w:bookmarkEnd w:id="491"/>
      <w:bookmarkEnd w:id="492"/>
      <w:r w:rsidRPr="001D79FD">
        <w:rPr>
          <w:color w:val="C00000"/>
        </w:rPr>
        <w:t xml:space="preserve"> </w:t>
      </w:r>
    </w:p>
    <w:p w14:paraId="0F1EFFD3" w14:textId="29BBDAF9" w:rsidR="00CB596F" w:rsidRDefault="00CB596F" w:rsidP="00CB596F">
      <w:r>
        <w:t xml:space="preserve">Kryzys na rynkach energetycznych w latach 2021–2022 r. pokazał jak bardzo istotne jest zapewnienie odpowiednio głębokiej dywersyfikacji dostaw surowców, mając na względzie uzależnienie pokrycia krajowego popytu na dany surowiec od importu. W 2022 r. dostawy gazu ziemnego spoza kraju </w:t>
      </w:r>
      <w:r w:rsidR="004D1ABA">
        <w:t>odpowiadały równowartości</w:t>
      </w:r>
      <w:r>
        <w:t xml:space="preserve"> niemal 87%</w:t>
      </w:r>
      <w:r>
        <w:rPr>
          <w:rStyle w:val="Odwoanieprzypisudolnego"/>
        </w:rPr>
        <w:footnoteReference w:id="103"/>
      </w:r>
      <w:r>
        <w:t xml:space="preserve"> </w:t>
      </w:r>
      <w:r w:rsidR="004D1ABA">
        <w:t xml:space="preserve">rocznego </w:t>
      </w:r>
      <w:r>
        <w:t>zużycia, przy łącznym zapotrzebowaniu ok.</w:t>
      </w:r>
      <w:r w:rsidR="0040519F">
        <w:t> </w:t>
      </w:r>
      <w:r>
        <w:t>16,6</w:t>
      </w:r>
      <w:r w:rsidR="00AA0EFC">
        <w:t> </w:t>
      </w:r>
      <w:r>
        <w:t>mld</w:t>
      </w:r>
      <w:r w:rsidR="00AA0EFC">
        <w:t> </w:t>
      </w:r>
      <w:r>
        <w:t>m</w:t>
      </w:r>
      <w:r w:rsidRPr="00D1513B">
        <w:rPr>
          <w:vertAlign w:val="superscript"/>
        </w:rPr>
        <w:t>3</w:t>
      </w:r>
      <w:r>
        <w:t>. Należy jednak zauważyć, że zapotrzebowanie w 2022 r. było rekordowo niskie z powodu kryzysu i nie odpowiada rocznemu zużyciu w okresach przed</w:t>
      </w:r>
      <w:r w:rsidR="00452EA7">
        <w:t>-</w:t>
      </w:r>
      <w:r>
        <w:t xml:space="preserve"> i pokryzysowym.</w:t>
      </w:r>
    </w:p>
    <w:p w14:paraId="33490CCE" w14:textId="0A57EC81" w:rsidR="00CB596F" w:rsidRDefault="00CB596F" w:rsidP="00CB596F">
      <w:r>
        <w:t>Sytuacja Polski w odniesieniu do gazu ziemnego była znacznie lepsza niż w innych państwach europejskich, gdyż inwestycje infrastrukturalne (m.in. terminal LNG w Świnoujściu i Baltic Pipe) zostały zrealizowane w takim czasie, aby możliwe było nieprzedłużanie kontraktu z rosyjską spółką Gazprom. Ich realizacja stwarza także możliwości zwiększenia roli Polski w kontekście przesyłu i handlu gazem w regionie.</w:t>
      </w:r>
    </w:p>
    <w:p w14:paraId="147D1BCC" w14:textId="325313DC" w:rsidR="00CB596F" w:rsidRPr="005B0E34" w:rsidRDefault="00CB596F" w:rsidP="00022099">
      <w:pPr>
        <w:pStyle w:val="Cele"/>
        <w:rPr>
          <w:rStyle w:val="CeleZnak"/>
          <w:b/>
        </w:rPr>
      </w:pPr>
      <w:r w:rsidRPr="00793CBE">
        <w:rPr>
          <w:b/>
          <w:bCs/>
        </w:rPr>
        <w:t xml:space="preserve">Celem w obszarze dywersyfikacji dostaw gazu ziemnego jest </w:t>
      </w:r>
      <w:r>
        <w:rPr>
          <w:b/>
          <w:bCs/>
        </w:rPr>
        <w:t>utrzymanie osiągniętego uniezależnienia</w:t>
      </w:r>
      <w:r w:rsidRPr="00793CBE">
        <w:rPr>
          <w:b/>
          <w:bCs/>
        </w:rPr>
        <w:t xml:space="preserve"> od dostaw z </w:t>
      </w:r>
      <w:r>
        <w:rPr>
          <w:b/>
          <w:bCs/>
        </w:rPr>
        <w:t>jednego</w:t>
      </w:r>
      <w:r w:rsidRPr="00793CBE">
        <w:rPr>
          <w:b/>
          <w:bCs/>
        </w:rPr>
        <w:t xml:space="preserve"> źródła </w:t>
      </w:r>
      <w:r>
        <w:rPr>
          <w:b/>
          <w:bCs/>
        </w:rPr>
        <w:t>(lub</w:t>
      </w:r>
      <w:r w:rsidRPr="00793CBE">
        <w:rPr>
          <w:b/>
          <w:bCs/>
        </w:rPr>
        <w:t xml:space="preserve"> kierunku</w:t>
      </w:r>
      <w:r>
        <w:rPr>
          <w:b/>
          <w:bCs/>
        </w:rPr>
        <w:t>)</w:t>
      </w:r>
      <w:r w:rsidRPr="00793CBE">
        <w:rPr>
          <w:b/>
          <w:bCs/>
        </w:rPr>
        <w:t xml:space="preserve"> w </w:t>
      </w:r>
      <w:r w:rsidRPr="005B0E34">
        <w:rPr>
          <w:rStyle w:val="CeleZnak"/>
          <w:b/>
        </w:rPr>
        <w:t>okresie transformacji</w:t>
      </w:r>
      <w:r>
        <w:rPr>
          <w:rStyle w:val="CeleZnak"/>
          <w:b/>
        </w:rPr>
        <w:t xml:space="preserve"> oraz możliwości eksportowych do państw zainteresowanych wykorzystywaniem infrastruktury transgranicznej</w:t>
      </w:r>
      <w:r w:rsidRPr="005B0E34">
        <w:rPr>
          <w:rStyle w:val="CeleZnak"/>
          <w:b/>
        </w:rPr>
        <w:t xml:space="preserve">. </w:t>
      </w:r>
    </w:p>
    <w:p w14:paraId="1EA0163C" w14:textId="581349C7" w:rsidR="00CB596F" w:rsidRDefault="0074102F" w:rsidP="00756213">
      <w:r w:rsidRPr="0074102F">
        <w:t>Cel może ulec zmianie w długiej perspektywie</w:t>
      </w:r>
      <w:r>
        <w:t>,</w:t>
      </w:r>
      <w:r w:rsidRPr="0074102F">
        <w:t xml:space="preserve"> gdy zapotrzebowanie krajowej gospodarki na gaz ziemny spadnie do</w:t>
      </w:r>
      <w:r w:rsidR="00D634DE">
        <w:t xml:space="preserve"> poziomu, który </w:t>
      </w:r>
      <w:r w:rsidR="000328D7">
        <w:t xml:space="preserve">bazować </w:t>
      </w:r>
      <w:r w:rsidR="00402841">
        <w:t xml:space="preserve">będzie mógł </w:t>
      </w:r>
      <w:r w:rsidR="000328D7">
        <w:t xml:space="preserve">na wydobyciu własnym w kraju i </w:t>
      </w:r>
      <w:r w:rsidR="00786C77">
        <w:t>za</w:t>
      </w:r>
      <w:r w:rsidR="000328D7">
        <w:t xml:space="preserve"> granicą</w:t>
      </w:r>
      <w:r w:rsidR="003F0CEF">
        <w:t>.</w:t>
      </w:r>
      <w:r w:rsidR="000601BF">
        <w:t xml:space="preserve"> </w:t>
      </w:r>
      <w:r w:rsidR="003F0CEF">
        <w:t>D</w:t>
      </w:r>
      <w:r w:rsidR="000601BF">
        <w:t xml:space="preserve">ocelowo </w:t>
      </w:r>
      <w:r w:rsidR="003F0CEF">
        <w:t xml:space="preserve">gaz ziemny powinien być zastąpiony </w:t>
      </w:r>
      <w:r w:rsidR="00E72C5D">
        <w:t>gazami odnawialnymi, t</w:t>
      </w:r>
      <w:r w:rsidR="000F25AF">
        <w:t xml:space="preserve">akimi </w:t>
      </w:r>
      <w:r w:rsidR="00E72C5D">
        <w:t>j</w:t>
      </w:r>
      <w:r w:rsidR="000F25AF">
        <w:t>ak</w:t>
      </w:r>
      <w:r w:rsidR="00E72C5D">
        <w:t xml:space="preserve"> biometan</w:t>
      </w:r>
      <w:r w:rsidR="004E0F4D">
        <w:t xml:space="preserve"> i wodór</w:t>
      </w:r>
      <w:r w:rsidR="008C0F5E">
        <w:t xml:space="preserve">, </w:t>
      </w:r>
      <w:r w:rsidR="000E36A8">
        <w:t xml:space="preserve">tak by </w:t>
      </w:r>
      <w:r w:rsidR="008C0F5E">
        <w:t>dąż</w:t>
      </w:r>
      <w:r w:rsidR="000E36A8">
        <w:t>yć</w:t>
      </w:r>
      <w:r w:rsidR="008C0F5E">
        <w:t xml:space="preserve"> do osiągniecia neutralności klimatycznej</w:t>
      </w:r>
      <w:r w:rsidR="00894D83">
        <w:t>.</w:t>
      </w:r>
    </w:p>
    <w:p w14:paraId="4898D756" w14:textId="77777777" w:rsidR="00F3711B" w:rsidRDefault="00F3711B" w:rsidP="006C637D">
      <w:pPr>
        <w:pStyle w:val="PaMs"/>
      </w:pPr>
      <w:r w:rsidRPr="00C46DAA">
        <w:t>POLITYKA</w:t>
      </w:r>
    </w:p>
    <w:p w14:paraId="5CC3526D" w14:textId="77777777" w:rsidR="00660FE1" w:rsidRDefault="00660FE1" w:rsidP="00660FE1">
      <w:pPr>
        <w:spacing w:after="80"/>
      </w:pPr>
      <w:r>
        <w:t>Cel dywersyfikacyjny dostaw gazu ziemnego będzie realizowany przez:</w:t>
      </w:r>
    </w:p>
    <w:p w14:paraId="4C3DFA8F" w14:textId="116A5971" w:rsidR="00660FE1" w:rsidRDefault="0031651D" w:rsidP="003530A9">
      <w:pPr>
        <w:pStyle w:val="Akapitzlist"/>
        <w:numPr>
          <w:ilvl w:val="0"/>
          <w:numId w:val="4"/>
        </w:numPr>
      </w:pPr>
      <w:r>
        <w:t xml:space="preserve">dalsze </w:t>
      </w:r>
      <w:r w:rsidR="00660FE1">
        <w:t>zapewnienie możliwości odbioru dostaw gazu ziemnego, dzięki odpowiedniej ochron</w:t>
      </w:r>
      <w:r w:rsidR="004D1ABA">
        <w:t xml:space="preserve">ie </w:t>
      </w:r>
      <w:r w:rsidR="00660FE1">
        <w:t>i</w:t>
      </w:r>
      <w:r w:rsidR="004D1ABA">
        <w:t> </w:t>
      </w:r>
      <w:r w:rsidR="00660FE1">
        <w:t>utrzymaniu pełnej funkcjonalności:</w:t>
      </w:r>
    </w:p>
    <w:p w14:paraId="00C22D6C" w14:textId="77777777" w:rsidR="00660FE1" w:rsidRDefault="00660FE1" w:rsidP="003530A9">
      <w:pPr>
        <w:pStyle w:val="Akapitzlist"/>
        <w:numPr>
          <w:ilvl w:val="1"/>
          <w:numId w:val="4"/>
        </w:numPr>
      </w:pPr>
      <w:r>
        <w:t xml:space="preserve">połączeń z systemami państw sąsiadujących (Niemcy, Litwa, Czechy, Słowacja, Ukraina), </w:t>
      </w:r>
    </w:p>
    <w:p w14:paraId="34554A2C" w14:textId="79E7B698" w:rsidR="00660FE1" w:rsidRDefault="00660FE1" w:rsidP="003530A9">
      <w:pPr>
        <w:pStyle w:val="Akapitzlist"/>
        <w:numPr>
          <w:ilvl w:val="1"/>
          <w:numId w:val="4"/>
        </w:numPr>
      </w:pPr>
      <w:r>
        <w:t>gazociągu Baltic Pipe, umożliwiającego import z szelfu norweskiego</w:t>
      </w:r>
      <w:r w:rsidR="004D1ABA">
        <w:t xml:space="preserve"> i duńskiego</w:t>
      </w:r>
      <w:r>
        <w:t>,</w:t>
      </w:r>
    </w:p>
    <w:p w14:paraId="470B4DD5" w14:textId="77777777" w:rsidR="00660FE1" w:rsidRDefault="00660FE1" w:rsidP="003530A9">
      <w:pPr>
        <w:pStyle w:val="Akapitzlist"/>
        <w:numPr>
          <w:ilvl w:val="1"/>
          <w:numId w:val="4"/>
        </w:numPr>
      </w:pPr>
      <w:r>
        <w:t>terminalu regazyfikacyjnego LNG w Świnoujściu</w:t>
      </w:r>
      <w:r w:rsidR="00EA7880">
        <w:t>,</w:t>
      </w:r>
    </w:p>
    <w:p w14:paraId="17B5AD2D" w14:textId="77023D31" w:rsidR="00660FE1" w:rsidRPr="00FC2F9A" w:rsidRDefault="00660FE1" w:rsidP="003530A9">
      <w:pPr>
        <w:pStyle w:val="Akapitzlist"/>
        <w:numPr>
          <w:ilvl w:val="0"/>
          <w:numId w:val="4"/>
        </w:numPr>
        <w:rPr>
          <w:b/>
          <w:bCs/>
        </w:rPr>
      </w:pPr>
      <w:r w:rsidRPr="00FC2F9A">
        <w:rPr>
          <w:b/>
          <w:bCs/>
        </w:rPr>
        <w:lastRenderedPageBreak/>
        <w:t xml:space="preserve">budowę terminalu LNG typu FSRU </w:t>
      </w:r>
      <w:r w:rsidR="005B2215" w:rsidRPr="00FC2F9A">
        <w:rPr>
          <w:b/>
          <w:bCs/>
        </w:rPr>
        <w:t xml:space="preserve">(ang. </w:t>
      </w:r>
      <w:r w:rsidR="005B2215" w:rsidRPr="00FC2F9A">
        <w:rPr>
          <w:b/>
          <w:bCs/>
          <w:i/>
          <w:iCs/>
        </w:rPr>
        <w:t>Floating Storage Regasification Unit</w:t>
      </w:r>
      <w:r w:rsidR="005B2215" w:rsidRPr="00FC2F9A">
        <w:rPr>
          <w:b/>
          <w:bCs/>
        </w:rPr>
        <w:t xml:space="preserve">) </w:t>
      </w:r>
      <w:r w:rsidRPr="00FC2F9A">
        <w:rPr>
          <w:b/>
          <w:bCs/>
        </w:rPr>
        <w:t>w Zatoce Gdańskiej</w:t>
      </w:r>
      <w:r w:rsidR="00F83FBF">
        <w:rPr>
          <w:b/>
          <w:bCs/>
        </w:rPr>
        <w:t xml:space="preserve"> w </w:t>
      </w:r>
      <w:r w:rsidR="00EA7880">
        <w:rPr>
          <w:b/>
          <w:bCs/>
        </w:rPr>
        <w:t>terminie</w:t>
      </w:r>
      <w:r w:rsidR="00F83FBF">
        <w:rPr>
          <w:b/>
          <w:bCs/>
        </w:rPr>
        <w:t xml:space="preserve"> do 2027/2028 r.</w:t>
      </w:r>
      <w:r w:rsidRPr="00FC2F9A">
        <w:rPr>
          <w:b/>
          <w:bCs/>
        </w:rPr>
        <w:t>,</w:t>
      </w:r>
    </w:p>
    <w:p w14:paraId="2FC14967" w14:textId="77777777" w:rsidR="00660FE1" w:rsidRDefault="00660FE1" w:rsidP="003530A9">
      <w:pPr>
        <w:pStyle w:val="Akapitzlist"/>
        <w:numPr>
          <w:ilvl w:val="0"/>
          <w:numId w:val="4"/>
        </w:numPr>
      </w:pPr>
      <w:r>
        <w:t>zapewnienie odpowiednio rozwiniętej i sprawnej infrastruktury przesyłowej wewnątrz kraju,</w:t>
      </w:r>
    </w:p>
    <w:p w14:paraId="2529B4C9" w14:textId="69E8E25E" w:rsidR="00660FE1" w:rsidRDefault="00660FE1" w:rsidP="003530A9">
      <w:pPr>
        <w:pStyle w:val="Akapitzlist"/>
        <w:numPr>
          <w:ilvl w:val="0"/>
          <w:numId w:val="4"/>
        </w:numPr>
      </w:pPr>
      <w:r>
        <w:t>zobowiązanie przedsiębiorstw energetycznych do dywersyfikacji dostaw gazu ziemnego z zagranicy – do 2026 r.</w:t>
      </w:r>
      <w:r w:rsidR="003E2DE5">
        <w:t xml:space="preserve"> </w:t>
      </w:r>
      <w:r>
        <w:t xml:space="preserve">udział gazu ziemnego importowanego z jednego źródła w danym roku kalendarzowym nie może przekraczać 33%. Wyniki cyklicznego monitorowania </w:t>
      </w:r>
      <w:r w:rsidRPr="00DB574E">
        <w:t xml:space="preserve">bezpieczeństwa dostaw paliw gazowych </w:t>
      </w:r>
      <w:r>
        <w:t>będą stanowić podstawę do określania tego poziomu w kolejnych latach i w dalszej perspektywie.</w:t>
      </w:r>
    </w:p>
    <w:p w14:paraId="01CA9C78" w14:textId="266DABA7" w:rsidR="00FC2F9A" w:rsidRDefault="001673B2" w:rsidP="00FC2F9A">
      <w:r>
        <w:t xml:space="preserve">Łączne zdolności importowe </w:t>
      </w:r>
      <w:r w:rsidR="00472B46">
        <w:t>i pojemność terminalu LNG przewyższa</w:t>
      </w:r>
      <w:r w:rsidR="00C31A1C">
        <w:t>ją</w:t>
      </w:r>
      <w:r w:rsidR="00EE1843">
        <w:t xml:space="preserve"> zapotrzebowanie roczne </w:t>
      </w:r>
      <w:r w:rsidR="00837F71">
        <w:t>na gaz ziemny.</w:t>
      </w:r>
      <w:r w:rsidR="00472B46">
        <w:t xml:space="preserve"> </w:t>
      </w:r>
      <w:r w:rsidR="00607AFC">
        <w:t xml:space="preserve">Nie przewiduje się </w:t>
      </w:r>
      <w:r w:rsidR="00E0186F">
        <w:t xml:space="preserve">rozbudowy </w:t>
      </w:r>
      <w:r w:rsidR="00E61A09">
        <w:t>istniejących połączeń międzysystemowych</w:t>
      </w:r>
      <w:r w:rsidR="00731905">
        <w:t>, ale inwes</w:t>
      </w:r>
      <w:r w:rsidR="00F34DF7">
        <w:t>tycja w</w:t>
      </w:r>
      <w:r w:rsidR="00837F71">
        <w:t> </w:t>
      </w:r>
      <w:r w:rsidR="00F34DF7">
        <w:t>termi</w:t>
      </w:r>
      <w:r w:rsidR="00FC0181">
        <w:t xml:space="preserve">nal FSRU jest uzasadniona ze </w:t>
      </w:r>
      <w:r w:rsidR="00F83FBF">
        <w:t xml:space="preserve">względu na </w:t>
      </w:r>
      <w:r w:rsidR="00837F71">
        <w:t xml:space="preserve">prognozowane potrzeby </w:t>
      </w:r>
      <w:r w:rsidR="00696CC9">
        <w:t>zapotrzebowania dobowego</w:t>
      </w:r>
      <w:r w:rsidR="006045D1">
        <w:t xml:space="preserve">, które różni się w zależności od pory roku. </w:t>
      </w:r>
    </w:p>
    <w:p w14:paraId="6C3C3BF2" w14:textId="72F478FF" w:rsidR="00735F51" w:rsidRDefault="00484C74" w:rsidP="00FC2F9A">
      <w:r>
        <w:t xml:space="preserve">Przewiduje się, że kluczową rolę w </w:t>
      </w:r>
      <w:r w:rsidR="001067C6">
        <w:t xml:space="preserve">dostawach gazu ziemnego będzie mieć surowiec z kierunku norweskiego za pośrednictwem Baltic Pipe, następnie </w:t>
      </w:r>
      <w:r w:rsidR="00154993">
        <w:t>surowiec z USA i Kataru w postaci LNG</w:t>
      </w:r>
      <w:r w:rsidR="004C52A4">
        <w:t xml:space="preserve"> (</w:t>
      </w:r>
      <w:r w:rsidR="005646FA">
        <w:t>w oparciu o</w:t>
      </w:r>
      <w:r w:rsidR="004C52A4">
        <w:t xml:space="preserve"> wieloletnie umowy zawarte przez O</w:t>
      </w:r>
      <w:r w:rsidR="004D06BB">
        <w:t>RLEN</w:t>
      </w:r>
      <w:r w:rsidR="004C52A4">
        <w:t xml:space="preserve"> S.A.)</w:t>
      </w:r>
      <w:r w:rsidR="00654BA4">
        <w:t xml:space="preserve">. </w:t>
      </w:r>
      <w:r w:rsidR="00263634">
        <w:t>Nie przewiduje się importu z kierunku wschodniego</w:t>
      </w:r>
      <w:r w:rsidR="00E36350">
        <w:t xml:space="preserve"> (tj. Rosja, Białoruś)</w:t>
      </w:r>
      <w:r w:rsidR="00263634">
        <w:t>.</w:t>
      </w:r>
    </w:p>
    <w:p w14:paraId="40E71A74" w14:textId="0211D951" w:rsidR="00F3711B" w:rsidRPr="00C46DAA" w:rsidRDefault="00F3711B" w:rsidP="006C637D">
      <w:pPr>
        <w:pStyle w:val="PaMs"/>
      </w:pPr>
      <w:r w:rsidRPr="00C46DAA">
        <w:t>DZIAŁANIA</w:t>
      </w:r>
    </w:p>
    <w:p w14:paraId="1FCAEBB7" w14:textId="69A19AD0" w:rsidR="00627DE9" w:rsidRPr="00FA0500" w:rsidRDefault="00FA0500" w:rsidP="003530A9">
      <w:pPr>
        <w:pStyle w:val="Akapitzlist"/>
        <w:numPr>
          <w:ilvl w:val="0"/>
          <w:numId w:val="3"/>
        </w:numPr>
        <w:rPr>
          <w:szCs w:val="20"/>
        </w:rPr>
      </w:pPr>
      <w:r w:rsidRPr="00FA0500">
        <w:rPr>
          <w:szCs w:val="20"/>
        </w:rPr>
        <w:fldChar w:fldCharType="begin"/>
      </w:r>
      <w:r w:rsidRPr="00FA0500">
        <w:rPr>
          <w:szCs w:val="20"/>
        </w:rPr>
        <w:instrText xml:space="preserve"> REF _Ref195891224 \h </w:instrText>
      </w:r>
      <w:r>
        <w:rPr>
          <w:szCs w:val="20"/>
        </w:rPr>
        <w:instrText xml:space="preserve"> \* MERGEFORMAT </w:instrText>
      </w:r>
      <w:r w:rsidRPr="00FA0500">
        <w:rPr>
          <w:szCs w:val="20"/>
        </w:rPr>
      </w:r>
      <w:r w:rsidRPr="00FA0500">
        <w:rPr>
          <w:szCs w:val="20"/>
        </w:rPr>
        <w:fldChar w:fldCharType="separate"/>
      </w:r>
      <w:r w:rsidR="00871DD5" w:rsidRPr="00871DD5">
        <w:rPr>
          <w:rStyle w:val="Nagwek6Znak"/>
          <w:rFonts w:ascii="Lato" w:hAnsi="Lato"/>
          <w:b w:val="0"/>
        </w:rPr>
        <w:t xml:space="preserve">Działanie </w:t>
      </w:r>
      <w:r w:rsidR="00871DD5" w:rsidRPr="00871DD5">
        <w:rPr>
          <w:lang w:eastAsia="pl-PL"/>
        </w:rPr>
        <w:t xml:space="preserve">120. </w:t>
      </w:r>
      <w:r w:rsidR="00871DD5" w:rsidRPr="008A5AE2">
        <w:rPr>
          <w:lang w:eastAsia="pl-PL"/>
        </w:rPr>
        <w:t>Utrzymanie sprawnych połączeń międzysystemowych i terminalu LNG w</w:t>
      </w:r>
      <w:r w:rsidR="00871DD5">
        <w:rPr>
          <w:lang w:eastAsia="pl-PL"/>
        </w:rPr>
        <w:t> </w:t>
      </w:r>
      <w:r w:rsidR="00871DD5" w:rsidRPr="008A5AE2">
        <w:rPr>
          <w:lang w:eastAsia="pl-PL"/>
        </w:rPr>
        <w:t>Świnoujściu</w:t>
      </w:r>
      <w:r w:rsidRPr="00FA0500">
        <w:rPr>
          <w:szCs w:val="20"/>
        </w:rPr>
        <w:fldChar w:fldCharType="end"/>
      </w:r>
    </w:p>
    <w:p w14:paraId="71D0D370" w14:textId="565F813C" w:rsidR="00627DE9" w:rsidRPr="00FA0500" w:rsidRDefault="00910668" w:rsidP="003530A9">
      <w:pPr>
        <w:pStyle w:val="Akapitzlist"/>
        <w:numPr>
          <w:ilvl w:val="0"/>
          <w:numId w:val="3"/>
        </w:numPr>
        <w:rPr>
          <w:szCs w:val="20"/>
        </w:rPr>
      </w:pPr>
      <w:r w:rsidRPr="00FA0500">
        <w:rPr>
          <w:szCs w:val="20"/>
        </w:rPr>
        <w:fldChar w:fldCharType="begin"/>
      </w:r>
      <w:r w:rsidRPr="00FA0500">
        <w:rPr>
          <w:szCs w:val="20"/>
        </w:rPr>
        <w:instrText xml:space="preserve"> REF _Ref195891206 \h </w:instrText>
      </w:r>
      <w:r w:rsidR="00FA0500">
        <w:rPr>
          <w:szCs w:val="20"/>
        </w:rPr>
        <w:instrText xml:space="preserve"> \* MERGEFORMAT </w:instrText>
      </w:r>
      <w:r w:rsidRPr="00FA0500">
        <w:rPr>
          <w:szCs w:val="20"/>
        </w:rPr>
      </w:r>
      <w:r w:rsidRPr="00FA0500">
        <w:rPr>
          <w:szCs w:val="20"/>
        </w:rPr>
        <w:fldChar w:fldCharType="separate"/>
      </w:r>
      <w:r w:rsidR="00871DD5" w:rsidRPr="00871DD5">
        <w:rPr>
          <w:rStyle w:val="Nagwek6Znak"/>
          <w:rFonts w:ascii="Lato" w:hAnsi="Lato"/>
          <w:b w:val="0"/>
        </w:rPr>
        <w:t xml:space="preserve">Działanie </w:t>
      </w:r>
      <w:r w:rsidR="00871DD5" w:rsidRPr="00871DD5">
        <w:rPr>
          <w:rFonts w:eastAsia="Times New Roman" w:cs="Times New Roman"/>
          <w:bCs/>
          <w:color w:val="000000"/>
          <w:kern w:val="0"/>
          <w:lang w:eastAsia="pl-PL"/>
          <w14:ligatures w14:val="none"/>
        </w:rPr>
        <w:t xml:space="preserve">121. </w:t>
      </w:r>
      <w:r w:rsidR="00871DD5" w:rsidRPr="008A5AE2">
        <w:rPr>
          <w:rFonts w:eastAsia="Times New Roman" w:cs="Times New Roman"/>
          <w:bCs/>
          <w:color w:val="000000"/>
          <w:kern w:val="0"/>
          <w:lang w:eastAsia="pl-PL"/>
          <w14:ligatures w14:val="none"/>
        </w:rPr>
        <w:t>Budowa terminalu FSRU w Zatoce Gdańskiej</w:t>
      </w:r>
      <w:r w:rsidRPr="00FA0500">
        <w:rPr>
          <w:szCs w:val="20"/>
        </w:rPr>
        <w:fldChar w:fldCharType="end"/>
      </w:r>
    </w:p>
    <w:p w14:paraId="24AB722D" w14:textId="1AC9F451" w:rsidR="001D79FD" w:rsidRDefault="001D79FD" w:rsidP="001D79FD">
      <w:pPr>
        <w:pStyle w:val="Nagwek4"/>
        <w:rPr>
          <w:color w:val="C00000"/>
        </w:rPr>
      </w:pPr>
      <w:bookmarkStart w:id="493" w:name="_Toc195897315"/>
      <w:bookmarkStart w:id="494" w:name="_Toc195899560"/>
      <w:bookmarkStart w:id="495" w:name="_Toc195897316"/>
      <w:bookmarkStart w:id="496" w:name="_Toc195899561"/>
      <w:bookmarkStart w:id="497" w:name="_Toc159598318"/>
      <w:bookmarkStart w:id="498" w:name="_Toc195897317"/>
      <w:bookmarkStart w:id="499" w:name="_Toc205203195"/>
      <w:bookmarkEnd w:id="493"/>
      <w:bookmarkEnd w:id="494"/>
      <w:bookmarkEnd w:id="495"/>
      <w:bookmarkEnd w:id="496"/>
      <w:r w:rsidRPr="00D1513B">
        <w:rPr>
          <w:color w:val="C00000"/>
        </w:rPr>
        <w:t xml:space="preserve">Utrzymanie </w:t>
      </w:r>
      <w:r w:rsidR="00836A34" w:rsidRPr="00D1513B">
        <w:rPr>
          <w:color w:val="C00000"/>
        </w:rPr>
        <w:t xml:space="preserve">krajowego </w:t>
      </w:r>
      <w:r w:rsidRPr="001D79FD">
        <w:rPr>
          <w:color w:val="C00000"/>
        </w:rPr>
        <w:t>wydobycia gazu ziemnego</w:t>
      </w:r>
      <w:bookmarkEnd w:id="497"/>
      <w:bookmarkEnd w:id="498"/>
      <w:bookmarkEnd w:id="499"/>
    </w:p>
    <w:p w14:paraId="72AF866E" w14:textId="2002E4CB" w:rsidR="00F3544D" w:rsidRDefault="00DE0CED" w:rsidP="00DB574E">
      <w:r>
        <w:rPr>
          <w:noProof/>
          <w:lang w:eastAsia="pl-PL"/>
        </w:rPr>
        <mc:AlternateContent>
          <mc:Choice Requires="wps">
            <w:drawing>
              <wp:anchor distT="0" distB="0" distL="114300" distR="114300" simplePos="0" relativeHeight="251497984" behindDoc="1" locked="0" layoutInCell="1" allowOverlap="1" wp14:anchorId="4F69F97A" wp14:editId="5E6258AD">
                <wp:simplePos x="0" y="0"/>
                <wp:positionH relativeFrom="margin">
                  <wp:align>right</wp:align>
                </wp:positionH>
                <wp:positionV relativeFrom="paragraph">
                  <wp:posOffset>60960</wp:posOffset>
                </wp:positionV>
                <wp:extent cx="2620010" cy="1042670"/>
                <wp:effectExtent l="19050" t="57150" r="104140" b="62230"/>
                <wp:wrapSquare wrapText="bothSides"/>
                <wp:docPr id="1706642508" name="Prostokąt: zaokrąglone rogi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0010" cy="1042670"/>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2AA0421" w14:textId="23B18058" w:rsidR="00C36C5C" w:rsidRPr="004E21CF" w:rsidRDefault="00C36C5C" w:rsidP="004D4432">
                            <w:pPr>
                              <w:pStyle w:val="Ramka"/>
                            </w:pPr>
                            <w:r>
                              <w:t xml:space="preserve">W Polsce wydobywa się gaz ziemny wysokometanowy i zaazotowany, które różnią się właściwościami fizycznymi i wartością opałową. Z tego względu ten drugi wykorzystuje się wyłącznie lokalnie.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F69F97A" id="Prostokąt: zaokrąglone rogi 38" o:spid="_x0000_s1122" style="position:absolute;left:0;text-align:left;margin-left:155.1pt;margin-top:4.8pt;width:206.3pt;height:82.1pt;z-index:-251818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" fillcolor="white [3212]" strokecolor="#c00000" strokeweight=".5pt">
                <v:stroke joinstyle="miter"/>
                <v:shadow on="t" color="black" opacity="26214f" origin="-.5" offset="3pt,0"/>
                <v:path arrowok="t"/>
                <v:textbox style="mso-fit-shape-to-text:t" inset="2mm,2.5mm,2mm,0">
                  <w:txbxContent>
                    <w:p w14:paraId="42AA0421" w14:textId="23B18058" w:rsidR="00C36C5C" w:rsidRPr="004E21CF" w:rsidRDefault="00C36C5C" w:rsidP="004D4432">
                      <w:pPr>
                        <w:pStyle w:val="Ramka"/>
                      </w:pPr>
                      <w:r>
                        <w:t xml:space="preserve">W Polsce wydobywa się gaz ziemny wysokometanowy i zaazotowany, które różnią się właściwościami fizycznymi i wartością opałową. Z tego względu ten drugi wykorzystuje się wyłącznie lokalnie. </w:t>
                      </w:r>
                    </w:p>
                  </w:txbxContent>
                </v:textbox>
                <w10:wrap type="square" anchorx="margin"/>
              </v:roundrect>
            </w:pict>
          </mc:Fallback>
        </mc:AlternateContent>
      </w:r>
      <w:r w:rsidR="00DB574E">
        <w:t xml:space="preserve">Choć głównym źródłem pokrycia zapotrzebowania na gaz ziemny w Polsce </w:t>
      </w:r>
      <w:r w:rsidR="00E133EB">
        <w:t>s</w:t>
      </w:r>
      <w:r w:rsidR="00DB574E">
        <w:t xml:space="preserve">ą dostawy spoza kraju, </w:t>
      </w:r>
      <w:r w:rsidR="00D474AA">
        <w:t>część popytu pokrywana jest</w:t>
      </w:r>
      <w:r w:rsidR="00DB574E">
        <w:t xml:space="preserve"> krajow</w:t>
      </w:r>
      <w:r w:rsidR="00D474AA">
        <w:t>ym</w:t>
      </w:r>
      <w:r w:rsidR="00DB574E">
        <w:t xml:space="preserve"> wydobyci</w:t>
      </w:r>
      <w:r w:rsidR="00660FE1">
        <w:t>em</w:t>
      </w:r>
      <w:r w:rsidR="00DB574E">
        <w:t xml:space="preserve">. </w:t>
      </w:r>
      <w:r w:rsidR="00E133EB">
        <w:t>L</w:t>
      </w:r>
      <w:r w:rsidR="00DB574E">
        <w:t xml:space="preserve">okalne wykorzystanie surowca redukuje koszty </w:t>
      </w:r>
      <w:r w:rsidR="001A55A8">
        <w:t>związane z transportem, a jednocześnie jest to</w:t>
      </w:r>
      <w:r w:rsidR="00DB574E">
        <w:t xml:space="preserve"> działalność wpływa</w:t>
      </w:r>
      <w:r w:rsidR="001A55A8">
        <w:t>jąca</w:t>
      </w:r>
      <w:r w:rsidR="00DB574E">
        <w:t xml:space="preserve"> na </w:t>
      </w:r>
      <w:r w:rsidR="001A55A8">
        <w:t>wzrost PKB. A</w:t>
      </w:r>
      <w:r w:rsidR="00DB574E">
        <w:t>ktywność gospodarcz</w:t>
      </w:r>
      <w:r w:rsidR="001A55A8">
        <w:t>a wpływa także na utrzymanie krajowych kompetencji</w:t>
      </w:r>
      <w:r w:rsidR="00E133EB">
        <w:t xml:space="preserve"> technicznych</w:t>
      </w:r>
      <w:r w:rsidR="001A55A8">
        <w:t xml:space="preserve">, które mogą być wykorzystane </w:t>
      </w:r>
      <w:r w:rsidR="00E133EB">
        <w:t xml:space="preserve">również </w:t>
      </w:r>
      <w:r w:rsidR="001A55A8">
        <w:t xml:space="preserve">w innych </w:t>
      </w:r>
      <w:r w:rsidR="00E133EB">
        <w:t>obszarach związanych z</w:t>
      </w:r>
      <w:r w:rsidR="00EF22C0">
        <w:t> </w:t>
      </w:r>
      <w:r w:rsidR="00E133EB">
        <w:t>transformacją i funkcjonowaniem gospodarki.</w:t>
      </w:r>
      <w:r w:rsidR="00894DDD">
        <w:t xml:space="preserve"> </w:t>
      </w:r>
    </w:p>
    <w:p w14:paraId="2DEF4F1A" w14:textId="7609998F" w:rsidR="00DB574E" w:rsidRDefault="00894DDD" w:rsidP="00DB574E">
      <w:r>
        <w:t xml:space="preserve">Krajowe wydobycie gazu ziemnego </w:t>
      </w:r>
      <w:r w:rsidRPr="00C67596">
        <w:t>wysokometanow</w:t>
      </w:r>
      <w:r>
        <w:t xml:space="preserve">ego i zaazotowanego utrzymuje się na stosunkowo stałym poziomie. </w:t>
      </w:r>
      <w:r w:rsidR="008167E4">
        <w:t>W 202</w:t>
      </w:r>
      <w:r w:rsidR="00F63A71">
        <w:t>4</w:t>
      </w:r>
      <w:r w:rsidR="008167E4">
        <w:t xml:space="preserve"> r. wyniosło ok. 3,</w:t>
      </w:r>
      <w:r w:rsidR="00F63A71">
        <w:t>5</w:t>
      </w:r>
      <w:r w:rsidR="00D1513B">
        <w:t xml:space="preserve"> mld m</w:t>
      </w:r>
      <w:r w:rsidR="00D1513B" w:rsidRPr="00D1513B">
        <w:rPr>
          <w:vertAlign w:val="superscript"/>
        </w:rPr>
        <w:t>3</w:t>
      </w:r>
      <w:r w:rsidR="00D1513B">
        <w:t xml:space="preserve"> (</w:t>
      </w:r>
      <w:r w:rsidR="00D1513B" w:rsidRPr="00C67596">
        <w:t>w przeliczeniu na gaz ziemny wysokometanowy</w:t>
      </w:r>
      <w:r w:rsidR="004938AB">
        <w:t>)</w:t>
      </w:r>
      <w:r w:rsidR="004938AB">
        <w:rPr>
          <w:rStyle w:val="Odwoanieprzypisudolnego"/>
        </w:rPr>
        <w:footnoteReference w:id="104"/>
      </w:r>
      <w:r>
        <w:t xml:space="preserve">, co odpowiadało </w:t>
      </w:r>
      <w:r w:rsidR="004D1ABA">
        <w:t xml:space="preserve">ok. </w:t>
      </w:r>
      <w:r w:rsidR="00F63A71">
        <w:t>18</w:t>
      </w:r>
      <w:r w:rsidR="004D1ABA">
        <w:t>%</w:t>
      </w:r>
      <w:r>
        <w:t xml:space="preserve"> zapotrzebowania na surowiec.</w:t>
      </w:r>
    </w:p>
    <w:p w14:paraId="5434166A" w14:textId="2A100F9F" w:rsidR="00662459" w:rsidRDefault="00662459" w:rsidP="00662459">
      <w:bookmarkStart w:id="500" w:name="_Hlk177400370"/>
      <w:r>
        <w:t>Alternatywą wpływającą na zmniejszenie importu gazu ziemnego do kraju oraz pozwalającą na</w:t>
      </w:r>
      <w:r w:rsidR="00EF22C0">
        <w:t> </w:t>
      </w:r>
      <w:r>
        <w:t xml:space="preserve">zwiększenie wykorzystania krajowych źródeł energii może być popularyzacja produkcji gazów </w:t>
      </w:r>
      <w:r w:rsidR="00675F78">
        <w:t xml:space="preserve">odnawialnych i </w:t>
      </w:r>
      <w:r>
        <w:t xml:space="preserve">zdekarbonizowanych. Dotyczy to w szczególności rozpoczęcia wytwarzania biometanu, który swoimi parametrami technicznymi nie różni się praktycznie od gazu ziemnego, ale także produkcja wodoru. </w:t>
      </w:r>
    </w:p>
    <w:bookmarkEnd w:id="500"/>
    <w:p w14:paraId="27D806FF" w14:textId="3BFC7E35" w:rsidR="00D1513B" w:rsidRDefault="00D1513B" w:rsidP="00D1513B">
      <w:pPr>
        <w:pStyle w:val="Cele"/>
        <w:rPr>
          <w:rStyle w:val="CeleZnak"/>
          <w:b/>
        </w:rPr>
      </w:pPr>
      <w:r>
        <w:rPr>
          <w:rStyle w:val="CeleZnak"/>
          <w:b/>
        </w:rPr>
        <w:lastRenderedPageBreak/>
        <w:t xml:space="preserve">Celem </w:t>
      </w:r>
      <w:r w:rsidR="00D802EB">
        <w:rPr>
          <w:rStyle w:val="CeleZnak"/>
          <w:b/>
        </w:rPr>
        <w:t xml:space="preserve">do 2030 r. </w:t>
      </w:r>
      <w:r>
        <w:rPr>
          <w:rStyle w:val="CeleZnak"/>
          <w:b/>
        </w:rPr>
        <w:t xml:space="preserve">jest utrzymanie </w:t>
      </w:r>
      <w:r w:rsidR="004D1ABA">
        <w:rPr>
          <w:rStyle w:val="CeleZnak"/>
          <w:b/>
        </w:rPr>
        <w:t>poziomu krajowego wydobycia gazu ziemnego na</w:t>
      </w:r>
      <w:r w:rsidR="00EF22C0">
        <w:rPr>
          <w:rStyle w:val="CeleZnak"/>
          <w:b/>
        </w:rPr>
        <w:t> </w:t>
      </w:r>
      <w:r w:rsidR="004D1ABA">
        <w:rPr>
          <w:rStyle w:val="CeleZnak"/>
          <w:b/>
        </w:rPr>
        <w:t>możliwie stałym, stabilnym poziomie</w:t>
      </w:r>
      <w:r w:rsidR="00DC2DAD">
        <w:rPr>
          <w:rStyle w:val="CeleZnak"/>
          <w:b/>
        </w:rPr>
        <w:t xml:space="preserve"> </w:t>
      </w:r>
      <w:bookmarkStart w:id="501" w:name="_Hlk177400394"/>
      <w:r w:rsidR="00DC2DAD">
        <w:rPr>
          <w:rStyle w:val="CeleZnak"/>
          <w:b/>
        </w:rPr>
        <w:t xml:space="preserve">oraz rozwijanie wykorzystania gazów </w:t>
      </w:r>
      <w:r w:rsidR="007C40DB">
        <w:rPr>
          <w:rStyle w:val="CeleZnak"/>
          <w:b/>
        </w:rPr>
        <w:t xml:space="preserve">odnawialnych i </w:t>
      </w:r>
      <w:r w:rsidR="00DC2DAD">
        <w:rPr>
          <w:rStyle w:val="CeleZnak"/>
          <w:b/>
        </w:rPr>
        <w:t>zdekarbonizowanych</w:t>
      </w:r>
      <w:r w:rsidR="007C40DB">
        <w:rPr>
          <w:rStyle w:val="CeleZnak"/>
          <w:b/>
        </w:rPr>
        <w:t>,</w:t>
      </w:r>
      <w:r w:rsidR="00DC2DAD">
        <w:rPr>
          <w:rStyle w:val="CeleZnak"/>
          <w:b/>
        </w:rPr>
        <w:t xml:space="preserve"> stanowiących alternatywę dla gazu ziemnego</w:t>
      </w:r>
      <w:bookmarkEnd w:id="501"/>
      <w:r w:rsidR="004D1ABA">
        <w:rPr>
          <w:rStyle w:val="CeleZnak"/>
          <w:bCs/>
        </w:rPr>
        <w:t xml:space="preserve">. </w:t>
      </w:r>
    </w:p>
    <w:p w14:paraId="49450D95" w14:textId="77777777" w:rsidR="00F3711B" w:rsidRDefault="00F3711B" w:rsidP="00DC2DAD">
      <w:pPr>
        <w:pStyle w:val="PaMs"/>
      </w:pPr>
      <w:r w:rsidRPr="006C637D">
        <w:t>POLITYKA</w:t>
      </w:r>
    </w:p>
    <w:p w14:paraId="7C15E063" w14:textId="77777777" w:rsidR="0006624B" w:rsidRDefault="0006624B" w:rsidP="0006624B">
      <w:r>
        <w:t xml:space="preserve">Nadal głównym sposobem pokrycia zapotrzebowania na gaz ziemny będzie import oraz wydobycie własne, w tym poza granicami kraju. W dalszej perspektywie, gdy popyt na surowiec będzie spadał, tempo spadku wydobycia własnego będzie niższe niż redukcja importu, choć może to ulegać zmianie w oparciu o zmieniające się warunki rynkowe. </w:t>
      </w:r>
    </w:p>
    <w:p w14:paraId="7926F6B3" w14:textId="35156337" w:rsidR="00F3711B" w:rsidRDefault="00D802EB" w:rsidP="00C918FA">
      <w:r>
        <w:t>Ut</w:t>
      </w:r>
      <w:r w:rsidRPr="00D802EB">
        <w:t>rzymanie stabilnego wydobycia</w:t>
      </w:r>
      <w:r w:rsidR="0006624B">
        <w:t xml:space="preserve"> własnego</w:t>
      </w:r>
      <w:r w:rsidRPr="00D802EB">
        <w:t xml:space="preserve"> gazu ziemnego</w:t>
      </w:r>
      <w:r>
        <w:t xml:space="preserve"> wymaga </w:t>
      </w:r>
      <w:r w:rsidRPr="00D802EB">
        <w:t>kontynuowani</w:t>
      </w:r>
      <w:r>
        <w:t>a</w:t>
      </w:r>
      <w:r w:rsidRPr="00D802EB">
        <w:t xml:space="preserve"> poszukiwania</w:t>
      </w:r>
      <w:r w:rsidR="005F4143">
        <w:t>, rozpoznawania, dokumentowania</w:t>
      </w:r>
      <w:r w:rsidRPr="00D802EB">
        <w:t xml:space="preserve"> </w:t>
      </w:r>
      <w:r w:rsidR="004D1ABA">
        <w:t xml:space="preserve">i zagospodarowania </w:t>
      </w:r>
      <w:r w:rsidRPr="00D802EB">
        <w:t>nowych złóż, które zastąpią wyeksploatowane złoża, a także zwiększani</w:t>
      </w:r>
      <w:r w:rsidR="00D474AA">
        <w:t>a</w:t>
      </w:r>
      <w:r w:rsidRPr="00D802EB">
        <w:t xml:space="preserve"> efektywności </w:t>
      </w:r>
      <w:r w:rsidR="0006624B">
        <w:t>produkcji</w:t>
      </w:r>
      <w:r>
        <w:t xml:space="preserve">, również przez </w:t>
      </w:r>
      <w:r w:rsidR="0006624B">
        <w:t>wykorzystywanie</w:t>
      </w:r>
      <w:r>
        <w:t xml:space="preserve"> innowacyjnych metod </w:t>
      </w:r>
      <w:r w:rsidR="005F4143" w:rsidRPr="005F4143">
        <w:t>intensyfikacji wydobycia węglowodorów</w:t>
      </w:r>
      <w:r>
        <w:t>.</w:t>
      </w:r>
      <w:r w:rsidR="009E4C24">
        <w:t xml:space="preserve"> </w:t>
      </w:r>
      <w:r w:rsidR="008D7A02">
        <w:t>Jest to korzystne zarówno dla odbiorców, jak i podmiotów z</w:t>
      </w:r>
      <w:r w:rsidR="00767ACE">
        <w:t> </w:t>
      </w:r>
      <w:r w:rsidR="008D7A02">
        <w:t>branży poszukiwawczo-wydobywczej, ponieważ gaz ziemny z własnego wydobycia standardowo charakteryzuje się największą konkurencyjnością cenową.</w:t>
      </w:r>
      <w:r w:rsidR="00C918FA">
        <w:t xml:space="preserve"> Podejmowane będą również działania w celu usprawnienia procesu rozpoznawania i dokumentowania złóż gazu ziemnego, nadzoru nad wielkością wydobycia gazu ziemnego ze złóż oraz efektywnego przepływu informacji.</w:t>
      </w:r>
    </w:p>
    <w:p w14:paraId="45CC0E18" w14:textId="44D844A0" w:rsidR="00BE103C" w:rsidRDefault="00BE103C" w:rsidP="00C918FA">
      <w:bookmarkStart w:id="502" w:name="_Hlk177400746"/>
      <w:r>
        <w:t>Kwestie rozwoju wykorzystania biometanu oraz wodoru zostały opisane odpowiednio w częściach</w:t>
      </w:r>
      <w:r w:rsidR="00974007">
        <w:t xml:space="preserve">  </w:t>
      </w:r>
      <w:r>
        <w:t xml:space="preserve">oraz </w:t>
      </w:r>
      <w:r>
        <w:fldChar w:fldCharType="begin"/>
      </w:r>
      <w:r>
        <w:instrText xml:space="preserve"> REF _Ref177389379 \r \h </w:instrText>
      </w:r>
      <w:r>
        <w:fldChar w:fldCharType="separate"/>
      </w:r>
      <w:r w:rsidR="00871DD5">
        <w:t>Obszar 3.4</w:t>
      </w:r>
      <w:r>
        <w:fldChar w:fldCharType="end"/>
      </w:r>
      <w:r w:rsidR="00922359">
        <w:t>.</w:t>
      </w:r>
    </w:p>
    <w:bookmarkEnd w:id="502"/>
    <w:p w14:paraId="4EAFDAA2" w14:textId="77777777" w:rsidR="00F3711B" w:rsidRPr="00D802EB" w:rsidRDefault="00F3711B" w:rsidP="006C637D">
      <w:pPr>
        <w:pStyle w:val="PaMs"/>
      </w:pPr>
      <w:r w:rsidRPr="006C637D">
        <w:t>DZIAŁANIA</w:t>
      </w:r>
    </w:p>
    <w:p w14:paraId="6C1DF469" w14:textId="19025BC9" w:rsidR="00FA0500" w:rsidRPr="009007EF" w:rsidRDefault="0094692E" w:rsidP="003530A9">
      <w:pPr>
        <w:pStyle w:val="Akapitzlist"/>
        <w:numPr>
          <w:ilvl w:val="0"/>
          <w:numId w:val="3"/>
        </w:numPr>
        <w:rPr>
          <w:szCs w:val="20"/>
        </w:rPr>
      </w:pPr>
      <w:r w:rsidRPr="009007EF">
        <w:rPr>
          <w:szCs w:val="20"/>
        </w:rPr>
        <w:fldChar w:fldCharType="begin"/>
      </w:r>
      <w:r w:rsidRPr="009007EF">
        <w:rPr>
          <w:szCs w:val="20"/>
        </w:rPr>
        <w:instrText xml:space="preserve"> REF _Ref195891280 \h </w:instrText>
      </w:r>
      <w:r w:rsidR="009007EF">
        <w:rPr>
          <w:szCs w:val="20"/>
        </w:rPr>
        <w:instrText xml:space="preserve"> \* MERGEFORMAT </w:instrText>
      </w:r>
      <w:r w:rsidRPr="009007EF">
        <w:rPr>
          <w:szCs w:val="20"/>
        </w:rPr>
      </w:r>
      <w:r w:rsidRPr="009007EF">
        <w:rPr>
          <w:szCs w:val="20"/>
        </w:rPr>
        <w:fldChar w:fldCharType="separate"/>
      </w:r>
      <w:r w:rsidR="00871DD5" w:rsidRPr="00871DD5">
        <w:rPr>
          <w:rStyle w:val="Nagwek6Znak"/>
          <w:rFonts w:ascii="Lato" w:hAnsi="Lato"/>
          <w:b w:val="0"/>
        </w:rPr>
        <w:t xml:space="preserve">Działanie </w:t>
      </w:r>
      <w:r w:rsidR="00871DD5" w:rsidRPr="00871DD5">
        <w:rPr>
          <w:lang w:eastAsia="pl-PL"/>
        </w:rPr>
        <w:t xml:space="preserve">117. </w:t>
      </w:r>
      <w:r w:rsidR="00871DD5" w:rsidRPr="008A5AE2">
        <w:rPr>
          <w:lang w:eastAsia="pl-PL"/>
        </w:rPr>
        <w:t>Efektywna gospodarka surowcami ważnymi dla krajowej i unijnej gospodarki</w:t>
      </w:r>
      <w:r w:rsidRPr="009007EF">
        <w:rPr>
          <w:szCs w:val="20"/>
        </w:rPr>
        <w:fldChar w:fldCharType="end"/>
      </w:r>
    </w:p>
    <w:bookmarkStart w:id="503" w:name="_Hlk196381074"/>
    <w:p w14:paraId="3CA66FDE" w14:textId="5ABE3AF0" w:rsidR="00675898" w:rsidRPr="00675898" w:rsidRDefault="00675898" w:rsidP="00675898">
      <w:pPr>
        <w:pStyle w:val="Akapitzlist"/>
        <w:numPr>
          <w:ilvl w:val="0"/>
          <w:numId w:val="3"/>
        </w:numPr>
        <w:rPr>
          <w:rFonts w:eastAsiaTheme="majorEastAsia" w:cstheme="majorBidi"/>
          <w:b/>
          <w:color w:val="000000" w:themeColor="text1"/>
        </w:rPr>
      </w:pPr>
      <w:r w:rsidRPr="00B16503">
        <w:rPr>
          <w:rStyle w:val="Nagwek6Znak"/>
          <w:rFonts w:ascii="Lato" w:hAnsi="Lato"/>
        </w:rPr>
        <w:fldChar w:fldCharType="begin"/>
      </w:r>
      <w:r w:rsidRPr="00B16503">
        <w:rPr>
          <w:rStyle w:val="Nagwek6Znak"/>
          <w:rFonts w:ascii="Lato" w:hAnsi="Lato"/>
        </w:rPr>
        <w:instrText xml:space="preserve"> REF _Ref195890082 \h </w:instrText>
      </w:r>
      <w:r>
        <w:rPr>
          <w:rStyle w:val="Nagwek6Znak"/>
          <w:rFonts w:ascii="Lato" w:hAnsi="Lato"/>
        </w:rPr>
        <w:instrText xml:space="preserve"> \* MERGEFORMAT </w:instrText>
      </w:r>
      <w:r w:rsidRPr="00B16503">
        <w:rPr>
          <w:rStyle w:val="Nagwek6Znak"/>
          <w:rFonts w:ascii="Lato" w:hAnsi="Lato"/>
        </w:rPr>
      </w:r>
      <w:r w:rsidRPr="00B16503">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 xml:space="preserve">118. </w:t>
      </w:r>
      <w:r w:rsidR="00871DD5" w:rsidRPr="008A5AE2">
        <w:rPr>
          <w:lang w:eastAsia="pl-PL"/>
        </w:rPr>
        <w:t>Aktualizacja Polityki Surowcowej Państwa</w:t>
      </w:r>
      <w:r w:rsidRPr="00B16503">
        <w:rPr>
          <w:rStyle w:val="Nagwek6Znak"/>
          <w:rFonts w:ascii="Lato" w:hAnsi="Lato"/>
        </w:rPr>
        <w:fldChar w:fldCharType="end"/>
      </w:r>
      <w:bookmarkEnd w:id="503"/>
    </w:p>
    <w:p w14:paraId="6A8BE557" w14:textId="3F5DB047" w:rsidR="009007EF" w:rsidRPr="009007EF" w:rsidRDefault="009007EF" w:rsidP="003530A9">
      <w:pPr>
        <w:pStyle w:val="Akapitzlist"/>
        <w:numPr>
          <w:ilvl w:val="0"/>
          <w:numId w:val="3"/>
        </w:numPr>
        <w:rPr>
          <w:szCs w:val="20"/>
        </w:rPr>
      </w:pPr>
      <w:r w:rsidRPr="009007EF">
        <w:rPr>
          <w:szCs w:val="20"/>
        </w:rPr>
        <w:fldChar w:fldCharType="begin"/>
      </w:r>
      <w:r w:rsidRPr="009007EF">
        <w:rPr>
          <w:szCs w:val="20"/>
        </w:rPr>
        <w:instrText xml:space="preserve"> REF _Ref195891413 \h </w:instrText>
      </w:r>
      <w:r>
        <w:rPr>
          <w:szCs w:val="20"/>
        </w:rPr>
        <w:instrText xml:space="preserve"> \* MERGEFORMAT </w:instrText>
      </w:r>
      <w:r w:rsidRPr="009007EF">
        <w:rPr>
          <w:szCs w:val="20"/>
        </w:rPr>
      </w:r>
      <w:r w:rsidRPr="009007EF">
        <w:rPr>
          <w:szCs w:val="20"/>
        </w:rPr>
        <w:fldChar w:fldCharType="separate"/>
      </w:r>
      <w:r w:rsidR="00871DD5" w:rsidRPr="00871DD5">
        <w:rPr>
          <w:rStyle w:val="Nagwek6Znak"/>
          <w:rFonts w:ascii="Lato" w:hAnsi="Lato"/>
          <w:b w:val="0"/>
        </w:rPr>
        <w:t xml:space="preserve">Działanie </w:t>
      </w:r>
      <w:r w:rsidR="00871DD5" w:rsidRPr="00871DD5">
        <w:rPr>
          <w:lang w:eastAsia="pl-PL"/>
        </w:rPr>
        <w:t xml:space="preserve">122. </w:t>
      </w:r>
      <w:r w:rsidR="00871DD5" w:rsidRPr="008A5AE2">
        <w:rPr>
          <w:lang w:eastAsia="pl-PL"/>
        </w:rPr>
        <w:t>Zwiększanie pojemności i mocy odbioru systemu magazynowania paliw gazowych</w:t>
      </w:r>
      <w:r w:rsidRPr="009007EF">
        <w:rPr>
          <w:szCs w:val="20"/>
        </w:rPr>
        <w:fldChar w:fldCharType="end"/>
      </w:r>
    </w:p>
    <w:p w14:paraId="1EAB56AE" w14:textId="405F6EB5" w:rsidR="000D4915" w:rsidRDefault="000D4915" w:rsidP="006F6E33">
      <w:pPr>
        <w:pStyle w:val="Nagwek4"/>
        <w:tabs>
          <w:tab w:val="left" w:pos="1560"/>
        </w:tabs>
        <w:rPr>
          <w:color w:val="C00000"/>
        </w:rPr>
      </w:pPr>
      <w:bookmarkStart w:id="504" w:name="_Toc195897318"/>
      <w:bookmarkStart w:id="505" w:name="_Toc195899563"/>
      <w:bookmarkStart w:id="506" w:name="_Toc195897319"/>
      <w:bookmarkStart w:id="507" w:name="_Toc195899564"/>
      <w:bookmarkStart w:id="508" w:name="_Toc195897320"/>
      <w:bookmarkStart w:id="509" w:name="_Toc195899565"/>
      <w:bookmarkStart w:id="510" w:name="_Toc195897321"/>
      <w:bookmarkStart w:id="511" w:name="_Toc195899566"/>
      <w:bookmarkStart w:id="512" w:name="_Toc159598319"/>
      <w:bookmarkStart w:id="513" w:name="_Toc195897322"/>
      <w:bookmarkStart w:id="514" w:name="_Toc205203196"/>
      <w:bookmarkEnd w:id="504"/>
      <w:bookmarkEnd w:id="505"/>
      <w:bookmarkEnd w:id="506"/>
      <w:bookmarkEnd w:id="507"/>
      <w:bookmarkEnd w:id="508"/>
      <w:bookmarkEnd w:id="509"/>
      <w:bookmarkEnd w:id="510"/>
      <w:bookmarkEnd w:id="511"/>
      <w:r>
        <w:rPr>
          <w:color w:val="C00000"/>
        </w:rPr>
        <w:t>Zapewnienie odpowiedniego stanu i rozwoju infrastruktury przesyłu</w:t>
      </w:r>
      <w:r w:rsidR="00E61ADB">
        <w:rPr>
          <w:color w:val="C00000"/>
        </w:rPr>
        <w:t>, magazynowania</w:t>
      </w:r>
      <w:r>
        <w:rPr>
          <w:color w:val="C00000"/>
        </w:rPr>
        <w:t xml:space="preserve"> i</w:t>
      </w:r>
      <w:r w:rsidR="008A138F">
        <w:rPr>
          <w:color w:val="C00000"/>
        </w:rPr>
        <w:t> </w:t>
      </w:r>
      <w:r>
        <w:rPr>
          <w:color w:val="C00000"/>
        </w:rPr>
        <w:t>dystrybucji gazu ziemnego</w:t>
      </w:r>
      <w:bookmarkEnd w:id="512"/>
      <w:bookmarkEnd w:id="513"/>
      <w:bookmarkEnd w:id="514"/>
    </w:p>
    <w:p w14:paraId="50A5D874" w14:textId="77777777" w:rsidR="005E5113" w:rsidRDefault="005E5113" w:rsidP="005E5113">
      <w:pPr>
        <w:spacing w:after="0"/>
      </w:pPr>
      <w:r>
        <w:t>System przesyłowy gazu ziemnego składa się z dwóch współpracujących ze sobą systemów zarządzanych przez operatora systemu przesyłowego:</w:t>
      </w:r>
    </w:p>
    <w:p w14:paraId="056DBAE0" w14:textId="01340025" w:rsidR="005E5113" w:rsidRDefault="005E5113" w:rsidP="003530A9">
      <w:pPr>
        <w:pStyle w:val="Akapitzlist"/>
        <w:numPr>
          <w:ilvl w:val="0"/>
          <w:numId w:val="21"/>
        </w:numPr>
      </w:pPr>
      <w:r>
        <w:t>krajowego systemu przesyłowego, na który składają się systemy gazu ziemnego wysokometanowego E i zaazotowanego Lw</w:t>
      </w:r>
      <w:r w:rsidR="00335784">
        <w:t xml:space="preserve"> (w obszarze województwa </w:t>
      </w:r>
      <w:r w:rsidR="00335784" w:rsidRPr="00C26A20">
        <w:t xml:space="preserve">lubuskiego, wielkopolskiego </w:t>
      </w:r>
      <w:r w:rsidR="00DE77E4">
        <w:t>i</w:t>
      </w:r>
      <w:r w:rsidR="00335784" w:rsidRPr="00C26A20">
        <w:t xml:space="preserve"> dolnośląskiego</w:t>
      </w:r>
      <w:r w:rsidR="00335784">
        <w:t>)</w:t>
      </w:r>
      <w:r>
        <w:t>, oraz</w:t>
      </w:r>
    </w:p>
    <w:p w14:paraId="5DA6E9F5" w14:textId="77777777" w:rsidR="005E5113" w:rsidRDefault="005E5113" w:rsidP="003530A9">
      <w:pPr>
        <w:pStyle w:val="Akapitzlist"/>
        <w:numPr>
          <w:ilvl w:val="0"/>
          <w:numId w:val="21"/>
        </w:numPr>
      </w:pPr>
      <w:r>
        <w:t>systemu gazociągów tranzytowych.</w:t>
      </w:r>
    </w:p>
    <w:p w14:paraId="3878BDEB" w14:textId="492001C6" w:rsidR="005E5113" w:rsidRDefault="009D44AC">
      <w:r>
        <w:t xml:space="preserve">Dostawy do odbiorców </w:t>
      </w:r>
      <w:r w:rsidR="00543C04">
        <w:t>ko</w:t>
      </w:r>
      <w:r w:rsidR="009D65F5">
        <w:t>ńc</w:t>
      </w:r>
      <w:r w:rsidR="00543C04">
        <w:t xml:space="preserve">owych </w:t>
      </w:r>
      <w:r>
        <w:t xml:space="preserve">odbywają się przez system </w:t>
      </w:r>
      <w:r w:rsidR="00543C04">
        <w:t>dystrybucyjny</w:t>
      </w:r>
      <w:r>
        <w:t xml:space="preserve">, ale ważną rolę </w:t>
      </w:r>
      <w:r w:rsidR="00A134CC">
        <w:t>w</w:t>
      </w:r>
      <w:r w:rsidR="00543C04">
        <w:t> </w:t>
      </w:r>
      <w:r w:rsidR="00A134CC">
        <w:t>zarządzaniu w</w:t>
      </w:r>
      <w:r w:rsidR="00543C04">
        <w:t> </w:t>
      </w:r>
      <w:r w:rsidR="00A134CC">
        <w:t xml:space="preserve">dostawach gazu i zabezpieczeniu </w:t>
      </w:r>
      <w:r w:rsidR="00543C04">
        <w:t xml:space="preserve">na sytuacje awaryjne </w:t>
      </w:r>
      <w:r>
        <w:t>pełni</w:t>
      </w:r>
      <w:r w:rsidR="00344D48">
        <w:t xml:space="preserve"> 7 instalacji </w:t>
      </w:r>
      <w:r w:rsidR="00DD2CD4">
        <w:t xml:space="preserve">podziemnych </w:t>
      </w:r>
      <w:r>
        <w:t>magazyn</w:t>
      </w:r>
      <w:r w:rsidR="00DD2CD4">
        <w:t>ów</w:t>
      </w:r>
      <w:r>
        <w:t xml:space="preserve"> </w:t>
      </w:r>
      <w:r w:rsidR="00543C04">
        <w:t>gazu ziemnego</w:t>
      </w:r>
      <w:r w:rsidR="001D0E4E">
        <w:t xml:space="preserve"> (PMG)</w:t>
      </w:r>
      <w:r w:rsidR="008F3B19">
        <w:rPr>
          <w:rStyle w:val="Odwoanieprzypisudolnego"/>
        </w:rPr>
        <w:footnoteReference w:id="105"/>
      </w:r>
      <w:r w:rsidR="00DD2CD4">
        <w:t xml:space="preserve">, połączonych z systemem </w:t>
      </w:r>
      <w:r w:rsidR="008F3B19">
        <w:t>przesyłowym</w:t>
      </w:r>
      <w:r w:rsidR="00543C04">
        <w:t>.</w:t>
      </w:r>
    </w:p>
    <w:p w14:paraId="76923F1F" w14:textId="60827DAF" w:rsidR="00E61ADB" w:rsidRDefault="00E61ADB">
      <w:r>
        <w:rPr>
          <w:noProof/>
          <w:lang w:eastAsia="pl-PL"/>
        </w:rPr>
        <w:lastRenderedPageBreak/>
        <mc:AlternateContent>
          <mc:Choice Requires="wps">
            <w:drawing>
              <wp:anchor distT="0" distB="0" distL="114300" distR="114300" simplePos="0" relativeHeight="251533824" behindDoc="1" locked="0" layoutInCell="1" allowOverlap="1" wp14:anchorId="3EA78BCC" wp14:editId="0CA99C39">
                <wp:simplePos x="0" y="0"/>
                <wp:positionH relativeFrom="margin">
                  <wp:align>right</wp:align>
                </wp:positionH>
                <wp:positionV relativeFrom="paragraph">
                  <wp:posOffset>69083</wp:posOffset>
                </wp:positionV>
                <wp:extent cx="2620010" cy="1963420"/>
                <wp:effectExtent l="19050" t="57150" r="123190" b="71120"/>
                <wp:wrapSquare wrapText="bothSides"/>
                <wp:docPr id="849817367"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chemeClr val="bg1"/>
                        </a:solidFill>
                        <a:ln w="6350">
                          <a:solidFill>
                            <a:srgbClr val="C00000"/>
                          </a:solidFill>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9FF54C" w14:textId="7B40C6F4" w:rsidR="00C36C5C" w:rsidRPr="004E21CF" w:rsidRDefault="00C36C5C" w:rsidP="00E61ADB">
                            <w:pPr>
                              <w:pStyle w:val="Ramka"/>
                            </w:pPr>
                            <w:bookmarkStart w:id="515" w:name="_Hlk159561529"/>
                            <w:r w:rsidRPr="00793CBE">
                              <w:t>Krajowy system przesyłowy</w:t>
                            </w:r>
                            <w:r>
                              <w:t xml:space="preserve"> zasilany jest </w:t>
                            </w:r>
                            <w:r w:rsidRPr="00793CBE">
                              <w:t>przywozem paliw gazowych</w:t>
                            </w:r>
                            <w:r>
                              <w:t xml:space="preserve"> z zagranicy, wydobyciem </w:t>
                            </w:r>
                            <w:r w:rsidRPr="00FD5859">
                              <w:t>krajowym</w:t>
                            </w:r>
                            <w:r>
                              <w:t>, podziemnymi magazynami gazu</w:t>
                            </w:r>
                            <w:bookmarkEnd w:id="515"/>
                            <w:r>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EA78BCC" id="_x0000_s1123" style="position:absolute;left:0;text-align:left;margin-left:155.1pt;margin-top:5.45pt;width:206.3pt;height:154.6pt;z-index:-251782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" fillcolor="white [3212]" strokecolor="#c00000" strokeweight=".5pt">
                <v:stroke joinstyle="miter"/>
                <v:shadow on="t" color="black" opacity="26214f" origin="-.5" offset="3pt,0"/>
                <v:textbox style="mso-fit-shape-to-text:t" inset="2mm,2.5mm,2mm,0">
                  <w:txbxContent>
                    <w:p w14:paraId="3F9FF54C" w14:textId="7B40C6F4" w:rsidR="00C36C5C" w:rsidRPr="004E21CF" w:rsidRDefault="00C36C5C" w:rsidP="00E61ADB">
                      <w:pPr>
                        <w:pStyle w:val="Ramka"/>
                      </w:pPr>
                      <w:bookmarkStart w:id="530" w:name="_Hlk159561529"/>
                      <w:r w:rsidRPr="00793CBE">
                        <w:t>Krajowy system przesyłowy</w:t>
                      </w:r>
                      <w:r>
                        <w:t xml:space="preserve"> zasilany jest </w:t>
                      </w:r>
                      <w:r w:rsidRPr="00793CBE">
                        <w:t>przywozem paliw gazowych</w:t>
                      </w:r>
                      <w:r>
                        <w:t xml:space="preserve"> z zagranicy, wydobyciem </w:t>
                      </w:r>
                      <w:r w:rsidRPr="00FD5859">
                        <w:t>krajowym</w:t>
                      </w:r>
                      <w:r>
                        <w:t>, podziemnymi magazynami gazu</w:t>
                      </w:r>
                      <w:bookmarkEnd w:id="530"/>
                      <w:r>
                        <w:t xml:space="preserve">. </w:t>
                      </w:r>
                    </w:p>
                  </w:txbxContent>
                </v:textbox>
                <w10:wrap type="square" anchorx="margin"/>
              </v:roundrect>
            </w:pict>
          </mc:Fallback>
        </mc:AlternateContent>
      </w:r>
      <w:r>
        <w:t>Zapewnienie odpowiedniego stanu</w:t>
      </w:r>
      <w:r w:rsidRPr="00FD5859">
        <w:t xml:space="preserve"> infrastruktury gazowej</w:t>
      </w:r>
      <w:r>
        <w:t>, jej rozbudowa, a także</w:t>
      </w:r>
      <w:r w:rsidRPr="007E4C7D">
        <w:t xml:space="preserve"> </w:t>
      </w:r>
      <w:r w:rsidRPr="00333F1B">
        <w:t>wystarczająca w</w:t>
      </w:r>
      <w:r>
        <w:t> </w:t>
      </w:r>
      <w:r w:rsidRPr="00333F1B">
        <w:t>stosunku do konsumpcji pojemność magazynowa</w:t>
      </w:r>
      <w:r>
        <w:t>, to czynniki wpływające na obecną i perspektywiczną pewność dostaw gazu ziemnego do odbiorców</w:t>
      </w:r>
      <w:r w:rsidR="00CB5674">
        <w:t>, co</w:t>
      </w:r>
      <w:r w:rsidR="00EF22C0">
        <w:t> </w:t>
      </w:r>
      <w:r w:rsidR="00CB5674">
        <w:t xml:space="preserve">ma istotne znaczenie dla </w:t>
      </w:r>
      <w:r w:rsidR="000A4800">
        <w:t>funkcjonowania gospodarki</w:t>
      </w:r>
      <w:r>
        <w:t xml:space="preserve">. </w:t>
      </w:r>
    </w:p>
    <w:p w14:paraId="638C7249" w14:textId="71CFB2F9" w:rsidR="00E61ADB" w:rsidRDefault="00E61ADB">
      <w:r>
        <w:t xml:space="preserve">Z tego względu działalność w tym obszarze jest ściśle określona w ustawie – </w:t>
      </w:r>
      <w:r w:rsidRPr="00C829B7">
        <w:rPr>
          <w:i/>
          <w:iCs/>
        </w:rPr>
        <w:t>Prawo energetyczne</w:t>
      </w:r>
      <w:r>
        <w:t xml:space="preserve"> i</w:t>
      </w:r>
      <w:r w:rsidR="00543C04">
        <w:t> </w:t>
      </w:r>
      <w:r>
        <w:t xml:space="preserve">regulowana przez Prezesa Urzędu Regulacji Energetyki (URE). </w:t>
      </w:r>
      <w:r w:rsidR="00A82782" w:rsidRPr="00A82782">
        <w:t xml:space="preserve">Funkcjonowanie krajowych systemów gazowych jest nadzorowane przez ministra właściwego do spraw energii we współpracy z ministrem właściwym do spraw gospodarki surowcami energetycznymi. Kluczową rolę pełni operator systemu przesyłowego gazowego (OSPg) i </w:t>
      </w:r>
      <w:r w:rsidR="008851BC">
        <w:t xml:space="preserve">operator </w:t>
      </w:r>
      <w:r w:rsidR="00A82782" w:rsidRPr="00A82782">
        <w:t>systemu magazynowania gazu (OSM)</w:t>
      </w:r>
      <w:r>
        <w:t xml:space="preserve">. Ponieważ czas inwestycji infrastrukturalnych i perspektywa </w:t>
      </w:r>
      <w:r w:rsidR="00A074E9">
        <w:t>mają</w:t>
      </w:r>
      <w:r>
        <w:t xml:space="preserve"> charakter długookresowy, OSPg wyznaczany jest w wielkoletniej perspektywie. Prezes URE wyznaczył OSP Gaz</w:t>
      </w:r>
      <w:r w:rsidR="00194CC1">
        <w:t xml:space="preserve"> </w:t>
      </w:r>
      <w:r>
        <w:t>System S.A. do pełnienia funkcji OSPg do</w:t>
      </w:r>
      <w:r w:rsidR="00EF22C0">
        <w:t> </w:t>
      </w:r>
      <w:r>
        <w:t xml:space="preserve">2068 r. </w:t>
      </w:r>
      <w:r w:rsidR="00194CC1">
        <w:t xml:space="preserve">Ponadto Gaz System jest także </w:t>
      </w:r>
      <w:r w:rsidR="00194CC1" w:rsidRPr="006456D3">
        <w:t xml:space="preserve">operatorem polskiego odcinka Systemu Gazociągów Tranzytowych Jamał </w:t>
      </w:r>
      <w:r w:rsidR="00C74408">
        <w:t>–</w:t>
      </w:r>
      <w:r w:rsidR="00194CC1" w:rsidRPr="006456D3">
        <w:t xml:space="preserve"> Europa Zachodnia (SGT)</w:t>
      </w:r>
      <w:r w:rsidR="00B22509">
        <w:t xml:space="preserve"> do</w:t>
      </w:r>
      <w:r w:rsidR="000223E5">
        <w:t xml:space="preserve"> </w:t>
      </w:r>
      <w:r w:rsidR="00B26B8D">
        <w:t>2068 r.</w:t>
      </w:r>
      <w:r w:rsidR="00BC536C">
        <w:rPr>
          <w:rStyle w:val="Odwoanieprzypisudolnego"/>
        </w:rPr>
        <w:footnoteReference w:id="106"/>
      </w:r>
      <w:r w:rsidR="00194CC1">
        <w:t xml:space="preserve"> </w:t>
      </w:r>
      <w:r w:rsidR="00EC0866">
        <w:t>Operatorem systemu magazyn</w:t>
      </w:r>
      <w:r w:rsidR="008851BC">
        <w:t xml:space="preserve">owania gazu jest </w:t>
      </w:r>
      <w:r w:rsidR="008756E8">
        <w:t>Gas Storage Poland</w:t>
      </w:r>
      <w:r w:rsidR="00FF21A3">
        <w:t xml:space="preserve"> sp. z o.o.</w:t>
      </w:r>
      <w:r w:rsidR="00BF7191">
        <w:t>, wchodząca do grupy Gaz System.</w:t>
      </w:r>
      <w:r w:rsidR="008851BC">
        <w:t xml:space="preserve"> </w:t>
      </w:r>
      <w:r>
        <w:t>Poza OSPg</w:t>
      </w:r>
      <w:r w:rsidR="00A82782">
        <w:t xml:space="preserve"> i OS</w:t>
      </w:r>
      <w:r w:rsidR="00E20ECA">
        <w:t>M</w:t>
      </w:r>
      <w:r>
        <w:t xml:space="preserve"> funkcjonuj</w:t>
      </w:r>
      <w:r w:rsidR="00C0736D">
        <w:t>e</w:t>
      </w:r>
      <w:r>
        <w:t xml:space="preserve"> </w:t>
      </w:r>
      <w:r w:rsidR="000F783E" w:rsidRPr="00A24E12">
        <w:t>operator system</w:t>
      </w:r>
      <w:r w:rsidR="00C0736D">
        <w:t>u</w:t>
      </w:r>
      <w:r w:rsidR="000F783E" w:rsidRPr="00A24E12">
        <w:t xml:space="preserve"> skraplania gazu ziemnego</w:t>
      </w:r>
      <w:r w:rsidR="000F783E">
        <w:t xml:space="preserve"> (również Gaz System)</w:t>
      </w:r>
      <w:r w:rsidR="00C0736D">
        <w:t>, a</w:t>
      </w:r>
      <w:r w:rsidR="000F783E">
        <w:t xml:space="preserve"> </w:t>
      </w:r>
      <w:r>
        <w:t xml:space="preserve">także operatorzy </w:t>
      </w:r>
      <w:r w:rsidRPr="00A24E12">
        <w:t>systemów dystrybucyjnych gazowych</w:t>
      </w:r>
      <w:r w:rsidRPr="00125C70">
        <w:t>.</w:t>
      </w:r>
      <w:r w:rsidR="00ED52EF" w:rsidRPr="00ED52EF">
        <w:t xml:space="preserve"> Wśród kilkudziesięciu operatorów systemów dystrybucyjnych gazowych w</w:t>
      </w:r>
      <w:r w:rsidR="00EF22C0">
        <w:t> </w:t>
      </w:r>
      <w:r w:rsidR="00ED52EF" w:rsidRPr="00ED52EF">
        <w:t xml:space="preserve">Polsce dominującą rolę pełni Polska Spółka Gazownictwa </w:t>
      </w:r>
      <w:r w:rsidR="00976A05">
        <w:t>s</w:t>
      </w:r>
      <w:r w:rsidR="00ED52EF" w:rsidRPr="00ED52EF">
        <w:t>p. z o.o., która dystrybuuje rocznie blisko 12 mld m</w:t>
      </w:r>
      <w:r w:rsidR="00ED52EF" w:rsidRPr="00CC7A06">
        <w:rPr>
          <w:vertAlign w:val="superscript"/>
        </w:rPr>
        <w:t>3</w:t>
      </w:r>
      <w:r w:rsidR="00ED52EF" w:rsidRPr="00ED52EF">
        <w:t xml:space="preserve"> gazu poprzez ponad 210 tys. km gazociągów.</w:t>
      </w:r>
      <w:r w:rsidR="00974007">
        <w:t xml:space="preserve">  </w:t>
      </w:r>
    </w:p>
    <w:p w14:paraId="1E093543" w14:textId="0FA43775" w:rsidR="00E61ADB" w:rsidRDefault="00E61ADB">
      <w:r>
        <w:t>Przed podmiotami realizującymi zadania w obszarze funkcjonowania i rozwoju systemu przesyłowego i dystrybucyjnych oraz magazynowania gazu ziemnego stoją wyzwania związane z koniecznością dostosowania instalacji i urządzeń do transportowania i magazynowania również innych gazów, jak</w:t>
      </w:r>
      <w:r w:rsidR="00EF22C0">
        <w:t> </w:t>
      </w:r>
      <w:r>
        <w:t>również w obszarze cyberbezpieczeństwa.</w:t>
      </w:r>
    </w:p>
    <w:p w14:paraId="5FF91C16" w14:textId="6A2AA071" w:rsidR="00FB43D9" w:rsidRPr="003F2449" w:rsidRDefault="00E61ADB" w:rsidP="003F2449">
      <w:pPr>
        <w:pStyle w:val="Cele"/>
        <w:rPr>
          <w:b/>
          <w:shd w:val="clear" w:color="auto" w:fill="F2F2F2" w:themeFill="background1" w:themeFillShade="F2"/>
        </w:rPr>
      </w:pPr>
      <w:r w:rsidRPr="0053209D">
        <w:rPr>
          <w:rStyle w:val="CeleZnak"/>
          <w:bCs/>
        </w:rPr>
        <w:t xml:space="preserve">Celem </w:t>
      </w:r>
      <w:r>
        <w:rPr>
          <w:rStyle w:val="CeleZnak"/>
          <w:bCs/>
        </w:rPr>
        <w:t>podejmowanych działań</w:t>
      </w:r>
      <w:r w:rsidRPr="0053209D">
        <w:rPr>
          <w:rStyle w:val="CeleZnak"/>
          <w:bCs/>
        </w:rPr>
        <w:t xml:space="preserve"> jest</w:t>
      </w:r>
      <w:r>
        <w:rPr>
          <w:rStyle w:val="CeleZnak"/>
          <w:b/>
        </w:rPr>
        <w:t xml:space="preserve"> </w:t>
      </w:r>
      <w:r w:rsidRPr="00C829B7">
        <w:rPr>
          <w:rStyle w:val="CeleZnak"/>
          <w:b/>
        </w:rPr>
        <w:t xml:space="preserve">zapewnienie </w:t>
      </w:r>
      <w:r>
        <w:rPr>
          <w:rStyle w:val="CeleZnak"/>
          <w:b/>
        </w:rPr>
        <w:t>odpowiedniego poziomu</w:t>
      </w:r>
      <w:r w:rsidRPr="00C829B7">
        <w:rPr>
          <w:rStyle w:val="CeleZnak"/>
          <w:b/>
        </w:rPr>
        <w:t xml:space="preserve"> </w:t>
      </w:r>
      <w:r>
        <w:rPr>
          <w:rStyle w:val="CeleZnak"/>
          <w:b/>
        </w:rPr>
        <w:t>b</w:t>
      </w:r>
      <w:r w:rsidRPr="00C829B7">
        <w:rPr>
          <w:rStyle w:val="CeleZnak"/>
          <w:b/>
        </w:rPr>
        <w:t>ezpieczeństwa</w:t>
      </w:r>
      <w:r>
        <w:rPr>
          <w:rStyle w:val="CeleZnak"/>
          <w:b/>
        </w:rPr>
        <w:t xml:space="preserve"> dostaw</w:t>
      </w:r>
      <w:r w:rsidRPr="00C829B7">
        <w:rPr>
          <w:rStyle w:val="CeleZnak"/>
          <w:b/>
        </w:rPr>
        <w:t xml:space="preserve"> </w:t>
      </w:r>
      <w:r>
        <w:rPr>
          <w:rStyle w:val="CeleZnak"/>
          <w:b/>
        </w:rPr>
        <w:t xml:space="preserve">i stabilności funkcjonowania </w:t>
      </w:r>
      <w:r w:rsidRPr="00C829B7">
        <w:rPr>
          <w:rStyle w:val="CeleZnak"/>
          <w:b/>
        </w:rPr>
        <w:t>infrastruktury gazowej, pozwalające</w:t>
      </w:r>
      <w:r>
        <w:rPr>
          <w:rStyle w:val="CeleZnak"/>
          <w:b/>
        </w:rPr>
        <w:t>go</w:t>
      </w:r>
      <w:r w:rsidRPr="00C829B7">
        <w:rPr>
          <w:rStyle w:val="CeleZnak"/>
          <w:b/>
        </w:rPr>
        <w:t xml:space="preserve"> na pokrycie bieżącego i</w:t>
      </w:r>
      <w:r>
        <w:rPr>
          <w:rStyle w:val="CeleZnak"/>
          <w:b/>
        </w:rPr>
        <w:t> </w:t>
      </w:r>
      <w:r w:rsidRPr="00C829B7">
        <w:rPr>
          <w:rStyle w:val="CeleZnak"/>
          <w:b/>
        </w:rPr>
        <w:t>perspektywicznego zapotrzebowania</w:t>
      </w:r>
      <w:r>
        <w:rPr>
          <w:rStyle w:val="CeleZnak"/>
          <w:b/>
        </w:rPr>
        <w:t>, również w kontekście regionalnym, a także ewentualnego dostosowywania infrastruktury do</w:t>
      </w:r>
      <w:r w:rsidR="003205CB">
        <w:rPr>
          <w:rStyle w:val="CeleZnak"/>
          <w:b/>
        </w:rPr>
        <w:t> </w:t>
      </w:r>
      <w:r>
        <w:rPr>
          <w:rStyle w:val="CeleZnak"/>
          <w:b/>
        </w:rPr>
        <w:t xml:space="preserve">możliwości transportu </w:t>
      </w:r>
      <w:r w:rsidR="00F75BFF">
        <w:rPr>
          <w:rStyle w:val="CeleZnak"/>
          <w:b/>
        </w:rPr>
        <w:t xml:space="preserve">i magazynowania </w:t>
      </w:r>
      <w:r>
        <w:rPr>
          <w:rStyle w:val="CeleZnak"/>
          <w:b/>
        </w:rPr>
        <w:t xml:space="preserve">gazów </w:t>
      </w:r>
      <w:r w:rsidR="00F33221">
        <w:rPr>
          <w:rStyle w:val="CeleZnak"/>
          <w:b/>
        </w:rPr>
        <w:t>odnawialnych i</w:t>
      </w:r>
      <w:r w:rsidR="003205CB">
        <w:rPr>
          <w:rStyle w:val="CeleZnak"/>
          <w:b/>
        </w:rPr>
        <w:t> </w:t>
      </w:r>
      <w:r>
        <w:rPr>
          <w:rStyle w:val="CeleZnak"/>
          <w:b/>
        </w:rPr>
        <w:t>zdekarbonizowanych, zgodnie z uzasadnieniem rynkowym i możliwościami technicznymi.</w:t>
      </w:r>
    </w:p>
    <w:p w14:paraId="0F40A108" w14:textId="641A4C97"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142CAB5F" w14:textId="02E5A39B" w:rsidR="00E61ADB" w:rsidRDefault="00E61ADB" w:rsidP="00E61ADB">
      <w:r w:rsidRPr="0053209D">
        <w:t>Zapewnienie odpowiedniego stanu</w:t>
      </w:r>
      <w:r>
        <w:t xml:space="preserve"> </w:t>
      </w:r>
      <w:r w:rsidRPr="0053209D">
        <w:t>i rozwoju infrastruktury gazu ziemnego</w:t>
      </w:r>
      <w:r>
        <w:t xml:space="preserve"> będzie opierać się o regulowaną działalność dedykowanych podmiotów – operatorów. </w:t>
      </w:r>
      <w:r w:rsidR="00F75BFF">
        <w:t>Tak j</w:t>
      </w:r>
      <w:r>
        <w:t xml:space="preserve">ak dotychczas </w:t>
      </w:r>
      <w:r w:rsidRPr="002B4DFC">
        <w:rPr>
          <w:b/>
          <w:bCs/>
        </w:rPr>
        <w:t>operator system</w:t>
      </w:r>
      <w:r>
        <w:rPr>
          <w:b/>
          <w:bCs/>
        </w:rPr>
        <w:t>u</w:t>
      </w:r>
      <w:r w:rsidRPr="002B4DFC">
        <w:rPr>
          <w:b/>
          <w:bCs/>
        </w:rPr>
        <w:t xml:space="preserve"> przesyłow</w:t>
      </w:r>
      <w:r>
        <w:rPr>
          <w:b/>
          <w:bCs/>
        </w:rPr>
        <w:t>ego</w:t>
      </w:r>
      <w:r>
        <w:t xml:space="preserve"> będzie realizować zadania określane w </w:t>
      </w:r>
      <w:r w:rsidRPr="00FD5859">
        <w:t>plan</w:t>
      </w:r>
      <w:r>
        <w:t>ach</w:t>
      </w:r>
      <w:r w:rsidRPr="00FD5859">
        <w:t xml:space="preserve"> rozwoju w zakresie zaspokojenia obecnego i</w:t>
      </w:r>
      <w:r>
        <w:t> </w:t>
      </w:r>
      <w:r w:rsidRPr="00FD5859">
        <w:t>przyszłego zapotrzebowania na paliwa gazowe na okres 10 lat</w:t>
      </w:r>
      <w:r>
        <w:t xml:space="preserve"> (obecnie obowiązuje plan na okres 2024–2033</w:t>
      </w:r>
      <w:r w:rsidR="00A45D0A">
        <w:t xml:space="preserve"> i częściowo </w:t>
      </w:r>
      <w:r w:rsidR="00DA5CE2">
        <w:t>na lata 2025–2034</w:t>
      </w:r>
      <w:r>
        <w:t xml:space="preserve">), zaś operatorzy </w:t>
      </w:r>
      <w:r w:rsidRPr="00E224B5">
        <w:rPr>
          <w:b/>
          <w:bCs/>
        </w:rPr>
        <w:t>systemów dystrybucyjnych</w:t>
      </w:r>
      <w:r>
        <w:t xml:space="preserve"> będą nadal opracowywać i realizować takie plany w perspektywie 5-letniej</w:t>
      </w:r>
      <w:r w:rsidRPr="00FD5859">
        <w:t>.</w:t>
      </w:r>
      <w:r w:rsidRPr="00997BA4">
        <w:t xml:space="preserve"> Również operator systemu magazynowania będzie realizował zadania określone w planie rozwoju w zakresie zaspokojenia obecnego i przyszłego zapotrzebowania na pojemności instalacji magazynowych na okres 10 lat.</w:t>
      </w:r>
      <w:r>
        <w:t xml:space="preserve"> </w:t>
      </w:r>
    </w:p>
    <w:p w14:paraId="31E92125" w14:textId="77777777" w:rsidR="0012689B" w:rsidRDefault="0012689B" w:rsidP="00D806DE">
      <w:pPr>
        <w:pStyle w:val="Nagwek5"/>
        <w:spacing w:before="360"/>
      </w:pPr>
      <w:r>
        <w:lastRenderedPageBreak/>
        <w:t>Przesył</w:t>
      </w:r>
    </w:p>
    <w:p w14:paraId="54830168" w14:textId="0290894B" w:rsidR="00C15601" w:rsidRDefault="00585C83" w:rsidP="0012689B">
      <w:r w:rsidRPr="00585C83">
        <w:t>Plany rozwoju</w:t>
      </w:r>
      <w:r>
        <w:t xml:space="preserve"> </w:t>
      </w:r>
      <w:hyperlink r:id="rId84" w:history="1">
        <w:r w:rsidRPr="00585C83">
          <w:rPr>
            <w:rStyle w:val="Hipercze"/>
          </w:rPr>
          <w:t>(link</w:t>
        </w:r>
      </w:hyperlink>
      <w:r>
        <w:t>)</w:t>
      </w:r>
      <w:r w:rsidR="00EF5F26">
        <w:t xml:space="preserve"> </w:t>
      </w:r>
      <w:r w:rsidR="002B4DFC">
        <w:t>określane są w oparciu o analizy techniczne oraz prognozy zapotrzebowania na surowiec</w:t>
      </w:r>
      <w:r w:rsidR="00E224B5">
        <w:t xml:space="preserve">, a prowadzone inwestycje powinny uwzględniać możliwość transportu gazów </w:t>
      </w:r>
      <w:r w:rsidR="00F33221">
        <w:t>odnawialnych i</w:t>
      </w:r>
      <w:r w:rsidR="00EF22C0">
        <w:t> </w:t>
      </w:r>
      <w:r w:rsidR="00E224B5">
        <w:t>zdekarbonizowanych</w:t>
      </w:r>
      <w:r w:rsidR="00D308CA">
        <w:rPr>
          <w:rStyle w:val="Odwoanieprzypisudolnego"/>
        </w:rPr>
        <w:footnoteReference w:id="107"/>
      </w:r>
      <w:r w:rsidR="00E224B5">
        <w:t>.</w:t>
      </w:r>
      <w:r w:rsidR="00C40971">
        <w:t xml:space="preserve"> </w:t>
      </w:r>
      <w:r w:rsidR="00520FC0">
        <w:t>W</w:t>
      </w:r>
      <w:r w:rsidR="00131EE8">
        <w:t> </w:t>
      </w:r>
      <w:r w:rsidR="00520FC0">
        <w:t xml:space="preserve">perspektywie 2027 r. </w:t>
      </w:r>
      <w:r w:rsidR="007A6EFF">
        <w:t>przewiduje</w:t>
      </w:r>
      <w:r w:rsidR="00520FC0">
        <w:t xml:space="preserve"> się </w:t>
      </w:r>
      <w:r w:rsidR="007A6EFF">
        <w:t>zakończenie</w:t>
      </w:r>
      <w:r w:rsidR="00520FC0">
        <w:t xml:space="preserve"> </w:t>
      </w:r>
      <w:r w:rsidR="00C80A9A">
        <w:t xml:space="preserve">ok. 20 </w:t>
      </w:r>
      <w:r w:rsidR="007A6EFF">
        <w:t>kluczowych</w:t>
      </w:r>
      <w:r w:rsidR="00EF27D5">
        <w:t xml:space="preserve"> inwestycji</w:t>
      </w:r>
      <w:r w:rsidR="00BC3114">
        <w:t xml:space="preserve">, które m.in. </w:t>
      </w:r>
      <w:r w:rsidR="00D00FC4">
        <w:t xml:space="preserve">połączą Gdańsk z </w:t>
      </w:r>
      <w:r w:rsidR="00F83E1A">
        <w:t xml:space="preserve">centralną i </w:t>
      </w:r>
      <w:r w:rsidR="00A04A20">
        <w:t>wschodnią</w:t>
      </w:r>
      <w:r w:rsidR="00F83E1A">
        <w:t xml:space="preserve"> Polską (przez Włocławek</w:t>
      </w:r>
      <w:r w:rsidR="006B6FD3">
        <w:t>, Gustorzyn</w:t>
      </w:r>
      <w:r w:rsidR="00F83E1A">
        <w:t xml:space="preserve"> do Wronowa)</w:t>
      </w:r>
      <w:r w:rsidR="002F360B">
        <w:t>, a</w:t>
      </w:r>
      <w:r w:rsidR="00D946A7">
        <w:t> </w:t>
      </w:r>
      <w:r w:rsidR="002F360B">
        <w:t>takż</w:t>
      </w:r>
      <w:r w:rsidR="00FE2B40">
        <w:t>e</w:t>
      </w:r>
      <w:r w:rsidR="002F360B">
        <w:t xml:space="preserve"> rozwiną si</w:t>
      </w:r>
      <w:r w:rsidR="00FE2B40">
        <w:t>e</w:t>
      </w:r>
      <w:r w:rsidR="002F360B">
        <w:t xml:space="preserve">ć </w:t>
      </w:r>
      <w:r w:rsidR="0028155C">
        <w:t xml:space="preserve">gazową </w:t>
      </w:r>
      <w:r w:rsidR="00FE2B40">
        <w:t xml:space="preserve">w województwach </w:t>
      </w:r>
      <w:r w:rsidR="009C6739">
        <w:t>południow</w:t>
      </w:r>
      <w:r w:rsidR="00FE2B40">
        <w:t xml:space="preserve">o-zachodnich, co </w:t>
      </w:r>
      <w:r w:rsidR="00C15601" w:rsidRPr="00C15601">
        <w:t>umożliwi stworzenie w pełni zdywersyfikowanego rynku gazu</w:t>
      </w:r>
      <w:r w:rsidR="00FE2B40">
        <w:t xml:space="preserve"> w Polsce</w:t>
      </w:r>
      <w:r w:rsidR="00C15601">
        <w:t>.</w:t>
      </w:r>
      <w:r w:rsidR="00EF27D5">
        <w:t xml:space="preserve"> </w:t>
      </w:r>
    </w:p>
    <w:p w14:paraId="513ABD84" w14:textId="41600EF5" w:rsidR="0012689B" w:rsidRDefault="00C15601" w:rsidP="00A413D7">
      <w:pPr>
        <w:spacing w:after="80"/>
      </w:pPr>
      <w:r w:rsidRPr="00C15601">
        <w:t xml:space="preserve">W perspektywie 2033 </w:t>
      </w:r>
      <w:r w:rsidR="00AD123F">
        <w:t xml:space="preserve">r. </w:t>
      </w:r>
      <w:r w:rsidRPr="00C15601">
        <w:t xml:space="preserve">planowane są inwestycje </w:t>
      </w:r>
      <w:r w:rsidR="00AD123F">
        <w:t xml:space="preserve">w obszarze </w:t>
      </w:r>
      <w:r w:rsidRPr="00C15601">
        <w:t>rozbudowy zdolności przesyłowych w tych rejonach Polski, w których następ</w:t>
      </w:r>
      <w:r w:rsidR="00E2374B">
        <w:t>uje</w:t>
      </w:r>
      <w:r w:rsidRPr="00C15601">
        <w:t xml:space="preserve"> wzrost zużycia paliwa gazowego (aglomeracja warszawska </w:t>
      </w:r>
      <w:r w:rsidR="00E2374B">
        <w:t xml:space="preserve">i </w:t>
      </w:r>
      <w:r w:rsidRPr="00C15601">
        <w:t>Górny Śląsk).</w:t>
      </w:r>
      <w:r w:rsidR="00A04A20">
        <w:t xml:space="preserve"> Domknięty zostanie także nową infrastrukturą odcinek pomiędzy </w:t>
      </w:r>
      <w:r w:rsidR="00D54962">
        <w:t xml:space="preserve">Wronowem a Strachociną, czyli w obszarze </w:t>
      </w:r>
      <w:r w:rsidR="00E11BEF">
        <w:t>grupy magazynów Sanok.</w:t>
      </w:r>
      <w:r w:rsidRPr="00C15601">
        <w:t xml:space="preserve"> </w:t>
      </w:r>
      <w:r w:rsidR="0045380F">
        <w:t>Do najważniejszych inwestycji w perspektywie</w:t>
      </w:r>
      <w:r w:rsidR="006351CE">
        <w:t xml:space="preserve"> </w:t>
      </w:r>
      <w:r w:rsidR="0012689B">
        <w:t>20</w:t>
      </w:r>
      <w:r w:rsidR="00520FC0">
        <w:t xml:space="preserve">33 </w:t>
      </w:r>
      <w:r w:rsidR="0012689B">
        <w:t>r.</w:t>
      </w:r>
      <w:r w:rsidR="00FE584A">
        <w:t xml:space="preserve"> zalicza się</w:t>
      </w:r>
      <w:r w:rsidR="0012689B">
        <w:t>:</w:t>
      </w:r>
    </w:p>
    <w:p w14:paraId="7CBAA6C5" w14:textId="63262142" w:rsidR="00D2050C" w:rsidRDefault="00A45F32" w:rsidP="000625AC">
      <w:pPr>
        <w:pStyle w:val="Akapitzlist"/>
        <w:numPr>
          <w:ilvl w:val="1"/>
          <w:numId w:val="54"/>
        </w:numPr>
        <w:ind w:left="567"/>
      </w:pPr>
      <w:r>
        <w:t>brakująca infrastruktura od wschodniej strony Warszawy (</w:t>
      </w:r>
      <w:r w:rsidR="008C12CB">
        <w:t>g</w:t>
      </w:r>
      <w:r w:rsidR="00D2050C" w:rsidRPr="00D2050C">
        <w:t>azociąg Stanisławów – Wola Karczewsk</w:t>
      </w:r>
      <w:r>
        <w:t>a),</w:t>
      </w:r>
    </w:p>
    <w:p w14:paraId="31D4BB7F" w14:textId="1EA5D3B3" w:rsidR="00F011A1" w:rsidRDefault="00A45F32" w:rsidP="000625AC">
      <w:pPr>
        <w:pStyle w:val="Akapitzlist"/>
        <w:numPr>
          <w:ilvl w:val="1"/>
          <w:numId w:val="54"/>
        </w:numPr>
        <w:ind w:left="567"/>
      </w:pPr>
      <w:r>
        <w:t xml:space="preserve">infrastruktura </w:t>
      </w:r>
      <w:r w:rsidR="00006189">
        <w:t>domykająca</w:t>
      </w:r>
      <w:r>
        <w:t xml:space="preserve"> korytarz od Zatoki Gdańskiej przez centraln</w:t>
      </w:r>
      <w:r w:rsidR="007F509D">
        <w:t>ą</w:t>
      </w:r>
      <w:r>
        <w:t xml:space="preserve"> Polskę na Podkarpacie (</w:t>
      </w:r>
      <w:r w:rsidR="00652D62">
        <w:t>g</w:t>
      </w:r>
      <w:r w:rsidR="00F011A1" w:rsidRPr="00F011A1">
        <w:t>azociąg Wronów – Rozwadów</w:t>
      </w:r>
      <w:r w:rsidR="00F011A1">
        <w:t xml:space="preserve"> </w:t>
      </w:r>
      <w:r w:rsidR="00C665F1">
        <w:t>i Rozwadów</w:t>
      </w:r>
      <w:r w:rsidR="00F011A1">
        <w:t xml:space="preserve"> Strachocina</w:t>
      </w:r>
      <w:r>
        <w:t xml:space="preserve">, przez </w:t>
      </w:r>
      <w:r w:rsidR="002360B9">
        <w:t>lubelskie i podkarpackie)</w:t>
      </w:r>
      <w:r w:rsidR="008C12CB">
        <w:t>,</w:t>
      </w:r>
    </w:p>
    <w:p w14:paraId="37BD9D18" w14:textId="4E9F8504" w:rsidR="0012689B" w:rsidRDefault="00006189" w:rsidP="000625AC">
      <w:pPr>
        <w:pStyle w:val="Akapitzlist"/>
        <w:numPr>
          <w:ilvl w:val="1"/>
          <w:numId w:val="54"/>
        </w:numPr>
        <w:ind w:left="567"/>
      </w:pPr>
      <w:r>
        <w:t>uzupełnienie sieci w województwie śląskim (</w:t>
      </w:r>
      <w:r w:rsidR="00652D62">
        <w:t>g</w:t>
      </w:r>
      <w:r w:rsidR="0012689B">
        <w:t xml:space="preserve">azociąg </w:t>
      </w:r>
      <w:r w:rsidR="00B62057">
        <w:t xml:space="preserve">Rybnik – </w:t>
      </w:r>
      <w:r w:rsidR="0012689B">
        <w:t>Oświęcim</w:t>
      </w:r>
      <w:r w:rsidR="008C12CB">
        <w:t>)</w:t>
      </w:r>
      <w:r w:rsidR="0012689B">
        <w:t>,</w:t>
      </w:r>
    </w:p>
    <w:p w14:paraId="09F1FDC5" w14:textId="77777777" w:rsidR="00006189" w:rsidRDefault="00006189" w:rsidP="000625AC">
      <w:pPr>
        <w:pStyle w:val="Akapitzlist"/>
        <w:numPr>
          <w:ilvl w:val="1"/>
          <w:numId w:val="54"/>
        </w:numPr>
        <w:ind w:left="567"/>
      </w:pPr>
      <w:r>
        <w:t>brakująca infrastruktura w Małopolsce (gazociąg Skoczów – Komorowice – Oświęcim),</w:t>
      </w:r>
    </w:p>
    <w:p w14:paraId="483DDF5D" w14:textId="1E760E4A" w:rsidR="0012689B" w:rsidRDefault="007F509D" w:rsidP="000625AC">
      <w:pPr>
        <w:pStyle w:val="Akapitzlist"/>
        <w:numPr>
          <w:ilvl w:val="1"/>
          <w:numId w:val="54"/>
        </w:numPr>
        <w:ind w:left="567"/>
      </w:pPr>
      <w:r>
        <w:t>uzupełnienie sieci na Dolnym Śląsku (</w:t>
      </w:r>
      <w:r w:rsidR="00652D62">
        <w:t xml:space="preserve">gazociąg </w:t>
      </w:r>
      <w:r w:rsidR="00A52B10">
        <w:t>Krzeczyn – Legnica</w:t>
      </w:r>
      <w:r w:rsidR="008C12CB">
        <w:t>)</w:t>
      </w:r>
      <w:r w:rsidR="00D946A7">
        <w:t>.</w:t>
      </w:r>
    </w:p>
    <w:p w14:paraId="1E72CA72" w14:textId="67C892B5" w:rsidR="00A413D7" w:rsidRDefault="00A413D7" w:rsidP="00A413D7">
      <w:r w:rsidRPr="00A413D7">
        <w:t>Oprócz inwestycji zidentyfikowanych jako strategiczne dla rozwoju krajowego systemu przesyłowego gazu planowane są liczne mniejsze inwestycje, zarówno modernizacyjne, jak i rozbudowujące istniejące moce przesyłowe i tłoczenia gazu ziemnego.</w:t>
      </w:r>
    </w:p>
    <w:p w14:paraId="06E5E0C0" w14:textId="606567DB" w:rsidR="0040077D" w:rsidRDefault="00C35653" w:rsidP="00A413D7">
      <w:pPr>
        <w:spacing w:after="80"/>
      </w:pPr>
      <w:r>
        <w:t>W związku z operowaniem</w:t>
      </w:r>
      <w:r w:rsidR="007C0919">
        <w:t xml:space="preserve"> przez</w:t>
      </w:r>
      <w:r>
        <w:t xml:space="preserve"> </w:t>
      </w:r>
      <w:r w:rsidR="007C0919">
        <w:t xml:space="preserve">Gaz System S.A. </w:t>
      </w:r>
      <w:r>
        <w:t xml:space="preserve">powierzonym majątkiem </w:t>
      </w:r>
      <w:r w:rsidR="00D53007">
        <w:t xml:space="preserve">technicznym </w:t>
      </w:r>
      <w:r w:rsidR="007C0919">
        <w:t>S</w:t>
      </w:r>
      <w:r w:rsidR="007C0919" w:rsidRPr="006456D3">
        <w:t>ystem</w:t>
      </w:r>
      <w:r w:rsidR="007C0919">
        <w:t>u</w:t>
      </w:r>
      <w:r w:rsidR="007C0919" w:rsidRPr="006456D3">
        <w:t xml:space="preserve"> Gazociągów Tranzytowych Jamał </w:t>
      </w:r>
      <w:r w:rsidR="007C0919">
        <w:t>–</w:t>
      </w:r>
      <w:r w:rsidR="007C0919" w:rsidRPr="006456D3">
        <w:t xml:space="preserve"> Europa Zachodnia</w:t>
      </w:r>
      <w:r w:rsidR="007663C9">
        <w:t xml:space="preserve">, operator realizuje </w:t>
      </w:r>
      <w:r w:rsidR="00CE003A">
        <w:t>również</w:t>
      </w:r>
      <w:r w:rsidR="007663C9">
        <w:t xml:space="preserve"> inwestyc</w:t>
      </w:r>
      <w:r w:rsidR="00E73B99">
        <w:t>je związane z</w:t>
      </w:r>
      <w:r w:rsidR="002360B9">
        <w:t> </w:t>
      </w:r>
      <w:r w:rsidR="00E73B99">
        <w:t>tą infrastrukturą.</w:t>
      </w:r>
      <w:r w:rsidR="00A67C39">
        <w:t xml:space="preserve"> </w:t>
      </w:r>
      <w:r w:rsidR="0045430A">
        <w:t xml:space="preserve">Działania </w:t>
      </w:r>
      <w:r w:rsidR="002360B9">
        <w:t>w persp</w:t>
      </w:r>
      <w:r w:rsidR="00A65656">
        <w:t xml:space="preserve">ektywie 2033 r. </w:t>
      </w:r>
      <w:r w:rsidR="0045430A">
        <w:t>dotyczą</w:t>
      </w:r>
      <w:r w:rsidR="002D0DEF">
        <w:t xml:space="preserve"> w szczególności</w:t>
      </w:r>
      <w:r w:rsidR="0045430A">
        <w:t>:</w:t>
      </w:r>
    </w:p>
    <w:p w14:paraId="7E61DBA7" w14:textId="77777777" w:rsidR="00C87E4A" w:rsidRPr="00C87E4A" w:rsidRDefault="002D0DEF" w:rsidP="000625AC">
      <w:pPr>
        <w:pStyle w:val="Akapitzlist"/>
        <w:numPr>
          <w:ilvl w:val="0"/>
          <w:numId w:val="55"/>
        </w:numPr>
        <w:ind w:left="567"/>
      </w:pPr>
      <w:r w:rsidRPr="00C87E4A">
        <w:t xml:space="preserve">przebudowy i modernizacji obiektów SGT, </w:t>
      </w:r>
    </w:p>
    <w:p w14:paraId="66CE4FCA" w14:textId="4EE594FD" w:rsidR="00C87E4A" w:rsidRDefault="00D53007" w:rsidP="000625AC">
      <w:pPr>
        <w:pStyle w:val="Akapitzlist"/>
        <w:numPr>
          <w:ilvl w:val="0"/>
          <w:numId w:val="55"/>
        </w:numPr>
        <w:ind w:left="567"/>
      </w:pPr>
      <w:r w:rsidRPr="00C87E4A">
        <w:t>odseparowania</w:t>
      </w:r>
      <w:r w:rsidR="002D0DEF" w:rsidRPr="00C87E4A">
        <w:t xml:space="preserve"> </w:t>
      </w:r>
      <w:r w:rsidR="0067684C" w:rsidRPr="00C87E4A">
        <w:t xml:space="preserve">powierzonego </w:t>
      </w:r>
      <w:r w:rsidRPr="00C87E4A">
        <w:t xml:space="preserve">majątku technicznego od </w:t>
      </w:r>
      <w:r w:rsidR="0067684C" w:rsidRPr="00C87E4A">
        <w:t>niepowierzonego</w:t>
      </w:r>
      <w:r w:rsidR="00013FA0" w:rsidRPr="00C87E4A">
        <w:t xml:space="preserve"> (</w:t>
      </w:r>
      <w:r w:rsidR="00C87E4A">
        <w:t>na po</w:t>
      </w:r>
      <w:r w:rsidR="00A413D7">
        <w:t xml:space="preserve">ziomie </w:t>
      </w:r>
      <w:r w:rsidR="00013FA0" w:rsidRPr="00C87E4A">
        <w:t>tłoczni</w:t>
      </w:r>
      <w:r w:rsidR="00A413D7">
        <w:t xml:space="preserve"> i </w:t>
      </w:r>
      <w:r w:rsidR="00013FA0" w:rsidRPr="00C87E4A">
        <w:t>stacj</w:t>
      </w:r>
      <w:r w:rsidR="00A413D7">
        <w:t xml:space="preserve">i </w:t>
      </w:r>
      <w:r w:rsidR="00013FA0">
        <w:t>pomiarow</w:t>
      </w:r>
      <w:r w:rsidR="00A413D7">
        <w:t>ych</w:t>
      </w:r>
      <w:r w:rsidR="00013FA0">
        <w:t>)</w:t>
      </w:r>
      <w:r w:rsidR="00A413D7">
        <w:t>,</w:t>
      </w:r>
    </w:p>
    <w:p w14:paraId="3888C8C0" w14:textId="26EF62F0" w:rsidR="0037724B" w:rsidRDefault="00631BA8" w:rsidP="000625AC">
      <w:pPr>
        <w:pStyle w:val="Akapitzlist"/>
        <w:numPr>
          <w:ilvl w:val="0"/>
          <w:numId w:val="55"/>
        </w:numPr>
        <w:spacing w:after="0"/>
        <w:ind w:left="567"/>
      </w:pPr>
      <w:r>
        <w:t xml:space="preserve">połączenia </w:t>
      </w:r>
      <w:r w:rsidR="006B51D3">
        <w:t>krajowego system</w:t>
      </w:r>
      <w:r w:rsidR="0092593E">
        <w:t>u</w:t>
      </w:r>
      <w:r w:rsidR="006B51D3">
        <w:t xml:space="preserve"> przesyłowego z </w:t>
      </w:r>
      <w:r w:rsidR="0092593E">
        <w:t xml:space="preserve">powierzoną infrastrukturą </w:t>
      </w:r>
      <w:r w:rsidR="006B51D3">
        <w:t>SGT</w:t>
      </w:r>
      <w:r w:rsidR="0092593E">
        <w:t xml:space="preserve">. </w:t>
      </w:r>
      <w:r w:rsidR="00013FA0">
        <w:t>Do kluczowych punktów zalicza się połączenia</w:t>
      </w:r>
      <w:r w:rsidR="0071380A">
        <w:t xml:space="preserve"> w </w:t>
      </w:r>
      <w:r w:rsidR="00CE003A">
        <w:t>Zambrowie, Ciechanowie, Wydartowie, Włocławku i Długiej Goślinie</w:t>
      </w:r>
      <w:r w:rsidR="00A65656">
        <w:t>.</w:t>
      </w:r>
    </w:p>
    <w:p w14:paraId="07DCE4FE" w14:textId="0BB65D71" w:rsidR="00484023" w:rsidRDefault="00484023" w:rsidP="001C13F7">
      <w:pPr>
        <w:pStyle w:val="Nagwek5"/>
        <w:spacing w:before="240"/>
      </w:pPr>
      <w:r>
        <w:t>Magazynowanie</w:t>
      </w:r>
    </w:p>
    <w:p w14:paraId="25641F66" w14:textId="7DEFC6E1" w:rsidR="00334663" w:rsidRDefault="00A65656" w:rsidP="00484023">
      <w:r>
        <w:t xml:space="preserve">Magazyny gazu to niezwykle ważna infrastruktura </w:t>
      </w:r>
      <w:r w:rsidR="00117277">
        <w:t>oddziałująca na zarządzanie dostawami, ale</w:t>
      </w:r>
      <w:r w:rsidR="00EF22C0">
        <w:t> </w:t>
      </w:r>
      <w:r w:rsidR="00117277">
        <w:t xml:space="preserve">i długookresowym bezpieczeństwem gazowym. </w:t>
      </w:r>
      <w:r w:rsidR="00F235B6">
        <w:t>Obecna pojemność PMG pozwalająca zmagazynować 3,3</w:t>
      </w:r>
      <w:r w:rsidR="00117277">
        <w:t> </w:t>
      </w:r>
      <w:r w:rsidR="00F235B6">
        <w:t>mld m</w:t>
      </w:r>
      <w:r w:rsidR="00F235B6" w:rsidRPr="00087EE0">
        <w:rPr>
          <w:vertAlign w:val="superscript"/>
        </w:rPr>
        <w:t>3</w:t>
      </w:r>
      <w:r w:rsidR="00F60F24">
        <w:rPr>
          <w:vertAlign w:val="superscript"/>
        </w:rPr>
        <w:t xml:space="preserve"> </w:t>
      </w:r>
      <w:r w:rsidR="00F60F24" w:rsidRPr="00F60F24">
        <w:t>ulegnie</w:t>
      </w:r>
      <w:r w:rsidR="00F60F24">
        <w:rPr>
          <w:vertAlign w:val="superscript"/>
        </w:rPr>
        <w:t xml:space="preserve"> </w:t>
      </w:r>
      <w:r w:rsidR="00F60F24">
        <w:t xml:space="preserve">zwiększeniu w wyniku zakończenia </w:t>
      </w:r>
      <w:r w:rsidR="00F235B6">
        <w:t xml:space="preserve">rozbudowy największego magazynu gazu w Polsce </w:t>
      </w:r>
      <w:r w:rsidR="00A545BD">
        <w:t xml:space="preserve">– </w:t>
      </w:r>
      <w:r w:rsidR="00F235B6">
        <w:t>PMG Wierzchowice</w:t>
      </w:r>
      <w:r w:rsidR="009F2CDB">
        <w:t xml:space="preserve"> </w:t>
      </w:r>
      <w:r w:rsidR="00A413D7">
        <w:t>(z 1,3 mld m</w:t>
      </w:r>
      <w:r w:rsidR="00A413D7" w:rsidRPr="00A413D7">
        <w:rPr>
          <w:vertAlign w:val="superscript"/>
        </w:rPr>
        <w:t>3</w:t>
      </w:r>
      <w:r w:rsidR="00A413D7">
        <w:t xml:space="preserve"> do 2,1 mld m</w:t>
      </w:r>
      <w:r w:rsidR="00A413D7" w:rsidRPr="00A413D7">
        <w:rPr>
          <w:vertAlign w:val="superscript"/>
        </w:rPr>
        <w:t>3</w:t>
      </w:r>
      <w:r w:rsidR="009F2CDB">
        <w:rPr>
          <w:vertAlign w:val="superscript"/>
        </w:rPr>
        <w:t xml:space="preserve"> </w:t>
      </w:r>
      <w:r w:rsidR="009F2CDB" w:rsidRPr="009F2CDB">
        <w:t>do 2026 r.</w:t>
      </w:r>
      <w:r w:rsidR="00A413D7">
        <w:t>)</w:t>
      </w:r>
      <w:r w:rsidR="00F235B6">
        <w:t xml:space="preserve">, </w:t>
      </w:r>
      <w:r w:rsidR="00A545BD">
        <w:t xml:space="preserve">do </w:t>
      </w:r>
      <w:r w:rsidR="00F235B6">
        <w:t>łączn</w:t>
      </w:r>
      <w:r w:rsidR="00A545BD">
        <w:t>ej</w:t>
      </w:r>
      <w:r w:rsidR="00F235B6">
        <w:t xml:space="preserve"> pojemność ok. 4 mld m</w:t>
      </w:r>
      <w:r w:rsidR="00F235B6" w:rsidRPr="00F245E9">
        <w:rPr>
          <w:vertAlign w:val="superscript"/>
        </w:rPr>
        <w:t>3</w:t>
      </w:r>
      <w:r w:rsidR="00334663">
        <w:t xml:space="preserve"> </w:t>
      </w:r>
      <w:r w:rsidR="009F2CDB">
        <w:t>i</w:t>
      </w:r>
      <w:r w:rsidR="00585C83">
        <w:t> </w:t>
      </w:r>
      <w:r w:rsidR="009F2CDB">
        <w:t>możliwości odbioru ok. 60 mln m</w:t>
      </w:r>
      <w:r w:rsidR="009F2CDB" w:rsidRPr="009F2CDB">
        <w:rPr>
          <w:vertAlign w:val="superscript"/>
        </w:rPr>
        <w:t>3</w:t>
      </w:r>
      <w:r w:rsidR="009F2CDB">
        <w:t xml:space="preserve"> na dobę </w:t>
      </w:r>
      <w:r w:rsidR="00334663">
        <w:t>w perspektywie</w:t>
      </w:r>
      <w:r w:rsidR="009F2CDB">
        <w:t xml:space="preserve"> 2030/2031.</w:t>
      </w:r>
    </w:p>
    <w:p w14:paraId="3CFBD62A" w14:textId="72AD8E43" w:rsidR="00A066E1" w:rsidRDefault="009F2CDB" w:rsidP="00F3711B">
      <w:r>
        <w:t xml:space="preserve">Prowadzone będą dalsze analizy w zakresie potrzeby i zasadności dalszych inwestycji magazynowych, mając na względzie szczegółowe prognozy potrzeb systemowych, a także perspektywicznego wykorzystania gazów </w:t>
      </w:r>
      <w:r w:rsidR="0021363A">
        <w:t>odn</w:t>
      </w:r>
      <w:r w:rsidR="00A737B2">
        <w:t>a</w:t>
      </w:r>
      <w:r w:rsidR="0021363A">
        <w:t>wialnych</w:t>
      </w:r>
      <w:r w:rsidR="008140F0">
        <w:t>, jak np. biometan</w:t>
      </w:r>
      <w:r w:rsidR="00454C92">
        <w:t>u</w:t>
      </w:r>
      <w:r>
        <w:t xml:space="preserve">. </w:t>
      </w:r>
    </w:p>
    <w:p w14:paraId="185C40A1" w14:textId="57AD1246" w:rsidR="00F3711B" w:rsidRPr="000E51BB" w:rsidRDefault="00F3711B" w:rsidP="000E51BB">
      <w:pPr>
        <w:keepNext/>
        <w:spacing w:before="240" w:after="80"/>
        <w:rPr>
          <w:rFonts w:ascii="Bahnschrift" w:hAnsi="Bahnschrift"/>
          <w:sz w:val="32"/>
          <w:szCs w:val="32"/>
        </w:rPr>
      </w:pPr>
      <w:r w:rsidRPr="00C46DAA">
        <w:rPr>
          <w:rFonts w:ascii="Bahnschrift" w:hAnsi="Bahnschrift"/>
          <w:b/>
          <w:bCs/>
          <w:sz w:val="32"/>
          <w:szCs w:val="32"/>
        </w:rPr>
        <w:t>DZIAŁANIA</w:t>
      </w:r>
    </w:p>
    <w:p w14:paraId="4F0F4E1F" w14:textId="6EDC37DB" w:rsidR="00F07FD1" w:rsidRPr="00270212" w:rsidRDefault="00270212" w:rsidP="003530A9">
      <w:pPr>
        <w:pStyle w:val="Akapitzlist"/>
        <w:numPr>
          <w:ilvl w:val="0"/>
          <w:numId w:val="11"/>
        </w:numPr>
      </w:pPr>
      <w:r w:rsidRPr="00270212">
        <w:fldChar w:fldCharType="begin"/>
      </w:r>
      <w:r w:rsidRPr="00270212">
        <w:instrText xml:space="preserve"> REF _Ref195891611 \h </w:instrText>
      </w:r>
      <w:r>
        <w:instrText xml:space="preserve"> \* MERGEFORMAT </w:instrText>
      </w:r>
      <w:r w:rsidRPr="00270212">
        <w:fldChar w:fldCharType="separate"/>
      </w:r>
      <w:r w:rsidR="00871DD5" w:rsidRPr="00871DD5">
        <w:rPr>
          <w:rStyle w:val="Nagwek6Znak"/>
          <w:rFonts w:ascii="Lato" w:hAnsi="Lato"/>
          <w:b w:val="0"/>
        </w:rPr>
        <w:t xml:space="preserve">Działanie </w:t>
      </w:r>
      <w:r w:rsidR="00871DD5" w:rsidRPr="00871DD5">
        <w:rPr>
          <w:lang w:eastAsia="pl-PL"/>
        </w:rPr>
        <w:t xml:space="preserve">122. </w:t>
      </w:r>
      <w:r w:rsidR="00871DD5" w:rsidRPr="008A5AE2">
        <w:rPr>
          <w:lang w:eastAsia="pl-PL"/>
        </w:rPr>
        <w:t>Zwiększanie pojemności i mocy odbioru systemu magazynowania paliw gazowych</w:t>
      </w:r>
      <w:r w:rsidRPr="00270212">
        <w:fldChar w:fldCharType="end"/>
      </w:r>
    </w:p>
    <w:p w14:paraId="152BBFA4" w14:textId="0B4BEA0B" w:rsidR="00270212" w:rsidRPr="00270212" w:rsidRDefault="00270212" w:rsidP="003530A9">
      <w:pPr>
        <w:pStyle w:val="Akapitzlist"/>
        <w:numPr>
          <w:ilvl w:val="0"/>
          <w:numId w:val="11"/>
        </w:numPr>
      </w:pPr>
      <w:r w:rsidRPr="00270212">
        <w:lastRenderedPageBreak/>
        <w:fldChar w:fldCharType="begin"/>
      </w:r>
      <w:r w:rsidRPr="00270212">
        <w:instrText xml:space="preserve"> REF _Ref195891622 \h </w:instrText>
      </w:r>
      <w:r>
        <w:instrText xml:space="preserve"> \* MERGEFORMAT </w:instrText>
      </w:r>
      <w:r w:rsidRPr="00270212">
        <w:fldChar w:fldCharType="separate"/>
      </w:r>
      <w:r w:rsidR="00871DD5" w:rsidRPr="00871DD5">
        <w:rPr>
          <w:rStyle w:val="Nagwek6Znak"/>
          <w:rFonts w:ascii="Lato" w:hAnsi="Lato"/>
          <w:b w:val="0"/>
        </w:rPr>
        <w:t xml:space="preserve">Działanie </w:t>
      </w:r>
      <w:r w:rsidR="00871DD5" w:rsidRPr="00871DD5">
        <w:rPr>
          <w:lang w:eastAsia="pl-PL"/>
        </w:rPr>
        <w:t xml:space="preserve">123. </w:t>
      </w:r>
      <w:r w:rsidR="00871DD5" w:rsidRPr="008A5AE2">
        <w:rPr>
          <w:lang w:eastAsia="pl-PL"/>
        </w:rPr>
        <w:t>Rozbudowa i modernizacja</w:t>
      </w:r>
      <w:r w:rsidR="00871DD5" w:rsidRPr="00871DD5">
        <w:rPr>
          <w:rFonts w:ascii="Arial" w:hAnsi="Arial" w:cs="Arial"/>
          <w:lang w:eastAsia="pl-PL"/>
        </w:rPr>
        <w:t xml:space="preserve"> systemu gazowego przesyłowego i</w:t>
      </w:r>
      <w:r w:rsidR="00871DD5" w:rsidRPr="008A5AE2">
        <w:rPr>
          <w:rFonts w:ascii="Arial" w:hAnsi="Arial" w:cs="Arial"/>
          <w:lang w:eastAsia="pl-PL"/>
        </w:rPr>
        <w:t> </w:t>
      </w:r>
      <w:r w:rsidR="00871DD5" w:rsidRPr="008A5AE2">
        <w:rPr>
          <w:lang w:eastAsia="pl-PL"/>
        </w:rPr>
        <w:t>dystrybucyjnego zgodnie z przyj</w:t>
      </w:r>
      <w:r w:rsidR="00871DD5" w:rsidRPr="00871DD5">
        <w:rPr>
          <w:lang w:eastAsia="pl-PL"/>
        </w:rPr>
        <w:t>ę</w:t>
      </w:r>
      <w:r w:rsidR="00871DD5" w:rsidRPr="008A5AE2">
        <w:rPr>
          <w:lang w:eastAsia="pl-PL"/>
        </w:rPr>
        <w:t>tymi planami rozwoju oraz ich aktualizacjami</w:t>
      </w:r>
      <w:r w:rsidRPr="00270212">
        <w:fldChar w:fldCharType="end"/>
      </w:r>
    </w:p>
    <w:p w14:paraId="3CF59DD2" w14:textId="70FB7208" w:rsidR="00CC5FCD" w:rsidRDefault="00CC5FCD" w:rsidP="00CC5FCD">
      <w:pPr>
        <w:pStyle w:val="Nagwek4"/>
        <w:rPr>
          <w:color w:val="C00000"/>
        </w:rPr>
      </w:pPr>
      <w:bookmarkStart w:id="516" w:name="_Toc195897323"/>
      <w:bookmarkStart w:id="517" w:name="_Toc195899568"/>
      <w:bookmarkStart w:id="518" w:name="_Toc195897324"/>
      <w:bookmarkStart w:id="519" w:name="_Toc195899569"/>
      <w:bookmarkStart w:id="520" w:name="_Toc159598320"/>
      <w:bookmarkStart w:id="521" w:name="_Toc195897325"/>
      <w:bookmarkStart w:id="522" w:name="_Toc205203197"/>
      <w:bookmarkEnd w:id="516"/>
      <w:bookmarkEnd w:id="517"/>
      <w:bookmarkEnd w:id="518"/>
      <w:bookmarkEnd w:id="519"/>
      <w:r>
        <w:rPr>
          <w:color w:val="C00000"/>
        </w:rPr>
        <w:t>Zapewnienie gotowości do radzenia sobie z ograniczeniami w dostawach gazu ziemnego</w:t>
      </w:r>
      <w:bookmarkEnd w:id="520"/>
      <w:bookmarkEnd w:id="521"/>
      <w:bookmarkEnd w:id="522"/>
    </w:p>
    <w:p w14:paraId="1839E737" w14:textId="472EEC5B" w:rsidR="008A7D3F" w:rsidRDefault="00647401" w:rsidP="007B67BC">
      <w:r>
        <w:t xml:space="preserve">Zakłócenie dostaw </w:t>
      </w:r>
      <w:r w:rsidR="008A7D3F">
        <w:t>gazu ziemnego do</w:t>
      </w:r>
      <w:r>
        <w:t xml:space="preserve"> krajowego systemu gazowego lub nieprzewidziane sytuacje mające wpływ na jego funkcjonowanie i pokrywanie potrzeb odbiorców oraz </w:t>
      </w:r>
      <w:r w:rsidR="00265D1D">
        <w:t>możliwość wystąpienia nadzwyczajnie wysokiego zapotrzebowania</w:t>
      </w:r>
      <w:r w:rsidR="00265D1D" w:rsidDel="00265D1D">
        <w:t xml:space="preserve"> </w:t>
      </w:r>
      <w:r>
        <w:t xml:space="preserve">wymagają określonego zabezpieczenia. </w:t>
      </w:r>
    </w:p>
    <w:p w14:paraId="12F692C3" w14:textId="5DF457D4" w:rsidR="00647401" w:rsidRPr="006868BC" w:rsidRDefault="00E15E7D" w:rsidP="007B67BC">
      <w:r>
        <w:t xml:space="preserve">Obszar </w:t>
      </w:r>
      <w:r w:rsidR="00647401">
        <w:t>t</w:t>
      </w:r>
      <w:r>
        <w:t>en</w:t>
      </w:r>
      <w:r w:rsidR="00647401">
        <w:t xml:space="preserve"> został uregulowan</w:t>
      </w:r>
      <w:r>
        <w:t>y</w:t>
      </w:r>
      <w:r w:rsidR="00647401">
        <w:t xml:space="preserve"> w r</w:t>
      </w:r>
      <w:r w:rsidR="00647401" w:rsidRPr="00647401">
        <w:t>ozporządzeni</w:t>
      </w:r>
      <w:r w:rsidR="00647401">
        <w:t>u</w:t>
      </w:r>
      <w:r w:rsidR="00647401" w:rsidRPr="00647401">
        <w:t xml:space="preserve"> </w:t>
      </w:r>
      <w:r w:rsidR="00647401">
        <w:t xml:space="preserve">UE </w:t>
      </w:r>
      <w:r w:rsidR="00647401" w:rsidRPr="00647401">
        <w:t>2017/1938 dotycząc</w:t>
      </w:r>
      <w:r w:rsidR="00647401">
        <w:t xml:space="preserve">ym </w:t>
      </w:r>
      <w:r w:rsidR="00647401" w:rsidRPr="00647401">
        <w:t>bezpieczeństw</w:t>
      </w:r>
      <w:r w:rsidR="00647401">
        <w:t>a</w:t>
      </w:r>
      <w:r w:rsidR="00647401" w:rsidRPr="00647401">
        <w:t xml:space="preserve"> dostaw gazu ziemnego</w:t>
      </w:r>
      <w:r w:rsidR="00647401">
        <w:t xml:space="preserve">, w którym określono </w:t>
      </w:r>
      <w:r w:rsidR="00265D1D">
        <w:t xml:space="preserve">przepisy obejmujące kwestie m.in. odpowiedzialności, standardów </w:t>
      </w:r>
      <w:r w:rsidR="00647401">
        <w:t>dostaw</w:t>
      </w:r>
      <w:r>
        <w:t xml:space="preserve"> i</w:t>
      </w:r>
      <w:r w:rsidR="00647401">
        <w:t xml:space="preserve"> </w:t>
      </w:r>
      <w:r>
        <w:t>infrastruktury</w:t>
      </w:r>
      <w:r w:rsidR="00647401">
        <w:t xml:space="preserve">, ocen ryzyka czy </w:t>
      </w:r>
      <w:r>
        <w:t xml:space="preserve">konieczności opracowania planów </w:t>
      </w:r>
      <w:r w:rsidRPr="00E15E7D">
        <w:t>zapobiegawczych i planów na wypadek sytuacji nadzwyczajnej</w:t>
      </w:r>
      <w:r>
        <w:t xml:space="preserve">. </w:t>
      </w:r>
      <w:r w:rsidR="006868BC">
        <w:t xml:space="preserve">Zgodnie z art. 8 ust. 2 lit a–b Polska posiada </w:t>
      </w:r>
      <w:r w:rsidR="006868BC" w:rsidRPr="006868BC">
        <w:rPr>
          <w:b/>
          <w:bCs/>
        </w:rPr>
        <w:t>plan działań zapobiegawczych</w:t>
      </w:r>
      <w:r w:rsidR="006868BC">
        <w:t xml:space="preserve"> oraz </w:t>
      </w:r>
      <w:r w:rsidR="006868BC" w:rsidRPr="006868BC">
        <w:rPr>
          <w:b/>
          <w:bCs/>
        </w:rPr>
        <w:t>plan na wypadek sytuacji nadzwyczajnej</w:t>
      </w:r>
      <w:r w:rsidR="006868BC">
        <w:rPr>
          <w:b/>
          <w:bCs/>
        </w:rPr>
        <w:t xml:space="preserve"> </w:t>
      </w:r>
      <w:r w:rsidR="006868BC" w:rsidRPr="00ED0B20">
        <w:t>–</w:t>
      </w:r>
      <w:r w:rsidR="006868BC">
        <w:rPr>
          <w:b/>
          <w:bCs/>
        </w:rPr>
        <w:t xml:space="preserve"> </w:t>
      </w:r>
      <w:r w:rsidR="006868BC">
        <w:t>oba dokumenty zostały zaktualizowane w 2023 r.</w:t>
      </w:r>
      <w:r w:rsidR="00ED0B20" w:rsidRPr="00ED0B20">
        <w:t xml:space="preserve"> </w:t>
      </w:r>
      <w:r w:rsidR="00ED0B20">
        <w:t>Aktualizację przeprowadza się co 4 lata lub częściej w przypadku potrzeb.</w:t>
      </w:r>
      <w:r w:rsidR="00D010FB">
        <w:t xml:space="preserve"> </w:t>
      </w:r>
    </w:p>
    <w:p w14:paraId="3E6DDADF" w14:textId="19235EF6" w:rsidR="006868BC" w:rsidRPr="003967BC" w:rsidRDefault="003967BC" w:rsidP="007B67BC">
      <w:r w:rsidRPr="003967BC">
        <w:t xml:space="preserve">W </w:t>
      </w:r>
      <w:r w:rsidR="006868BC" w:rsidRPr="006868BC">
        <w:rPr>
          <w:i/>
          <w:iCs/>
        </w:rPr>
        <w:t>Plan</w:t>
      </w:r>
      <w:r>
        <w:rPr>
          <w:i/>
          <w:iCs/>
        </w:rPr>
        <w:t>ie</w:t>
      </w:r>
      <w:r w:rsidR="006868BC" w:rsidRPr="006868BC">
        <w:rPr>
          <w:i/>
          <w:iCs/>
        </w:rPr>
        <w:t xml:space="preserve"> działań zapobiegawczych</w:t>
      </w:r>
      <w:r w:rsidR="006868BC">
        <w:rPr>
          <w:i/>
          <w:iCs/>
        </w:rPr>
        <w:t xml:space="preserve"> 2023 </w:t>
      </w:r>
      <w:r w:rsidR="006868BC" w:rsidRPr="006868BC">
        <w:t>(</w:t>
      </w:r>
      <w:hyperlink r:id="rId85" w:history="1">
        <w:r w:rsidR="006868BC" w:rsidRPr="006868BC">
          <w:rPr>
            <w:rStyle w:val="Hipercze"/>
          </w:rPr>
          <w:t>link</w:t>
        </w:r>
      </w:hyperlink>
      <w:r w:rsidR="006868BC" w:rsidRPr="006868BC">
        <w:t>) określ</w:t>
      </w:r>
      <w:r>
        <w:t>ono</w:t>
      </w:r>
      <w:r w:rsidR="006868BC" w:rsidRPr="006868BC">
        <w:t xml:space="preserve"> środki mające na celu usunięcie lub złagodzenie ryzyka i zagrożeń w dostawach gazu ziemnego wysokometanowego</w:t>
      </w:r>
      <w:r>
        <w:t>, s</w:t>
      </w:r>
      <w:r w:rsidR="006868BC" w:rsidRPr="006868BC">
        <w:t>charakteryz</w:t>
      </w:r>
      <w:r>
        <w:t>owano</w:t>
      </w:r>
      <w:r w:rsidR="006868BC" w:rsidRPr="006868BC">
        <w:t xml:space="preserve"> również zdolności Polski do dostarczania gazu ziemnego zgodnie ze standardami określonymi w rozporządzeniu UE 2017/1938</w:t>
      </w:r>
      <w:r>
        <w:t>. W dokumencie odniesiono się również do segmentu gazu zaazotowanego. Szczególna</w:t>
      </w:r>
      <w:r w:rsidR="00836A34">
        <w:t xml:space="preserve"> </w:t>
      </w:r>
      <w:r>
        <w:t xml:space="preserve">uwaga poświęcona została </w:t>
      </w:r>
      <w:r w:rsidRPr="003967BC">
        <w:t>zapewnien</w:t>
      </w:r>
      <w:r>
        <w:t>iu</w:t>
      </w:r>
      <w:r w:rsidRPr="003967BC">
        <w:t xml:space="preserve"> zgodności ze standardem w zakresie dostaw do odbiorców należących do grupy odbiorców chronionych, w czasie 30 dni nadzwyczajnie wysokiego zapotrzebowania na gaz ziemny z prawdopodobieństwem wystąpienia raz na 20 lat</w:t>
      </w:r>
      <w:r>
        <w:t xml:space="preserve"> </w:t>
      </w:r>
      <w:r w:rsidR="00453051">
        <w:t>(</w:t>
      </w:r>
      <w:r>
        <w:t xml:space="preserve">w Polsce </w:t>
      </w:r>
      <w:r w:rsidRPr="003967BC">
        <w:t>wynosi ok. 1 226,8 mln</w:t>
      </w:r>
      <w:r>
        <w:t> </w:t>
      </w:r>
      <w:r w:rsidRPr="003967BC">
        <w:t>m</w:t>
      </w:r>
      <w:r w:rsidRPr="003967BC">
        <w:rPr>
          <w:vertAlign w:val="superscript"/>
        </w:rPr>
        <w:t>3</w:t>
      </w:r>
      <w:r w:rsidR="00453051">
        <w:t>).</w:t>
      </w:r>
      <w:r>
        <w:t xml:space="preserve"> Dokument zawiera również </w:t>
      </w:r>
      <w:r w:rsidRPr="003967BC">
        <w:t xml:space="preserve">najważniejsze elementy współpracy regionalnej </w:t>
      </w:r>
      <w:r>
        <w:t>oraz</w:t>
      </w:r>
      <w:r w:rsidRPr="003967BC">
        <w:t xml:space="preserve"> opis mechanizmów stosowanych do celów współpracy pomiędzy państwami członkowskimi w odpowiednich grupach ryzyka</w:t>
      </w:r>
      <w:r>
        <w:t>.</w:t>
      </w:r>
    </w:p>
    <w:p w14:paraId="16812DA0" w14:textId="4D320525" w:rsidR="00A56D92" w:rsidRDefault="003967BC" w:rsidP="006868BC">
      <w:r>
        <w:t xml:space="preserve">W </w:t>
      </w:r>
      <w:r w:rsidRPr="00ED0B20">
        <w:rPr>
          <w:i/>
          <w:iCs/>
        </w:rPr>
        <w:t>Planie na wypadek sytuacji nadzwyczajnej</w:t>
      </w:r>
      <w:r>
        <w:t xml:space="preserve"> (</w:t>
      </w:r>
      <w:hyperlink r:id="rId86" w:history="1">
        <w:r w:rsidRPr="003967BC">
          <w:rPr>
            <w:rStyle w:val="Hipercze"/>
          </w:rPr>
          <w:t>link</w:t>
        </w:r>
      </w:hyperlink>
      <w:r>
        <w:t xml:space="preserve">) </w:t>
      </w:r>
      <w:r w:rsidRPr="006868BC">
        <w:t>określ</w:t>
      </w:r>
      <w:r>
        <w:t>ono</w:t>
      </w:r>
      <w:r w:rsidR="00ED0B20">
        <w:t xml:space="preserve">: </w:t>
      </w:r>
    </w:p>
    <w:p w14:paraId="4563813E" w14:textId="6F4AF47F" w:rsidR="00A56D92" w:rsidRDefault="00ED0B20" w:rsidP="000625AC">
      <w:pPr>
        <w:pStyle w:val="Akapitzlist"/>
        <w:numPr>
          <w:ilvl w:val="0"/>
          <w:numId w:val="169"/>
        </w:numPr>
        <w:ind w:left="426"/>
      </w:pPr>
      <w:r>
        <w:t xml:space="preserve">zakres odpowiedzialności uczestników rynku oraz organu właściwego za bezpieczeństwo dostaw gazu ziemnego (w rozumieniu art. 3 ust. 2 rozporządzenia UE 2017/1938); </w:t>
      </w:r>
    </w:p>
    <w:p w14:paraId="213DC572" w14:textId="29929CC1" w:rsidR="00A56D92" w:rsidRDefault="00ED0B20" w:rsidP="000625AC">
      <w:pPr>
        <w:pStyle w:val="Akapitzlist"/>
        <w:numPr>
          <w:ilvl w:val="0"/>
          <w:numId w:val="169"/>
        </w:numPr>
        <w:ind w:left="426"/>
      </w:pPr>
      <w:r>
        <w:t xml:space="preserve">zasady monitorowania krajowego rynku gazu ziemnego; </w:t>
      </w:r>
    </w:p>
    <w:p w14:paraId="23C6D2A6" w14:textId="7C058704" w:rsidR="00425A36" w:rsidRDefault="00ED0B20" w:rsidP="000625AC">
      <w:pPr>
        <w:pStyle w:val="Akapitzlist"/>
        <w:numPr>
          <w:ilvl w:val="0"/>
          <w:numId w:val="169"/>
        </w:numPr>
        <w:ind w:left="426"/>
      </w:pPr>
      <w:r>
        <w:t>role, procedury postępowania, dostępne środki, schematy komunikacji między podmiotami w</w:t>
      </w:r>
      <w:r w:rsidR="00EF22C0">
        <w:t> </w:t>
      </w:r>
      <w:r>
        <w:t xml:space="preserve">przypadku wystąpienia poszczególnych stanów kryzysowych; </w:t>
      </w:r>
    </w:p>
    <w:p w14:paraId="46798B25" w14:textId="1CA8D12B" w:rsidR="00425A36" w:rsidRDefault="00ED0B20" w:rsidP="000625AC">
      <w:pPr>
        <w:pStyle w:val="Akapitzlist"/>
        <w:numPr>
          <w:ilvl w:val="0"/>
          <w:numId w:val="169"/>
        </w:numPr>
        <w:ind w:left="426"/>
      </w:pPr>
      <w:r>
        <w:t xml:space="preserve">działania podejmowane przez organy administracji publicznej, przedsiębiorstwa energetyczne, operatora systemu przesyłowego gazowego lub operatora systemu połączonego gazowego, operatora systemu dystrybucyjnego gazowego, operatora systemu skraplania gazu ziemnego oraz operatora systemu magazynowania – w każdym ze stanów kryzysowych; </w:t>
      </w:r>
    </w:p>
    <w:p w14:paraId="49D3307F" w14:textId="5670F526" w:rsidR="00F46F72" w:rsidRDefault="00ED0B20" w:rsidP="000625AC">
      <w:pPr>
        <w:pStyle w:val="Akapitzlist"/>
        <w:numPr>
          <w:ilvl w:val="0"/>
          <w:numId w:val="169"/>
        </w:numPr>
        <w:ind w:left="426"/>
      </w:pPr>
      <w:r>
        <w:t>rolę organu właściwego oraz sposoby postępowania w przypadku wystąpienia sytuacji kryzysowej, w tym tryb wykorzystania środków rynkowych i nierynkowych.</w:t>
      </w:r>
    </w:p>
    <w:p w14:paraId="303AA571" w14:textId="6CFD3B6A" w:rsidR="00405769" w:rsidRDefault="00405769" w:rsidP="00393F55">
      <w:pPr>
        <w:spacing w:after="80"/>
      </w:pPr>
      <w:r>
        <w:t xml:space="preserve">Jednocześnie krajowe prawodawstwo określa uniwersalne </w:t>
      </w:r>
      <w:r w:rsidRPr="00F46F72">
        <w:t>zasady post</w:t>
      </w:r>
      <w:r>
        <w:t>ę</w:t>
      </w:r>
      <w:r w:rsidRPr="00F46F72">
        <w:t>powania na wypadek sytuacji kryzysowej</w:t>
      </w:r>
      <w:r>
        <w:t xml:space="preserve"> w ramach poniższych aktów prawnych</w:t>
      </w:r>
      <w:r w:rsidR="00F46F72" w:rsidRPr="00F46F72">
        <w:t xml:space="preserve">: </w:t>
      </w:r>
    </w:p>
    <w:p w14:paraId="6199E36B" w14:textId="7B199D89" w:rsidR="00405769" w:rsidRDefault="00F46F72" w:rsidP="000625AC">
      <w:pPr>
        <w:pStyle w:val="Akapitzlist"/>
        <w:numPr>
          <w:ilvl w:val="0"/>
          <w:numId w:val="78"/>
        </w:numPr>
        <w:ind w:left="426"/>
      </w:pPr>
      <w:r w:rsidRPr="00F46F72">
        <w:t>ustaw</w:t>
      </w:r>
      <w:r w:rsidR="00405769">
        <w:t>a</w:t>
      </w:r>
      <w:r w:rsidRPr="00F46F72">
        <w:t xml:space="preserve"> z dnia 16 lutego 2007 r. o zapasach ropy naftowej, produktów naftowych i gazu ziemnego oraz zasadach postępowania w sytuacjach zagrożenia bezpieczeństwa paliwowego państwa i</w:t>
      </w:r>
      <w:r w:rsidR="00EF22C0">
        <w:t> </w:t>
      </w:r>
      <w:r w:rsidRPr="00F46F72">
        <w:t>zakłóceń na rynku naftowym,</w:t>
      </w:r>
    </w:p>
    <w:p w14:paraId="4AA9DF68" w14:textId="6014DAD4" w:rsidR="00F46F72" w:rsidRDefault="00F46F72" w:rsidP="000625AC">
      <w:pPr>
        <w:pStyle w:val="Akapitzlist"/>
        <w:numPr>
          <w:ilvl w:val="0"/>
          <w:numId w:val="78"/>
        </w:numPr>
        <w:ind w:left="426"/>
      </w:pPr>
      <w:r w:rsidRPr="00F46F72">
        <w:t>rozporządzeni</w:t>
      </w:r>
      <w:r w:rsidR="00405769">
        <w:t>e</w:t>
      </w:r>
      <w:r w:rsidRPr="00F46F72">
        <w:t> Ministra Klimatu i Środowiska z dnia 2 maja 2023 r. w sprawie sposobu prowadzenia rozliczeń oraz bilansowania systemu przesyłowego gazowego w okresie uruchomienia zapasów obowiązkowych gazu ziemnego oraz w okresie wprowadzenia ograniczeń w poborze gazu ziemnego.</w:t>
      </w:r>
      <w:r w:rsidR="003E2DE5">
        <w:t xml:space="preserve"> </w:t>
      </w:r>
    </w:p>
    <w:p w14:paraId="0F831350" w14:textId="20BD7EFE" w:rsidR="00D010FB" w:rsidRPr="00D010FB" w:rsidRDefault="00E15E7D" w:rsidP="00D010FB">
      <w:pPr>
        <w:pStyle w:val="Cele"/>
        <w:rPr>
          <w:b/>
          <w:bCs/>
        </w:rPr>
      </w:pPr>
      <w:r w:rsidRPr="00ED0B20">
        <w:rPr>
          <w:b/>
          <w:bCs/>
        </w:rPr>
        <w:lastRenderedPageBreak/>
        <w:t xml:space="preserve">Celem </w:t>
      </w:r>
      <w:r w:rsidR="00ED0B20" w:rsidRPr="00ED0B20">
        <w:rPr>
          <w:b/>
          <w:bCs/>
        </w:rPr>
        <w:t xml:space="preserve">jest </w:t>
      </w:r>
      <w:r w:rsidR="00ED0B20">
        <w:rPr>
          <w:b/>
          <w:bCs/>
        </w:rPr>
        <w:t xml:space="preserve">zapewnienie kompleksowego systemu </w:t>
      </w:r>
      <w:r w:rsidRPr="00ED0B20">
        <w:rPr>
          <w:b/>
          <w:bCs/>
        </w:rPr>
        <w:t>gotowoś</w:t>
      </w:r>
      <w:r w:rsidR="009A757B">
        <w:rPr>
          <w:b/>
          <w:bCs/>
        </w:rPr>
        <w:t>ci</w:t>
      </w:r>
      <w:r w:rsidRPr="00ED0B20">
        <w:rPr>
          <w:b/>
          <w:bCs/>
        </w:rPr>
        <w:t xml:space="preserve"> do radzenia sobie z</w:t>
      </w:r>
      <w:r w:rsidR="00ED0B20">
        <w:rPr>
          <w:b/>
          <w:bCs/>
        </w:rPr>
        <w:t> </w:t>
      </w:r>
      <w:r w:rsidRPr="00ED0B20">
        <w:rPr>
          <w:b/>
          <w:bCs/>
        </w:rPr>
        <w:t>ograniczeniami w dostawach gazu ziemnego</w:t>
      </w:r>
      <w:r w:rsidR="00ED0B20" w:rsidRPr="00ED0B20">
        <w:rPr>
          <w:b/>
          <w:bCs/>
        </w:rPr>
        <w:t xml:space="preserve"> w sytuacjach</w:t>
      </w:r>
      <w:r w:rsidR="00ED0B20">
        <w:rPr>
          <w:b/>
          <w:bCs/>
        </w:rPr>
        <w:t xml:space="preserve"> nadzwyczajnych i</w:t>
      </w:r>
      <w:r w:rsidR="00EF22C0">
        <w:rPr>
          <w:b/>
          <w:bCs/>
        </w:rPr>
        <w:t> </w:t>
      </w:r>
      <w:r w:rsidR="00ED0B20">
        <w:rPr>
          <w:b/>
          <w:bCs/>
        </w:rPr>
        <w:t>zwiększonego zapotrzebowania na surowiec.</w:t>
      </w:r>
      <w:r w:rsidR="003E2DE5">
        <w:rPr>
          <w:b/>
          <w:bCs/>
        </w:rPr>
        <w:t xml:space="preserve"> </w:t>
      </w:r>
    </w:p>
    <w:p w14:paraId="0D0C9393" w14:textId="77777777" w:rsidR="00CC5FCD" w:rsidRDefault="00CC5FCD" w:rsidP="00C01DAA">
      <w:pPr>
        <w:pStyle w:val="PaMs"/>
      </w:pPr>
      <w:r w:rsidRPr="00C46DAA">
        <w:t>POLITYKA</w:t>
      </w:r>
    </w:p>
    <w:p w14:paraId="368631C4" w14:textId="20F8F4AB" w:rsidR="00CC5FCD" w:rsidRDefault="00ED0B20" w:rsidP="00CC5FCD">
      <w:r>
        <w:t>G</w:t>
      </w:r>
      <w:r w:rsidRPr="00ED0B20">
        <w:t xml:space="preserve">otowość do radzenia sobie z ograniczeniami w dostawach gazu ziemnego w sytuacjach nadzwyczajnych </w:t>
      </w:r>
      <w:r>
        <w:t xml:space="preserve">opiera się przede wszystkim na </w:t>
      </w:r>
      <w:r w:rsidRPr="00ED0B20">
        <w:t>posiadani</w:t>
      </w:r>
      <w:r w:rsidR="009A757B">
        <w:t>u</w:t>
      </w:r>
      <w:r w:rsidRPr="00ED0B20">
        <w:t xml:space="preserve"> odpowiedniej infrastruktury</w:t>
      </w:r>
      <w:r>
        <w:t xml:space="preserve"> przesyłowej i magazynowej, a</w:t>
      </w:r>
      <w:r w:rsidR="00D010FB">
        <w:t> </w:t>
      </w:r>
      <w:r>
        <w:t>także na efektywnym z</w:t>
      </w:r>
      <w:r w:rsidR="00D010FB">
        <w:t xml:space="preserve">estawie </w:t>
      </w:r>
      <w:r w:rsidRPr="00ED0B20">
        <w:t>procedur oraz rozwiązań</w:t>
      </w:r>
      <w:r w:rsidR="00D010FB">
        <w:t xml:space="preserve"> pozwalających na uniknięcie sytuacji kryzysowych lub istotne zredukowanie ich skutków. </w:t>
      </w:r>
    </w:p>
    <w:p w14:paraId="2DA00AC6" w14:textId="1BA3E9DA" w:rsidR="00405769" w:rsidRDefault="00D010FB" w:rsidP="00D010FB">
      <w:r>
        <w:t xml:space="preserve">W tym celu cyklicznie aktualizowany będzie </w:t>
      </w:r>
      <w:r w:rsidRPr="00D010FB">
        <w:rPr>
          <w:b/>
          <w:bCs/>
        </w:rPr>
        <w:t xml:space="preserve">plan działań zapobiegawczych </w:t>
      </w:r>
      <w:r w:rsidRPr="00D010FB">
        <w:t xml:space="preserve">oraz </w:t>
      </w:r>
      <w:r w:rsidRPr="00D010FB">
        <w:rPr>
          <w:b/>
          <w:bCs/>
        </w:rPr>
        <w:t>plan na wypadek sytuacji nadzwyczajnej</w:t>
      </w:r>
      <w:r>
        <w:t xml:space="preserve"> a weryfikacja jego wdrażania i skuteczności będzie jak dotychczas opierać się na monitoringu i sprawozdawczości. Podmioty realizujące działania określone w </w:t>
      </w:r>
      <w:r w:rsidRPr="00D010FB">
        <w:rPr>
          <w:b/>
          <w:bCs/>
          <w:i/>
          <w:iCs/>
        </w:rPr>
        <w:t>Plan</w:t>
      </w:r>
      <w:r>
        <w:rPr>
          <w:b/>
          <w:bCs/>
          <w:i/>
          <w:iCs/>
        </w:rPr>
        <w:t>ie</w:t>
      </w:r>
      <w:r w:rsidRPr="00D010FB">
        <w:rPr>
          <w:b/>
          <w:bCs/>
          <w:i/>
          <w:iCs/>
        </w:rPr>
        <w:t xml:space="preserve"> działań zapobiegawczych 2023</w:t>
      </w:r>
      <w:r>
        <w:t xml:space="preserve"> są zobowiązane do składania ministrowi właściwemu </w:t>
      </w:r>
      <w:r w:rsidRPr="007E19E8">
        <w:t xml:space="preserve">ds. </w:t>
      </w:r>
      <w:r w:rsidR="00047318" w:rsidRPr="007E19E8">
        <w:rPr>
          <w:rFonts w:eastAsia="Lato" w:cs="Lato"/>
          <w:b/>
          <w:bCs/>
          <w:szCs w:val="20"/>
        </w:rPr>
        <w:t>gospodarki surowcami energetycznymi</w:t>
      </w:r>
      <w:r w:rsidRPr="007E19E8">
        <w:t xml:space="preserve"> kwartalnych sprawozdań z realizacji działań służących poprawie bezpieczeństwa dostaw gazu ziemnego. Sprawozdania zawierają harmonogram prac</w:t>
      </w:r>
      <w:r>
        <w:t xml:space="preserve">, przewidywany termin zakończenia inwestycji, zagrożenia dla realizacji inwestycji zidentyfikowane przez podmiot realizujący oraz jej wpływ na scenariusze kryzysowe zidentyfikowane w aktualnej </w:t>
      </w:r>
      <w:r w:rsidRPr="00D010FB">
        <w:rPr>
          <w:i/>
          <w:iCs/>
        </w:rPr>
        <w:t>Ocenie ryzyka</w:t>
      </w:r>
      <w:r>
        <w:t xml:space="preserve"> oraz </w:t>
      </w:r>
      <w:r w:rsidRPr="00D010FB">
        <w:rPr>
          <w:i/>
          <w:iCs/>
        </w:rPr>
        <w:t>Planie działań zapobiegawczych</w:t>
      </w:r>
      <w:r>
        <w:t xml:space="preserve">. </w:t>
      </w:r>
    </w:p>
    <w:p w14:paraId="21A968B7" w14:textId="7A4F1C8B" w:rsidR="000A6737" w:rsidRDefault="00D010FB" w:rsidP="00D010FB">
      <w:r>
        <w:t>Ponadto do dnia 1 września każdego roku operator systemu przesyłowego w porozumieniu z przedsiębiorstwami dokonującymi przywozu gazu ziemnego na terytorium Polski przygotowuje raport dotyczący przygotowania systemu gazowego do sezonu zimowego z uwzględnieniem analizy pokrycia szczytowego zapotrzebowania na gaz ziemny w warunkach bezawaryjnych. Jednocześnie minister właściwy d</w:t>
      </w:r>
      <w:r w:rsidR="00047318">
        <w:t xml:space="preserve">s. </w:t>
      </w:r>
      <w:r w:rsidR="00047318" w:rsidRPr="00047318">
        <w:t>gospodarki surowcami energetycznymi</w:t>
      </w:r>
      <w:r w:rsidR="00405769">
        <w:t xml:space="preserve"> corocznie</w:t>
      </w:r>
      <w:r>
        <w:t xml:space="preserve"> opracowuje </w:t>
      </w:r>
      <w:r w:rsidRPr="00D010FB">
        <w:rPr>
          <w:b/>
          <w:bCs/>
        </w:rPr>
        <w:t>sprawozdanie z wyników monitorowania bezpieczeństwa dostaw paliw gazowych</w:t>
      </w:r>
      <w:r w:rsidR="00F21BB4" w:rsidRPr="00F21BB4">
        <w:t xml:space="preserve"> co</w:t>
      </w:r>
      <w:r w:rsidR="00F21BB4">
        <w:t xml:space="preserve"> pozwala na ocenę stanu i podejmowanie ewentualnych niezbędnych działań mających na celu wzmocnienie bezpieczeństwa. </w:t>
      </w:r>
    </w:p>
    <w:p w14:paraId="7DDD6A7C" w14:textId="7C39B96B" w:rsidR="00CB44E0" w:rsidRDefault="000A6737" w:rsidP="00D010FB">
      <w:r>
        <w:t xml:space="preserve">W najbliższym czasie </w:t>
      </w:r>
      <w:r w:rsidR="00405769">
        <w:t xml:space="preserve">przewiduje się także wpisanie </w:t>
      </w:r>
      <w:r w:rsidR="00405769" w:rsidRPr="00405769">
        <w:rPr>
          <w:b/>
          <w:bCs/>
        </w:rPr>
        <w:t>Rządowej Agencji Rezerw Strategicznych</w:t>
      </w:r>
      <w:r w:rsidR="00405769">
        <w:t xml:space="preserve"> (RARS) na stałe do łańcucha podmiotów zapewniających bezpieczeństwo energetyczne, poprzez </w:t>
      </w:r>
      <w:r w:rsidR="00405769" w:rsidRPr="00405769">
        <w:rPr>
          <w:b/>
          <w:bCs/>
        </w:rPr>
        <w:t>zobowiązanie go do tworzenia utrzymywania zapasów strategicznych gazu ziemnego</w:t>
      </w:r>
      <w:r w:rsidR="001D379F">
        <w:rPr>
          <w:rStyle w:val="Odwoanieprzypisudolnego"/>
          <w:b/>
          <w:bCs/>
        </w:rPr>
        <w:footnoteReference w:id="108"/>
      </w:r>
      <w:r w:rsidR="00405769" w:rsidRPr="00405769">
        <w:t xml:space="preserve">. Dla realizacji </w:t>
      </w:r>
      <w:r w:rsidR="00405769">
        <w:t xml:space="preserve">tego </w:t>
      </w:r>
      <w:r w:rsidR="00405769" w:rsidRPr="00405769">
        <w:t>zadania</w:t>
      </w:r>
      <w:r w:rsidR="00405769">
        <w:t xml:space="preserve"> RARS </w:t>
      </w:r>
      <w:r w:rsidR="00405769" w:rsidRPr="00405769">
        <w:t>zostanie wyposażona w szereg instrumentów prawnych, które pozwolą jej na wypełnienie nowej roli.</w:t>
      </w:r>
      <w:r w:rsidR="00405769">
        <w:t xml:space="preserve"> D</w:t>
      </w:r>
      <w:r w:rsidR="00405769" w:rsidRPr="00405769">
        <w:t>otychczasow</w:t>
      </w:r>
      <w:r w:rsidR="00405769">
        <w:t>a</w:t>
      </w:r>
      <w:r w:rsidR="00405769" w:rsidRPr="00405769">
        <w:t xml:space="preserve"> formuł</w:t>
      </w:r>
      <w:r w:rsidR="00405769">
        <w:t xml:space="preserve">a </w:t>
      </w:r>
      <w:r w:rsidR="00405769" w:rsidRPr="00405769">
        <w:t>zakładała konieczność zabezpieczenia odpowiedniego</w:t>
      </w:r>
      <w:r w:rsidR="00405769">
        <w:t xml:space="preserve"> </w:t>
      </w:r>
      <w:r w:rsidR="00405769" w:rsidRPr="00405769">
        <w:t>wolumenu gazu ziemnego na potrzeby utworzenia zapasów obowiązkowych gazu ziemnego</w:t>
      </w:r>
      <w:r w:rsidR="00405769">
        <w:t xml:space="preserve"> przez uczestników rynku.</w:t>
      </w:r>
    </w:p>
    <w:p w14:paraId="2A56F45B" w14:textId="417578E3" w:rsidR="00CC5FCD" w:rsidRPr="00C46DAA" w:rsidRDefault="00CC5FCD" w:rsidP="00C01DAA">
      <w:pPr>
        <w:pStyle w:val="PaMs"/>
      </w:pPr>
      <w:r w:rsidRPr="00C46DAA">
        <w:t>DZIAŁANIA</w:t>
      </w:r>
    </w:p>
    <w:p w14:paraId="5C5A5C84" w14:textId="1F4E3088" w:rsidR="00323CD0" w:rsidRPr="00323CD0" w:rsidRDefault="00323CD0" w:rsidP="003530A9">
      <w:pPr>
        <w:pStyle w:val="Akapitzlist"/>
        <w:numPr>
          <w:ilvl w:val="0"/>
          <w:numId w:val="11"/>
        </w:numPr>
      </w:pPr>
      <w:r w:rsidRPr="00323CD0">
        <w:fldChar w:fldCharType="begin"/>
      </w:r>
      <w:r w:rsidRPr="00323CD0">
        <w:instrText xml:space="preserve"> REF _Ref195891656 \h </w:instrText>
      </w:r>
      <w:r>
        <w:instrText xml:space="preserve"> \* MERGEFORMAT </w:instrText>
      </w:r>
      <w:r w:rsidRPr="00323CD0">
        <w:fldChar w:fldCharType="separate"/>
      </w:r>
      <w:r w:rsidR="00871DD5" w:rsidRPr="00871DD5">
        <w:rPr>
          <w:rStyle w:val="Nagwek6Znak"/>
          <w:rFonts w:ascii="Lato" w:hAnsi="Lato"/>
          <w:b w:val="0"/>
        </w:rPr>
        <w:t xml:space="preserve">Działanie </w:t>
      </w:r>
      <w:r w:rsidR="00871DD5" w:rsidRPr="00871DD5">
        <w:rPr>
          <w:lang w:eastAsia="pl-PL"/>
        </w:rPr>
        <w:t>119.</w:t>
      </w:r>
      <w:r w:rsidR="00871DD5" w:rsidRPr="008A5AE2">
        <w:rPr>
          <w:lang w:eastAsia="pl-PL"/>
        </w:rPr>
        <w:t xml:space="preserve"> Cykliczna aktualizacja planu działań zapobiegawczych oraz planu na wypadek sytuacji nadzwyczajnej oraz monitoring realizacji zadań wpisanych w planie działań zapobiegawczych</w:t>
      </w:r>
      <w:r w:rsidRPr="00323CD0">
        <w:fldChar w:fldCharType="end"/>
      </w:r>
    </w:p>
    <w:p w14:paraId="56FA4352" w14:textId="26D2FC78" w:rsidR="007159B3" w:rsidRDefault="007159B3" w:rsidP="007159B3">
      <w:pPr>
        <w:pStyle w:val="Nagwek3"/>
        <w:rPr>
          <w:color w:val="C00000"/>
        </w:rPr>
      </w:pPr>
      <w:bookmarkStart w:id="523" w:name="_Toc195897326"/>
      <w:bookmarkStart w:id="524" w:name="_Toc195899571"/>
      <w:bookmarkStart w:id="525" w:name="_Ref195893032"/>
      <w:bookmarkStart w:id="526" w:name="_Ref195893046"/>
      <w:bookmarkStart w:id="527" w:name="_Toc195897327"/>
      <w:bookmarkStart w:id="528" w:name="_Toc205203198"/>
      <w:bookmarkStart w:id="529" w:name="_Toc159598327"/>
      <w:bookmarkStart w:id="530" w:name="_Ref175493995"/>
      <w:bookmarkStart w:id="531" w:name="_Ref177389379"/>
      <w:bookmarkStart w:id="532" w:name="_Ref195091941"/>
      <w:bookmarkStart w:id="533" w:name="_Toc159598321"/>
      <w:bookmarkEnd w:id="523"/>
      <w:bookmarkEnd w:id="524"/>
      <w:r w:rsidRPr="008A46D0">
        <w:rPr>
          <w:color w:val="C00000"/>
        </w:rPr>
        <w:lastRenderedPageBreak/>
        <w:t xml:space="preserve">Pokrycie zapotrzebowania </w:t>
      </w:r>
      <w:r w:rsidR="00D4249D">
        <w:rPr>
          <w:color w:val="C00000"/>
        </w:rPr>
        <w:t>na </w:t>
      </w:r>
      <w:r w:rsidR="0007040E">
        <w:rPr>
          <w:color w:val="C00000"/>
        </w:rPr>
        <w:t>odnawialne</w:t>
      </w:r>
      <w:r w:rsidR="007E19E8">
        <w:rPr>
          <w:color w:val="C00000"/>
        </w:rPr>
        <w:t xml:space="preserve"> </w:t>
      </w:r>
      <w:r w:rsidR="00C3473E">
        <w:rPr>
          <w:color w:val="C00000"/>
        </w:rPr>
        <w:t>paliwa gazowe – biometan oraz</w:t>
      </w:r>
      <w:r w:rsidR="00FA4145">
        <w:rPr>
          <w:color w:val="C00000"/>
        </w:rPr>
        <w:t> </w:t>
      </w:r>
      <w:r w:rsidRPr="008A46D0">
        <w:rPr>
          <w:color w:val="C00000"/>
        </w:rPr>
        <w:t>wodór</w:t>
      </w:r>
      <w:bookmarkEnd w:id="525"/>
      <w:bookmarkEnd w:id="526"/>
      <w:bookmarkEnd w:id="527"/>
      <w:bookmarkEnd w:id="528"/>
      <w:r w:rsidRPr="008A46D0">
        <w:rPr>
          <w:color w:val="C00000"/>
        </w:rPr>
        <w:t xml:space="preserve"> </w:t>
      </w:r>
      <w:bookmarkEnd w:id="529"/>
      <w:bookmarkEnd w:id="530"/>
      <w:bookmarkEnd w:id="531"/>
      <w:bookmarkEnd w:id="532"/>
    </w:p>
    <w:p w14:paraId="07EEFA3B" w14:textId="62B1ED5E" w:rsidR="00F1755D" w:rsidRDefault="00D07426" w:rsidP="00F1755D">
      <w:r>
        <w:t xml:space="preserve">Transformacja </w:t>
      </w:r>
      <w:r w:rsidR="00D308F9">
        <w:t xml:space="preserve">systemów energetycznych </w:t>
      </w:r>
      <w:r w:rsidR="00B444E1">
        <w:t xml:space="preserve">uwzględnia </w:t>
      </w:r>
      <w:r w:rsidRPr="00D07426">
        <w:t>alternatywn</w:t>
      </w:r>
      <w:r w:rsidR="00B444E1">
        <w:t xml:space="preserve">e </w:t>
      </w:r>
      <w:r w:rsidRPr="00D07426">
        <w:t>rozwiązani</w:t>
      </w:r>
      <w:r w:rsidR="00B444E1">
        <w:t>a</w:t>
      </w:r>
      <w:r w:rsidRPr="00D07426">
        <w:t xml:space="preserve"> dla gazu</w:t>
      </w:r>
      <w:r w:rsidR="00B444E1">
        <w:t xml:space="preserve"> ziemnego, takie jak </w:t>
      </w:r>
      <w:r w:rsidRPr="00D07426">
        <w:t>zrównoważona produkcja biometanu</w:t>
      </w:r>
      <w:r w:rsidR="00B444E1">
        <w:t xml:space="preserve"> oraz </w:t>
      </w:r>
      <w:r w:rsidRPr="00D07426">
        <w:t>odnawialny wodór</w:t>
      </w:r>
      <w:r w:rsidR="7620E4D5">
        <w:t>.</w:t>
      </w:r>
      <w:r w:rsidR="00B444E1">
        <w:t xml:space="preserve"> </w:t>
      </w:r>
      <w:r w:rsidR="00EF40AB">
        <w:t xml:space="preserve">Wraz z </w:t>
      </w:r>
      <w:r w:rsidR="00AB76ED">
        <w:t xml:space="preserve">rosnącym udziałem </w:t>
      </w:r>
      <w:r w:rsidR="00FD009A">
        <w:t>w systemie energetycznym odnawialnych źródeł energii zależnych od pogody, takich jak elektrownie wiatrowe i</w:t>
      </w:r>
      <w:r w:rsidR="004F64DA">
        <w:t> </w:t>
      </w:r>
      <w:r w:rsidR="00FD009A">
        <w:t>słoneczne</w:t>
      </w:r>
      <w:r w:rsidR="00BE061E">
        <w:t xml:space="preserve">, ważną rolę </w:t>
      </w:r>
      <w:r w:rsidR="002E2ADB">
        <w:t>będą</w:t>
      </w:r>
      <w:r w:rsidR="00BE061E">
        <w:t xml:space="preserve"> odrywały</w:t>
      </w:r>
      <w:r w:rsidR="002E2ADB">
        <w:t xml:space="preserve"> </w:t>
      </w:r>
      <w:r w:rsidR="00E15697">
        <w:t xml:space="preserve">dyspozycyjne </w:t>
      </w:r>
      <w:r w:rsidR="002511E4">
        <w:t xml:space="preserve">źródła </w:t>
      </w:r>
      <w:r w:rsidR="00BC32B3">
        <w:t xml:space="preserve">gazowe </w:t>
      </w:r>
      <w:r w:rsidR="00C50C4D">
        <w:t>stabilizujące dostawy energii elektrycznej</w:t>
      </w:r>
      <w:r w:rsidR="004C5393">
        <w:t xml:space="preserve"> i zapewniające elastyczność systemu elektroenergetycznego</w:t>
      </w:r>
      <w:r w:rsidR="00C50C4D">
        <w:t xml:space="preserve">. </w:t>
      </w:r>
      <w:r w:rsidR="004D1402">
        <w:t>B</w:t>
      </w:r>
      <w:r w:rsidR="00C50C4D">
        <w:t>iometan</w:t>
      </w:r>
      <w:r w:rsidR="00786D54">
        <w:t xml:space="preserve"> praktycznie w</w:t>
      </w:r>
      <w:r w:rsidR="004F64DA">
        <w:t> </w:t>
      </w:r>
      <w:r w:rsidR="00786D54">
        <w:t xml:space="preserve">dowolnych proporcjach </w:t>
      </w:r>
      <w:r w:rsidR="00611F20">
        <w:t xml:space="preserve">może być </w:t>
      </w:r>
      <w:r w:rsidR="00786D54">
        <w:t>mieszany z gazem ziemnym</w:t>
      </w:r>
      <w:r w:rsidR="00337E93">
        <w:t xml:space="preserve"> i</w:t>
      </w:r>
      <w:r w:rsidR="00595115">
        <w:t xml:space="preserve"> </w:t>
      </w:r>
      <w:r w:rsidR="00E15697">
        <w:t>transportowany sieci</w:t>
      </w:r>
      <w:r w:rsidR="00271750">
        <w:t>ami</w:t>
      </w:r>
      <w:r w:rsidR="00E15697">
        <w:t xml:space="preserve"> gazow</w:t>
      </w:r>
      <w:r w:rsidR="00271750">
        <w:t>ymi</w:t>
      </w:r>
      <w:r w:rsidR="00E15697">
        <w:t xml:space="preserve"> </w:t>
      </w:r>
      <w:r w:rsidR="00FB76CE">
        <w:t>oraz długoterminowo magazynowany w systemie gazowym</w:t>
      </w:r>
      <w:r w:rsidR="0061760A">
        <w:t xml:space="preserve">. </w:t>
      </w:r>
      <w:r w:rsidR="00F72D66">
        <w:t xml:space="preserve">To paliwo odnawialne </w:t>
      </w:r>
      <w:r w:rsidR="008F16FA">
        <w:t xml:space="preserve">może </w:t>
      </w:r>
      <w:r w:rsidR="00E07B1A">
        <w:t>by</w:t>
      </w:r>
      <w:r w:rsidR="00432D28">
        <w:t>ć</w:t>
      </w:r>
      <w:r w:rsidR="00E07B1A">
        <w:t xml:space="preserve"> </w:t>
      </w:r>
      <w:r w:rsidR="006370CF">
        <w:t xml:space="preserve">łącznie z gazem ziemnym </w:t>
      </w:r>
      <w:r w:rsidR="00E07B1A">
        <w:t xml:space="preserve">wykorzystane w </w:t>
      </w:r>
      <w:r w:rsidR="00F54084">
        <w:t xml:space="preserve">szczytowych blokach gazowych </w:t>
      </w:r>
      <w:r w:rsidR="008F16FA">
        <w:t>w</w:t>
      </w:r>
      <w:r w:rsidR="006D41BB">
        <w:t> </w:t>
      </w:r>
      <w:r w:rsidR="008F16FA">
        <w:t xml:space="preserve">okresach niewystarczającej podaży </w:t>
      </w:r>
      <w:r w:rsidR="00FA4E68">
        <w:t xml:space="preserve">energii słońca i wiatru. </w:t>
      </w:r>
      <w:r w:rsidR="00846E59">
        <w:t xml:space="preserve">W horyzoncie </w:t>
      </w:r>
      <w:r w:rsidR="0019704A">
        <w:t>średnio i długoterminow</w:t>
      </w:r>
      <w:r w:rsidR="004D1402">
        <w:t>ym</w:t>
      </w:r>
      <w:r w:rsidR="0019704A">
        <w:t xml:space="preserve"> rolę </w:t>
      </w:r>
      <w:r w:rsidR="004D1402">
        <w:t xml:space="preserve">tę </w:t>
      </w:r>
      <w:r w:rsidR="00647127">
        <w:t>pełnić</w:t>
      </w:r>
      <w:r w:rsidR="0019704A">
        <w:t xml:space="preserve"> </w:t>
      </w:r>
      <w:r w:rsidR="00AC1028">
        <w:t xml:space="preserve">będzie </w:t>
      </w:r>
      <w:r w:rsidR="00775B7E">
        <w:t>t</w:t>
      </w:r>
      <w:r w:rsidR="0019704A">
        <w:t xml:space="preserve">akże wodór odnawialny. </w:t>
      </w:r>
      <w:r w:rsidR="00E06C6A">
        <w:t xml:space="preserve">Oba gazy docelowo </w:t>
      </w:r>
      <w:r w:rsidR="00BF0726">
        <w:t xml:space="preserve">powinny </w:t>
      </w:r>
      <w:r w:rsidR="00E06C6A">
        <w:t>zastąpi</w:t>
      </w:r>
      <w:r w:rsidR="00BF0726">
        <w:t>ć</w:t>
      </w:r>
      <w:r w:rsidR="00E06C6A">
        <w:t xml:space="preserve"> gaz ziemny</w:t>
      </w:r>
      <w:r w:rsidR="0056676D">
        <w:t>,</w:t>
      </w:r>
      <w:r w:rsidR="00C00C3F">
        <w:t xml:space="preserve"> mając na uwadze dążenie do </w:t>
      </w:r>
      <w:r w:rsidR="00657D02">
        <w:t>dekarbonizacji krajowej gospodarki</w:t>
      </w:r>
      <w:r w:rsidR="00E06C6A">
        <w:t>.</w:t>
      </w:r>
    </w:p>
    <w:p w14:paraId="3AF85829" w14:textId="608E40A0" w:rsidR="00CB68E6" w:rsidRDefault="004D1402" w:rsidP="00F1755D">
      <w:r>
        <w:t>Z</w:t>
      </w:r>
      <w:r w:rsidR="00D3637B">
        <w:t>arówno biometan jak i odnawialny w</w:t>
      </w:r>
      <w:r w:rsidR="00D3637B" w:rsidRPr="004B72A5">
        <w:t>odór</w:t>
      </w:r>
      <w:r w:rsidR="3DF3EEAB">
        <w:t xml:space="preserve"> </w:t>
      </w:r>
      <w:r w:rsidR="064F9BC9">
        <w:t>pochodzenia niebiologicznego</w:t>
      </w:r>
      <w:r w:rsidR="00D3637B" w:rsidRPr="004B72A5">
        <w:t xml:space="preserve"> odgrywa</w:t>
      </w:r>
      <w:r w:rsidR="00D3637B">
        <w:t>ć będą</w:t>
      </w:r>
      <w:r w:rsidR="00D3637B" w:rsidRPr="004B72A5">
        <w:t xml:space="preserve"> kluczową rolę w dekarbonizacji</w:t>
      </w:r>
      <w:r w:rsidR="00733E71">
        <w:t xml:space="preserve"> przemysłu</w:t>
      </w:r>
      <w:r w:rsidR="00D3637B" w:rsidRPr="004B72A5">
        <w:t>, zwłaszcza w sektorach trudnych do ograniczenia</w:t>
      </w:r>
      <w:r w:rsidR="00D3637B">
        <w:t xml:space="preserve"> emisji</w:t>
      </w:r>
      <w:r w:rsidR="0056676D">
        <w:t xml:space="preserve"> GHG</w:t>
      </w:r>
      <w:r w:rsidR="00D3637B" w:rsidRPr="004B72A5">
        <w:t>, w których elektryfikacja nie jest jeszcze realną opcją</w:t>
      </w:r>
      <w:r w:rsidR="00D1440D">
        <w:t xml:space="preserve"> do wdrożenia na szerok</w:t>
      </w:r>
      <w:r w:rsidR="00CE7EE0">
        <w:t>ą</w:t>
      </w:r>
      <w:r w:rsidR="00D1440D">
        <w:t xml:space="preserve"> skalę. </w:t>
      </w:r>
      <w:r w:rsidR="00187E9C">
        <w:t>Wodór odnawialny</w:t>
      </w:r>
      <w:r w:rsidR="5305877B">
        <w:t xml:space="preserve"> </w:t>
      </w:r>
      <w:r w:rsidR="76175CB8">
        <w:t>pochodzenia</w:t>
      </w:r>
      <w:r w:rsidR="00187E9C">
        <w:t xml:space="preserve"> </w:t>
      </w:r>
      <w:r w:rsidR="00E751DA">
        <w:t xml:space="preserve">niebiologicznego </w:t>
      </w:r>
      <w:r w:rsidR="002368B8">
        <w:t>będzie</w:t>
      </w:r>
      <w:r w:rsidR="00775B7E">
        <w:t xml:space="preserve"> </w:t>
      </w:r>
      <w:r w:rsidR="00E751DA">
        <w:t xml:space="preserve">wykorzystany </w:t>
      </w:r>
      <w:r w:rsidR="002368B8">
        <w:t xml:space="preserve">przede wszystkim </w:t>
      </w:r>
      <w:r w:rsidR="00E751DA">
        <w:t xml:space="preserve">jako surowiec </w:t>
      </w:r>
      <w:r w:rsidR="00547151">
        <w:t xml:space="preserve">dla przemysłu chemicznego </w:t>
      </w:r>
      <w:r w:rsidR="00DD4B47">
        <w:t>(produkcja nawozów)</w:t>
      </w:r>
      <w:r w:rsidR="2DC67556">
        <w:t>, rafineryjnego</w:t>
      </w:r>
      <w:r w:rsidR="00DD4B47">
        <w:t xml:space="preserve"> oraz stalowego (produkcja stali). </w:t>
      </w:r>
      <w:r w:rsidR="00054EE6">
        <w:t xml:space="preserve">Oba gazy odnawialne odegrają także pewną rolę w </w:t>
      </w:r>
      <w:r w:rsidR="00373E2D">
        <w:t xml:space="preserve">dekarbonizacji transportu, </w:t>
      </w:r>
      <w:r w:rsidR="004C41C3">
        <w:t xml:space="preserve">przy czym wodór szczególnie w </w:t>
      </w:r>
      <w:r w:rsidR="002242ED">
        <w:t xml:space="preserve">produkcji </w:t>
      </w:r>
      <w:r w:rsidR="00D96E50">
        <w:t>paliw lotniczych</w:t>
      </w:r>
      <w:r w:rsidR="00CA1F1A">
        <w:t>.</w:t>
      </w:r>
      <w:r w:rsidR="00D96E50">
        <w:t xml:space="preserve"> </w:t>
      </w:r>
    </w:p>
    <w:p w14:paraId="024E1990" w14:textId="066F9E67" w:rsidR="00025BDA" w:rsidRDefault="00487F7A" w:rsidP="007159B3">
      <w:r>
        <w:t xml:space="preserve">Mając </w:t>
      </w:r>
      <w:r w:rsidR="00D96E50">
        <w:t>powyższe na</w:t>
      </w:r>
      <w:r>
        <w:t xml:space="preserve"> uwadze</w:t>
      </w:r>
      <w:r w:rsidR="00054EE6">
        <w:t>,</w:t>
      </w:r>
      <w:r>
        <w:t xml:space="preserve"> </w:t>
      </w:r>
      <w:r w:rsidR="00727FF5">
        <w:t xml:space="preserve">zapewnienie warunków rozwoju produkcji i rynków </w:t>
      </w:r>
      <w:r w:rsidR="000657B4">
        <w:t xml:space="preserve">gazów stanowiących realną </w:t>
      </w:r>
      <w:r w:rsidR="00EE3E92">
        <w:t>alternatywę</w:t>
      </w:r>
      <w:r w:rsidR="000657B4">
        <w:t xml:space="preserve"> dla gazu ziemnego staje się nowym </w:t>
      </w:r>
      <w:r w:rsidR="00EE3E92">
        <w:t>komponentem</w:t>
      </w:r>
      <w:r w:rsidR="000657B4">
        <w:t xml:space="preserve"> </w:t>
      </w:r>
      <w:r w:rsidR="00EE3E92">
        <w:t xml:space="preserve">perspektywicznego zapewnienia </w:t>
      </w:r>
      <w:r w:rsidR="000657B4">
        <w:t>bezpieczeństwa energetycznego</w:t>
      </w:r>
      <w:r w:rsidR="00ED111F">
        <w:t xml:space="preserve">. </w:t>
      </w:r>
      <w:r w:rsidR="007C04F9">
        <w:t xml:space="preserve">Rozwój rynku biometanu nie </w:t>
      </w:r>
      <w:r w:rsidR="002343AF">
        <w:t>wymaga nowego krajowego szkieletu infrastrukt</w:t>
      </w:r>
      <w:r w:rsidR="002F3D1C">
        <w:t>ura</w:t>
      </w:r>
      <w:r w:rsidR="002343AF">
        <w:t xml:space="preserve">lnego, a </w:t>
      </w:r>
      <w:r w:rsidR="00FC5B03">
        <w:t>przede wszystkim wsparcia organizacyjnego i finansowanego</w:t>
      </w:r>
      <w:r w:rsidR="00FC5B03" w:rsidRPr="00BD5431">
        <w:t xml:space="preserve">. </w:t>
      </w:r>
      <w:r w:rsidR="00025BDA" w:rsidRPr="00BD5431">
        <w:t>Natomiast w</w:t>
      </w:r>
      <w:r w:rsidR="004B4B8C">
        <w:t> </w:t>
      </w:r>
      <w:r w:rsidR="00025BDA" w:rsidRPr="00BD5431">
        <w:t xml:space="preserve">odniesieniu do branży wodorowej </w:t>
      </w:r>
      <w:r w:rsidR="00FF33AC" w:rsidRPr="00BD5431">
        <w:t xml:space="preserve">niezbędne jest </w:t>
      </w:r>
      <w:r w:rsidR="00CD26DC" w:rsidRPr="00BD5431">
        <w:t xml:space="preserve">zapewnienie infrastruktury do transportowania wodoru oraz jego magazynowania, a poziom krajowej produkcji </w:t>
      </w:r>
      <w:r w:rsidR="007D3E82" w:rsidRPr="00BD5431">
        <w:t xml:space="preserve">wodoru </w:t>
      </w:r>
      <w:r w:rsidR="4EB488EC">
        <w:t>odnawialnego pochodzenia niebiologicznego</w:t>
      </w:r>
      <w:r w:rsidR="7C34074E">
        <w:t xml:space="preserve"> </w:t>
      </w:r>
      <w:r w:rsidR="00BD5431" w:rsidRPr="00BD5431">
        <w:t xml:space="preserve">musi służyć </w:t>
      </w:r>
      <w:r w:rsidR="00526E14" w:rsidRPr="00BD5431">
        <w:t>do pokrycia wymagających regulacji</w:t>
      </w:r>
      <w:r w:rsidR="00025BDA" w:rsidRPr="00BD5431">
        <w:t xml:space="preserve"> RED III</w:t>
      </w:r>
      <w:r w:rsidR="00025BDA">
        <w:t xml:space="preserve">. </w:t>
      </w:r>
    </w:p>
    <w:p w14:paraId="3260E8B0" w14:textId="031C8B72" w:rsidR="00487F7A" w:rsidRDefault="007B4053" w:rsidP="007159B3">
      <w:r>
        <w:t xml:space="preserve">Poniżej określono </w:t>
      </w:r>
      <w:r w:rsidR="00EC7EEA">
        <w:t>cele dotycząc</w:t>
      </w:r>
      <w:r w:rsidR="00E02EED">
        <w:t>e</w:t>
      </w:r>
      <w:r w:rsidR="00EC7EEA">
        <w:t xml:space="preserve"> </w:t>
      </w:r>
      <w:r w:rsidR="00EC7EEA" w:rsidRPr="00393F55">
        <w:t>warunków rozwoju krajowej produkcji biometanu oraz wodoru, jak</w:t>
      </w:r>
      <w:r w:rsidR="00796203">
        <w:t> </w:t>
      </w:r>
      <w:r w:rsidR="00EC7EEA" w:rsidRPr="00393F55">
        <w:t>również zapewnieni</w:t>
      </w:r>
      <w:r w:rsidR="00CF6D17" w:rsidRPr="00393F55">
        <w:t>a</w:t>
      </w:r>
      <w:r w:rsidR="00EC7EEA" w:rsidRPr="00393F55">
        <w:t xml:space="preserve"> rozwoju infrastruktury do transportu i magazynowania wodoru</w:t>
      </w:r>
      <w:r w:rsidR="00EB3D40">
        <w:t>.</w:t>
      </w:r>
    </w:p>
    <w:p w14:paraId="7D4D0E31" w14:textId="2EA8BC54" w:rsidR="006656DD" w:rsidRDefault="0059755F" w:rsidP="006656DD">
      <w:pPr>
        <w:pStyle w:val="Nagwek4"/>
        <w:rPr>
          <w:color w:val="C00000"/>
        </w:rPr>
      </w:pPr>
      <w:bookmarkStart w:id="534" w:name="_Toc195897328"/>
      <w:bookmarkStart w:id="535" w:name="_Toc205203199"/>
      <w:r>
        <w:rPr>
          <w:color w:val="C00000"/>
        </w:rPr>
        <w:t>Zapewnienie warunków r</w:t>
      </w:r>
      <w:r w:rsidR="006656DD">
        <w:rPr>
          <w:color w:val="C00000"/>
        </w:rPr>
        <w:t>ozw</w:t>
      </w:r>
      <w:r>
        <w:rPr>
          <w:color w:val="C00000"/>
        </w:rPr>
        <w:t>oju</w:t>
      </w:r>
      <w:r w:rsidR="006656DD">
        <w:rPr>
          <w:color w:val="C00000"/>
        </w:rPr>
        <w:t xml:space="preserve"> krajowej produkcji biometanu</w:t>
      </w:r>
      <w:bookmarkEnd w:id="534"/>
      <w:bookmarkEnd w:id="535"/>
    </w:p>
    <w:p w14:paraId="4D801267" w14:textId="31908DF9" w:rsidR="00C37F35" w:rsidRDefault="00C37F35" w:rsidP="00C37F35">
      <w:r w:rsidRPr="00AE31C3">
        <w:rPr>
          <w:b/>
          <w:bCs/>
          <w:noProof/>
          <w:lang w:eastAsia="pl-PL"/>
        </w:rPr>
        <mc:AlternateContent>
          <mc:Choice Requires="wps">
            <w:drawing>
              <wp:anchor distT="0" distB="0" distL="114300" distR="114300" simplePos="0" relativeHeight="251591168" behindDoc="1" locked="0" layoutInCell="1" allowOverlap="1" wp14:anchorId="68CCC8FD" wp14:editId="6E3791B5">
                <wp:simplePos x="0" y="0"/>
                <wp:positionH relativeFrom="margin">
                  <wp:align>right</wp:align>
                </wp:positionH>
                <wp:positionV relativeFrom="paragraph">
                  <wp:posOffset>67310</wp:posOffset>
                </wp:positionV>
                <wp:extent cx="2620010" cy="1963420"/>
                <wp:effectExtent l="19050" t="57150" r="123190" b="71120"/>
                <wp:wrapSquare wrapText="bothSides"/>
                <wp:docPr id="1227776720"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chemeClr val="bg1"/>
                        </a:solidFill>
                        <a:ln w="6350">
                          <a:solidFill>
                            <a:srgbClr val="C00000"/>
                          </a:solidFill>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81BCC79" w14:textId="0B54CDF4" w:rsidR="00C36C5C" w:rsidRPr="004E21CF" w:rsidRDefault="00C36C5C" w:rsidP="00C37F35">
                            <w:pPr>
                              <w:pStyle w:val="Ramka"/>
                            </w:pPr>
                            <w:r>
                              <w:t xml:space="preserve">Biometan to gaz o parametrach zbliżonych do gazu ziemnego, który powstaje w wyniku oczyszczenia biogazu i biogazu rolniczego.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8CCC8FD" id="_x0000_s1124" style="position:absolute;left:0;text-align:left;margin-left:155.1pt;margin-top:5.3pt;width:206.3pt;height:154.6pt;z-index:-251725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" fillcolor="white [3212]" strokecolor="#c00000" strokeweight=".5pt">
                <v:stroke joinstyle="miter"/>
                <v:shadow on="t" color="black" opacity="26214f" origin="-.5" offset="3pt,0"/>
                <v:textbox style="mso-fit-shape-to-text:t" inset="2mm,2.5mm,2mm,0">
                  <w:txbxContent>
                    <w:p w14:paraId="281BCC79" w14:textId="0B54CDF4" w:rsidR="00C36C5C" w:rsidRPr="004E21CF" w:rsidRDefault="00C36C5C" w:rsidP="00C37F35">
                      <w:pPr>
                        <w:pStyle w:val="Ramka"/>
                      </w:pPr>
                      <w:r>
                        <w:t xml:space="preserve">Biometan to gaz o parametrach zbliżonych do gazu ziemnego, który powstaje w wyniku oczyszczenia biogazu i biogazu rolniczego. </w:t>
                      </w:r>
                    </w:p>
                  </w:txbxContent>
                </v:textbox>
                <w10:wrap type="square" anchorx="margin"/>
              </v:roundrect>
            </w:pict>
          </mc:Fallback>
        </mc:AlternateContent>
      </w:r>
      <w:r w:rsidRPr="00AE31C3">
        <w:rPr>
          <w:b/>
          <w:bCs/>
        </w:rPr>
        <w:t>Biometan</w:t>
      </w:r>
      <w:r>
        <w:t xml:space="preserve"> </w:t>
      </w:r>
      <w:r w:rsidR="006C2EC5">
        <w:t xml:space="preserve">jest otrzymywany </w:t>
      </w:r>
      <w:r w:rsidR="00834FE8">
        <w:t>w procesie</w:t>
      </w:r>
      <w:r w:rsidR="00B05D72" w:rsidRPr="00B05D72">
        <w:rPr>
          <w:b/>
          <w:bCs/>
          <w:noProof/>
        </w:rPr>
        <w:t xml:space="preserve"> </w:t>
      </w:r>
      <w:r w:rsidR="00456602">
        <w:t>oczyszczenia biogazu lub biogazu rolniczego</w:t>
      </w:r>
      <w:r w:rsidR="00C22CB7">
        <w:t xml:space="preserve"> powstałych </w:t>
      </w:r>
      <w:r w:rsidR="006C2EC5">
        <w:t xml:space="preserve">w </w:t>
      </w:r>
      <w:r w:rsidR="00AF3EB6">
        <w:t xml:space="preserve">wyniku </w:t>
      </w:r>
      <w:r w:rsidR="006C2EC5">
        <w:t xml:space="preserve">fermentacji metanowej materii organicznej. </w:t>
      </w:r>
      <w:r w:rsidR="00E06AAD">
        <w:rPr>
          <w:b/>
          <w:bCs/>
        </w:rPr>
        <w:t>Zrównoważona p</w:t>
      </w:r>
      <w:r w:rsidR="006C2EC5">
        <w:rPr>
          <w:b/>
          <w:bCs/>
        </w:rPr>
        <w:t xml:space="preserve">rodukcja biometanu </w:t>
      </w:r>
      <w:r w:rsidR="00162E11">
        <w:t xml:space="preserve">oparta </w:t>
      </w:r>
      <w:r w:rsidR="009066AA">
        <w:t>powinna być</w:t>
      </w:r>
      <w:r w:rsidR="00162E11">
        <w:t xml:space="preserve"> w szczególności o</w:t>
      </w:r>
      <w:r w:rsidR="00796203">
        <w:t> </w:t>
      </w:r>
      <w:r>
        <w:t xml:space="preserve">zagospodarowanie </w:t>
      </w:r>
      <w:r w:rsidR="00E06AAD">
        <w:t xml:space="preserve">pozostałości, produktów ubocznych </w:t>
      </w:r>
      <w:r w:rsidR="0060220E">
        <w:t>i</w:t>
      </w:r>
      <w:r w:rsidR="00D95554">
        <w:t xml:space="preserve"> </w:t>
      </w:r>
      <w:r>
        <w:t>odpadów</w:t>
      </w:r>
      <w:r w:rsidR="00D95554">
        <w:t>,</w:t>
      </w:r>
      <w:r>
        <w:t xml:space="preserve"> takich jak: </w:t>
      </w:r>
      <w:r w:rsidR="00F652A1">
        <w:t xml:space="preserve">odchody </w:t>
      </w:r>
      <w:r>
        <w:t xml:space="preserve">zwierzęce (gnojowica i obornik), </w:t>
      </w:r>
      <w:r w:rsidR="00F579A8">
        <w:t xml:space="preserve">odpady z produkcji </w:t>
      </w:r>
      <w:r w:rsidR="00727E23">
        <w:t xml:space="preserve">roślinnej, </w:t>
      </w:r>
      <w:r>
        <w:t>odpady z</w:t>
      </w:r>
      <w:r w:rsidR="00486FD0">
        <w:t xml:space="preserve"> </w:t>
      </w:r>
      <w:r>
        <w:t xml:space="preserve">niektórych </w:t>
      </w:r>
      <w:r w:rsidR="00BD0A88">
        <w:t xml:space="preserve">gałęzi </w:t>
      </w:r>
      <w:r>
        <w:t>przemysł</w:t>
      </w:r>
      <w:r w:rsidR="00BD0A88">
        <w:t>u</w:t>
      </w:r>
      <w:r>
        <w:t xml:space="preserve"> (np. przetwórstwo </w:t>
      </w:r>
      <w:r w:rsidR="00BD0A88">
        <w:t xml:space="preserve">rolno-spożywcze, </w:t>
      </w:r>
      <w:r>
        <w:t>papiernictwo)</w:t>
      </w:r>
      <w:r w:rsidR="00795EAA">
        <w:t xml:space="preserve">, </w:t>
      </w:r>
      <w:r w:rsidR="00ED264B">
        <w:t>osady ściekowe,</w:t>
      </w:r>
      <w:r w:rsidR="00CC5EFB">
        <w:t xml:space="preserve"> </w:t>
      </w:r>
      <w:r w:rsidR="00795EAA">
        <w:t xml:space="preserve">bioodpady </w:t>
      </w:r>
      <w:r w:rsidR="008555EA">
        <w:t>selektywnie zbierane (np. odpady kuchenne)</w:t>
      </w:r>
      <w:r w:rsidR="00AA706D">
        <w:t xml:space="preserve">. Do produkcji biometanu mogą być wykorzystywane także </w:t>
      </w:r>
      <w:r w:rsidR="00031400">
        <w:t xml:space="preserve">międzyplony i </w:t>
      </w:r>
      <w:r w:rsidR="00CC5EFB">
        <w:t>rośliny energetyczne.</w:t>
      </w:r>
      <w:r>
        <w:t xml:space="preserve"> </w:t>
      </w:r>
      <w:r w:rsidR="00D104BB">
        <w:t>B</w:t>
      </w:r>
      <w:r>
        <w:t xml:space="preserve">iometan </w:t>
      </w:r>
      <w:r w:rsidR="00554946">
        <w:t>produkowany z substratów odpadowych</w:t>
      </w:r>
      <w:r w:rsidR="002E5DAB">
        <w:t xml:space="preserve"> </w:t>
      </w:r>
      <w:r w:rsidR="00D104BB">
        <w:t>wpisuj</w:t>
      </w:r>
      <w:r w:rsidR="00E80AC3">
        <w:t>e</w:t>
      </w:r>
      <w:r w:rsidR="00D104BB">
        <w:t xml:space="preserve"> się w realizację </w:t>
      </w:r>
      <w:r w:rsidR="00E80AC3">
        <w:t>bio</w:t>
      </w:r>
      <w:r w:rsidR="00D104BB">
        <w:t>gospodarki obiegu zamkniętego</w:t>
      </w:r>
      <w:r w:rsidR="00E80AC3">
        <w:t xml:space="preserve">. </w:t>
      </w:r>
      <w:r w:rsidR="00480EED">
        <w:t>Krajow</w:t>
      </w:r>
      <w:r w:rsidR="00653171">
        <w:t xml:space="preserve">y potencjał </w:t>
      </w:r>
      <w:r w:rsidR="00FB4EF7">
        <w:t xml:space="preserve">techniczny </w:t>
      </w:r>
      <w:r w:rsidR="006C4978">
        <w:t xml:space="preserve">produkcji biometanu z substratów o charakterze odpadowym wynosi </w:t>
      </w:r>
      <w:r w:rsidR="00FB4EF7">
        <w:t>8 mld m</w:t>
      </w:r>
      <w:r w:rsidR="00FB4EF7" w:rsidRPr="000D23DE">
        <w:rPr>
          <w:vertAlign w:val="superscript"/>
        </w:rPr>
        <w:t>3</w:t>
      </w:r>
      <w:r w:rsidR="00A678E9">
        <w:t>. J</w:t>
      </w:r>
      <w:r w:rsidR="00FB4EF7">
        <w:t xml:space="preserve">ednak </w:t>
      </w:r>
      <w:r w:rsidR="000A458D">
        <w:t xml:space="preserve">biorąc pod uwagę </w:t>
      </w:r>
      <w:r w:rsidR="006C4978" w:rsidRPr="006C4978">
        <w:lastRenderedPageBreak/>
        <w:t xml:space="preserve">zróżnicowaną wielkość źródeł substratów i stopień ich rozproszenia w terenie </w:t>
      </w:r>
      <w:r w:rsidR="00463165">
        <w:t xml:space="preserve">potencjał wdrożeniowy </w:t>
      </w:r>
      <w:r w:rsidR="00DD0184" w:rsidRPr="00DD0184">
        <w:t>to</w:t>
      </w:r>
      <w:r w:rsidR="00796203">
        <w:t> </w:t>
      </w:r>
      <w:r w:rsidR="00DD0184" w:rsidRPr="00DD0184">
        <w:t>4,7 mld m</w:t>
      </w:r>
      <w:r w:rsidR="00DD0184" w:rsidRPr="00FF1562">
        <w:rPr>
          <w:vertAlign w:val="superscript"/>
        </w:rPr>
        <w:t>3</w:t>
      </w:r>
      <w:r w:rsidR="00DD0184" w:rsidRPr="00DD0184">
        <w:t xml:space="preserve">, </w:t>
      </w:r>
      <w:r w:rsidR="00C33A9B">
        <w:t xml:space="preserve">z czego </w:t>
      </w:r>
      <w:r w:rsidR="00DD0184" w:rsidRPr="00DD0184">
        <w:t xml:space="preserve">potencjał inwestycyjny </w:t>
      </w:r>
      <w:r w:rsidR="00C33A9B">
        <w:t xml:space="preserve">dostępny </w:t>
      </w:r>
      <w:r w:rsidR="0043199F">
        <w:t>w lokalizacjach</w:t>
      </w:r>
      <w:r w:rsidR="0008466F">
        <w:t xml:space="preserve"> (gminach) </w:t>
      </w:r>
      <w:r w:rsidR="0043199F">
        <w:t>o największej k</w:t>
      </w:r>
      <w:r w:rsidR="0008466F">
        <w:t>oncentracji</w:t>
      </w:r>
      <w:r w:rsidR="0043199F">
        <w:t xml:space="preserve"> substratów</w:t>
      </w:r>
      <w:r w:rsidR="00C33A9B">
        <w:t xml:space="preserve"> </w:t>
      </w:r>
      <w:r w:rsidR="00A678E9">
        <w:t>wynosi</w:t>
      </w:r>
      <w:r w:rsidR="00DD0184" w:rsidRPr="00DD0184">
        <w:t xml:space="preserve"> 3,2 mld m</w:t>
      </w:r>
      <w:r w:rsidR="00DD0184" w:rsidRPr="0071678D">
        <w:rPr>
          <w:vertAlign w:val="superscript"/>
        </w:rPr>
        <w:t>3</w:t>
      </w:r>
      <w:r w:rsidR="00CB7DD0">
        <w:t xml:space="preserve"> </w:t>
      </w:r>
      <w:r w:rsidR="009066AA">
        <w:rPr>
          <w:rStyle w:val="Odwoanieprzypisudolnego"/>
        </w:rPr>
        <w:footnoteReference w:id="109"/>
      </w:r>
      <w:r w:rsidR="00A178CC">
        <w:t>. Jest to wiel</w:t>
      </w:r>
      <w:r w:rsidR="007722B6">
        <w:t>k</w:t>
      </w:r>
      <w:r w:rsidR="00A178CC">
        <w:t xml:space="preserve">ość, która </w:t>
      </w:r>
      <w:r w:rsidR="008B0AEB">
        <w:t xml:space="preserve">ma </w:t>
      </w:r>
      <w:r w:rsidR="00AF18E3">
        <w:t xml:space="preserve">znaczenie dla zwiększenia </w:t>
      </w:r>
      <w:r w:rsidR="00DD3902">
        <w:t>bezpieczeństwa energetycznego kraju</w:t>
      </w:r>
      <w:r w:rsidR="0054717F">
        <w:t>.</w:t>
      </w:r>
      <w:r w:rsidR="00880A71" w:rsidRPr="00880A71">
        <w:t xml:space="preserve"> </w:t>
      </w:r>
      <w:r w:rsidR="00880A71">
        <w:t>Część potencjału zostanie zagospodarowana na potrzeby biogazowni</w:t>
      </w:r>
      <w:r w:rsidR="001A3FF2">
        <w:t xml:space="preserve">, </w:t>
      </w:r>
      <w:r w:rsidR="00D73D1A">
        <w:t>w</w:t>
      </w:r>
      <w:r w:rsidR="002C5C98">
        <w:t> </w:t>
      </w:r>
      <w:r w:rsidR="00D73D1A">
        <w:t xml:space="preserve">szczególności </w:t>
      </w:r>
      <w:r w:rsidR="00284E0B">
        <w:t>w przypadku m</w:t>
      </w:r>
      <w:r w:rsidR="00D73D1A">
        <w:t>niejszych ź</w:t>
      </w:r>
      <w:r w:rsidR="00284E0B">
        <w:t>ródeł substratów</w:t>
      </w:r>
      <w:r w:rsidR="00880A71">
        <w:t>.</w:t>
      </w:r>
    </w:p>
    <w:p w14:paraId="17376C7C" w14:textId="0B1BB498" w:rsidR="002B1738" w:rsidRDefault="00C37F35" w:rsidP="00C37F35">
      <w:r>
        <w:t xml:space="preserve">W okresie opracowania KPEiK w Polsce nie funkcjonowała żadna </w:t>
      </w:r>
      <w:r w:rsidR="007D1A1A">
        <w:t xml:space="preserve">komercyjna </w:t>
      </w:r>
      <w:r w:rsidR="0059391B">
        <w:t>biometanownia</w:t>
      </w:r>
      <w:r w:rsidR="008B390C">
        <w:t>, ale b</w:t>
      </w:r>
      <w:r w:rsidR="00E03A46">
        <w:t xml:space="preserve">lisko </w:t>
      </w:r>
      <w:r w:rsidR="00EE70CD">
        <w:t xml:space="preserve">100 </w:t>
      </w:r>
      <w:r w:rsidR="0059391B">
        <w:t xml:space="preserve">inwestycji jest </w:t>
      </w:r>
      <w:r w:rsidR="00EE70CD">
        <w:t>na różnym etapie</w:t>
      </w:r>
      <w:r w:rsidR="005800C0">
        <w:t xml:space="preserve"> </w:t>
      </w:r>
      <w:r w:rsidR="0059391B">
        <w:t>przygotowani</w:t>
      </w:r>
      <w:r w:rsidR="005800C0">
        <w:t>a</w:t>
      </w:r>
      <w:r w:rsidR="00266787">
        <w:rPr>
          <w:rStyle w:val="Odwoanieprzypisudolnego"/>
        </w:rPr>
        <w:footnoteReference w:id="110"/>
      </w:r>
      <w:r w:rsidR="00E931D5">
        <w:t>. Inwestorzy wskazują na kluczo</w:t>
      </w:r>
      <w:r w:rsidR="003540A9">
        <w:t>we znaczeni</w:t>
      </w:r>
      <w:r w:rsidR="007F6544">
        <w:t>e</w:t>
      </w:r>
      <w:r w:rsidR="003540A9">
        <w:t xml:space="preserve"> systemu wsparcia</w:t>
      </w:r>
      <w:r w:rsidR="007F6544">
        <w:t xml:space="preserve">, zarówno w obszarze </w:t>
      </w:r>
      <w:r w:rsidR="001E7BB5">
        <w:t>nakładów</w:t>
      </w:r>
      <w:r w:rsidR="007F6544">
        <w:t xml:space="preserve"> inwestycyjnych, jak i kosztów operacyjnych</w:t>
      </w:r>
      <w:r w:rsidR="003540A9">
        <w:t>.</w:t>
      </w:r>
      <w:r w:rsidR="007F6544">
        <w:t xml:space="preserve"> </w:t>
      </w:r>
      <w:r w:rsidR="00F611B9">
        <w:t xml:space="preserve">Rynek oczekuje na pierwsze aukcje dla biometanu. </w:t>
      </w:r>
      <w:r w:rsidR="002B1738" w:rsidRPr="1D1393D4">
        <w:t>Choć wyzwania związane z kosztami inwestycjami i</w:t>
      </w:r>
      <w:r w:rsidR="00610F65">
        <w:rPr>
          <w:szCs w:val="16"/>
        </w:rPr>
        <w:t> </w:t>
      </w:r>
      <w:r w:rsidR="002B1738" w:rsidRPr="1D1393D4">
        <w:t xml:space="preserve">operacyjnymi oraz przyłączeniem instalacji do sieci gazowej o odpowiedniej chłonności są nadal bardzo duże, rozwój tej technologii niesie </w:t>
      </w:r>
      <w:r w:rsidR="004A6B57" w:rsidRPr="1D1393D4">
        <w:t xml:space="preserve">znaczącą </w:t>
      </w:r>
      <w:r w:rsidR="002B1738" w:rsidRPr="1D1393D4">
        <w:t xml:space="preserve">możliwość redukcji kosztów wytwarzania </w:t>
      </w:r>
      <w:r w:rsidR="000B170C" w:rsidRPr="1D1393D4">
        <w:t>biometanu</w:t>
      </w:r>
      <w:r w:rsidR="002B1738" w:rsidRPr="1D1393D4">
        <w:t xml:space="preserve"> w</w:t>
      </w:r>
      <w:r w:rsidR="00610F65">
        <w:rPr>
          <w:szCs w:val="16"/>
        </w:rPr>
        <w:t> </w:t>
      </w:r>
      <w:r w:rsidR="002B1738" w:rsidRPr="1D1393D4">
        <w:t>kolejnych latach</w:t>
      </w:r>
      <w:r w:rsidR="00DC05E4" w:rsidRPr="1D1393D4">
        <w:rPr>
          <w:rStyle w:val="Odwoanieprzypisudolnego"/>
        </w:rPr>
        <w:footnoteReference w:id="111"/>
      </w:r>
      <w:r w:rsidR="002B1738">
        <w:rPr>
          <w:szCs w:val="16"/>
        </w:rPr>
        <w:t>.</w:t>
      </w:r>
    </w:p>
    <w:p w14:paraId="21287EF1" w14:textId="43A23935" w:rsidR="00F03E7C" w:rsidRDefault="00FA32BF" w:rsidP="00C37F35">
      <w:r>
        <w:t>Obok biometan</w:t>
      </w:r>
      <w:r w:rsidR="00D17BBF">
        <w:t>owni wprowadzających biometan do sieci gazowej</w:t>
      </w:r>
      <w:r w:rsidR="003A49FC">
        <w:t xml:space="preserve"> bądź wytwarzających biometan w</w:t>
      </w:r>
      <w:r w:rsidR="004C1FBE">
        <w:t> </w:t>
      </w:r>
      <w:r w:rsidR="003A49FC">
        <w:t>formie skroplonej</w:t>
      </w:r>
      <w:r w:rsidR="008F70A4">
        <w:t>,</w:t>
      </w:r>
      <w:r w:rsidR="003B5BD3">
        <w:t xml:space="preserve"> funkcjonować będą także biogazownie. </w:t>
      </w:r>
      <w:r w:rsidR="0038059B">
        <w:t>W szczególności b</w:t>
      </w:r>
      <w:r w:rsidR="00937153" w:rsidRPr="00937153">
        <w:t xml:space="preserve">iogazownie </w:t>
      </w:r>
      <w:r w:rsidR="00254B04">
        <w:t>szczytowe, tj.</w:t>
      </w:r>
      <w:r w:rsidR="00796203">
        <w:t> </w:t>
      </w:r>
      <w:r w:rsidR="00937153" w:rsidRPr="00937153">
        <w:t>pracujące jako gazowe źródła dyspozycyjne w skali dobowej</w:t>
      </w:r>
      <w:r w:rsidR="00254B04">
        <w:t>,</w:t>
      </w:r>
      <w:r w:rsidR="00937153" w:rsidRPr="00937153">
        <w:t xml:space="preserve"> mogą mieć </w:t>
      </w:r>
      <w:r w:rsidR="00B32942">
        <w:t xml:space="preserve">w okresie przejściowym </w:t>
      </w:r>
      <w:r w:rsidR="00937153" w:rsidRPr="00937153">
        <w:t>pewne znaczenie przy tworzeniu tzw. lokalnych obszarów bilansowania</w:t>
      </w:r>
      <w:r w:rsidR="00B32942">
        <w:t>, a także dla</w:t>
      </w:r>
      <w:r w:rsidR="00984601" w:rsidRPr="00984601">
        <w:t xml:space="preserve"> </w:t>
      </w:r>
      <w:r w:rsidR="0071122A" w:rsidRPr="0071122A">
        <w:t>zapewnienia ciepła miejscowej społeczności</w:t>
      </w:r>
      <w:r w:rsidR="003B5BD3">
        <w:t xml:space="preserve">. </w:t>
      </w:r>
    </w:p>
    <w:p w14:paraId="1F5A4333" w14:textId="77777777" w:rsidR="00F03E7C" w:rsidRDefault="00F03E7C" w:rsidP="00C37F35"/>
    <w:p w14:paraId="2BF283FD" w14:textId="5F58CF13" w:rsidR="00C37F35" w:rsidRPr="002321E4" w:rsidRDefault="00C37F35" w:rsidP="00C37F35">
      <w:pPr>
        <w:pStyle w:val="Cele"/>
      </w:pPr>
      <w:r w:rsidRPr="00310147">
        <w:rPr>
          <w:b/>
          <w:bCs/>
        </w:rPr>
        <w:t xml:space="preserve">Celem do 2030 r. jest </w:t>
      </w:r>
      <w:r w:rsidR="3BD90B8D" w:rsidRPr="5D5D1B4E">
        <w:rPr>
          <w:b/>
          <w:bCs/>
        </w:rPr>
        <w:t>osiągni</w:t>
      </w:r>
      <w:r w:rsidR="05EB1569" w:rsidRPr="5D5D1B4E">
        <w:rPr>
          <w:b/>
          <w:bCs/>
        </w:rPr>
        <w:t>ę</w:t>
      </w:r>
      <w:r w:rsidR="3BD90B8D" w:rsidRPr="5D5D1B4E">
        <w:rPr>
          <w:b/>
          <w:bCs/>
        </w:rPr>
        <w:t>cie</w:t>
      </w:r>
      <w:r w:rsidR="00AF47C1" w:rsidRPr="00310147">
        <w:rPr>
          <w:b/>
          <w:bCs/>
        </w:rPr>
        <w:t xml:space="preserve"> </w:t>
      </w:r>
      <w:r w:rsidR="00AF47C1">
        <w:rPr>
          <w:b/>
          <w:bCs/>
        </w:rPr>
        <w:t>krajowej</w:t>
      </w:r>
      <w:r w:rsidR="00AF47C1" w:rsidRPr="00310147">
        <w:rPr>
          <w:b/>
          <w:bCs/>
        </w:rPr>
        <w:t xml:space="preserve"> </w:t>
      </w:r>
      <w:r w:rsidRPr="00310147">
        <w:rPr>
          <w:b/>
          <w:bCs/>
        </w:rPr>
        <w:t>produkcji biometanu</w:t>
      </w:r>
      <w:r w:rsidR="003E2DE5">
        <w:rPr>
          <w:b/>
          <w:bCs/>
        </w:rPr>
        <w:t xml:space="preserve"> </w:t>
      </w:r>
      <w:r w:rsidR="000B091F">
        <w:rPr>
          <w:b/>
          <w:bCs/>
        </w:rPr>
        <w:t xml:space="preserve">ok. </w:t>
      </w:r>
      <w:r w:rsidR="008D2334">
        <w:rPr>
          <w:b/>
          <w:bCs/>
        </w:rPr>
        <w:t>1,</w:t>
      </w:r>
      <w:r w:rsidR="000B091F">
        <w:rPr>
          <w:b/>
          <w:bCs/>
        </w:rPr>
        <w:t>5</w:t>
      </w:r>
      <w:r w:rsidR="008D2334">
        <w:rPr>
          <w:b/>
          <w:bCs/>
        </w:rPr>
        <w:t xml:space="preserve"> </w:t>
      </w:r>
      <w:r>
        <w:rPr>
          <w:b/>
          <w:bCs/>
        </w:rPr>
        <w:t>mld m</w:t>
      </w:r>
      <w:r w:rsidRPr="00FF0D4F">
        <w:rPr>
          <w:b/>
          <w:bCs/>
          <w:vertAlign w:val="superscript"/>
        </w:rPr>
        <w:t>3</w:t>
      </w:r>
      <w:r w:rsidRPr="00310147">
        <w:rPr>
          <w:b/>
          <w:bCs/>
        </w:rPr>
        <w:t>, a</w:t>
      </w:r>
      <w:r w:rsidR="006C0CEE">
        <w:rPr>
          <w:b/>
          <w:bCs/>
        </w:rPr>
        <w:t> </w:t>
      </w:r>
      <w:r w:rsidRPr="00310147">
        <w:rPr>
          <w:b/>
          <w:bCs/>
        </w:rPr>
        <w:t>w</w:t>
      </w:r>
      <w:r w:rsidR="006C0CEE">
        <w:rPr>
          <w:b/>
          <w:bCs/>
        </w:rPr>
        <w:t> </w:t>
      </w:r>
      <w:r w:rsidRPr="00310147">
        <w:rPr>
          <w:b/>
          <w:bCs/>
        </w:rPr>
        <w:t xml:space="preserve">perspektywie 2040 r. oczekuje się </w:t>
      </w:r>
      <w:r>
        <w:rPr>
          <w:b/>
          <w:bCs/>
        </w:rPr>
        <w:t>wytwarzania n</w:t>
      </w:r>
      <w:r w:rsidRPr="00310147">
        <w:rPr>
          <w:b/>
          <w:bCs/>
        </w:rPr>
        <w:t xml:space="preserve">a poziomie </w:t>
      </w:r>
      <w:r w:rsidR="000B091F">
        <w:rPr>
          <w:b/>
          <w:bCs/>
        </w:rPr>
        <w:t>3,9</w:t>
      </w:r>
      <w:r w:rsidRPr="00310147">
        <w:rPr>
          <w:b/>
          <w:bCs/>
        </w:rPr>
        <w:t xml:space="preserve"> mld</w:t>
      </w:r>
      <w:r w:rsidR="007851CE">
        <w:rPr>
          <w:b/>
          <w:bCs/>
        </w:rPr>
        <w:t xml:space="preserve"> </w:t>
      </w:r>
      <w:r w:rsidRPr="00310147">
        <w:rPr>
          <w:b/>
          <w:bCs/>
        </w:rPr>
        <w:t>m</w:t>
      </w:r>
      <w:r w:rsidRPr="00310147">
        <w:rPr>
          <w:b/>
          <w:bCs/>
          <w:vertAlign w:val="superscript"/>
        </w:rPr>
        <w:t>3</w:t>
      </w:r>
      <w:r w:rsidRPr="00310147">
        <w:rPr>
          <w:b/>
          <w:bCs/>
        </w:rPr>
        <w:t>,</w:t>
      </w:r>
      <w:r>
        <w:t xml:space="preserve"> tak by w</w:t>
      </w:r>
      <w:r w:rsidR="006C0CEE">
        <w:t> </w:t>
      </w:r>
      <w:r>
        <w:t xml:space="preserve">długiej perspektywie możliwe było pokrycie zapotrzebowania na paliwa gazowe biometanem i gazem </w:t>
      </w:r>
      <w:r w:rsidR="54F98691">
        <w:t>ziemny</w:t>
      </w:r>
      <w:r w:rsidR="7979D6A7">
        <w:t>m</w:t>
      </w:r>
      <w:r>
        <w:t xml:space="preserve"> z własnych źródeł</w:t>
      </w:r>
      <w:r w:rsidR="00A23458">
        <w:t>.</w:t>
      </w:r>
    </w:p>
    <w:p w14:paraId="11BE3DAE" w14:textId="04173D1D" w:rsidR="00C37F35" w:rsidRPr="001549FD" w:rsidRDefault="00C37F35" w:rsidP="00C37F35">
      <w:pPr>
        <w:pStyle w:val="PaMs"/>
      </w:pPr>
      <w:r w:rsidRPr="001549FD">
        <w:t>P</w:t>
      </w:r>
      <w:r w:rsidR="00D03811" w:rsidRPr="001549FD">
        <w:t>OLITYKA</w:t>
      </w:r>
    </w:p>
    <w:p w14:paraId="4A50FB9A" w14:textId="3A0D49F1" w:rsidR="00C37F35" w:rsidRPr="00E07DB0" w:rsidRDefault="001549FD" w:rsidP="00C37F35">
      <w:pPr>
        <w:rPr>
          <w:szCs w:val="16"/>
        </w:rPr>
      </w:pPr>
      <w:r>
        <w:rPr>
          <w:szCs w:val="16"/>
        </w:rPr>
        <w:t xml:space="preserve">Według prognozy </w:t>
      </w:r>
      <w:r w:rsidR="009F79A1">
        <w:rPr>
          <w:szCs w:val="16"/>
        </w:rPr>
        <w:t xml:space="preserve">zaopatrzenia w paliwa </w:t>
      </w:r>
      <w:r w:rsidR="00432567">
        <w:rPr>
          <w:szCs w:val="16"/>
        </w:rPr>
        <w:t xml:space="preserve">na rok 2030 i </w:t>
      </w:r>
      <w:r w:rsidR="00613550">
        <w:rPr>
          <w:szCs w:val="16"/>
        </w:rPr>
        <w:t xml:space="preserve">w </w:t>
      </w:r>
      <w:r w:rsidR="00432567">
        <w:rPr>
          <w:szCs w:val="16"/>
        </w:rPr>
        <w:t>dal</w:t>
      </w:r>
      <w:r w:rsidR="00613550">
        <w:rPr>
          <w:szCs w:val="16"/>
        </w:rPr>
        <w:t>szej perspektywie</w:t>
      </w:r>
      <w:r>
        <w:rPr>
          <w:szCs w:val="16"/>
        </w:rPr>
        <w:t xml:space="preserve"> </w:t>
      </w:r>
      <w:r w:rsidRPr="00F761F4">
        <w:rPr>
          <w:b/>
          <w:bCs/>
          <w:szCs w:val="16"/>
        </w:rPr>
        <w:t>b</w:t>
      </w:r>
      <w:r w:rsidR="00EE5985" w:rsidRPr="00F761F4">
        <w:rPr>
          <w:b/>
          <w:bCs/>
          <w:szCs w:val="16"/>
        </w:rPr>
        <w:t xml:space="preserve">iometan </w:t>
      </w:r>
      <w:r w:rsidR="00EE5985" w:rsidRPr="00E07DB0">
        <w:rPr>
          <w:szCs w:val="16"/>
        </w:rPr>
        <w:t>będzie stanowić ważny element dywersyfikacji krajowego miksu energetycznego i</w:t>
      </w:r>
      <w:r w:rsidR="00F761F4">
        <w:rPr>
          <w:szCs w:val="16"/>
        </w:rPr>
        <w:t xml:space="preserve"> </w:t>
      </w:r>
      <w:r w:rsidR="00EE5985" w:rsidRPr="00E07DB0">
        <w:rPr>
          <w:szCs w:val="16"/>
        </w:rPr>
        <w:t>transformacji energetyczn</w:t>
      </w:r>
      <w:r w:rsidR="00EE5985">
        <w:rPr>
          <w:szCs w:val="16"/>
        </w:rPr>
        <w:t>o-klimatycznej</w:t>
      </w:r>
      <w:r w:rsidR="00EE5985" w:rsidRPr="00E07DB0">
        <w:rPr>
          <w:szCs w:val="16"/>
        </w:rPr>
        <w:t xml:space="preserve">. </w:t>
      </w:r>
      <w:r w:rsidR="00EA623E">
        <w:rPr>
          <w:szCs w:val="16"/>
        </w:rPr>
        <w:t xml:space="preserve">Ponadto produkcja biometanu niesie </w:t>
      </w:r>
      <w:r w:rsidR="00C37F35" w:rsidRPr="00E07DB0">
        <w:rPr>
          <w:szCs w:val="16"/>
        </w:rPr>
        <w:t>wiele korzyści dla lokalnych społeczności i gospodarki</w:t>
      </w:r>
      <w:r w:rsidR="00EA623E">
        <w:rPr>
          <w:szCs w:val="16"/>
        </w:rPr>
        <w:t xml:space="preserve"> </w:t>
      </w:r>
      <w:r w:rsidR="00F761F4">
        <w:rPr>
          <w:szCs w:val="16"/>
        </w:rPr>
        <w:t xml:space="preserve">o </w:t>
      </w:r>
      <w:r w:rsidR="00EA623E">
        <w:rPr>
          <w:szCs w:val="16"/>
        </w:rPr>
        <w:t>obiegu zamknięt</w:t>
      </w:r>
      <w:r w:rsidR="00F761F4">
        <w:rPr>
          <w:szCs w:val="16"/>
        </w:rPr>
        <w:t>ym</w:t>
      </w:r>
      <w:r w:rsidR="00C37F35" w:rsidRPr="00E07DB0">
        <w:rPr>
          <w:szCs w:val="16"/>
        </w:rPr>
        <w:t>, dlatego intensyfikowane</w:t>
      </w:r>
      <w:r w:rsidR="000F54A2" w:rsidRPr="00E07DB0">
        <w:rPr>
          <w:szCs w:val="16"/>
        </w:rPr>
        <w:t xml:space="preserve"> będzie </w:t>
      </w:r>
      <w:r w:rsidR="00C37F35" w:rsidRPr="00E07DB0">
        <w:rPr>
          <w:szCs w:val="16"/>
        </w:rPr>
        <w:t>wsparcie w tym obszarze.</w:t>
      </w:r>
    </w:p>
    <w:p w14:paraId="1FD1100C" w14:textId="72ECCC9B" w:rsidR="00C37F35" w:rsidRPr="00E07DB0" w:rsidRDefault="003F16AE" w:rsidP="00C37F35">
      <w:r w:rsidRPr="00CB19DB">
        <w:t>Priorytetowe jest wprowadzenie biometanu do sieci gazowych, przy czym prognozuje się rosnący w</w:t>
      </w:r>
      <w:r w:rsidR="00610C2D">
        <w:t> </w:t>
      </w:r>
      <w:r w:rsidRPr="00CB19DB">
        <w:t xml:space="preserve">czasie udział biometanu w paliwie gazowym w sieciach. </w:t>
      </w:r>
      <w:r w:rsidR="00C37F35" w:rsidRPr="00E07DB0">
        <w:t>Ograniczon</w:t>
      </w:r>
      <w:r w:rsidR="00CB1286" w:rsidRPr="00E07DB0">
        <w:t xml:space="preserve">y potencjał produkcji zrównoważonego </w:t>
      </w:r>
      <w:r w:rsidR="00C37F35" w:rsidRPr="00E07DB0">
        <w:t xml:space="preserve">biometanu i jego </w:t>
      </w:r>
      <w:r w:rsidR="00A8419E">
        <w:t xml:space="preserve">obecne </w:t>
      </w:r>
      <w:r w:rsidR="00CB43FA" w:rsidRPr="00E07DB0">
        <w:t xml:space="preserve">wyższe koszty wytwarzania niż cena zakupu gazu ziemnego </w:t>
      </w:r>
      <w:r w:rsidR="0097671D">
        <w:t xml:space="preserve">(łącznie z opłatą </w:t>
      </w:r>
      <w:r w:rsidR="008B390C">
        <w:t>za uprawniania do emisji CO</w:t>
      </w:r>
      <w:r w:rsidR="008B390C" w:rsidRPr="008B390C">
        <w:rPr>
          <w:vertAlign w:val="subscript"/>
        </w:rPr>
        <w:t>2</w:t>
      </w:r>
      <w:r w:rsidR="0097671D">
        <w:t xml:space="preserve">) </w:t>
      </w:r>
      <w:r w:rsidR="00B828DF" w:rsidRPr="00E07DB0">
        <w:t>sprawiają, że biometan powinien być</w:t>
      </w:r>
      <w:r w:rsidR="00C37F35" w:rsidRPr="00E07DB0">
        <w:t xml:space="preserve"> wykorzystywany w najbardziej efektywny i</w:t>
      </w:r>
      <w:r w:rsidR="00B7236D" w:rsidRPr="00E07DB0">
        <w:t> </w:t>
      </w:r>
      <w:r w:rsidR="00C37F35" w:rsidRPr="00E07DB0">
        <w:t xml:space="preserve">racjonalny sposób. </w:t>
      </w:r>
      <w:r w:rsidR="00EA6305">
        <w:t xml:space="preserve">Głównym zastosowaniem biometanu powinno być wykorzystanie w dyspozycyjnych </w:t>
      </w:r>
      <w:r w:rsidR="00916858">
        <w:t>blokach gazowych, stanowiących jednostki szczytowe w systemie elektroenergetycznym</w:t>
      </w:r>
      <w:r w:rsidR="006057C6">
        <w:t xml:space="preserve">. Pozwoli to </w:t>
      </w:r>
      <w:r w:rsidR="00BA406F">
        <w:t xml:space="preserve">zastępować paliwa kopalne w bilansowaniu </w:t>
      </w:r>
      <w:r w:rsidR="00BF5BAE">
        <w:t>OZE w KSE.</w:t>
      </w:r>
      <w:r w:rsidR="00974007">
        <w:t xml:space="preserve">  </w:t>
      </w:r>
      <w:r w:rsidR="001C398C">
        <w:t>Biometan</w:t>
      </w:r>
      <w:r w:rsidR="003A2268">
        <w:t xml:space="preserve"> b</w:t>
      </w:r>
      <w:r w:rsidR="001C398C">
        <w:t xml:space="preserve">ędzie mieć także zastosowanie w </w:t>
      </w:r>
      <w:r w:rsidR="009349B6">
        <w:t>ciepłownictwie systemowym, w którym pewna rolę odgrywać będą ele</w:t>
      </w:r>
      <w:r w:rsidR="00E510DB">
        <w:t>ktrociepłownie gazowe</w:t>
      </w:r>
      <w:r w:rsidR="005E2AA3">
        <w:t>.</w:t>
      </w:r>
      <w:r w:rsidR="00CB19DB" w:rsidRPr="00CB19DB">
        <w:t xml:space="preserve"> Biometan to także paliwo i surowiec dla przemysłu</w:t>
      </w:r>
      <w:r w:rsidR="008240EE">
        <w:t xml:space="preserve"> oraz paliwo w sektorze t</w:t>
      </w:r>
      <w:r w:rsidR="00807925" w:rsidRPr="00807925">
        <w:t>ransport</w:t>
      </w:r>
      <w:r w:rsidR="008240EE">
        <w:t>u</w:t>
      </w:r>
      <w:r w:rsidR="00807925" w:rsidRPr="00807925">
        <w:t xml:space="preserve"> (zwłaszcza ciężki</w:t>
      </w:r>
      <w:r w:rsidR="008240EE">
        <w:t>m</w:t>
      </w:r>
      <w:r w:rsidR="007E5EC2">
        <w:t>).</w:t>
      </w:r>
    </w:p>
    <w:p w14:paraId="326172AE" w14:textId="002F7504" w:rsidR="00C37F35" w:rsidRDefault="00C37F35" w:rsidP="00E21F25">
      <w:pPr>
        <w:spacing w:after="80"/>
      </w:pPr>
      <w:r w:rsidRPr="00E07DB0">
        <w:t xml:space="preserve">Istniejący system wsparcia </w:t>
      </w:r>
      <w:r w:rsidR="00D52E41">
        <w:t>operacyjnego dla biometanu to system dopłat</w:t>
      </w:r>
      <w:r w:rsidRPr="00E07DB0">
        <w:t xml:space="preserve"> </w:t>
      </w:r>
      <w:r w:rsidRPr="00E07DB0">
        <w:rPr>
          <w:i/>
          <w:iCs/>
        </w:rPr>
        <w:t>feed in premium</w:t>
      </w:r>
      <w:r w:rsidRPr="00E07DB0">
        <w:t xml:space="preserve"> dla instalacji OZE wytwarzających biometan </w:t>
      </w:r>
      <w:r w:rsidR="00153837">
        <w:t>w ilości odpowiadającej</w:t>
      </w:r>
      <w:r w:rsidR="003E2DE5">
        <w:t xml:space="preserve"> </w:t>
      </w:r>
      <w:r w:rsidRPr="00E07DB0">
        <w:t>mocy do 1 MW (przeliczonej na moc zainstalowaną elektryczną)</w:t>
      </w:r>
      <w:r w:rsidR="00210CCD">
        <w:t>.</w:t>
      </w:r>
      <w:r w:rsidRPr="00E07DB0">
        <w:t xml:space="preserve"> Dla pobudzenia branży:</w:t>
      </w:r>
    </w:p>
    <w:p w14:paraId="5F793A47" w14:textId="7F987C46" w:rsidR="00C37F35" w:rsidRDefault="00C37F35" w:rsidP="000625AC">
      <w:pPr>
        <w:pStyle w:val="Akapitzlist"/>
        <w:numPr>
          <w:ilvl w:val="0"/>
          <w:numId w:val="57"/>
        </w:numPr>
        <w:spacing w:after="80"/>
        <w:ind w:left="425" w:hanging="357"/>
        <w:contextualSpacing w:val="0"/>
      </w:pPr>
      <w:r>
        <w:lastRenderedPageBreak/>
        <w:t xml:space="preserve">Wdrożone zostaną regulacje </w:t>
      </w:r>
      <w:r w:rsidRPr="009E3B48">
        <w:t>w</w:t>
      </w:r>
      <w:r>
        <w:t> </w:t>
      </w:r>
      <w:r w:rsidRPr="009E3B48">
        <w:t xml:space="preserve">formie </w:t>
      </w:r>
      <w:r w:rsidRPr="00337588">
        <w:rPr>
          <w:b/>
          <w:bCs/>
        </w:rPr>
        <w:t>aukcji</w:t>
      </w:r>
      <w:r w:rsidR="003E411D">
        <w:rPr>
          <w:b/>
          <w:bCs/>
        </w:rPr>
        <w:t xml:space="preserve"> dla</w:t>
      </w:r>
      <w:r w:rsidRPr="00337588">
        <w:rPr>
          <w:b/>
          <w:bCs/>
        </w:rPr>
        <w:t xml:space="preserve"> biometanu</w:t>
      </w:r>
      <w:r>
        <w:t>, d</w:t>
      </w:r>
      <w:r w:rsidRPr="009E3B48">
        <w:t xml:space="preserve">zięki </w:t>
      </w:r>
      <w:r>
        <w:t>czemu</w:t>
      </w:r>
      <w:r w:rsidRPr="009E3B48">
        <w:t xml:space="preserve"> wytwórcy biometanu w</w:t>
      </w:r>
      <w:r w:rsidR="00610C2D">
        <w:t> </w:t>
      </w:r>
      <w:r w:rsidRPr="009E3B48">
        <w:t>instalacjach OZE o</w:t>
      </w:r>
      <w:r>
        <w:t> </w:t>
      </w:r>
      <w:r w:rsidRPr="009E3B48">
        <w:t xml:space="preserve">mocy </w:t>
      </w:r>
      <w:r w:rsidR="007A03FE">
        <w:t xml:space="preserve">ekwiwalentnej </w:t>
      </w:r>
      <w:r w:rsidR="0010268C">
        <w:t>w paliwie gazowym</w:t>
      </w:r>
      <w:r w:rsidRPr="009E3B48">
        <w:t xml:space="preserve"> </w:t>
      </w:r>
      <w:r w:rsidR="007A03FE">
        <w:t>powyżej</w:t>
      </w:r>
      <w:r w:rsidRPr="009E3B48">
        <w:t xml:space="preserve"> 1</w:t>
      </w:r>
      <w:r w:rsidR="003E411D">
        <w:t> </w:t>
      </w:r>
      <w:r w:rsidRPr="009E3B48">
        <w:t>MW</w:t>
      </w:r>
      <w:r w:rsidRPr="00661A9E">
        <w:rPr>
          <w:vertAlign w:val="subscript"/>
        </w:rPr>
        <w:t>e</w:t>
      </w:r>
      <w:r w:rsidRPr="009E3B48">
        <w:t xml:space="preserve"> będą mieli możliwość skorzystać z dedykowanego systemu wsparcia</w:t>
      </w:r>
      <w:r w:rsidR="00F22286">
        <w:t>, pod warunkiem wprowadzenia biometanu do sieci gazowej</w:t>
      </w:r>
      <w:r>
        <w:t>.</w:t>
      </w:r>
      <w:r w:rsidR="00132840">
        <w:t xml:space="preserve"> </w:t>
      </w:r>
      <w:r w:rsidR="00D5031C">
        <w:t xml:space="preserve">Warto, aby system </w:t>
      </w:r>
      <w:r w:rsidR="00F22286">
        <w:t xml:space="preserve">wsparcia </w:t>
      </w:r>
      <w:r w:rsidR="0052374A">
        <w:t>promowa</w:t>
      </w:r>
      <w:r w:rsidR="00D5031C">
        <w:t>ł</w:t>
      </w:r>
      <w:r w:rsidR="0052374A">
        <w:t xml:space="preserve"> stosowanie rozwiązań </w:t>
      </w:r>
      <w:r w:rsidR="00F03F8B">
        <w:t>związanych z</w:t>
      </w:r>
      <w:r w:rsidR="00610C2D">
        <w:t> </w:t>
      </w:r>
      <w:r w:rsidR="00F03F8B">
        <w:t>brakiem uciążliwości zapachowej</w:t>
      </w:r>
      <w:r w:rsidR="00B94009">
        <w:t xml:space="preserve"> oraz</w:t>
      </w:r>
      <w:r w:rsidR="00F03F8B">
        <w:t xml:space="preserve"> </w:t>
      </w:r>
      <w:r w:rsidR="00C25A4A">
        <w:t>ograniczeniem emisji biometanu do atmosfery</w:t>
      </w:r>
      <w:r w:rsidR="00D5031C">
        <w:t xml:space="preserve">, </w:t>
      </w:r>
      <w:r w:rsidR="001F0BC8">
        <w:t xml:space="preserve">czyli </w:t>
      </w:r>
      <w:r w:rsidR="001F0BC8" w:rsidRPr="001F0BC8">
        <w:rPr>
          <w:b/>
          <w:bCs/>
        </w:rPr>
        <w:t>kryteria pozacenowe</w:t>
      </w:r>
      <w:r w:rsidR="001D2C8C">
        <w:t>.</w:t>
      </w:r>
      <w:r w:rsidR="00AB5398">
        <w:t xml:space="preserve"> </w:t>
      </w:r>
      <w:r w:rsidR="00D339CE">
        <w:t xml:space="preserve">Będzie to sprzyjać </w:t>
      </w:r>
      <w:r w:rsidR="00AB5398">
        <w:t>zwiększeni</w:t>
      </w:r>
      <w:r w:rsidR="0008650F">
        <w:t>u</w:t>
      </w:r>
      <w:r w:rsidR="00AB5398">
        <w:t xml:space="preserve"> akcep</w:t>
      </w:r>
      <w:r w:rsidR="00D339CE">
        <w:t>tacji społecznej dla tego typu instalacji.</w:t>
      </w:r>
    </w:p>
    <w:p w14:paraId="6108A4C2" w14:textId="60069D71" w:rsidR="00FB65BC" w:rsidRPr="00340273" w:rsidRDefault="00DC6A75" w:rsidP="000625AC">
      <w:pPr>
        <w:pStyle w:val="Akapitzlist"/>
        <w:numPr>
          <w:ilvl w:val="0"/>
          <w:numId w:val="57"/>
        </w:numPr>
        <w:spacing w:after="80"/>
        <w:ind w:left="425" w:hanging="357"/>
        <w:contextualSpacing w:val="0"/>
      </w:pPr>
      <w:r>
        <w:rPr>
          <w:rFonts w:eastAsia="Times New Roman" w:cs="Times New Roman"/>
          <w:lang w:eastAsia="pl-PL"/>
        </w:rPr>
        <w:t>D</w:t>
      </w:r>
      <w:r w:rsidRPr="00340273">
        <w:rPr>
          <w:rFonts w:eastAsia="Times New Roman" w:cs="Times New Roman"/>
          <w:lang w:eastAsia="pl-PL"/>
        </w:rPr>
        <w:t xml:space="preserve">ążyć </w:t>
      </w:r>
      <w:r>
        <w:rPr>
          <w:rFonts w:eastAsia="Times New Roman" w:cs="Times New Roman"/>
          <w:lang w:eastAsia="pl-PL"/>
        </w:rPr>
        <w:t xml:space="preserve">się będzie </w:t>
      </w:r>
      <w:r w:rsidR="00FB65BC" w:rsidRPr="00340273">
        <w:rPr>
          <w:rFonts w:eastAsia="Times New Roman" w:cs="Times New Roman"/>
          <w:lang w:eastAsia="pl-PL"/>
        </w:rPr>
        <w:t>do objęcia systemem aukcyjnym także biometanu dostarczanego do krajowej sieci gazowej w inny sposób niż za pomocą bezpośredniego przyłącza instalacji do sieci gazowej.</w:t>
      </w:r>
      <w:r w:rsidR="003E2DE5">
        <w:rPr>
          <w:rFonts w:eastAsia="Times New Roman" w:cs="Times New Roman"/>
          <w:lang w:eastAsia="pl-PL"/>
        </w:rPr>
        <w:t xml:space="preserve"> </w:t>
      </w:r>
    </w:p>
    <w:p w14:paraId="3E1A24D9" w14:textId="1DEE8428" w:rsidR="008B390C" w:rsidRDefault="008752F6" w:rsidP="000625AC">
      <w:pPr>
        <w:pStyle w:val="Akapitzlist"/>
        <w:numPr>
          <w:ilvl w:val="0"/>
          <w:numId w:val="57"/>
        </w:numPr>
        <w:spacing w:after="80"/>
        <w:ind w:left="425" w:hanging="357"/>
        <w:contextualSpacing w:val="0"/>
      </w:pPr>
      <w:r>
        <w:t xml:space="preserve">Konieczne jest </w:t>
      </w:r>
      <w:r w:rsidR="00CA4929">
        <w:rPr>
          <w:b/>
          <w:bCs/>
        </w:rPr>
        <w:t>stworzeni</w:t>
      </w:r>
      <w:r>
        <w:rPr>
          <w:b/>
          <w:bCs/>
        </w:rPr>
        <w:t>e</w:t>
      </w:r>
      <w:r w:rsidR="00CA4929">
        <w:rPr>
          <w:b/>
          <w:bCs/>
        </w:rPr>
        <w:t xml:space="preserve"> warunków dla </w:t>
      </w:r>
      <w:r w:rsidR="00984991">
        <w:rPr>
          <w:b/>
          <w:bCs/>
        </w:rPr>
        <w:t xml:space="preserve">efektywnej współpracy </w:t>
      </w:r>
      <w:r w:rsidR="00C37F35" w:rsidRPr="005E093A">
        <w:rPr>
          <w:b/>
          <w:bCs/>
        </w:rPr>
        <w:t>operatorów gazociągów przesyłowych</w:t>
      </w:r>
      <w:r w:rsidR="00C37F35" w:rsidRPr="003E66B9">
        <w:t xml:space="preserve"> </w:t>
      </w:r>
      <w:r w:rsidR="00C37F35" w:rsidRPr="005E093A">
        <w:rPr>
          <w:b/>
          <w:bCs/>
        </w:rPr>
        <w:t>i</w:t>
      </w:r>
      <w:r w:rsidR="00AD5FE8">
        <w:rPr>
          <w:b/>
          <w:bCs/>
        </w:rPr>
        <w:t> </w:t>
      </w:r>
      <w:r w:rsidR="00C37F35" w:rsidRPr="005E093A">
        <w:rPr>
          <w:b/>
          <w:bCs/>
        </w:rPr>
        <w:t xml:space="preserve">dystrybucyjnych </w:t>
      </w:r>
      <w:r w:rsidR="00984991">
        <w:t>z</w:t>
      </w:r>
      <w:r w:rsidR="00984991" w:rsidRPr="003E66B9">
        <w:t xml:space="preserve"> </w:t>
      </w:r>
      <w:r w:rsidR="00C37F35" w:rsidRPr="003E66B9">
        <w:t>wytwórc</w:t>
      </w:r>
      <w:r w:rsidR="00984991">
        <w:t>ami</w:t>
      </w:r>
      <w:r w:rsidR="00C37F35" w:rsidRPr="003E66B9">
        <w:t xml:space="preserve"> biometanu</w:t>
      </w:r>
      <w:r w:rsidR="00C37F35">
        <w:t>, w szczególności poprzez</w:t>
      </w:r>
      <w:r w:rsidR="008B390C">
        <w:t>:</w:t>
      </w:r>
    </w:p>
    <w:p w14:paraId="03BAECA2" w14:textId="30972C68" w:rsidR="008B390C" w:rsidRDefault="00C37F35" w:rsidP="000625AC">
      <w:pPr>
        <w:pStyle w:val="Akapitzlist"/>
        <w:numPr>
          <w:ilvl w:val="1"/>
          <w:numId w:val="57"/>
        </w:numPr>
        <w:ind w:left="993"/>
      </w:pPr>
      <w:r w:rsidRPr="003E66B9">
        <w:t>wdrożenie obowiązków w</w:t>
      </w:r>
      <w:r w:rsidR="00AD5FE8">
        <w:t> </w:t>
      </w:r>
      <w:r w:rsidRPr="003E66B9">
        <w:t>zakresie zapewnienia transparentnego procesu kształtowania planów rozwoju sieci gazowych</w:t>
      </w:r>
      <w:r>
        <w:t xml:space="preserve"> oraz </w:t>
      </w:r>
    </w:p>
    <w:p w14:paraId="7002244A" w14:textId="7AFD3655" w:rsidR="00AD5FE8" w:rsidRDefault="00C37F35" w:rsidP="000625AC">
      <w:pPr>
        <w:pStyle w:val="Akapitzlist"/>
        <w:numPr>
          <w:ilvl w:val="1"/>
          <w:numId w:val="57"/>
        </w:numPr>
        <w:ind w:left="993"/>
      </w:pPr>
      <w:r w:rsidRPr="00070F70">
        <w:t>zapewnieni</w:t>
      </w:r>
      <w:r w:rsidR="008B390C">
        <w:t>e</w:t>
      </w:r>
      <w:r w:rsidRPr="00070F70">
        <w:t xml:space="preserve"> stałej zdolności </w:t>
      </w:r>
      <w:r w:rsidR="00E859AA">
        <w:t xml:space="preserve">dystrybucji lub </w:t>
      </w:r>
      <w:r w:rsidRPr="00070F70">
        <w:t xml:space="preserve">przesyłu </w:t>
      </w:r>
      <w:r w:rsidR="00E859AA">
        <w:t xml:space="preserve">paliwa </w:t>
      </w:r>
      <w:r>
        <w:t xml:space="preserve">dla </w:t>
      </w:r>
      <w:r w:rsidRPr="00070F70">
        <w:t>instalacji biometanu podłączonych do sieci</w:t>
      </w:r>
      <w:r w:rsidR="00B7236D">
        <w:t>.</w:t>
      </w:r>
    </w:p>
    <w:p w14:paraId="7F0CDDE5" w14:textId="6C1A7C64" w:rsidR="00AD5FE8" w:rsidRDefault="00AD5FE8" w:rsidP="007A0C86">
      <w:r>
        <w:t xml:space="preserve">Niezwykle ważna jest także </w:t>
      </w:r>
      <w:r w:rsidR="00074973">
        <w:t xml:space="preserve">współpraca </w:t>
      </w:r>
      <w:r>
        <w:t xml:space="preserve">samorządów </w:t>
      </w:r>
      <w:r w:rsidR="00074973">
        <w:t>z inwestorami</w:t>
      </w:r>
      <w:r>
        <w:t xml:space="preserve">, zwłaszcza poprzez uwzględnianie </w:t>
      </w:r>
      <w:r w:rsidR="00D3031F">
        <w:t xml:space="preserve">biogazowni i biometanowni </w:t>
      </w:r>
      <w:r>
        <w:t>w planach ogólnych gmin. Analizowane mogą być także inne bodźce dla rozwoju branży związane np. możliwościami modyfikacji wymagań dla zatłaczania gazu do sieci czy wdrożenie mechanizmów stymulujących popyt na biometan w poszczególnych sektorach.</w:t>
      </w:r>
    </w:p>
    <w:p w14:paraId="4C58C2D2" w14:textId="0DC27547" w:rsidR="00C010B4" w:rsidRDefault="00D16E95" w:rsidP="00DC17FE">
      <w:pPr>
        <w:pStyle w:val="PaMs"/>
      </w:pPr>
      <w:r>
        <w:t>DZIAŁANIA</w:t>
      </w:r>
    </w:p>
    <w:p w14:paraId="684E03AC" w14:textId="01B4BE33" w:rsidR="007F1D05" w:rsidRDefault="007F1D05" w:rsidP="000625AC">
      <w:pPr>
        <w:pStyle w:val="Akapitzlist"/>
        <w:numPr>
          <w:ilvl w:val="0"/>
          <w:numId w:val="56"/>
        </w:numPr>
      </w:pPr>
      <w:r>
        <w:fldChar w:fldCharType="begin"/>
      </w:r>
      <w:r>
        <w:instrText xml:space="preserve"> REF _Ref195891798 \h </w:instrText>
      </w:r>
      <w:r>
        <w:fldChar w:fldCharType="separate"/>
      </w:r>
      <w:r w:rsidR="00871DD5">
        <w:t xml:space="preserve">Działanie </w:t>
      </w:r>
      <w:r w:rsidR="00871DD5">
        <w:rPr>
          <w:noProof/>
        </w:rPr>
        <w:t>11</w:t>
      </w:r>
      <w:r w:rsidR="00871DD5">
        <w:t xml:space="preserve">. </w:t>
      </w:r>
      <w:r w:rsidR="00871DD5" w:rsidRPr="009D065B">
        <w:t>Instrument finansowy – system taryf gwarantowanych i dopłat do cen rynkowych</w:t>
      </w:r>
      <w:r>
        <w:fldChar w:fldCharType="end"/>
      </w:r>
    </w:p>
    <w:p w14:paraId="22480075" w14:textId="59E84F4C" w:rsidR="007F1D05" w:rsidRDefault="007F1D05" w:rsidP="000625AC">
      <w:pPr>
        <w:pStyle w:val="Akapitzlist"/>
        <w:numPr>
          <w:ilvl w:val="0"/>
          <w:numId w:val="56"/>
        </w:numPr>
      </w:pPr>
      <w:r>
        <w:fldChar w:fldCharType="begin"/>
      </w:r>
      <w:r>
        <w:instrText xml:space="preserve"> REF _Ref195891822 \h </w:instrText>
      </w:r>
      <w:r>
        <w:fldChar w:fldCharType="separate"/>
      </w:r>
      <w:r w:rsidR="00871DD5">
        <w:t xml:space="preserve">Działanie </w:t>
      </w:r>
      <w:r w:rsidR="00871DD5">
        <w:rPr>
          <w:noProof/>
        </w:rPr>
        <w:t>12</w:t>
      </w:r>
      <w:r w:rsidR="00871DD5">
        <w:t xml:space="preserve">. </w:t>
      </w:r>
      <w:r w:rsidR="00871DD5" w:rsidRPr="00B178F3">
        <w:t>Pakiet wsparcia rozwoju rynku biometanu i biogazu</w:t>
      </w:r>
      <w:r>
        <w:fldChar w:fldCharType="end"/>
      </w:r>
    </w:p>
    <w:p w14:paraId="76109637" w14:textId="7F045CED" w:rsidR="007F1D05" w:rsidRPr="007F1D05" w:rsidRDefault="007F1D05" w:rsidP="000625AC">
      <w:pPr>
        <w:pStyle w:val="Akapitzlist"/>
        <w:numPr>
          <w:ilvl w:val="0"/>
          <w:numId w:val="56"/>
        </w:numPr>
      </w:pPr>
      <w:r>
        <w:fldChar w:fldCharType="begin"/>
      </w:r>
      <w:r>
        <w:instrText xml:space="preserve"> REF _Ref195891856 \h </w:instrText>
      </w:r>
      <w:r>
        <w:fldChar w:fldCharType="separate"/>
      </w:r>
      <w:r w:rsidR="00871DD5">
        <w:t xml:space="preserve">Działanie </w:t>
      </w:r>
      <w:r w:rsidR="00871DD5">
        <w:rPr>
          <w:noProof/>
        </w:rPr>
        <w:t>68</w:t>
      </w:r>
      <w:r w:rsidR="00871DD5">
        <w:t xml:space="preserve">. </w:t>
      </w:r>
      <w:r w:rsidR="00871DD5" w:rsidRPr="006E75AF">
        <w:t>Wsparcie rozwoju biogazowni rolniczych</w:t>
      </w:r>
      <w:r>
        <w:fldChar w:fldCharType="end"/>
      </w:r>
    </w:p>
    <w:p w14:paraId="0798AC7D" w14:textId="043F487C" w:rsidR="007159B3" w:rsidRPr="00F22CB2" w:rsidRDefault="007159B3" w:rsidP="007159B3">
      <w:pPr>
        <w:pStyle w:val="Nagwek4"/>
        <w:rPr>
          <w:color w:val="C00000"/>
        </w:rPr>
      </w:pPr>
      <w:bookmarkStart w:id="536" w:name="_Toc195897329"/>
      <w:bookmarkStart w:id="537" w:name="_Toc195899574"/>
      <w:bookmarkStart w:id="538" w:name="_Toc195897330"/>
      <w:bookmarkStart w:id="539" w:name="_Toc195899575"/>
      <w:bookmarkStart w:id="540" w:name="_Toc195897331"/>
      <w:bookmarkStart w:id="541" w:name="_Toc195899576"/>
      <w:bookmarkStart w:id="542" w:name="_Toc195897332"/>
      <w:bookmarkStart w:id="543" w:name="_Toc195899577"/>
      <w:bookmarkStart w:id="544" w:name="_Toc195897333"/>
      <w:bookmarkStart w:id="545" w:name="_Toc195899578"/>
      <w:bookmarkStart w:id="546" w:name="_Toc159598328"/>
      <w:bookmarkStart w:id="547" w:name="_Toc195897334"/>
      <w:bookmarkStart w:id="548" w:name="_Toc205203200"/>
      <w:bookmarkEnd w:id="536"/>
      <w:bookmarkEnd w:id="537"/>
      <w:bookmarkEnd w:id="538"/>
      <w:bookmarkEnd w:id="539"/>
      <w:bookmarkEnd w:id="540"/>
      <w:bookmarkEnd w:id="541"/>
      <w:bookmarkEnd w:id="542"/>
      <w:bookmarkEnd w:id="543"/>
      <w:bookmarkEnd w:id="544"/>
      <w:bookmarkEnd w:id="545"/>
      <w:r w:rsidRPr="00F22CB2">
        <w:rPr>
          <w:color w:val="C00000"/>
        </w:rPr>
        <w:t xml:space="preserve">Zapewnienie </w:t>
      </w:r>
      <w:r w:rsidR="0059755F">
        <w:rPr>
          <w:color w:val="C00000"/>
        </w:rPr>
        <w:t>warunków</w:t>
      </w:r>
      <w:r w:rsidR="001A3CE2">
        <w:rPr>
          <w:color w:val="C00000"/>
        </w:rPr>
        <w:t xml:space="preserve"> rozwoju</w:t>
      </w:r>
      <w:r w:rsidR="0059755F">
        <w:rPr>
          <w:color w:val="C00000"/>
        </w:rPr>
        <w:t xml:space="preserve"> </w:t>
      </w:r>
      <w:r w:rsidRPr="00F22CB2">
        <w:rPr>
          <w:color w:val="C00000"/>
        </w:rPr>
        <w:t>krajowej produkcji</w:t>
      </w:r>
      <w:r w:rsidR="001A3CE2">
        <w:rPr>
          <w:color w:val="C00000"/>
        </w:rPr>
        <w:t> </w:t>
      </w:r>
      <w:r w:rsidRPr="00F22CB2">
        <w:rPr>
          <w:color w:val="C00000"/>
        </w:rPr>
        <w:t>wodoru</w:t>
      </w:r>
      <w:bookmarkEnd w:id="546"/>
      <w:bookmarkEnd w:id="547"/>
      <w:bookmarkEnd w:id="548"/>
      <w:r w:rsidRPr="00F22CB2">
        <w:rPr>
          <w:color w:val="C00000"/>
        </w:rPr>
        <w:t xml:space="preserve"> </w:t>
      </w:r>
    </w:p>
    <w:p w14:paraId="14580CC2" w14:textId="42DCCBFF" w:rsidR="0098741A" w:rsidRDefault="0062215C" w:rsidP="007159B3">
      <w:r>
        <w:t xml:space="preserve">Według danych za 2023 r. </w:t>
      </w:r>
      <w:r w:rsidR="00E07AD3">
        <w:t>Polska jest trzecim producentem i konsumentem wodoru na potrzeby przemysłu w Europie</w:t>
      </w:r>
      <w:r w:rsidR="00E07AD3">
        <w:rPr>
          <w:rStyle w:val="Odwoanieprzypisudolnego"/>
        </w:rPr>
        <w:footnoteReference w:id="112"/>
      </w:r>
      <w:r w:rsidR="00E07AD3">
        <w:t>, ale jest to tzw. szary</w:t>
      </w:r>
      <w:r w:rsidR="005B1127" w:rsidRPr="005B1127">
        <w:t xml:space="preserve"> </w:t>
      </w:r>
      <w:r w:rsidR="005B1127">
        <w:t>wodór</w:t>
      </w:r>
      <w:r w:rsidR="00E07AD3">
        <w:t>, pochodzący z reformingu parowego paliw kopalnych</w:t>
      </w:r>
      <w:r w:rsidR="005B1127">
        <w:t xml:space="preserve">. </w:t>
      </w:r>
      <w:r w:rsidR="005B1127" w:rsidRPr="00F37967">
        <w:t>W</w:t>
      </w:r>
      <w:r w:rsidR="00E07AD3" w:rsidRPr="00F37967">
        <w:t>drażana polityka klimatyczno-energetyczna wymaga</w:t>
      </w:r>
      <w:r w:rsidR="005B1127" w:rsidRPr="00F37967">
        <w:t xml:space="preserve"> zastosowania</w:t>
      </w:r>
      <w:r w:rsidR="00DD0B1D" w:rsidRPr="00F37967">
        <w:t xml:space="preserve"> wodoru</w:t>
      </w:r>
      <w:r w:rsidR="034B7D41" w:rsidRPr="00F37967">
        <w:t xml:space="preserve"> </w:t>
      </w:r>
      <w:r w:rsidR="00A36CEB" w:rsidRPr="00F37967">
        <w:t>odnawialn</w:t>
      </w:r>
      <w:r w:rsidR="0A834388" w:rsidRPr="00F37967">
        <w:t xml:space="preserve">ego pochodzenia </w:t>
      </w:r>
      <w:r w:rsidR="0A834388">
        <w:t>niebiologicznego</w:t>
      </w:r>
      <w:r w:rsidR="00473066" w:rsidRPr="00F37967">
        <w:t>,</w:t>
      </w:r>
      <w:r w:rsidR="0098741A" w:rsidRPr="00F37967">
        <w:t xml:space="preserve"> </w:t>
      </w:r>
      <w:r w:rsidR="00C81519" w:rsidRPr="00F37967">
        <w:t xml:space="preserve">wytwarzanego z wykorzystaniem </w:t>
      </w:r>
      <w:r w:rsidR="00E07AD3" w:rsidRPr="00F37967">
        <w:t>energi</w:t>
      </w:r>
      <w:r w:rsidR="00C81519" w:rsidRPr="00F37967">
        <w:t>i</w:t>
      </w:r>
      <w:r w:rsidR="00E07AD3" w:rsidRPr="00F37967">
        <w:t xml:space="preserve"> z</w:t>
      </w:r>
      <w:r w:rsidR="00610C2D">
        <w:t> </w:t>
      </w:r>
      <w:r w:rsidR="00E07AD3" w:rsidRPr="00F37967">
        <w:t>OZE</w:t>
      </w:r>
      <w:r w:rsidR="00C81519" w:rsidRPr="00F37967">
        <w:t xml:space="preserve">. </w:t>
      </w:r>
      <w:r w:rsidR="007159B3" w:rsidRPr="00F37967">
        <w:t xml:space="preserve">W części dotyczącej redukcji emisji </w:t>
      </w:r>
      <w:r w:rsidR="00CF646F" w:rsidRPr="00F37967">
        <w:t xml:space="preserve">procesowych </w:t>
      </w:r>
      <w:r w:rsidR="007159B3" w:rsidRPr="00F37967">
        <w:t>w przemyśle (</w:t>
      </w:r>
      <w:r w:rsidR="007159B3" w:rsidRPr="00F37967">
        <w:fldChar w:fldCharType="begin"/>
      </w:r>
      <w:r w:rsidR="007159B3" w:rsidRPr="00F37967">
        <w:instrText xml:space="preserve"> REF _Ref159313182 \n \h </w:instrText>
      </w:r>
      <w:r w:rsidR="00F37967">
        <w:instrText xml:space="preserve"> \* MERGEFORMAT </w:instrText>
      </w:r>
      <w:r w:rsidR="007159B3" w:rsidRPr="00F37967">
        <w:fldChar w:fldCharType="separate"/>
      </w:r>
      <w:r w:rsidR="00871DD5">
        <w:t>Cel 1.2.4</w:t>
      </w:r>
      <w:r w:rsidR="007159B3" w:rsidRPr="00F37967">
        <w:fldChar w:fldCharType="end"/>
      </w:r>
      <w:r w:rsidR="007159B3" w:rsidRPr="00F37967">
        <w:t xml:space="preserve">) przedstawiono rolę </w:t>
      </w:r>
      <w:r w:rsidR="00A36CEB" w:rsidRPr="00F37967">
        <w:t>jaką</w:t>
      </w:r>
      <w:r w:rsidR="007159B3" w:rsidRPr="00F37967">
        <w:t xml:space="preserve"> w transformacji tego sektora ma odgrywać wodór</w:t>
      </w:r>
      <w:r w:rsidR="40A3BF34">
        <w:t xml:space="preserve"> </w:t>
      </w:r>
      <w:r w:rsidDel="007159B3">
        <w:t>RFNBO</w:t>
      </w:r>
      <w:r w:rsidR="007159B3">
        <w:t xml:space="preserve">. </w:t>
      </w:r>
    </w:p>
    <w:p w14:paraId="071DE98A" w14:textId="3EF1E49B" w:rsidR="007159B3" w:rsidRDefault="007159B3" w:rsidP="007159B3">
      <w:pPr>
        <w:rPr>
          <w:b/>
          <w:bCs/>
        </w:rPr>
      </w:pPr>
      <w:r>
        <w:t xml:space="preserve">Dyrektywa RED III obliguje państwa członkowskie do zapewnienia, aby </w:t>
      </w:r>
      <w:r w:rsidR="7EDF1961">
        <w:rPr>
          <w:b/>
          <w:bCs/>
        </w:rPr>
        <w:t>wodór odnawialny pochodzenia niebiologicznego</w:t>
      </w:r>
      <w:r w:rsidR="00D7093C">
        <w:rPr>
          <w:b/>
          <w:bCs/>
        </w:rPr>
        <w:t xml:space="preserve"> </w:t>
      </w:r>
      <w:r w:rsidRPr="000B393A">
        <w:rPr>
          <w:b/>
          <w:bCs/>
        </w:rPr>
        <w:t xml:space="preserve">stanowił 42% do 2030 r. i 60% do 2035 r. </w:t>
      </w:r>
      <w:r w:rsidR="00D304C4">
        <w:rPr>
          <w:b/>
          <w:bCs/>
        </w:rPr>
        <w:t>w</w:t>
      </w:r>
      <w:r w:rsidR="00610C2D">
        <w:rPr>
          <w:b/>
          <w:bCs/>
        </w:rPr>
        <w:t> </w:t>
      </w:r>
      <w:r w:rsidR="00D304C4">
        <w:rPr>
          <w:b/>
          <w:bCs/>
        </w:rPr>
        <w:t>stosunku do</w:t>
      </w:r>
      <w:r w:rsidR="00D7093C">
        <w:rPr>
          <w:b/>
          <w:bCs/>
        </w:rPr>
        <w:t xml:space="preserve"> paliw </w:t>
      </w:r>
      <w:r w:rsidRPr="000B393A">
        <w:rPr>
          <w:b/>
          <w:bCs/>
        </w:rPr>
        <w:t>stosowanych do celów związanych z energią końcową i celów innych niż energetyczne</w:t>
      </w:r>
      <w:r>
        <w:rPr>
          <w:b/>
          <w:bCs/>
        </w:rPr>
        <w:t xml:space="preserve"> w przemyśle</w:t>
      </w:r>
      <w:r>
        <w:rPr>
          <w:rStyle w:val="Odwoanieprzypisudolnego"/>
        </w:rPr>
        <w:footnoteReference w:id="113"/>
      </w:r>
      <w:r w:rsidRPr="000B393A">
        <w:t>.</w:t>
      </w:r>
      <w:r>
        <w:t xml:space="preserve"> </w:t>
      </w:r>
      <w:r w:rsidR="007938DE">
        <w:t xml:space="preserve">W warunkach polskich cel ten dotyczy przede wszystkim przemysłu chemicznego (produkcja nawozów) oraz przemysłu stalowego (produkcja stali). </w:t>
      </w:r>
      <w:r>
        <w:t xml:space="preserve">Ponadto należy zapewnić, aby </w:t>
      </w:r>
      <w:r w:rsidRPr="003742B2">
        <w:t xml:space="preserve">udział </w:t>
      </w:r>
      <w:r w:rsidR="00842508">
        <w:t>RFNBO</w:t>
      </w:r>
      <w:r>
        <w:t xml:space="preserve"> w energii </w:t>
      </w:r>
      <w:r w:rsidRPr="003742B2">
        <w:rPr>
          <w:b/>
          <w:bCs/>
        </w:rPr>
        <w:t>dostarczanej do</w:t>
      </w:r>
      <w:r>
        <w:rPr>
          <w:b/>
          <w:bCs/>
        </w:rPr>
        <w:t> </w:t>
      </w:r>
      <w:r w:rsidRPr="003742B2">
        <w:rPr>
          <w:b/>
          <w:bCs/>
        </w:rPr>
        <w:t>sektora transportu wyniósł co najmniej 1 punkt procentowy w 2030 r.</w:t>
      </w:r>
      <w:r>
        <w:rPr>
          <w:rStyle w:val="Odwoanieprzypisudolnego"/>
          <w:b/>
          <w:bCs/>
        </w:rPr>
        <w:footnoteReference w:id="114"/>
      </w:r>
      <w:r>
        <w:rPr>
          <w:b/>
          <w:bCs/>
        </w:rPr>
        <w:t xml:space="preserve"> </w:t>
      </w:r>
      <w:r w:rsidRPr="00705B1D">
        <w:t>Wykorzystanie</w:t>
      </w:r>
      <w:r>
        <w:t xml:space="preserve"> wodoru </w:t>
      </w:r>
      <w:r w:rsidR="00842508">
        <w:t xml:space="preserve">odnawialnego </w:t>
      </w:r>
      <w:r w:rsidR="6A712D14">
        <w:t xml:space="preserve">pochodzenia niebiologicznego </w:t>
      </w:r>
      <w:r>
        <w:t>w tych gałęziach gospodarki przyczyni</w:t>
      </w:r>
      <w:r w:rsidR="00842508">
        <w:t xml:space="preserve"> </w:t>
      </w:r>
      <w:r w:rsidRPr="00705B1D">
        <w:t>się do</w:t>
      </w:r>
      <w:r>
        <w:t xml:space="preserve"> przełomu w</w:t>
      </w:r>
      <w:r w:rsidR="00610C2D">
        <w:t> </w:t>
      </w:r>
      <w:r>
        <w:t xml:space="preserve">zakresie redukcji emisji gazów cieplarnianych. </w:t>
      </w:r>
    </w:p>
    <w:p w14:paraId="21951A77" w14:textId="0E8733D4" w:rsidR="007159B3" w:rsidRPr="00F22CB2" w:rsidRDefault="007159B3" w:rsidP="007159B3">
      <w:r>
        <w:lastRenderedPageBreak/>
        <w:t xml:space="preserve">W dalszej perspektywie wodór </w:t>
      </w:r>
      <w:r w:rsidR="005301C5">
        <w:t xml:space="preserve">(zamiennie z biometanem) </w:t>
      </w:r>
      <w:r>
        <w:t xml:space="preserve">spalany w elektrowniach i elektrociepłowniach będzie mógł częściowo zastąpić gaz ziemny, przyczyniając się do bilansowania systemu elektroenergetycznego. </w:t>
      </w:r>
    </w:p>
    <w:p w14:paraId="70251E12" w14:textId="2B0A9316" w:rsidR="007159B3" w:rsidRDefault="007159B3" w:rsidP="007159B3">
      <w:pPr>
        <w:spacing w:before="240" w:after="80"/>
      </w:pPr>
      <w:r>
        <w:t xml:space="preserve">Według wyliczeń Ministerstwa Klimatu i Środowiska, Polska będzie potrzebować w 2030 r. ok. </w:t>
      </w:r>
      <w:r>
        <w:rPr>
          <w:b/>
          <w:bCs/>
        </w:rPr>
        <w:t>315</w:t>
      </w:r>
      <w:r w:rsidRPr="00F436F6">
        <w:rPr>
          <w:b/>
          <w:bCs/>
        </w:rPr>
        <w:t xml:space="preserve"> tys. </w:t>
      </w:r>
      <w:r w:rsidR="7D99F23B" w:rsidRPr="00F436F6">
        <w:rPr>
          <w:b/>
          <w:bCs/>
        </w:rPr>
        <w:t>t wodoru</w:t>
      </w:r>
      <w:r w:rsidRPr="00F436F6">
        <w:rPr>
          <w:b/>
          <w:bCs/>
        </w:rPr>
        <w:t xml:space="preserve"> RFNBO</w:t>
      </w:r>
      <w:r>
        <w:t xml:space="preserve"> na potrzeby realizacji </w:t>
      </w:r>
      <w:r w:rsidR="00877631">
        <w:t xml:space="preserve">unijnych </w:t>
      </w:r>
      <w:r>
        <w:t>celów w przemyśle i transporcie</w:t>
      </w:r>
      <w:r w:rsidRPr="007E3DFD">
        <w:t xml:space="preserve"> </w:t>
      </w:r>
      <w:r>
        <w:t xml:space="preserve">(do jego produkcji potrzebne jest ok. </w:t>
      </w:r>
      <w:r w:rsidRPr="0042699D">
        <w:t>16,7 TWh energii elektrycznej</w:t>
      </w:r>
      <w:r>
        <w:rPr>
          <w:rStyle w:val="Odwoanieprzypisudolnego"/>
        </w:rPr>
        <w:footnoteReference w:id="115"/>
      </w:r>
      <w:r>
        <w:t xml:space="preserve">). </w:t>
      </w:r>
      <w:r w:rsidR="00385F7E">
        <w:t xml:space="preserve">Dotychczas szacowano, że </w:t>
      </w:r>
      <w:r>
        <w:t xml:space="preserve">możliwa do osiągnięcia w 2030 r. jest budowa mocy wytwórczych z niskoemisyjnych źródeł i procesów na poziomie </w:t>
      </w:r>
      <w:r w:rsidRPr="006E29AF">
        <w:rPr>
          <w:b/>
          <w:bCs/>
        </w:rPr>
        <w:t>około 2 GW</w:t>
      </w:r>
      <w:r w:rsidR="32EBC9F1">
        <w:t xml:space="preserve"> </w:t>
      </w:r>
      <w:r>
        <w:t xml:space="preserve">(zgodnie z </w:t>
      </w:r>
      <w:r w:rsidRPr="3FE55A07">
        <w:rPr>
          <w:i/>
          <w:iCs/>
        </w:rPr>
        <w:t xml:space="preserve">Polską Strategią Wodorową do roku 2030 z perspektywą do roku 2040 </w:t>
      </w:r>
      <w:r>
        <w:t>(</w:t>
      </w:r>
      <w:hyperlink r:id="rId87" w:history="1">
        <w:r w:rsidRPr="009D40C4">
          <w:rPr>
            <w:rStyle w:val="Hipercze"/>
          </w:rPr>
          <w:t>link</w:t>
        </w:r>
      </w:hyperlink>
      <w:r>
        <w:t>)).</w:t>
      </w:r>
      <w:r w:rsidRPr="596A49A6">
        <w:rPr>
          <w:rStyle w:val="Odwoanieprzypisudolnego"/>
        </w:rPr>
        <w:t xml:space="preserve"> </w:t>
      </w:r>
      <w:r w:rsidRPr="0042699D">
        <w:t>Wolumen</w:t>
      </w:r>
      <w:r>
        <w:t xml:space="preserve"> ten jednak nie będzie pokrywał całości zapotrzebowania na wodór </w:t>
      </w:r>
      <w:r w:rsidDel="007159B3">
        <w:t>niskoemisyjny</w:t>
      </w:r>
      <w:r>
        <w:t xml:space="preserve"> </w:t>
      </w:r>
      <w:r w:rsidDel="007159B3">
        <w:t xml:space="preserve">i </w:t>
      </w:r>
      <w:r>
        <w:t>odnawialny</w:t>
      </w:r>
      <w:r w:rsidR="4AA2601E">
        <w:t xml:space="preserve"> </w:t>
      </w:r>
      <w:r w:rsidR="54DF6F24">
        <w:t>(w tym pochodzenia niebiologicznego)</w:t>
      </w:r>
      <w:r>
        <w:t xml:space="preserve"> w Polsce w 2030 r., dlatego pożądany byłby wyższy poziom własnych mocy produkcyjnych.</w:t>
      </w:r>
      <w:r w:rsidR="195142F1">
        <w:t xml:space="preserve"> Ponadto budowa nowych mocy źródeł OZE spełniających wymogi rozporządzenia delegowanego Komisji (UE) 2023/1184 będzie trudna do realizacji.</w:t>
      </w:r>
      <w:r>
        <w:t xml:space="preserve"> Pokrycie brakujących wartości wymaga importu surowca.</w:t>
      </w:r>
      <w:r w:rsidR="003E2DE5">
        <w:t xml:space="preserve"> </w:t>
      </w:r>
    </w:p>
    <w:p w14:paraId="1A59A1FD" w14:textId="622C8D0E" w:rsidR="00C16A5F" w:rsidRPr="002556EA" w:rsidRDefault="007159B3" w:rsidP="00C16A5F">
      <w:pPr>
        <w:pStyle w:val="Cele"/>
        <w:spacing w:after="80"/>
      </w:pPr>
      <w:r>
        <w:t>Celem podejmowanych działań jest zapewnienie wystarczającej ilości wodoru odnawialnego</w:t>
      </w:r>
      <w:r w:rsidR="1B98522C">
        <w:t>, w tym pochodzenia niebiologicznego</w:t>
      </w:r>
      <w:r>
        <w:t xml:space="preserve"> i niskoemisyjnego, a także ich pochodnych chemicznych, do zaspokojenia potrzeb wynikających z transformacji energetycznej.</w:t>
      </w:r>
      <w:r w:rsidR="00C16A5F">
        <w:t xml:space="preserve"> </w:t>
      </w:r>
    </w:p>
    <w:p w14:paraId="5AFF8662" w14:textId="1F7E6E52" w:rsidR="007159B3" w:rsidRPr="006E29AF" w:rsidRDefault="00C16A5F" w:rsidP="00C16A5F">
      <w:pPr>
        <w:pStyle w:val="Cele"/>
        <w:spacing w:before="0"/>
        <w:rPr>
          <w:b/>
          <w:bCs/>
        </w:rPr>
      </w:pPr>
      <w:r w:rsidRPr="3FE55A07">
        <w:rPr>
          <w:b/>
          <w:bCs/>
        </w:rPr>
        <w:t xml:space="preserve">W perspektywie 2030 r. priorytetem jest </w:t>
      </w:r>
      <w:r w:rsidR="349A1937" w:rsidRPr="0D8CBBCD">
        <w:rPr>
          <w:b/>
          <w:bCs/>
        </w:rPr>
        <w:t xml:space="preserve">dążenie do spełnienia celu </w:t>
      </w:r>
      <w:r w:rsidR="006748B2">
        <w:rPr>
          <w:b/>
          <w:bCs/>
        </w:rPr>
        <w:t>d</w:t>
      </w:r>
      <w:r w:rsidR="349A1937" w:rsidRPr="0D8CBBCD">
        <w:rPr>
          <w:b/>
          <w:bCs/>
        </w:rPr>
        <w:t>yrektywy RED</w:t>
      </w:r>
      <w:r w:rsidR="006748B2">
        <w:rPr>
          <w:b/>
          <w:bCs/>
        </w:rPr>
        <w:t> </w:t>
      </w:r>
      <w:r w:rsidR="349A1937" w:rsidRPr="0D8CBBCD">
        <w:rPr>
          <w:b/>
          <w:bCs/>
        </w:rPr>
        <w:t>III</w:t>
      </w:r>
      <w:r w:rsidR="4C77138F" w:rsidRPr="0D8CBBCD">
        <w:rPr>
          <w:b/>
          <w:bCs/>
        </w:rPr>
        <w:t xml:space="preserve"> w zakresie wykorzystania wodoru odnawialnego pochodzenia niebiologicznego w przemyśle i transporcie </w:t>
      </w:r>
      <w:r w:rsidR="00F04464" w:rsidRPr="3FE55A07">
        <w:rPr>
          <w:b/>
          <w:bCs/>
        </w:rPr>
        <w:t>oszacowan</w:t>
      </w:r>
      <w:r w:rsidR="009A1C74" w:rsidRPr="3FE55A07">
        <w:rPr>
          <w:b/>
          <w:bCs/>
        </w:rPr>
        <w:t>ego</w:t>
      </w:r>
      <w:r w:rsidR="00F04464" w:rsidRPr="3FE55A07">
        <w:rPr>
          <w:b/>
          <w:bCs/>
        </w:rPr>
        <w:t xml:space="preserve"> na 315 tys. t rocznie.</w:t>
      </w:r>
    </w:p>
    <w:p w14:paraId="17D34288" w14:textId="77777777" w:rsidR="007159B3" w:rsidRDefault="007159B3" w:rsidP="007159B3">
      <w:pPr>
        <w:pStyle w:val="PaMs"/>
      </w:pPr>
      <w:r w:rsidRPr="596A49A6">
        <w:t>POLITYKA</w:t>
      </w:r>
    </w:p>
    <w:p w14:paraId="33C99B2B" w14:textId="63A45CA3" w:rsidR="00285C72" w:rsidRDefault="00285C72" w:rsidP="007159B3">
      <w:r>
        <w:t xml:space="preserve">Ograniczona dostępność wodoru w państwach sąsiadujących – również ze względu na transformację prowadzoną w tych krajach, a także ryzyko uzależniania od importu na nierozwiniętym rynku, powodują, że w pierwszej kolejności dążyć się będzie do budowy własnych zdolności produkcyjnych. </w:t>
      </w:r>
    </w:p>
    <w:p w14:paraId="1EAC2896" w14:textId="3F1AB729" w:rsidR="007159B3" w:rsidRDefault="007159B3" w:rsidP="007159B3">
      <w:r>
        <w:t xml:space="preserve">W celu zapewnienia dostępu do wodoru odnawialnego </w:t>
      </w:r>
      <w:r w:rsidRPr="00E75BB8">
        <w:rPr>
          <w:b/>
          <w:bCs/>
        </w:rPr>
        <w:t xml:space="preserve">zostanie przeprowadzona aktualizacja </w:t>
      </w:r>
      <w:r w:rsidRPr="00E75BB8">
        <w:rPr>
          <w:b/>
          <w:bCs/>
          <w:i/>
          <w:iCs/>
        </w:rPr>
        <w:t>Polskiej Strategii Wodorowej do roku 2030 z perspektywą do roku 2040</w:t>
      </w:r>
      <w:r>
        <w:t xml:space="preserve">. W dokumencie zostaną określone ścieżki rozwoju rynku wodoru RFNBO w Polsce wraz ze wskazaniem optymalnych scenariuszy. </w:t>
      </w:r>
      <w:r w:rsidR="0074157E">
        <w:t xml:space="preserve">Przeanalizowane zostaną wyzwania, </w:t>
      </w:r>
      <w:r w:rsidR="000D7891" w:rsidRPr="000D7891">
        <w:t>takie jak</w:t>
      </w:r>
      <w:r w:rsidR="0074157E">
        <w:t>:</w:t>
      </w:r>
      <w:r w:rsidR="000D7891" w:rsidRPr="000D7891">
        <w:t xml:space="preserve"> określenie krajowego potencjału produkcji niskoemisyjnego i odnawialnego wodoru</w:t>
      </w:r>
      <w:r w:rsidR="009773E2">
        <w:t xml:space="preserve"> </w:t>
      </w:r>
      <w:r w:rsidR="61C498AD">
        <w:t>(</w:t>
      </w:r>
      <w:r w:rsidR="4B1F7EAA">
        <w:t>w tym pochodzenia niebiologicznego</w:t>
      </w:r>
      <w:r w:rsidR="50F11A96">
        <w:t>)</w:t>
      </w:r>
      <w:r w:rsidR="0040623E">
        <w:t xml:space="preserve"> </w:t>
      </w:r>
      <w:r w:rsidR="000D7891" w:rsidRPr="000D7891">
        <w:t>w odniesieniu do specyfiki działania systemu elektroenergetycznego z dużym udziałem OZE, budow</w:t>
      </w:r>
      <w:r w:rsidR="0040623E">
        <w:t>a</w:t>
      </w:r>
      <w:r w:rsidR="000D7891" w:rsidRPr="000D7891">
        <w:t xml:space="preserve"> infrastruktury do przesyłu oraz potencjalny import wodoru odnawialnego </w:t>
      </w:r>
      <w:r w:rsidR="076D3349">
        <w:t>pochodzenia niebiologicznego</w:t>
      </w:r>
      <w:r w:rsidR="000D7891">
        <w:t xml:space="preserve"> </w:t>
      </w:r>
      <w:r w:rsidR="000D7891" w:rsidRPr="000D7891">
        <w:t>lub jego pochodnych (zielonego amoniaku)</w:t>
      </w:r>
      <w:r w:rsidR="000D7891">
        <w:t xml:space="preserve">. </w:t>
      </w:r>
      <w:r>
        <w:t xml:space="preserve">Pozwoli to </w:t>
      </w:r>
      <w:r w:rsidRPr="003955FD">
        <w:rPr>
          <w:b/>
          <w:bCs/>
        </w:rPr>
        <w:t>odpowiedzieć na pytania</w:t>
      </w:r>
      <w:r>
        <w:rPr>
          <w:b/>
          <w:bCs/>
        </w:rPr>
        <w:t>,</w:t>
      </w:r>
      <w:r w:rsidRPr="003955FD">
        <w:rPr>
          <w:b/>
          <w:bCs/>
        </w:rPr>
        <w:t xml:space="preserve"> czy z punktu widzenia gospodarki oraz bezpieczeństwa energetycznego </w:t>
      </w:r>
      <w:r w:rsidR="0040623E">
        <w:rPr>
          <w:b/>
          <w:bCs/>
        </w:rPr>
        <w:t>optymalnym</w:t>
      </w:r>
      <w:r w:rsidRPr="003955FD">
        <w:rPr>
          <w:b/>
          <w:bCs/>
        </w:rPr>
        <w:t xml:space="preserve"> rozwiązaniem jest produkcja wodoru RFNBO w Polsce</w:t>
      </w:r>
      <w:r w:rsidR="00285C72" w:rsidRPr="00285C72">
        <w:t xml:space="preserve"> </w:t>
      </w:r>
      <w:r w:rsidR="0040623E">
        <w:t xml:space="preserve">czy </w:t>
      </w:r>
      <w:r w:rsidR="0040623E" w:rsidRPr="003955FD">
        <w:rPr>
          <w:b/>
          <w:bCs/>
        </w:rPr>
        <w:t xml:space="preserve">import </w:t>
      </w:r>
      <w:r w:rsidR="00285C72" w:rsidRPr="00285C72">
        <w:t>– i</w:t>
      </w:r>
      <w:r w:rsidR="00610C2D">
        <w:t> </w:t>
      </w:r>
      <w:r w:rsidR="00285C72" w:rsidRPr="00285C72">
        <w:t>w</w:t>
      </w:r>
      <w:r w:rsidR="00610C2D">
        <w:t> </w:t>
      </w:r>
      <w:r w:rsidR="00285C72" w:rsidRPr="00285C72">
        <w:t>jakiej skali</w:t>
      </w:r>
      <w:r>
        <w:t>. Pod uwagę trzeba wziąć również efektywność wykorzystania źródeł odnawialnych – z tego względu dalsze analizy powinny uwzględniać także przepływy międzysektorowe</w:t>
      </w:r>
      <w:r w:rsidR="000C4CDA">
        <w:t xml:space="preserve">. </w:t>
      </w:r>
      <w:r>
        <w:t xml:space="preserve">Priorytetem jest zapewnienie wodoru </w:t>
      </w:r>
      <w:r w:rsidR="06FEFDFE">
        <w:t>odnawialnego pochodzenia niebiologicznego</w:t>
      </w:r>
      <w:r>
        <w:t xml:space="preserve"> dla przemysłu i transportu, tak aby </w:t>
      </w:r>
      <w:r w:rsidR="006203AC">
        <w:t>zapewnić</w:t>
      </w:r>
      <w:r>
        <w:t xml:space="preserve"> realizację ambitnych celów dyrektywy RED III. Dodatkowo konieczność zastosowania wodoru</w:t>
      </w:r>
      <w:r w:rsidR="24CE9232">
        <w:t xml:space="preserve"> </w:t>
      </w:r>
      <w:r w:rsidR="6EC27939">
        <w:t>RFNBO</w:t>
      </w:r>
      <w:r>
        <w:t xml:space="preserve"> w tych gałęziach gospodarki wiąże się z wysokim potencjałem innowacyjności. </w:t>
      </w:r>
    </w:p>
    <w:p w14:paraId="4D9DB96A" w14:textId="07D8E666" w:rsidR="007159B3" w:rsidRPr="00882D72" w:rsidRDefault="007159B3" w:rsidP="007159B3">
      <w:r>
        <w:t xml:space="preserve">Jednocześnie będą kontynuowane działania związane z przygotowaniem </w:t>
      </w:r>
      <w:r w:rsidRPr="00530C4D">
        <w:rPr>
          <w:b/>
          <w:bCs/>
        </w:rPr>
        <w:t>kompleksowego pakie</w:t>
      </w:r>
      <w:r>
        <w:rPr>
          <w:b/>
          <w:bCs/>
        </w:rPr>
        <w:t>tu</w:t>
      </w:r>
      <w:r w:rsidRPr="00530C4D">
        <w:rPr>
          <w:b/>
          <w:bCs/>
        </w:rPr>
        <w:t xml:space="preserve"> legislacyjn</w:t>
      </w:r>
      <w:r>
        <w:rPr>
          <w:b/>
          <w:bCs/>
        </w:rPr>
        <w:t xml:space="preserve">ego, </w:t>
      </w:r>
      <w:r w:rsidRPr="00530C4D">
        <w:t>który</w:t>
      </w:r>
      <w:r>
        <w:t xml:space="preserve"> określi zasady funkcjonowania rynku wodoru oraz </w:t>
      </w:r>
      <w:r w:rsidRPr="00ED0BAF">
        <w:rPr>
          <w:b/>
          <w:bCs/>
        </w:rPr>
        <w:t>instrument</w:t>
      </w:r>
      <w:r>
        <w:rPr>
          <w:b/>
          <w:bCs/>
        </w:rPr>
        <w:t>y</w:t>
      </w:r>
      <w:r w:rsidRPr="00ED0BAF">
        <w:rPr>
          <w:b/>
          <w:bCs/>
        </w:rPr>
        <w:t xml:space="preserve"> wsparcia</w:t>
      </w:r>
      <w:r w:rsidRPr="003955FD">
        <w:rPr>
          <w:b/>
          <w:bCs/>
        </w:rPr>
        <w:t xml:space="preserve"> dla produkcji</w:t>
      </w:r>
      <w:r w:rsidR="00974007">
        <w:rPr>
          <w:b/>
          <w:bCs/>
        </w:rPr>
        <w:t xml:space="preserve">  </w:t>
      </w:r>
      <w:r w:rsidRPr="003955FD">
        <w:rPr>
          <w:b/>
          <w:bCs/>
        </w:rPr>
        <w:t>wodoru</w:t>
      </w:r>
      <w:r w:rsidR="3A2162B3" w:rsidRPr="0CB76806">
        <w:rPr>
          <w:b/>
          <w:bCs/>
        </w:rPr>
        <w:t xml:space="preserve"> odnawialnego</w:t>
      </w:r>
      <w:r w:rsidR="107E4F9A" w:rsidRPr="0E04193E">
        <w:rPr>
          <w:b/>
          <w:bCs/>
        </w:rPr>
        <w:t>,</w:t>
      </w:r>
      <w:r w:rsidR="3A2162B3" w:rsidRPr="0CB76806">
        <w:rPr>
          <w:b/>
          <w:bCs/>
        </w:rPr>
        <w:t xml:space="preserve"> wodoru odnawialnego pochodzenia niebiologicznego</w:t>
      </w:r>
      <w:r w:rsidR="34AB89A5" w:rsidRPr="0CB76806">
        <w:rPr>
          <w:b/>
          <w:bCs/>
        </w:rPr>
        <w:t xml:space="preserve"> i</w:t>
      </w:r>
      <w:r w:rsidR="00610C2D">
        <w:rPr>
          <w:b/>
          <w:bCs/>
        </w:rPr>
        <w:t> </w:t>
      </w:r>
      <w:r w:rsidR="34AB89A5" w:rsidRPr="0CB76806">
        <w:rPr>
          <w:b/>
          <w:bCs/>
        </w:rPr>
        <w:t>niskoemisyjnego</w:t>
      </w:r>
      <w:r w:rsidR="02F973A1">
        <w:t>.</w:t>
      </w:r>
      <w:r>
        <w:t xml:space="preserve"> </w:t>
      </w:r>
      <w:r>
        <w:rPr>
          <w:i/>
          <w:iCs/>
        </w:rPr>
        <w:t xml:space="preserve">Szerszy opis dotyczący wodoru w przemyśle w części </w:t>
      </w:r>
      <w:r>
        <w:rPr>
          <w:i/>
          <w:iCs/>
        </w:rPr>
        <w:fldChar w:fldCharType="begin"/>
      </w:r>
      <w:r>
        <w:rPr>
          <w:i/>
          <w:iCs/>
        </w:rPr>
        <w:instrText xml:space="preserve"> REF _Ref159313182 \n \h </w:instrText>
      </w:r>
      <w:r>
        <w:rPr>
          <w:i/>
          <w:iCs/>
        </w:rPr>
      </w:r>
      <w:r>
        <w:rPr>
          <w:i/>
          <w:iCs/>
        </w:rPr>
        <w:fldChar w:fldCharType="separate"/>
      </w:r>
      <w:r w:rsidR="00871DD5">
        <w:rPr>
          <w:i/>
          <w:iCs/>
        </w:rPr>
        <w:t>Cel 1.2.4</w:t>
      </w:r>
      <w:r>
        <w:rPr>
          <w:i/>
          <w:iCs/>
        </w:rPr>
        <w:fldChar w:fldCharType="end"/>
      </w:r>
      <w:r>
        <w:rPr>
          <w:i/>
          <w:iCs/>
        </w:rPr>
        <w:t>.</w:t>
      </w:r>
      <w:r>
        <w:t xml:space="preserve"> </w:t>
      </w:r>
    </w:p>
    <w:p w14:paraId="36DEF6D1" w14:textId="77777777" w:rsidR="007159B3" w:rsidRDefault="007159B3" w:rsidP="007159B3">
      <w:r>
        <w:lastRenderedPageBreak/>
        <w:t xml:space="preserve">Rozwijane będą dotychczasowe inicjatywy wynikające z zawartego w 2021 r. </w:t>
      </w:r>
      <w:r w:rsidRPr="0065263C">
        <w:rPr>
          <w:i/>
          <w:iCs/>
        </w:rPr>
        <w:t>Porozumienia na rzecz budowy gospodarki wodorowej</w:t>
      </w:r>
      <w:r>
        <w:t xml:space="preserve">, jak również w ramach tzw. dolin wodorowych. </w:t>
      </w:r>
    </w:p>
    <w:p w14:paraId="22AF8B91" w14:textId="77777777" w:rsidR="007159B3" w:rsidRDefault="007159B3" w:rsidP="007159B3">
      <w:pPr>
        <w:pStyle w:val="PaMs"/>
      </w:pPr>
      <w:r w:rsidRPr="042BE5AD">
        <w:t>DZIAŁANIA</w:t>
      </w:r>
    </w:p>
    <w:p w14:paraId="420ED80D" w14:textId="7D7C2B5C" w:rsidR="007D178C" w:rsidRDefault="007D178C" w:rsidP="000625AC">
      <w:pPr>
        <w:pStyle w:val="Akapitzlist"/>
        <w:numPr>
          <w:ilvl w:val="0"/>
          <w:numId w:val="128"/>
        </w:numPr>
      </w:pPr>
      <w:r>
        <w:fldChar w:fldCharType="begin"/>
      </w:r>
      <w:r>
        <w:instrText xml:space="preserve"> REF _Ref195892413 \h </w:instrText>
      </w:r>
      <w:r>
        <w:fldChar w:fldCharType="separate"/>
      </w:r>
      <w:r w:rsidR="00871DD5">
        <w:t xml:space="preserve">Działanie </w:t>
      </w:r>
      <w:r w:rsidR="00871DD5">
        <w:rPr>
          <w:noProof/>
        </w:rPr>
        <w:t>52</w:t>
      </w:r>
      <w:r w:rsidR="00871DD5">
        <w:t xml:space="preserve">. </w:t>
      </w:r>
      <w:r w:rsidR="00871DD5" w:rsidRPr="008A1ED6">
        <w:t>Aktualizacja Polskiej Strategii Wodorowej</w:t>
      </w:r>
      <w:r>
        <w:fldChar w:fldCharType="end"/>
      </w:r>
    </w:p>
    <w:p w14:paraId="25343EA3" w14:textId="48EB1D1B" w:rsidR="00783585" w:rsidRDefault="007D178C" w:rsidP="000625AC">
      <w:pPr>
        <w:pStyle w:val="Akapitzlist"/>
        <w:numPr>
          <w:ilvl w:val="0"/>
          <w:numId w:val="128"/>
        </w:numPr>
      </w:pPr>
      <w:r>
        <w:fldChar w:fldCharType="begin"/>
      </w:r>
      <w:r>
        <w:instrText xml:space="preserve"> REF _Ref195892401 \h </w:instrText>
      </w:r>
      <w:r>
        <w:fldChar w:fldCharType="separate"/>
      </w:r>
      <w:r w:rsidR="00871DD5">
        <w:t xml:space="preserve">Działanie </w:t>
      </w:r>
      <w:r w:rsidR="00871DD5">
        <w:rPr>
          <w:noProof/>
        </w:rPr>
        <w:t>54</w:t>
      </w:r>
      <w:r w:rsidR="00871DD5">
        <w:t xml:space="preserve">. </w:t>
      </w:r>
      <w:r w:rsidR="00871DD5" w:rsidRPr="00870F65">
        <w:t>Wsparcie budowy mocy wytwórczych do produkcji wodoru odnawialnego</w:t>
      </w:r>
      <w:r w:rsidR="00871DD5">
        <w:t xml:space="preserve"> (w tym pochodzenia niebiologicznego) i niskoemisyjnego</w:t>
      </w:r>
      <w:r>
        <w:fldChar w:fldCharType="end"/>
      </w:r>
    </w:p>
    <w:p w14:paraId="16DF84E5" w14:textId="5A8BF946" w:rsidR="007D178C" w:rsidRDefault="007D178C" w:rsidP="000625AC">
      <w:pPr>
        <w:pStyle w:val="Akapitzlist"/>
        <w:numPr>
          <w:ilvl w:val="0"/>
          <w:numId w:val="128"/>
        </w:numPr>
      </w:pPr>
      <w:r>
        <w:fldChar w:fldCharType="begin"/>
      </w:r>
      <w:r>
        <w:instrText xml:space="preserve"> REF _Ref195892436 \h </w:instrText>
      </w:r>
      <w:r>
        <w:fldChar w:fldCharType="separate"/>
      </w:r>
      <w:r w:rsidR="00871DD5">
        <w:t xml:space="preserve">Działanie </w:t>
      </w:r>
      <w:r w:rsidR="00871DD5">
        <w:rPr>
          <w:noProof/>
        </w:rPr>
        <w:t>55</w:t>
      </w:r>
      <w:r w:rsidR="00871DD5">
        <w:t xml:space="preserve">. </w:t>
      </w:r>
      <w:r w:rsidR="00871DD5" w:rsidRPr="00477751">
        <w:t>Analiza potrzeby budowy i wykorzystania infrastruktury do importu amoniaku lub wodoru, w tym budowy morskiego terminalu portowego do przeładunku amoniaku lub wodoru</w:t>
      </w:r>
      <w:r>
        <w:fldChar w:fldCharType="end"/>
      </w:r>
    </w:p>
    <w:p w14:paraId="2BA5D492" w14:textId="1FD32C5F" w:rsidR="007159B3" w:rsidRDefault="007159B3" w:rsidP="007159B3">
      <w:pPr>
        <w:pStyle w:val="Nagwek4"/>
        <w:rPr>
          <w:color w:val="C00000"/>
        </w:rPr>
      </w:pPr>
      <w:bookmarkStart w:id="549" w:name="_Toc195897335"/>
      <w:bookmarkStart w:id="550" w:name="_Toc195899580"/>
      <w:bookmarkStart w:id="551" w:name="_Toc195897336"/>
      <w:bookmarkStart w:id="552" w:name="_Toc195899581"/>
      <w:bookmarkStart w:id="553" w:name="_Toc195897337"/>
      <w:bookmarkStart w:id="554" w:name="_Toc195899582"/>
      <w:bookmarkStart w:id="555" w:name="_Toc195897338"/>
      <w:bookmarkStart w:id="556" w:name="_Toc195899583"/>
      <w:bookmarkStart w:id="557" w:name="_Toc195897339"/>
      <w:bookmarkStart w:id="558" w:name="_Toc195899584"/>
      <w:bookmarkStart w:id="559" w:name="_Toc195897340"/>
      <w:bookmarkStart w:id="560" w:name="_Toc195899585"/>
      <w:bookmarkStart w:id="561" w:name="_Toc159598329"/>
      <w:bookmarkStart w:id="562" w:name="_Ref193897905"/>
      <w:bookmarkStart w:id="563" w:name="_Toc195897341"/>
      <w:bookmarkStart w:id="564" w:name="_Toc205203201"/>
      <w:bookmarkEnd w:id="549"/>
      <w:bookmarkEnd w:id="550"/>
      <w:bookmarkEnd w:id="551"/>
      <w:bookmarkEnd w:id="552"/>
      <w:bookmarkEnd w:id="553"/>
      <w:bookmarkEnd w:id="554"/>
      <w:bookmarkEnd w:id="555"/>
      <w:bookmarkEnd w:id="556"/>
      <w:bookmarkEnd w:id="557"/>
      <w:bookmarkEnd w:id="558"/>
      <w:bookmarkEnd w:id="559"/>
      <w:bookmarkEnd w:id="560"/>
      <w:r w:rsidRPr="00F22CB2">
        <w:rPr>
          <w:color w:val="C00000"/>
        </w:rPr>
        <w:t xml:space="preserve">Zapewnienie rozwoju infrastruktury do transportu </w:t>
      </w:r>
      <w:r w:rsidR="00A84444">
        <w:rPr>
          <w:color w:val="C00000"/>
        </w:rPr>
        <w:t xml:space="preserve">i magazynowania </w:t>
      </w:r>
      <w:r w:rsidRPr="00F22CB2">
        <w:rPr>
          <w:color w:val="C00000"/>
        </w:rPr>
        <w:t>wodoru</w:t>
      </w:r>
      <w:bookmarkEnd w:id="561"/>
      <w:bookmarkEnd w:id="562"/>
      <w:bookmarkEnd w:id="563"/>
      <w:bookmarkEnd w:id="564"/>
    </w:p>
    <w:p w14:paraId="13D8B537" w14:textId="0406CB76" w:rsidR="007159B3" w:rsidRDefault="007159B3" w:rsidP="007159B3">
      <w:r>
        <w:t xml:space="preserve">W związku z rozwojem rynku wodoru konieczne będzie zbudowanie całkowicie nowej infrastruktury przesyłowej dla wodoru, w szczególności połączeń międzysystemowych. Dzięki centralnej pozycji geograficznej i politycznej, Polska ma </w:t>
      </w:r>
      <w:r w:rsidR="43FD6E14">
        <w:t>ambicje</w:t>
      </w:r>
      <w:r>
        <w:t xml:space="preserve"> odegrania ważn</w:t>
      </w:r>
      <w:r w:rsidR="30620EBD">
        <w:t>ej</w:t>
      </w:r>
      <w:r>
        <w:t xml:space="preserve"> rol</w:t>
      </w:r>
      <w:r w:rsidR="42C40D11">
        <w:t>i</w:t>
      </w:r>
      <w:r>
        <w:t xml:space="preserve"> w tym procesie, gdyż może stanowić zarówno kraj tranzytowy między </w:t>
      </w:r>
      <w:r w:rsidR="0411A4FB">
        <w:t>krajami</w:t>
      </w:r>
      <w:r>
        <w:t xml:space="preserve"> region</w:t>
      </w:r>
      <w:r w:rsidR="1FE9F7EE">
        <w:t>u</w:t>
      </w:r>
      <w:r>
        <w:t xml:space="preserve"> Morza Bałtyckiego </w:t>
      </w:r>
      <w:r w:rsidR="50B68F2D">
        <w:t>i</w:t>
      </w:r>
      <w:r>
        <w:t xml:space="preserve"> Niemcami, jak i odpowiadać za koordynację handlu wodorem w całym regionie Europy Środkowo-Wschodniej, w tym także z Ukrainą. Rozwój tego rodzaju infrastruktury w znacznym stopniu przyczyni się do roli Polski jako rzeczywistego integratora regionalnego rynku wodoru. </w:t>
      </w:r>
    </w:p>
    <w:p w14:paraId="7BACC017" w14:textId="1205A622" w:rsidR="007159B3" w:rsidRDefault="007159B3" w:rsidP="007159B3">
      <w:r>
        <w:t xml:space="preserve">Jednocześnie w Polsce centra produkcji będą w wielu przypadkach oddalone od miejsc wykorzystywania wodoru, co powoduje potrzebę </w:t>
      </w:r>
      <w:r w:rsidRPr="00FC469B">
        <w:rPr>
          <w:b/>
          <w:bCs/>
        </w:rPr>
        <w:t>rozwoju infrastruktury do przesyłu i dystrybucji wodoru</w:t>
      </w:r>
      <w:r>
        <w:t>, amoniaku lub ich pochodnych chemicznych. Istotny jest rozwój zarówno odpowiednich rurociągów, jak i terminali przeładunkowych. Częściowo dla potrzeb wodoru będzie mogła być wykorzystana infrastruktura gazu ziemnego</w:t>
      </w:r>
      <w:r w:rsidR="000C3A31">
        <w:t xml:space="preserve">, lecz </w:t>
      </w:r>
      <w:r w:rsidR="004E05B0">
        <w:t xml:space="preserve">dotyczy to </w:t>
      </w:r>
      <w:r w:rsidR="007E41D1">
        <w:t>w szczególności nowych i</w:t>
      </w:r>
      <w:r w:rsidR="009773E2">
        <w:t xml:space="preserve"> </w:t>
      </w:r>
      <w:r w:rsidR="007E41D1">
        <w:t>modernizowanych odcinków</w:t>
      </w:r>
      <w:r>
        <w:t>.</w:t>
      </w:r>
    </w:p>
    <w:p w14:paraId="26E0FFAE" w14:textId="704398CD" w:rsidR="007E41D1" w:rsidRDefault="007E41D1" w:rsidP="007159B3">
      <w:r>
        <w:t xml:space="preserve">Niezwykle ważna jest także możliwość magazynowania </w:t>
      </w:r>
      <w:r w:rsidR="00CF6D17">
        <w:t>wodoru</w:t>
      </w:r>
      <w:r w:rsidR="00440719">
        <w:t>,</w:t>
      </w:r>
      <w:r w:rsidR="00CF6D17">
        <w:t xml:space="preserve"> </w:t>
      </w:r>
      <w:r w:rsidR="00F34999">
        <w:t>ze względu na to, że wodór odnawialny może być elementem stabilizującym działanie sieci energetycznej</w:t>
      </w:r>
      <w:r w:rsidR="0091646A">
        <w:t>.</w:t>
      </w:r>
      <w:r>
        <w:t xml:space="preserve"> </w:t>
      </w:r>
    </w:p>
    <w:p w14:paraId="2D522CA4" w14:textId="0B9C3C7D" w:rsidR="007159B3" w:rsidRDefault="007159B3" w:rsidP="007159B3">
      <w:pPr>
        <w:pStyle w:val="Cele"/>
        <w:rPr>
          <w:b/>
          <w:bCs/>
        </w:rPr>
      </w:pPr>
      <w:r w:rsidRPr="006A6B41">
        <w:t xml:space="preserve">Celem podejmowanych działań jest </w:t>
      </w:r>
      <w:r w:rsidRPr="00ED0BAF">
        <w:rPr>
          <w:b/>
          <w:bCs/>
        </w:rPr>
        <w:t>zapewnienie budowy i rozwoju bezpieczeństwa infrastruktury do transportu wodoru lub jego pochodnych chemicznych</w:t>
      </w:r>
      <w:r>
        <w:rPr>
          <w:b/>
          <w:bCs/>
        </w:rPr>
        <w:t>,</w:t>
      </w:r>
      <w:r w:rsidRPr="00ED0BAF">
        <w:rPr>
          <w:b/>
          <w:bCs/>
        </w:rPr>
        <w:t xml:space="preserve"> pozwalającej na pokrycie bieżącego i</w:t>
      </w:r>
      <w:r>
        <w:rPr>
          <w:b/>
          <w:bCs/>
        </w:rPr>
        <w:t xml:space="preserve"> </w:t>
      </w:r>
      <w:r w:rsidRPr="00ED0BAF">
        <w:rPr>
          <w:b/>
          <w:bCs/>
        </w:rPr>
        <w:t xml:space="preserve">perspektywicznego zapotrzebowania </w:t>
      </w:r>
      <w:r>
        <w:rPr>
          <w:b/>
          <w:bCs/>
        </w:rPr>
        <w:br/>
      </w:r>
      <w:r w:rsidRPr="006A6B41">
        <w:t>na te nośniki energii i</w:t>
      </w:r>
      <w:r>
        <w:t xml:space="preserve"> </w:t>
      </w:r>
      <w:r w:rsidRPr="006A6B41">
        <w:t>surowce.</w:t>
      </w:r>
      <w:r w:rsidR="003E2DE5">
        <w:rPr>
          <w:b/>
          <w:bCs/>
        </w:rPr>
        <w:t xml:space="preserve"> </w:t>
      </w:r>
    </w:p>
    <w:p w14:paraId="448753D6" w14:textId="77777777" w:rsidR="007159B3" w:rsidRDefault="007159B3" w:rsidP="00CE7EE0">
      <w:pPr>
        <w:pStyle w:val="PaMs"/>
        <w:spacing w:before="480"/>
      </w:pPr>
      <w:r>
        <w:t>POLITYKA</w:t>
      </w:r>
    </w:p>
    <w:p w14:paraId="71C97C27" w14:textId="2CAE55F1" w:rsidR="000E37FF" w:rsidRDefault="01C375DC" w:rsidP="001277B3">
      <w:pPr>
        <w:pStyle w:val="Nagwek5"/>
        <w:spacing w:before="240"/>
      </w:pPr>
      <w:r>
        <w:t>Przesył</w:t>
      </w:r>
    </w:p>
    <w:p w14:paraId="7DE7290E" w14:textId="1DE06231" w:rsidR="00C27C21" w:rsidRDefault="5E76C894" w:rsidP="00A42D44">
      <w:pPr>
        <w:spacing w:after="80"/>
      </w:pPr>
      <w:r>
        <w:t xml:space="preserve">Dla zapewniania rozwoju infrastruktury do transportu wodoru </w:t>
      </w:r>
      <w:r w:rsidRPr="76317B2B">
        <w:rPr>
          <w:b/>
          <w:bCs/>
        </w:rPr>
        <w:t xml:space="preserve">zostaną opracowane </w:t>
      </w:r>
      <w:r w:rsidR="5B569ACB" w:rsidRPr="76317B2B">
        <w:rPr>
          <w:b/>
          <w:bCs/>
        </w:rPr>
        <w:t xml:space="preserve">brakujące </w:t>
      </w:r>
      <w:r w:rsidRPr="76317B2B">
        <w:rPr>
          <w:b/>
          <w:bCs/>
        </w:rPr>
        <w:t>przepisy</w:t>
      </w:r>
      <w:r>
        <w:t xml:space="preserve"> określające zasady funkcjonowania rynku wodoru oraz </w:t>
      </w:r>
      <w:r w:rsidR="3E111371">
        <w:t xml:space="preserve">zasady jego </w:t>
      </w:r>
      <w:r>
        <w:t xml:space="preserve">przesyłu i dystrybucji. </w:t>
      </w:r>
      <w:r w:rsidR="05413E23" w:rsidRPr="76317B2B">
        <w:rPr>
          <w:rFonts w:eastAsia="Lato" w:cs="Lato"/>
          <w:szCs w:val="20"/>
        </w:rPr>
        <w:t xml:space="preserve">W listopadzie 2024 r. przyjęta została ustawa o zmianie ustawy – Prawo energetyczne oraz niektórych innych ustaw (Dz. U. z 2024 r. poz. 1881) określającą niektóre elementy ram prawnych dla transportu i dystrybucji wodoru, w tym wodoru odnawialnego pochodzenia niebiologoicznego. Określenie pełnych ram prawnych będzie wymagać implementacji przyjętego w 2023 r. </w:t>
      </w:r>
      <w:r w:rsidR="00827BF9" w:rsidRPr="00827BF9">
        <w:rPr>
          <w:rFonts w:eastAsia="Lato" w:cs="Lato"/>
          <w:i/>
          <w:iCs/>
          <w:szCs w:val="20"/>
        </w:rPr>
        <w:t>p</w:t>
      </w:r>
      <w:r w:rsidR="05413E23" w:rsidRPr="00827BF9">
        <w:rPr>
          <w:rFonts w:eastAsia="Lato" w:cs="Lato"/>
          <w:i/>
          <w:iCs/>
          <w:szCs w:val="20"/>
        </w:rPr>
        <w:t xml:space="preserve">akietu </w:t>
      </w:r>
      <w:r w:rsidR="00827BF9" w:rsidRPr="00827BF9">
        <w:rPr>
          <w:rFonts w:eastAsia="Lato" w:cs="Lato"/>
          <w:i/>
          <w:iCs/>
          <w:szCs w:val="20"/>
        </w:rPr>
        <w:t>g</w:t>
      </w:r>
      <w:r w:rsidR="05413E23" w:rsidRPr="00827BF9">
        <w:rPr>
          <w:rFonts w:eastAsia="Lato" w:cs="Lato"/>
          <w:i/>
          <w:iCs/>
          <w:szCs w:val="20"/>
        </w:rPr>
        <w:t>azowo</w:t>
      </w:r>
      <w:r w:rsidR="05413E23" w:rsidRPr="00827BF9">
        <w:rPr>
          <w:rFonts w:eastAsia="Lato" w:cs="Lato"/>
          <w:i/>
          <w:szCs w:val="20"/>
        </w:rPr>
        <w:t>-wodorowego</w:t>
      </w:r>
      <w:r w:rsidR="05413E23" w:rsidRPr="76317B2B">
        <w:rPr>
          <w:rFonts w:eastAsia="Lato" w:cs="Lato"/>
          <w:szCs w:val="20"/>
        </w:rPr>
        <w:t>, na który składają się dyrektywa UE 2024/1788 w sprawie wspólnych zasad rynków wewnętrznych gazu odnawialnego, gazu ziemnego i wodoru oraz rozporządzenie UE 2024/1789 w sprawie rynków wewnętrznych gazu odnawialnego, gazu ziemnego i wodoru.</w:t>
      </w:r>
      <w:r w:rsidR="05413E23">
        <w:t xml:space="preserve"> </w:t>
      </w:r>
    </w:p>
    <w:p w14:paraId="4B983060" w14:textId="145A9AFA" w:rsidR="007159B3" w:rsidRDefault="5E76C894" w:rsidP="007159B3">
      <w:r>
        <w:lastRenderedPageBreak/>
        <w:t xml:space="preserve">Jednocześnie w ramach aktualizacji </w:t>
      </w:r>
      <w:r w:rsidRPr="76317B2B">
        <w:rPr>
          <w:i/>
          <w:iCs/>
        </w:rPr>
        <w:t>Polskiej Strategii Wodorowej do roku 2030 z perspektywą do roku 2040</w:t>
      </w:r>
      <w:r w:rsidRPr="76317B2B">
        <w:rPr>
          <w:b/>
          <w:bCs/>
          <w:i/>
          <w:iCs/>
        </w:rPr>
        <w:t xml:space="preserve"> </w:t>
      </w:r>
      <w:r>
        <w:t>określ</w:t>
      </w:r>
      <w:r w:rsidR="7D65152C">
        <w:t>one</w:t>
      </w:r>
      <w:r>
        <w:t xml:space="preserve"> </w:t>
      </w:r>
      <w:r w:rsidR="7D65152C">
        <w:t>zostaną</w:t>
      </w:r>
      <w:r>
        <w:t xml:space="preserve"> kluczowe z punktu widzenia gospodarki wodorowej przedsięwzięcia związane z</w:t>
      </w:r>
      <w:r w:rsidR="000E06FD">
        <w:t> </w:t>
      </w:r>
      <w:r>
        <w:t xml:space="preserve">infrastrukturą wodorową bądź infrastrukturą do </w:t>
      </w:r>
      <w:r w:rsidR="7B66F1DD">
        <w:t>transportu</w:t>
      </w:r>
      <w:r>
        <w:t xml:space="preserve"> amoniaku. </w:t>
      </w:r>
      <w:r w:rsidR="007159B3">
        <w:t xml:space="preserve">Polska będzie także </w:t>
      </w:r>
      <w:r w:rsidR="007159B3" w:rsidRPr="006A6B41">
        <w:rPr>
          <w:b/>
          <w:bCs/>
        </w:rPr>
        <w:t>wspierać inicjatywę polegającą na budowie Nordycko-Bałtyckiego Korytarza Wodorowego</w:t>
      </w:r>
      <w:r w:rsidR="002D012F">
        <w:t xml:space="preserve"> –</w:t>
      </w:r>
      <w:r w:rsidR="007159B3" w:rsidRPr="00D84831">
        <w:t xml:space="preserve"> o potencjalnym przebiegu </w:t>
      </w:r>
      <w:r w:rsidR="007159B3">
        <w:t xml:space="preserve">od </w:t>
      </w:r>
      <w:r w:rsidR="007159B3" w:rsidRPr="006A6B41">
        <w:t>Finlandii</w:t>
      </w:r>
      <w:r w:rsidR="007159B3">
        <w:t>, przez kraje bałtyckie</w:t>
      </w:r>
      <w:r w:rsidR="002D012F">
        <w:t xml:space="preserve">, </w:t>
      </w:r>
      <w:r w:rsidR="007159B3">
        <w:t>Polskę po Niemcy</w:t>
      </w:r>
      <w:r w:rsidR="002D012F">
        <w:t xml:space="preserve"> –</w:t>
      </w:r>
      <w:r w:rsidR="007159B3">
        <w:t xml:space="preserve"> oraz innej infrastruktury do transgranicznego przesyłu wodoru. Tego typu działania pozwalają na realną weryfikację potencjału importowego, a także zapewniają możliwość szerszej wymiany wiedzy w kontekście efektywnego transportu i magazynowania wodoru.</w:t>
      </w:r>
    </w:p>
    <w:p w14:paraId="4275F300" w14:textId="09FA3382" w:rsidR="001277B3" w:rsidRDefault="001277B3" w:rsidP="001277B3">
      <w:pPr>
        <w:pStyle w:val="Nagwek5"/>
        <w:spacing w:before="360"/>
      </w:pPr>
      <w:r>
        <w:t>Magazynowanie</w:t>
      </w:r>
    </w:p>
    <w:p w14:paraId="217AEFB2" w14:textId="72F82E6D" w:rsidR="00DF1517" w:rsidRDefault="007159B3" w:rsidP="00DF1517">
      <w:r>
        <w:t xml:space="preserve">Mając na względzie znaczenie wodoru dla przeprowadzenia transformacji energetycznej w bezpieczny sposób oraz uwzględniając unijne cele klimatyczne, za niezwykle ważne uznaje się rozpoznanie możliwości magazynowania tego gazu. </w:t>
      </w:r>
      <w:r w:rsidR="0083393C">
        <w:t xml:space="preserve">Według </w:t>
      </w:r>
      <w:r w:rsidR="0083393C" w:rsidRPr="00D046A3">
        <w:rPr>
          <w:i/>
          <w:iCs/>
        </w:rPr>
        <w:t>Polskiej Strategii Wodorowej do roku 2030 z perspektywą do roku 2040 (PSW)</w:t>
      </w:r>
      <w:r w:rsidR="0083393C">
        <w:t xml:space="preserve"> pośród potencjalnych podziemnych magazynów wodoru, takich jak wyeksploatowane złoża naftowe i gazowe czy warstwy wodonośne, za optymalne rozwiązanie ze strony ekonomicznej, jak również pod względem specyfiki wodoru uznano </w:t>
      </w:r>
      <w:r w:rsidR="0083393C" w:rsidRPr="00D046A3">
        <w:rPr>
          <w:b/>
          <w:bCs/>
        </w:rPr>
        <w:t>kawerny solne</w:t>
      </w:r>
      <w:r w:rsidR="0083393C">
        <w:t>.</w:t>
      </w:r>
      <w:r w:rsidR="0083393C" w:rsidRPr="0083393C">
        <w:t xml:space="preserve"> </w:t>
      </w:r>
      <w:r w:rsidR="0083393C">
        <w:t>Z kolei przechowywanie wodoru w</w:t>
      </w:r>
      <w:r w:rsidR="00AE24E5">
        <w:t> </w:t>
      </w:r>
      <w:r w:rsidR="0083393C">
        <w:t>naziemnych zbiornikach może okazać się konieczne, gdy technologie wodorowe zaczną być wdrażane na masową skalę, a wzrost zapotrzebowania i liczby odbiorców spowoduje konieczność budowy dużych zbiorników buforowych.</w:t>
      </w:r>
    </w:p>
    <w:p w14:paraId="335FDBAE" w14:textId="6B7C9A9E" w:rsidR="006D6294" w:rsidRDefault="006D6294" w:rsidP="00DF1517">
      <w:r>
        <w:t xml:space="preserve">W wyniku dotychczasowych analiz podjęto decyzję o budowie </w:t>
      </w:r>
      <w:r w:rsidR="00A00B4A" w:rsidRPr="003F4C89">
        <w:rPr>
          <w:b/>
          <w:bCs/>
        </w:rPr>
        <w:t xml:space="preserve">Podziemnego Magazynu Gazu </w:t>
      </w:r>
      <w:r w:rsidR="003F4C89">
        <w:rPr>
          <w:b/>
          <w:bCs/>
        </w:rPr>
        <w:t xml:space="preserve">(PMG) </w:t>
      </w:r>
      <w:r w:rsidR="00A00B4A" w:rsidRPr="003F4C89">
        <w:rPr>
          <w:b/>
          <w:bCs/>
        </w:rPr>
        <w:t>Damasławek</w:t>
      </w:r>
      <w:r w:rsidR="00084514">
        <w:t xml:space="preserve"> w kawernie solnej, w pobliżu istniejącego kawernowego PMG Mogilno w województwie kujawsko-pomorskim</w:t>
      </w:r>
      <w:r w:rsidR="009D40EA">
        <w:t>.</w:t>
      </w:r>
      <w:r w:rsidR="00974007">
        <w:t xml:space="preserve">  </w:t>
      </w:r>
    </w:p>
    <w:p w14:paraId="04827CC6" w14:textId="77F0A567" w:rsidR="00E2710C" w:rsidRDefault="00AB67CF" w:rsidP="007159B3">
      <w:r>
        <w:t xml:space="preserve">Ze względu na </w:t>
      </w:r>
      <w:r w:rsidR="00AE38B2">
        <w:t xml:space="preserve">potencjał rozwoju branży wodorowej oraz </w:t>
      </w:r>
      <w:r w:rsidR="00B7268C">
        <w:t>dynamikę przyrostu wyników działa</w:t>
      </w:r>
      <w:r w:rsidR="00AD1EC3">
        <w:t>lności badawczo-rozwojowej</w:t>
      </w:r>
      <w:r w:rsidR="00103457">
        <w:t xml:space="preserve"> </w:t>
      </w:r>
      <w:r w:rsidR="007159B3" w:rsidRPr="004E0F45">
        <w:rPr>
          <w:b/>
          <w:bCs/>
        </w:rPr>
        <w:t xml:space="preserve">opracowany zostanie dokument, który określi </w:t>
      </w:r>
      <w:r w:rsidR="00DF1517">
        <w:rPr>
          <w:b/>
          <w:bCs/>
        </w:rPr>
        <w:t xml:space="preserve">najnowszy </w:t>
      </w:r>
      <w:r w:rsidR="007159B3" w:rsidRPr="004E0F45">
        <w:rPr>
          <w:b/>
          <w:bCs/>
        </w:rPr>
        <w:t>stan wiedzy w zakresie podziemnego magazynowania wodoru</w:t>
      </w:r>
      <w:r w:rsidR="007159B3" w:rsidRPr="009B0AC8">
        <w:t>, wytypowania pokładowych i wysadowych złóż soli kamiennej w</w:t>
      </w:r>
      <w:r>
        <w:t> </w:t>
      </w:r>
      <w:r w:rsidR="007159B3" w:rsidRPr="009B0AC8">
        <w:t>Polsce do podziemnego magazynowania wodoru czy wskazania technologii mających zastosowanie w</w:t>
      </w:r>
      <w:r>
        <w:t> </w:t>
      </w:r>
      <w:r w:rsidR="007159B3" w:rsidRPr="009B0AC8">
        <w:t>budowie i użytkowaniu podziemnego magazynu wodoru w kawernach solnych w</w:t>
      </w:r>
      <w:r w:rsidR="007159B3">
        <w:t> </w:t>
      </w:r>
      <w:r w:rsidR="007159B3" w:rsidRPr="009B0AC8">
        <w:t>warunkach polskich</w:t>
      </w:r>
      <w:r w:rsidR="007159B3">
        <w:t>. Istotne znaczenie dla rozpoznania potencjału może mieć również udział w</w:t>
      </w:r>
      <w:r w:rsidR="00CD0120">
        <w:t xml:space="preserve"> </w:t>
      </w:r>
      <w:r w:rsidR="007159B3">
        <w:t xml:space="preserve">inicjatywach międzynarodowych, które wpłyną na poszerzenie wiedzy dotyczącej gospodarowania wodorowej. </w:t>
      </w:r>
    </w:p>
    <w:p w14:paraId="44A0F0DD" w14:textId="77777777" w:rsidR="00213F40" w:rsidRDefault="00213F40" w:rsidP="00213F40">
      <w:pPr>
        <w:pStyle w:val="PaMs"/>
      </w:pPr>
      <w:r w:rsidRPr="0084678D">
        <w:t>DZIAŁANIA</w:t>
      </w:r>
    </w:p>
    <w:p w14:paraId="7D4E6178" w14:textId="480AF3B3" w:rsidR="00FA0F95" w:rsidRPr="006B25D5" w:rsidRDefault="006B25D5" w:rsidP="003530A9">
      <w:pPr>
        <w:pStyle w:val="Akapitzlist"/>
        <w:numPr>
          <w:ilvl w:val="0"/>
          <w:numId w:val="19"/>
        </w:numPr>
      </w:pPr>
      <w:r w:rsidRPr="006B25D5">
        <w:fldChar w:fldCharType="begin"/>
      </w:r>
      <w:r w:rsidRPr="006B25D5">
        <w:instrText xml:space="preserve"> REF _Ref195892556 \h </w:instrText>
      </w:r>
      <w:r>
        <w:instrText xml:space="preserve"> \* MERGEFORMAT </w:instrText>
      </w:r>
      <w:r w:rsidRPr="006B25D5">
        <w:fldChar w:fldCharType="separate"/>
      </w:r>
      <w:r w:rsidR="00871DD5" w:rsidRPr="00871DD5">
        <w:rPr>
          <w:rStyle w:val="Nagwek6Znak"/>
          <w:rFonts w:ascii="Lato" w:hAnsi="Lato"/>
          <w:b w:val="0"/>
        </w:rPr>
        <w:t xml:space="preserve">Działanie </w:t>
      </w:r>
      <w:r w:rsidR="00871DD5" w:rsidRPr="00871DD5">
        <w:rPr>
          <w:lang w:eastAsia="pl-PL"/>
        </w:rPr>
        <w:t xml:space="preserve">122. </w:t>
      </w:r>
      <w:r w:rsidR="00871DD5" w:rsidRPr="008A5AE2">
        <w:rPr>
          <w:lang w:eastAsia="pl-PL"/>
        </w:rPr>
        <w:t>Zwiększanie pojemności i mocy odbioru systemu magazynowania paliw gazowych</w:t>
      </w:r>
      <w:r w:rsidRPr="006B25D5">
        <w:fldChar w:fldCharType="end"/>
      </w:r>
    </w:p>
    <w:p w14:paraId="6A1CB368" w14:textId="6B88E610" w:rsidR="006B25D5" w:rsidRPr="006B25D5" w:rsidRDefault="006B25D5" w:rsidP="003530A9">
      <w:pPr>
        <w:pStyle w:val="Akapitzlist"/>
        <w:numPr>
          <w:ilvl w:val="0"/>
          <w:numId w:val="19"/>
        </w:numPr>
      </w:pPr>
      <w:r w:rsidRPr="006B25D5">
        <w:fldChar w:fldCharType="begin"/>
      </w:r>
      <w:r w:rsidRPr="006B25D5">
        <w:instrText xml:space="preserve"> REF _Ref195892570 \h </w:instrText>
      </w:r>
      <w:r>
        <w:instrText xml:space="preserve"> \* MERGEFORMAT </w:instrText>
      </w:r>
      <w:r w:rsidRPr="006B25D5">
        <w:fldChar w:fldCharType="separate"/>
      </w:r>
      <w:r w:rsidR="00871DD5" w:rsidRPr="00871DD5">
        <w:rPr>
          <w:rStyle w:val="Nagwek6Znak"/>
          <w:rFonts w:ascii="Lato" w:hAnsi="Lato"/>
          <w:b w:val="0"/>
        </w:rPr>
        <w:t xml:space="preserve">Działanie </w:t>
      </w:r>
      <w:r w:rsidR="00871DD5" w:rsidRPr="00871DD5">
        <w:rPr>
          <w:lang w:eastAsia="pl-PL"/>
        </w:rPr>
        <w:t xml:space="preserve">124. </w:t>
      </w:r>
      <w:r w:rsidR="00871DD5" w:rsidRPr="003A1F87">
        <w:rPr>
          <w:lang w:eastAsia="pl-PL"/>
        </w:rPr>
        <w:t>Wsparcie dla realizacji Nordycko-Bałtyckiego Korytarza Wodorowego oraz</w:t>
      </w:r>
      <w:r w:rsidR="00871DD5">
        <w:rPr>
          <w:lang w:eastAsia="pl-PL"/>
        </w:rPr>
        <w:t> </w:t>
      </w:r>
      <w:r w:rsidR="00871DD5" w:rsidRPr="003A1F87">
        <w:rPr>
          <w:lang w:eastAsia="pl-PL"/>
        </w:rPr>
        <w:t>innej infrastruktury do przesyłu wodoru o charakterze transgranicznym</w:t>
      </w:r>
      <w:r w:rsidRPr="006B25D5">
        <w:fldChar w:fldCharType="end"/>
      </w:r>
    </w:p>
    <w:p w14:paraId="1F78595C" w14:textId="297F4882" w:rsidR="006B25D5" w:rsidRPr="006B25D5" w:rsidRDefault="006B25D5" w:rsidP="003530A9">
      <w:pPr>
        <w:pStyle w:val="Akapitzlist"/>
        <w:numPr>
          <w:ilvl w:val="0"/>
          <w:numId w:val="19"/>
        </w:numPr>
      </w:pPr>
      <w:r w:rsidRPr="006B25D5">
        <w:fldChar w:fldCharType="begin"/>
      </w:r>
      <w:r w:rsidRPr="006B25D5">
        <w:instrText xml:space="preserve"> REF _Ref195892593 \h </w:instrText>
      </w:r>
      <w:r>
        <w:instrText xml:space="preserve"> \* MERGEFORMAT </w:instrText>
      </w:r>
      <w:r w:rsidRPr="006B25D5">
        <w:fldChar w:fldCharType="separate"/>
      </w:r>
      <w:r w:rsidR="00871DD5" w:rsidRPr="00871DD5">
        <w:rPr>
          <w:rStyle w:val="Nagwek6Znak"/>
          <w:rFonts w:ascii="Lato" w:hAnsi="Lato"/>
          <w:b w:val="0"/>
        </w:rPr>
        <w:t xml:space="preserve">Działanie </w:t>
      </w:r>
      <w:r w:rsidR="00871DD5" w:rsidRPr="00871DD5">
        <w:rPr>
          <w:lang w:eastAsia="pl-PL"/>
        </w:rPr>
        <w:t xml:space="preserve">125. </w:t>
      </w:r>
      <w:r w:rsidR="00871DD5" w:rsidRPr="003A1F87">
        <w:rPr>
          <w:lang w:eastAsia="pl-PL"/>
        </w:rPr>
        <w:t>Analiza potencjału</w:t>
      </w:r>
      <w:r w:rsidR="00871DD5" w:rsidRPr="00871DD5">
        <w:rPr>
          <w:rFonts w:ascii="Arial" w:hAnsi="Arial" w:cs="Arial"/>
          <w:lang w:eastAsia="pl-PL"/>
        </w:rPr>
        <w:t xml:space="preserve"> wielkoskalowego magazynowania wodoru w</w:t>
      </w:r>
      <w:r w:rsidR="00871DD5" w:rsidRPr="003A1F87">
        <w:rPr>
          <w:rFonts w:ascii="Arial" w:hAnsi="Arial" w:cs="Arial"/>
          <w:lang w:eastAsia="pl-PL"/>
        </w:rPr>
        <w:t> </w:t>
      </w:r>
      <w:r w:rsidR="00871DD5" w:rsidRPr="003A1F87">
        <w:rPr>
          <w:lang w:eastAsia="pl-PL"/>
        </w:rPr>
        <w:t>kawernach solnych</w:t>
      </w:r>
      <w:r w:rsidRPr="006B25D5">
        <w:fldChar w:fldCharType="end"/>
      </w:r>
    </w:p>
    <w:p w14:paraId="0B7B17B0" w14:textId="41561517" w:rsidR="000D4915" w:rsidRDefault="000D4915" w:rsidP="000D4915">
      <w:pPr>
        <w:pStyle w:val="Nagwek3"/>
        <w:rPr>
          <w:color w:val="C00000"/>
        </w:rPr>
      </w:pPr>
      <w:bookmarkStart w:id="565" w:name="_Toc195897342"/>
      <w:bookmarkStart w:id="566" w:name="_Toc195899587"/>
      <w:bookmarkStart w:id="567" w:name="_Toc195897343"/>
      <w:bookmarkStart w:id="568" w:name="_Toc195899588"/>
      <w:bookmarkStart w:id="569" w:name="_Toc195897344"/>
      <w:bookmarkStart w:id="570" w:name="_Toc195899589"/>
      <w:bookmarkStart w:id="571" w:name="_Toc195897345"/>
      <w:bookmarkStart w:id="572" w:name="_Toc195899590"/>
      <w:bookmarkStart w:id="573" w:name="_Ref191392664"/>
      <w:bookmarkStart w:id="574" w:name="_Ref191392702"/>
      <w:bookmarkStart w:id="575" w:name="_Toc195897346"/>
      <w:bookmarkStart w:id="576" w:name="_Toc205203202"/>
      <w:bookmarkEnd w:id="565"/>
      <w:bookmarkEnd w:id="566"/>
      <w:bookmarkEnd w:id="567"/>
      <w:bookmarkEnd w:id="568"/>
      <w:bookmarkEnd w:id="569"/>
      <w:bookmarkEnd w:id="570"/>
      <w:bookmarkEnd w:id="571"/>
      <w:bookmarkEnd w:id="572"/>
      <w:r w:rsidRPr="000D4915">
        <w:rPr>
          <w:color w:val="C00000"/>
        </w:rPr>
        <w:t>Pokryci</w:t>
      </w:r>
      <w:r w:rsidR="008A46D0">
        <w:rPr>
          <w:color w:val="C00000"/>
        </w:rPr>
        <w:t>e</w:t>
      </w:r>
      <w:r w:rsidRPr="000D4915">
        <w:rPr>
          <w:color w:val="C00000"/>
        </w:rPr>
        <w:t xml:space="preserve"> zapotrzebowania na ropę naftową i paliwa ciekłe</w:t>
      </w:r>
      <w:bookmarkEnd w:id="533"/>
      <w:bookmarkEnd w:id="573"/>
      <w:bookmarkEnd w:id="574"/>
      <w:bookmarkEnd w:id="575"/>
      <w:bookmarkEnd w:id="576"/>
    </w:p>
    <w:p w14:paraId="731962F5" w14:textId="34CF7CC4" w:rsidR="00625C02" w:rsidRDefault="00BA4E77" w:rsidP="00625C02">
      <w:r>
        <w:rPr>
          <w:noProof/>
          <w:lang w:eastAsia="pl-PL"/>
        </w:rPr>
        <mc:AlternateContent>
          <mc:Choice Requires="wps">
            <w:drawing>
              <wp:anchor distT="0" distB="0" distL="114300" distR="114300" simplePos="0" relativeHeight="251615744" behindDoc="1" locked="0" layoutInCell="1" allowOverlap="1" wp14:anchorId="5E1DB7E4" wp14:editId="0E72D831">
                <wp:simplePos x="0" y="0"/>
                <wp:positionH relativeFrom="margin">
                  <wp:posOffset>3467100</wp:posOffset>
                </wp:positionH>
                <wp:positionV relativeFrom="paragraph">
                  <wp:posOffset>41910</wp:posOffset>
                </wp:positionV>
                <wp:extent cx="2112010" cy="914400"/>
                <wp:effectExtent l="19050" t="57150" r="116840" b="76200"/>
                <wp:wrapSquare wrapText="bothSides"/>
                <wp:docPr id="511594587" name="Prostokąt: zaokrąglone rogi 1"/>
                <wp:cNvGraphicFramePr/>
                <a:graphic xmlns:a="http://schemas.openxmlformats.org/drawingml/2006/main">
                  <a:graphicData uri="http://schemas.microsoft.com/office/word/2010/wordprocessingShape">
                    <wps:wsp>
                      <wps:cNvSpPr/>
                      <wps:spPr>
                        <a:xfrm>
                          <a:off x="0" y="0"/>
                          <a:ext cx="2112010" cy="914400"/>
                        </a:xfrm>
                        <a:prstGeom prst="roundRect">
                          <a:avLst>
                            <a:gd name="adj" fmla="val 11857"/>
                          </a:avLst>
                        </a:prstGeom>
                        <a:solidFill>
                          <a:schemeClr val="bg1"/>
                        </a:solidFill>
                        <a:ln w="6350">
                          <a:solidFill>
                            <a:srgbClr val="C00000"/>
                          </a:solidFill>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BEB95A1" w14:textId="77777777" w:rsidR="00C36C5C" w:rsidRPr="004E21CF" w:rsidRDefault="00C36C5C" w:rsidP="00BA4E77">
                            <w:pPr>
                              <w:pStyle w:val="Ramka"/>
                            </w:pPr>
                            <w:r w:rsidRPr="000835F0">
                              <w:t xml:space="preserve">Ze względu na ograniczone zasoby krajowe </w:t>
                            </w:r>
                            <w:r>
                              <w:t>ropy naftowej</w:t>
                            </w:r>
                            <w:r w:rsidRPr="000835F0">
                              <w:t xml:space="preserve">, </w:t>
                            </w:r>
                            <w:r>
                              <w:t xml:space="preserve">zdecydowana </w:t>
                            </w:r>
                            <w:r w:rsidRPr="000835F0">
                              <w:t>większość zapotrzebowania jest pokrywana surowcem z</w:t>
                            </w:r>
                            <w:r>
                              <w:t> </w:t>
                            </w:r>
                            <w:r w:rsidRPr="000835F0">
                              <w:t>importu</w:t>
                            </w:r>
                            <w:r>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DB7E4" id="_x0000_s1125" style="position:absolute;left:0;text-align:left;margin-left:273pt;margin-top:3.3pt;width:166.3pt;height:1in;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" fillcolor="white [3212]" strokecolor="#c00000" strokeweight=".5pt">
                <v:stroke joinstyle="miter"/>
                <v:shadow on="t" color="black" opacity="26214f" origin="-.5" offset="3pt,0"/>
                <v:textbox inset="2mm,2.5mm,2mm,0">
                  <w:txbxContent>
                    <w:p w14:paraId="7BEB95A1" w14:textId="77777777" w:rsidR="00C36C5C" w:rsidRPr="004E21CF" w:rsidRDefault="00C36C5C" w:rsidP="00BA4E77">
                      <w:pPr>
                        <w:pStyle w:val="Ramka"/>
                      </w:pPr>
                      <w:r w:rsidRPr="000835F0">
                        <w:t xml:space="preserve">Ze względu na ograniczone zasoby krajowe </w:t>
                      </w:r>
                      <w:r>
                        <w:t>ropy naftowej</w:t>
                      </w:r>
                      <w:r w:rsidRPr="000835F0">
                        <w:t xml:space="preserve">, </w:t>
                      </w:r>
                      <w:r>
                        <w:t xml:space="preserve">zdecydowana </w:t>
                      </w:r>
                      <w:r w:rsidRPr="000835F0">
                        <w:t>większość zapotrzebowania jest pokrywana surowcem z</w:t>
                      </w:r>
                      <w:r>
                        <w:t> </w:t>
                      </w:r>
                      <w:r w:rsidRPr="000835F0">
                        <w:t>importu</w:t>
                      </w:r>
                      <w:r>
                        <w:t xml:space="preserve"> </w:t>
                      </w:r>
                    </w:p>
                  </w:txbxContent>
                </v:textbox>
                <w10:wrap type="square" anchorx="margin"/>
              </v:roundrect>
            </w:pict>
          </mc:Fallback>
        </mc:AlternateContent>
      </w:r>
      <w:r w:rsidR="00625C02" w:rsidRPr="00684FA0">
        <w:rPr>
          <w:szCs w:val="20"/>
        </w:rPr>
        <w:t xml:space="preserve">Ropa naftowa </w:t>
      </w:r>
      <w:r w:rsidR="00625C02" w:rsidRPr="00351154">
        <w:rPr>
          <w:szCs w:val="20"/>
        </w:rPr>
        <w:t>jest strategi</w:t>
      </w:r>
      <w:r w:rsidR="00625C02" w:rsidRPr="00684FA0">
        <w:rPr>
          <w:szCs w:val="20"/>
        </w:rPr>
        <w:t>cznie ważnym surowcem energetycznym dla gospodarki krajowej, a</w:t>
      </w:r>
      <w:r w:rsidR="00625C02">
        <w:rPr>
          <w:szCs w:val="20"/>
        </w:rPr>
        <w:t> globalny</w:t>
      </w:r>
      <w:r w:rsidR="00625C02" w:rsidRPr="00684FA0">
        <w:rPr>
          <w:szCs w:val="20"/>
        </w:rPr>
        <w:t xml:space="preserve"> popyt na ten surowiec nie ulegnie spadkowi wcześniej niż </w:t>
      </w:r>
      <w:r w:rsidR="00625C02">
        <w:rPr>
          <w:szCs w:val="20"/>
        </w:rPr>
        <w:t>w</w:t>
      </w:r>
      <w:r w:rsidR="00625C02" w:rsidRPr="00684FA0">
        <w:rPr>
          <w:szCs w:val="20"/>
        </w:rPr>
        <w:t xml:space="preserve"> 2030 r. – wówczas przewiduje się szczyt zapotrzebowania. Ropa po 2030 r. dalej będzie pełniła kluczową rolę w sektorze transportu, a jej znaczenie gospodarcze będzie wciąż </w:t>
      </w:r>
      <w:r w:rsidR="00625C02" w:rsidRPr="00684FA0">
        <w:rPr>
          <w:szCs w:val="20"/>
        </w:rPr>
        <w:lastRenderedPageBreak/>
        <w:t>wysokie, m.in. z uwagi na rosnącą rolę w sektorze petrochemicznym</w:t>
      </w:r>
      <w:r w:rsidR="00625C02">
        <w:t>.</w:t>
      </w:r>
    </w:p>
    <w:p w14:paraId="2FF6570D" w14:textId="77777777" w:rsidR="00625C02" w:rsidRPr="00684FA0" w:rsidRDefault="00625C02" w:rsidP="00625C02">
      <w:pPr>
        <w:rPr>
          <w:szCs w:val="20"/>
        </w:rPr>
      </w:pPr>
      <w:bookmarkStart w:id="577" w:name="_Hlk158282112"/>
      <w:r w:rsidRPr="00684FA0">
        <w:rPr>
          <w:szCs w:val="20"/>
        </w:rPr>
        <w:t>Agresja Federacji Rosyjskiej na Ukrain</w:t>
      </w:r>
      <w:r w:rsidRPr="002B7120">
        <w:rPr>
          <w:rFonts w:hint="eastAsia"/>
          <w:szCs w:val="20"/>
        </w:rPr>
        <w:t>ę</w:t>
      </w:r>
      <w:r w:rsidRPr="00684FA0">
        <w:rPr>
          <w:szCs w:val="20"/>
        </w:rPr>
        <w:t xml:space="preserve"> w lutym 2022 r. spowodowa</w:t>
      </w:r>
      <w:r w:rsidRPr="002B7120">
        <w:rPr>
          <w:rFonts w:hint="eastAsia"/>
          <w:szCs w:val="20"/>
        </w:rPr>
        <w:t>ł</w:t>
      </w:r>
      <w:r w:rsidRPr="00684FA0">
        <w:rPr>
          <w:szCs w:val="20"/>
        </w:rPr>
        <w:t>a konieczno</w:t>
      </w:r>
      <w:r w:rsidRPr="002B7120">
        <w:rPr>
          <w:rFonts w:hint="eastAsia"/>
          <w:szCs w:val="20"/>
        </w:rPr>
        <w:t>ść</w:t>
      </w:r>
      <w:r w:rsidRPr="00684FA0">
        <w:rPr>
          <w:szCs w:val="20"/>
        </w:rPr>
        <w:t xml:space="preserve"> okre</w:t>
      </w:r>
      <w:r w:rsidRPr="002B7120">
        <w:rPr>
          <w:rFonts w:hint="eastAsia"/>
          <w:szCs w:val="20"/>
        </w:rPr>
        <w:t>ś</w:t>
      </w:r>
      <w:r w:rsidRPr="00684FA0">
        <w:rPr>
          <w:szCs w:val="20"/>
        </w:rPr>
        <w:t>lenia na nowo strategicznych priorytet</w:t>
      </w:r>
      <w:r w:rsidRPr="002B7120">
        <w:rPr>
          <w:rFonts w:hint="eastAsia"/>
          <w:szCs w:val="20"/>
        </w:rPr>
        <w:t>ó</w:t>
      </w:r>
      <w:r w:rsidRPr="00684FA0">
        <w:rPr>
          <w:szCs w:val="20"/>
        </w:rPr>
        <w:t>w dotycz</w:t>
      </w:r>
      <w:r w:rsidRPr="002B7120">
        <w:rPr>
          <w:rFonts w:hint="eastAsia"/>
          <w:szCs w:val="20"/>
        </w:rPr>
        <w:t>ą</w:t>
      </w:r>
      <w:r w:rsidRPr="00684FA0">
        <w:rPr>
          <w:szCs w:val="20"/>
        </w:rPr>
        <w:t>cych sektora energetyki zwi</w:t>
      </w:r>
      <w:r w:rsidRPr="002B7120">
        <w:rPr>
          <w:rFonts w:hint="eastAsia"/>
          <w:szCs w:val="20"/>
        </w:rPr>
        <w:t>ą</w:t>
      </w:r>
      <w:r w:rsidRPr="00684FA0">
        <w:rPr>
          <w:szCs w:val="20"/>
        </w:rPr>
        <w:t>zanej z rop</w:t>
      </w:r>
      <w:r w:rsidRPr="002B7120">
        <w:rPr>
          <w:rFonts w:hint="eastAsia"/>
          <w:szCs w:val="20"/>
        </w:rPr>
        <w:t>ą</w:t>
      </w:r>
      <w:r w:rsidRPr="00684FA0">
        <w:rPr>
          <w:szCs w:val="20"/>
        </w:rPr>
        <w:t xml:space="preserve"> naftow</w:t>
      </w:r>
      <w:r w:rsidRPr="002B7120">
        <w:rPr>
          <w:rFonts w:hint="eastAsia"/>
          <w:szCs w:val="20"/>
        </w:rPr>
        <w:t>ą</w:t>
      </w:r>
      <w:r w:rsidRPr="00684FA0">
        <w:rPr>
          <w:szCs w:val="20"/>
        </w:rPr>
        <w:t xml:space="preserve"> i paliwami ropopochodnymi. </w:t>
      </w:r>
      <w:r>
        <w:rPr>
          <w:szCs w:val="20"/>
        </w:rPr>
        <w:t>E</w:t>
      </w:r>
      <w:r w:rsidRPr="00684FA0">
        <w:rPr>
          <w:szCs w:val="20"/>
        </w:rPr>
        <w:t>mbargo na rosyjsk</w:t>
      </w:r>
      <w:r w:rsidRPr="002B7120">
        <w:rPr>
          <w:rFonts w:hint="eastAsia"/>
          <w:szCs w:val="20"/>
        </w:rPr>
        <w:t>ą</w:t>
      </w:r>
      <w:r w:rsidRPr="00684FA0">
        <w:rPr>
          <w:szCs w:val="20"/>
        </w:rPr>
        <w:t xml:space="preserve"> rop</w:t>
      </w:r>
      <w:r w:rsidRPr="002B7120">
        <w:rPr>
          <w:rFonts w:hint="eastAsia"/>
          <w:szCs w:val="20"/>
        </w:rPr>
        <w:t>ę</w:t>
      </w:r>
      <w:r w:rsidRPr="00684FA0">
        <w:rPr>
          <w:szCs w:val="20"/>
        </w:rPr>
        <w:t xml:space="preserve"> i paliwa ciekłe oraz w konsekwencji zaprzestanie importu ropy naftowej oraz paliw z Rosji doprowadzi</w:t>
      </w:r>
      <w:r w:rsidRPr="002B7120">
        <w:rPr>
          <w:rFonts w:hint="eastAsia"/>
          <w:szCs w:val="20"/>
        </w:rPr>
        <w:t>ł</w:t>
      </w:r>
      <w:r w:rsidRPr="00684FA0">
        <w:rPr>
          <w:szCs w:val="20"/>
        </w:rPr>
        <w:t>o do g</w:t>
      </w:r>
      <w:r w:rsidRPr="002B7120">
        <w:rPr>
          <w:rFonts w:hint="eastAsia"/>
          <w:szCs w:val="20"/>
        </w:rPr>
        <w:t>łę</w:t>
      </w:r>
      <w:r w:rsidRPr="00684FA0">
        <w:rPr>
          <w:szCs w:val="20"/>
        </w:rPr>
        <w:t>bokich zmian w systemie bezpiecze</w:t>
      </w:r>
      <w:r w:rsidRPr="002B7120">
        <w:rPr>
          <w:rFonts w:hint="eastAsia"/>
          <w:szCs w:val="20"/>
        </w:rPr>
        <w:t>ń</w:t>
      </w:r>
      <w:r w:rsidRPr="00684FA0">
        <w:rPr>
          <w:szCs w:val="20"/>
        </w:rPr>
        <w:t>stwa energetycznego pa</w:t>
      </w:r>
      <w:r w:rsidRPr="002B7120">
        <w:rPr>
          <w:rFonts w:hint="eastAsia"/>
          <w:szCs w:val="20"/>
        </w:rPr>
        <w:t>ń</w:t>
      </w:r>
      <w:r w:rsidRPr="00684FA0">
        <w:rPr>
          <w:szCs w:val="20"/>
        </w:rPr>
        <w:t xml:space="preserve">stw UE w zakresie dostaw surowców energetycznych. </w:t>
      </w:r>
    </w:p>
    <w:bookmarkEnd w:id="577"/>
    <w:p w14:paraId="187665EA" w14:textId="322DDDA3" w:rsidR="00625C02" w:rsidRPr="000D4915" w:rsidRDefault="00625C02" w:rsidP="00625C02">
      <w:r w:rsidRPr="002B7120">
        <w:rPr>
          <w:szCs w:val="20"/>
        </w:rPr>
        <w:t>W tej części określono cele dotyczące dywersyfikacji dostaw ropy naftowej i paliw ciekłych spoza kraju, a także zapewniania odpowiednio rozwiniętej i sprawnej infrastruktury krajowej, która umożliwia odbiorcom dostęp do ropy i paliw ciekłych.</w:t>
      </w:r>
    </w:p>
    <w:p w14:paraId="1837842A" w14:textId="3FDC069A" w:rsidR="00D1050C" w:rsidRPr="001D79FD" w:rsidRDefault="001D79FD" w:rsidP="001D79FD">
      <w:pPr>
        <w:pStyle w:val="Nagwek4"/>
        <w:rPr>
          <w:color w:val="C00000"/>
        </w:rPr>
      </w:pPr>
      <w:bookmarkStart w:id="578" w:name="_Toc159598322"/>
      <w:bookmarkStart w:id="579" w:name="_Toc195897347"/>
      <w:bookmarkStart w:id="580" w:name="_Toc205203203"/>
      <w:r>
        <w:rPr>
          <w:color w:val="C00000"/>
        </w:rPr>
        <w:t xml:space="preserve">Dywersyfikacja dostaw </w:t>
      </w:r>
      <w:r w:rsidR="00550223">
        <w:rPr>
          <w:color w:val="C00000"/>
        </w:rPr>
        <w:t xml:space="preserve">(importu) </w:t>
      </w:r>
      <w:r>
        <w:rPr>
          <w:color w:val="C00000"/>
        </w:rPr>
        <w:t>ropy naftowej</w:t>
      </w:r>
      <w:bookmarkEnd w:id="578"/>
      <w:bookmarkEnd w:id="579"/>
      <w:bookmarkEnd w:id="580"/>
    </w:p>
    <w:p w14:paraId="785E431D" w14:textId="6955058C" w:rsidR="004A22DD" w:rsidRPr="00D62A2A" w:rsidRDefault="00C765EB" w:rsidP="00E45F2E">
      <w:r>
        <w:t>W latach 2011–202</w:t>
      </w:r>
      <w:r w:rsidR="002B5236">
        <w:t>4</w:t>
      </w:r>
      <w:r>
        <w:t xml:space="preserve"> w </w:t>
      </w:r>
      <w:r w:rsidR="004A22DD">
        <w:t>Pols</w:t>
      </w:r>
      <w:r>
        <w:t>ce</w:t>
      </w:r>
      <w:r w:rsidR="004A22DD">
        <w:t xml:space="preserve"> </w:t>
      </w:r>
      <w:r w:rsidR="00CA6FF4">
        <w:t>zużywa</w:t>
      </w:r>
      <w:r w:rsidR="00950801">
        <w:t xml:space="preserve">ło się </w:t>
      </w:r>
      <w:r w:rsidR="00CA6FF4">
        <w:t>ok.</w:t>
      </w:r>
      <w:r w:rsidR="00950801">
        <w:t xml:space="preserve"> 24–27 ml</w:t>
      </w:r>
      <w:r w:rsidR="00134FB0">
        <w:t xml:space="preserve">n t </w:t>
      </w:r>
      <w:r w:rsidR="00BE029B">
        <w:t>ropy naftowej rocznie</w:t>
      </w:r>
      <w:r w:rsidR="00190BDE">
        <w:t>, a tylko ok</w:t>
      </w:r>
      <w:r w:rsidR="00AB36EE">
        <w:t>.</w:t>
      </w:r>
      <w:r w:rsidR="00D62A2A">
        <w:t xml:space="preserve"> </w:t>
      </w:r>
      <w:r w:rsidR="00AB36EE">
        <w:t>3–</w:t>
      </w:r>
      <w:r w:rsidR="00190BDE">
        <w:t>4% pokrywane jest wydobyciem własnym</w:t>
      </w:r>
      <w:r w:rsidR="00190BDE">
        <w:rPr>
          <w:rStyle w:val="Odwoanieprzypisudolnego"/>
        </w:rPr>
        <w:footnoteReference w:id="116"/>
      </w:r>
      <w:r w:rsidR="002D2CAD" w:rsidRPr="002D2CAD">
        <w:rPr>
          <w:vertAlign w:val="superscript"/>
        </w:rPr>
        <w:t>,</w:t>
      </w:r>
      <w:r w:rsidR="00127511">
        <w:rPr>
          <w:rStyle w:val="Odwoanieprzypisudolnego"/>
        </w:rPr>
        <w:footnoteReference w:id="117"/>
      </w:r>
      <w:r w:rsidR="00D62A2A">
        <w:t>.</w:t>
      </w:r>
    </w:p>
    <w:p w14:paraId="2E08CDC8" w14:textId="20421723" w:rsidR="00E45F2E" w:rsidRDefault="00ED1A1C" w:rsidP="00E45F2E">
      <w:r w:rsidRPr="00D20B47">
        <w:rPr>
          <w:noProof/>
          <w:lang w:eastAsia="pl-PL"/>
        </w:rPr>
        <mc:AlternateContent>
          <mc:Choice Requires="wps">
            <w:drawing>
              <wp:anchor distT="0" distB="0" distL="114300" distR="114300" simplePos="0" relativeHeight="251582976" behindDoc="1" locked="0" layoutInCell="1" allowOverlap="1" wp14:anchorId="607E91D9" wp14:editId="43C6504F">
                <wp:simplePos x="0" y="0"/>
                <wp:positionH relativeFrom="margin">
                  <wp:posOffset>3149194</wp:posOffset>
                </wp:positionH>
                <wp:positionV relativeFrom="paragraph">
                  <wp:posOffset>70713</wp:posOffset>
                </wp:positionV>
                <wp:extent cx="2620010" cy="1963420"/>
                <wp:effectExtent l="19050" t="57150" r="123190" b="71120"/>
                <wp:wrapSquare wrapText="bothSides"/>
                <wp:docPr id="902371291"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ysClr val="window" lastClr="FFFFFF"/>
                        </a:solidFill>
                        <a:ln w="6350" cap="flat" cmpd="sng" algn="ctr">
                          <a:solidFill>
                            <a:srgbClr val="C00000"/>
                          </a:solidFill>
                          <a:prstDash val="solid"/>
                          <a:miter lim="800000"/>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txbx>
                        <w:txbxContent>
                          <w:p w14:paraId="35BABF6E" w14:textId="77777777" w:rsidR="00C36C5C" w:rsidRPr="004E21CF" w:rsidRDefault="00C36C5C" w:rsidP="00ED1A1C">
                            <w:pPr>
                              <w:pStyle w:val="Ramka"/>
                            </w:pPr>
                            <w:r w:rsidRPr="00793CBE">
                              <w:t>Krajowy system prz</w:t>
                            </w:r>
                            <w:r>
                              <w:t>esyłu i dystrybucji paliw ciekłych zasilany jest produkcją w zakładach rafineryjnych w Płocku i Gdańsku, a także importem drogą morską i lądową.</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07E91D9" id="_x0000_s1126" style="position:absolute;left:0;text-align:left;margin-left:247.95pt;margin-top:5.55pt;width:206.3pt;height:154.6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" fillcolor="window" strokecolor="#c00000" strokeweight=".5pt">
                <v:stroke joinstyle="miter"/>
                <v:shadow on="t" color="black" opacity="26214f" origin="-.5" offset="3pt,0"/>
                <v:textbox style="mso-fit-shape-to-text:t" inset="2mm,2.5mm,2mm,0">
                  <w:txbxContent>
                    <w:p w14:paraId="35BABF6E" w14:textId="77777777" w:rsidR="00C36C5C" w:rsidRPr="004E21CF" w:rsidRDefault="00C36C5C" w:rsidP="00ED1A1C">
                      <w:pPr>
                        <w:pStyle w:val="Ramka"/>
                      </w:pPr>
                      <w:r w:rsidRPr="00793CBE">
                        <w:t>Krajowy system prz</w:t>
                      </w:r>
                      <w:r>
                        <w:t>esyłu i dystrybucji paliw ciekłych zasilany jest produkcją w zakładach rafineryjnych w Płocku i Gdańsku, a także importem drogą morską i lądową.</w:t>
                      </w:r>
                    </w:p>
                  </w:txbxContent>
                </v:textbox>
                <w10:wrap type="square" anchorx="margin"/>
              </v:roundrect>
            </w:pict>
          </mc:Fallback>
        </mc:AlternateContent>
      </w:r>
      <w:r w:rsidR="00E45F2E">
        <w:t>W wyniku zmian w strukturze dostaw surowców energetycznych, d</w:t>
      </w:r>
      <w:r w:rsidR="00E45F2E" w:rsidRPr="0029648F">
        <w:t>roga importu ropy wykorzystująca do</w:t>
      </w:r>
      <w:r w:rsidR="00E45F2E">
        <w:t> </w:t>
      </w:r>
      <w:r w:rsidR="00E45F2E" w:rsidRPr="0029648F">
        <w:t>2022 r. rurociąg „Przyjaźń”</w:t>
      </w:r>
      <w:r w:rsidR="00E45F2E">
        <w:t xml:space="preserve"> </w:t>
      </w:r>
      <w:r w:rsidR="00E45F2E" w:rsidRPr="0029648F">
        <w:t>została zastąpiona dostawami morskimi poprzez Naftoport w Gdańsku, co</w:t>
      </w:r>
      <w:r w:rsidR="00E45F2E">
        <w:t> </w:t>
      </w:r>
      <w:r w:rsidR="00E45F2E" w:rsidRPr="0029648F">
        <w:t xml:space="preserve">spowodowało zwiększenie poziomu wykorzystania infrastruktury Naftoportu oraz rurociągu </w:t>
      </w:r>
      <w:r w:rsidR="00E45F2E">
        <w:t>P</w:t>
      </w:r>
      <w:r w:rsidR="00E45F2E" w:rsidRPr="0029648F">
        <w:t xml:space="preserve">omorskiego do maksymalnych technicznych możliwości. </w:t>
      </w:r>
      <w:r w:rsidR="00E45F2E">
        <w:t>Zmiana punktu ciężkości systemu dostaw ropy naftowej z dostaw ze wschodu na dostawy morskie sprawiła, że</w:t>
      </w:r>
      <w:r w:rsidR="00AE24E5">
        <w:t> </w:t>
      </w:r>
      <w:r w:rsidR="00E45F2E">
        <w:t>rurociąg „Przyjaźń” zaczął pełnić marginalną rolę w systemie bezpieczeństwa paliwowego Polski.</w:t>
      </w:r>
    </w:p>
    <w:p w14:paraId="22CB323F" w14:textId="7BA5CD13" w:rsidR="00E45F2E" w:rsidRPr="0029648F" w:rsidRDefault="00E45F2E" w:rsidP="00E45F2E">
      <w:r>
        <w:t>Również zmiany w strukturze bezpieczeństwa energetycznego w Niemczech spowodowały znaczący wzrost roli Naftoportu oraz polskiej infrastruktury przesyłowej. W 2023 r. dostawy ropy z Naftoportu do dwóch wschodnioniemieckich rafineri</w:t>
      </w:r>
      <w:r w:rsidR="00E772EC">
        <w:t>ach</w:t>
      </w:r>
      <w:r>
        <w:t xml:space="preserve"> w Schwedt i Leunie stanowiły 75% ich zapotrzebowania. Należy podkreślić, że nawet r</w:t>
      </w:r>
      <w:r w:rsidRPr="00427A04">
        <w:t>ozbudowa zdolno</w:t>
      </w:r>
      <w:r w:rsidRPr="00427A04">
        <w:rPr>
          <w:rFonts w:hint="eastAsia"/>
        </w:rPr>
        <w:t>ś</w:t>
      </w:r>
      <w:r w:rsidRPr="00427A04">
        <w:t>ci odbiorcz</w:t>
      </w:r>
      <w:r>
        <w:t>ych</w:t>
      </w:r>
      <w:r w:rsidRPr="00427A04">
        <w:t xml:space="preserve"> portu w Rostocku oraz ruroci</w:t>
      </w:r>
      <w:r w:rsidRPr="00427A04">
        <w:rPr>
          <w:rFonts w:hint="eastAsia"/>
        </w:rPr>
        <w:t>ą</w:t>
      </w:r>
      <w:r w:rsidRPr="00427A04">
        <w:t>gu</w:t>
      </w:r>
      <w:r>
        <w:t xml:space="preserve"> </w:t>
      </w:r>
      <w:r w:rsidRPr="00427A04">
        <w:t>Rostock</w:t>
      </w:r>
      <w:r w:rsidR="008B7365">
        <w:t>–</w:t>
      </w:r>
      <w:r w:rsidRPr="00427A04">
        <w:t xml:space="preserve">Schwedt </w:t>
      </w:r>
      <w:r>
        <w:t xml:space="preserve">nie spowoduje, że </w:t>
      </w:r>
      <w:r w:rsidRPr="00427A04">
        <w:t xml:space="preserve">znaczenie </w:t>
      </w:r>
      <w:r>
        <w:t>tranzytu ropy przez Polskę</w:t>
      </w:r>
      <w:r w:rsidRPr="00427A04">
        <w:t xml:space="preserve"> </w:t>
      </w:r>
      <w:r>
        <w:t xml:space="preserve">zmniejszy się, ale wciąż będzie kluczowe i będzie stanowiło </w:t>
      </w:r>
      <w:r w:rsidRPr="00427A04">
        <w:t>oko</w:t>
      </w:r>
      <w:r w:rsidRPr="00427A04">
        <w:rPr>
          <w:rFonts w:hint="eastAsia"/>
        </w:rPr>
        <w:t>ł</w:t>
      </w:r>
      <w:r w:rsidRPr="00427A04">
        <w:t>o 50% potrzeb importowych rafinerii Leuna i Schwedt.</w:t>
      </w:r>
    </w:p>
    <w:p w14:paraId="68536464" w14:textId="5D0668A6" w:rsidR="00E45F2E" w:rsidRPr="0029648F" w:rsidRDefault="00E45F2E" w:rsidP="00E45F2E">
      <w:r w:rsidRPr="0029648F">
        <w:t>Powyższ</w:t>
      </w:r>
      <w:r>
        <w:t>a infrastruktura ma więc kluczowe znaczenie zarówno dla Polski, jak i Europy Środkowej, co </w:t>
      </w:r>
      <w:r w:rsidRPr="0029648F">
        <w:t xml:space="preserve">powoduje konieczność zapewnienia </w:t>
      </w:r>
      <w:r>
        <w:t xml:space="preserve">jej </w:t>
      </w:r>
      <w:r w:rsidRPr="0029648F">
        <w:t>nieprzerwanego działania, w tym zapewnienie możliwości prowadzenia robót naprawczych i modernizacyjnych na pracującej infrastrukturze.</w:t>
      </w:r>
    </w:p>
    <w:p w14:paraId="623F316F" w14:textId="77777777" w:rsidR="00E45F2E" w:rsidRPr="0029648F" w:rsidRDefault="00E45F2E" w:rsidP="00E45F2E">
      <w:pPr>
        <w:rPr>
          <w:color w:val="FF0000"/>
        </w:rPr>
      </w:pPr>
      <w:r w:rsidRPr="0029648F">
        <w:t xml:space="preserve">Niniejsza sytuacja wymaga </w:t>
      </w:r>
      <w:r w:rsidRPr="00E45F2E">
        <w:rPr>
          <w:b/>
          <w:bCs/>
        </w:rPr>
        <w:t xml:space="preserve">rozbudowy infrastruktury wewnętrznej ukierunkowanej na zapewnienie możliwości zwiększenia importu ropy naftowej drogą morską. </w:t>
      </w:r>
      <w:r w:rsidRPr="0029648F">
        <w:t>Celem nadrzędnym pozostaje zapewnienie nieprzerwanych dostaw ropy naftowej do rafinerii w Polsce i za granicą</w:t>
      </w:r>
      <w:r>
        <w:t>,</w:t>
      </w:r>
      <w:r w:rsidRPr="0029648F">
        <w:t xml:space="preserve"> także w sytuacjach kryzysowych.</w:t>
      </w:r>
    </w:p>
    <w:p w14:paraId="4CF9537E" w14:textId="4A166418" w:rsidR="00F3711B" w:rsidRPr="00E45F2E" w:rsidRDefault="00F3711B" w:rsidP="00E45F2E">
      <w:pPr>
        <w:pStyle w:val="Cele"/>
        <w:rPr>
          <w:b/>
          <w:shd w:val="clear" w:color="auto" w:fill="F2F2F2" w:themeFill="background1" w:themeFillShade="F2"/>
        </w:rPr>
      </w:pPr>
      <w:r w:rsidRPr="00B377B2">
        <w:rPr>
          <w:rStyle w:val="CeleZnak"/>
          <w:b/>
        </w:rPr>
        <w:t xml:space="preserve">Polska wyznacza na 2030 r. cel </w:t>
      </w:r>
      <w:r w:rsidR="00D121F4" w:rsidRPr="00265D1D">
        <w:rPr>
          <w:rStyle w:val="CeleZnak"/>
          <w:b/>
        </w:rPr>
        <w:t xml:space="preserve">dalszego </w:t>
      </w:r>
      <w:r w:rsidR="00265D1D" w:rsidRPr="00265D1D">
        <w:rPr>
          <w:rStyle w:val="CeleZnak"/>
          <w:b/>
        </w:rPr>
        <w:t>zapewnienia stabilności dostaw ropy naftowej drogą morską do rafinerii krajowych i zagranicznych przy jednoczesnej rozbudowie infrastruktury przesyłowej i przeładunkowej.</w:t>
      </w:r>
    </w:p>
    <w:p w14:paraId="4859A824" w14:textId="77777777" w:rsidR="00E45F2E" w:rsidRDefault="00E45F2E" w:rsidP="00F3711B">
      <w:pPr>
        <w:spacing w:before="240" w:after="80"/>
        <w:rPr>
          <w:rFonts w:ascii="Bahnschrift" w:hAnsi="Bahnschrift"/>
          <w:b/>
          <w:bCs/>
          <w:sz w:val="32"/>
          <w:szCs w:val="32"/>
        </w:rPr>
      </w:pPr>
      <w:r w:rsidRPr="00E45F2E">
        <w:rPr>
          <w:rFonts w:ascii="Bahnschrift" w:hAnsi="Bahnschrift"/>
          <w:b/>
          <w:bCs/>
          <w:sz w:val="32"/>
          <w:szCs w:val="32"/>
        </w:rPr>
        <w:lastRenderedPageBreak/>
        <w:t>POLITYKA</w:t>
      </w:r>
    </w:p>
    <w:p w14:paraId="21B17BD5" w14:textId="77777777" w:rsidR="00E45F2E" w:rsidRPr="002B7120" w:rsidRDefault="00E45F2E" w:rsidP="00E45F2E">
      <w:r w:rsidRPr="00684FA0">
        <w:t>Zwi</w:t>
      </w:r>
      <w:r w:rsidRPr="002B7120">
        <w:rPr>
          <w:rFonts w:hint="eastAsia"/>
        </w:rPr>
        <w:t>ą</w:t>
      </w:r>
      <w:r w:rsidRPr="00684FA0">
        <w:t>zana z wybuchem wojny w Ukrainie zmiana oraz dywersyfikacja kierunk</w:t>
      </w:r>
      <w:r w:rsidRPr="002B7120">
        <w:rPr>
          <w:rFonts w:hint="eastAsia"/>
        </w:rPr>
        <w:t>ó</w:t>
      </w:r>
      <w:r w:rsidRPr="00684FA0">
        <w:t>w importu ropy przez Polsk</w:t>
      </w:r>
      <w:r w:rsidRPr="002B7120">
        <w:rPr>
          <w:rFonts w:hint="eastAsia"/>
        </w:rPr>
        <w:t>ę</w:t>
      </w:r>
      <w:r w:rsidRPr="00684FA0">
        <w:t>, w tym zwi</w:t>
      </w:r>
      <w:r w:rsidRPr="002B7120">
        <w:rPr>
          <w:rFonts w:hint="eastAsia"/>
        </w:rPr>
        <w:t>ę</w:t>
      </w:r>
      <w:r w:rsidRPr="00684FA0">
        <w:t>kszone dostawy tankowcami jej r</w:t>
      </w:r>
      <w:r w:rsidRPr="002B7120">
        <w:rPr>
          <w:rFonts w:hint="eastAsia"/>
        </w:rPr>
        <w:t>óż</w:t>
      </w:r>
      <w:r w:rsidRPr="00684FA0">
        <w:t>nych gatunk</w:t>
      </w:r>
      <w:r w:rsidRPr="002B7120">
        <w:rPr>
          <w:rFonts w:hint="eastAsia"/>
        </w:rPr>
        <w:t>ó</w:t>
      </w:r>
      <w:r w:rsidRPr="00684FA0">
        <w:t>w, wymuszaj</w:t>
      </w:r>
      <w:r w:rsidRPr="002B7120">
        <w:rPr>
          <w:rFonts w:hint="eastAsia"/>
        </w:rPr>
        <w:t>ą</w:t>
      </w:r>
      <w:r w:rsidRPr="00684FA0">
        <w:t xml:space="preserve"> postawienie na czele inwestycyjnych priorytet</w:t>
      </w:r>
      <w:r w:rsidRPr="002B7120">
        <w:rPr>
          <w:rFonts w:hint="eastAsia"/>
        </w:rPr>
        <w:t>ó</w:t>
      </w:r>
      <w:r w:rsidRPr="00684FA0">
        <w:t>w rozbudowę infrastruktury odbiorczej oraz przesy</w:t>
      </w:r>
      <w:r w:rsidRPr="002B7120">
        <w:rPr>
          <w:rFonts w:hint="eastAsia"/>
        </w:rPr>
        <w:t>ł</w:t>
      </w:r>
      <w:r w:rsidRPr="00684FA0">
        <w:t>owej, w tym Ropoci</w:t>
      </w:r>
      <w:r w:rsidRPr="002B7120">
        <w:rPr>
          <w:rFonts w:hint="eastAsia"/>
        </w:rPr>
        <w:t>ą</w:t>
      </w:r>
      <w:r w:rsidRPr="00684FA0">
        <w:t xml:space="preserve">gu Pomorskiego oraz Naftoportu. </w:t>
      </w:r>
    </w:p>
    <w:p w14:paraId="30E86037" w14:textId="77777777" w:rsidR="00E45F2E" w:rsidRPr="002B7120" w:rsidRDefault="00E45F2E" w:rsidP="00E45F2E">
      <w:r w:rsidRPr="002B7120">
        <w:t xml:space="preserve">Polski rynek paliwowy jest zliberalizowany, dlatego dla zapewnienia odpowiednich podstaw dla decyzji inwestorskich niezwykle istotne jest zapewnienie właściwego prognozowania potrzeb sektora rafineryjnego. W tym celu Rządowa Agencja Rezerw Strategicznych od 2019 r. opracowuje </w:t>
      </w:r>
      <w:r w:rsidRPr="002B7120">
        <w:rPr>
          <w:bCs/>
        </w:rPr>
        <w:t>prognozy krajowego zapotrzebowania na pojemności magazynowe</w:t>
      </w:r>
      <w:r w:rsidRPr="002B7120">
        <w:rPr>
          <w:b/>
        </w:rPr>
        <w:t xml:space="preserve"> </w:t>
      </w:r>
      <w:r w:rsidRPr="002B7120">
        <w:t>dla zapasów interwencyjnych i handlowych paliw i ropy naftowej na okres 10 lat, które są aktualizowane cyklicznie co 2 lata.</w:t>
      </w:r>
    </w:p>
    <w:p w14:paraId="5DBFF38C" w14:textId="227E6BC3" w:rsidR="00E45F2E" w:rsidRPr="00196C30" w:rsidRDefault="00E45F2E" w:rsidP="00E45F2E">
      <w:r w:rsidRPr="002B7120">
        <w:t>Zestawienie prognozowanej wielkości zapasów oraz pojemności magazynowych wskazuje, że w kolejnych latach istnieje nadwyżka wolnych pojemności nad potrzebami magazynowymi w zakresie zapasów interwencyjnych i operacyjnych. Na koniec 2023 r. nadwyżka ta wynosiła 4%. Biorąc pod uwagę aktualne pojemności magazynowe na ropę naftową i prognozę zapotrzebowania na surowiec do 2030 r. nie</w:t>
      </w:r>
      <w:r>
        <w:t> </w:t>
      </w:r>
      <w:r w:rsidRPr="002B7120">
        <w:t>przewiduje się budowy nowych zbiorników</w:t>
      </w:r>
      <w:r w:rsidR="00AA15F9">
        <w:t xml:space="preserve"> na </w:t>
      </w:r>
      <w:r w:rsidR="001C45E6">
        <w:t>ropę naftową.</w:t>
      </w:r>
      <w:r w:rsidR="00706E98">
        <w:t xml:space="preserve"> Działania związane z </w:t>
      </w:r>
      <w:r w:rsidR="00037F6F">
        <w:t>dążeniem do</w:t>
      </w:r>
      <w:r w:rsidR="00AE24E5">
        <w:t> </w:t>
      </w:r>
      <w:r w:rsidR="00037F6F">
        <w:t>neutralności klimatycznej nastawione są na spadek wykorzystania paliw kop</w:t>
      </w:r>
      <w:r w:rsidR="003B7EC0">
        <w:t>a</w:t>
      </w:r>
      <w:r w:rsidR="00037F6F">
        <w:t>lnych</w:t>
      </w:r>
      <w:r w:rsidR="006A6BED">
        <w:t xml:space="preserve">, ale </w:t>
      </w:r>
      <w:r w:rsidR="000A462F">
        <w:t xml:space="preserve">równocześnie </w:t>
      </w:r>
      <w:r w:rsidR="00885BB7">
        <w:t>ważne jest</w:t>
      </w:r>
      <w:r w:rsidR="000A462F">
        <w:t xml:space="preserve"> zapewnienie</w:t>
      </w:r>
      <w:r w:rsidR="00A50E34">
        <w:t xml:space="preserve"> odpowiednich</w:t>
      </w:r>
      <w:r w:rsidR="00885BB7">
        <w:t xml:space="preserve"> </w:t>
      </w:r>
      <w:r w:rsidR="006A6BED">
        <w:t xml:space="preserve">pojemności magazynowych </w:t>
      </w:r>
      <w:r w:rsidR="00EE7A54">
        <w:t xml:space="preserve">paliw ciekłych (produktów przetwarzania ropy naftowej) </w:t>
      </w:r>
      <w:r w:rsidR="006A6BED">
        <w:t xml:space="preserve">do czasu </w:t>
      </w:r>
      <w:r w:rsidR="003A1F43">
        <w:t xml:space="preserve">możliwego istotnego zmniejszenia </w:t>
      </w:r>
      <w:r w:rsidR="003958A5">
        <w:t xml:space="preserve">ich </w:t>
      </w:r>
      <w:r w:rsidR="003A1F43">
        <w:t>zużycia</w:t>
      </w:r>
      <w:r w:rsidR="00EE7A54">
        <w:t>. Z tego względu</w:t>
      </w:r>
      <w:r w:rsidR="003B7EC0">
        <w:t xml:space="preserve"> </w:t>
      </w:r>
      <w:r w:rsidR="00F03AEB">
        <w:t>dostosowanie</w:t>
      </w:r>
      <w:r w:rsidR="001C45E6">
        <w:t xml:space="preserve"> pojemności </w:t>
      </w:r>
      <w:r w:rsidR="001C45E6" w:rsidRPr="00196C30">
        <w:t>magazynowych na paliwa</w:t>
      </w:r>
      <w:r w:rsidR="00EE7A54" w:rsidRPr="00196C30">
        <w:t xml:space="preserve"> ciekłe</w:t>
      </w:r>
      <w:r w:rsidR="001C45E6" w:rsidRPr="00196C30">
        <w:t xml:space="preserve"> </w:t>
      </w:r>
      <w:r w:rsidR="00EA7880" w:rsidRPr="00196C30">
        <w:t>będzie</w:t>
      </w:r>
      <w:r w:rsidR="001C45E6" w:rsidRPr="00196C30">
        <w:t xml:space="preserve"> realizowan</w:t>
      </w:r>
      <w:r w:rsidR="00F03AEB" w:rsidRPr="00196C30">
        <w:t>e</w:t>
      </w:r>
      <w:r w:rsidR="001C45E6" w:rsidRPr="00196C30">
        <w:t xml:space="preserve"> zgodnie z planami </w:t>
      </w:r>
      <w:r w:rsidR="00A303BB" w:rsidRPr="00196C30">
        <w:t>s</w:t>
      </w:r>
      <w:r w:rsidR="001C45E6" w:rsidRPr="00196C30">
        <w:t>półek, biorąc pod uwagę potrzeby rynku w tym zakresie.</w:t>
      </w:r>
    </w:p>
    <w:p w14:paraId="1D8496FE" w14:textId="0B1ABBB3" w:rsidR="00E45F2E" w:rsidRPr="00684FA0" w:rsidRDefault="00E45F2E" w:rsidP="00E45F2E">
      <w:r w:rsidRPr="00684FA0">
        <w:t xml:space="preserve">Cel </w:t>
      </w:r>
      <w:r>
        <w:t xml:space="preserve">dotyczący zapewnienia nieprzerwanych dostaw ropy naftowej </w:t>
      </w:r>
      <w:r w:rsidRPr="00684FA0">
        <w:t>będzie realizowany przez:</w:t>
      </w:r>
    </w:p>
    <w:p w14:paraId="02A14726" w14:textId="77777777" w:rsidR="00E45F2E" w:rsidRPr="00684FA0" w:rsidRDefault="00E45F2E" w:rsidP="003530A9">
      <w:pPr>
        <w:pStyle w:val="Akapitzlist"/>
        <w:numPr>
          <w:ilvl w:val="0"/>
          <w:numId w:val="22"/>
        </w:numPr>
      </w:pPr>
      <w:r w:rsidRPr="00684FA0">
        <w:t>zapewnienie funkcjonowania oraz rozwój zdolności przeładunkowych Naftoportu w Gdańsku;</w:t>
      </w:r>
    </w:p>
    <w:p w14:paraId="00332B1D" w14:textId="22CBF0A1" w:rsidR="00E45F2E" w:rsidRPr="00684FA0" w:rsidRDefault="00E45F2E" w:rsidP="003530A9">
      <w:pPr>
        <w:pStyle w:val="Akapitzlist"/>
        <w:numPr>
          <w:ilvl w:val="0"/>
          <w:numId w:val="22"/>
        </w:numPr>
      </w:pPr>
      <w:r w:rsidRPr="00684FA0">
        <w:t>zapewnienie odpowiednio rozwiniętej i sprawnej infrastruktury przesyłowej wewnątrz kraju, w</w:t>
      </w:r>
      <w:r>
        <w:t> </w:t>
      </w:r>
      <w:r w:rsidRPr="00684FA0">
        <w:t>tym jej rozbudowę poprzez budowę II nitki rurociągu Pomorskiego;</w:t>
      </w:r>
    </w:p>
    <w:p w14:paraId="4609B4C1" w14:textId="77777777" w:rsidR="00E45F2E" w:rsidRDefault="00E45F2E" w:rsidP="003530A9">
      <w:pPr>
        <w:pStyle w:val="Akapitzlist"/>
        <w:numPr>
          <w:ilvl w:val="0"/>
          <w:numId w:val="22"/>
        </w:numPr>
      </w:pPr>
      <w:r w:rsidRPr="00684FA0">
        <w:t>cykliczną analizę potrzeb rynku w zakresie pojemności magazynowych dla ropy i paliw</w:t>
      </w:r>
      <w:r>
        <w:t>;</w:t>
      </w:r>
    </w:p>
    <w:p w14:paraId="7D6829F1" w14:textId="77777777" w:rsidR="00E45F2E" w:rsidRPr="00684FA0" w:rsidRDefault="00E45F2E" w:rsidP="003530A9">
      <w:pPr>
        <w:pStyle w:val="Akapitzlist"/>
        <w:numPr>
          <w:ilvl w:val="0"/>
          <w:numId w:val="22"/>
        </w:numPr>
      </w:pPr>
      <w:r>
        <w:t>poprawę warunków technicznych wykorzystania podziemnych magazynów ropy naftowej i paliw</w:t>
      </w:r>
      <w:r w:rsidRPr="00684FA0">
        <w:t>.</w:t>
      </w:r>
    </w:p>
    <w:p w14:paraId="1404ECBB" w14:textId="225C41EB" w:rsidR="00F3711B" w:rsidRPr="00C46DAA" w:rsidRDefault="00F3711B" w:rsidP="00F3711B">
      <w:pPr>
        <w:spacing w:before="240" w:after="80"/>
        <w:rPr>
          <w:rFonts w:ascii="Bahnschrift" w:hAnsi="Bahnschrift"/>
          <w:sz w:val="32"/>
          <w:szCs w:val="32"/>
        </w:rPr>
      </w:pPr>
      <w:r w:rsidRPr="00C46DAA">
        <w:rPr>
          <w:rFonts w:ascii="Bahnschrift" w:hAnsi="Bahnschrift"/>
          <w:b/>
          <w:bCs/>
          <w:sz w:val="32"/>
          <w:szCs w:val="32"/>
        </w:rPr>
        <w:t>DZIAŁANIA</w:t>
      </w:r>
    </w:p>
    <w:p w14:paraId="7CD26B9F" w14:textId="6BAA45FE" w:rsidR="006B25D5" w:rsidRPr="00313B9D" w:rsidRDefault="006B25D5" w:rsidP="003530A9">
      <w:pPr>
        <w:pStyle w:val="Akapitzlist"/>
        <w:numPr>
          <w:ilvl w:val="0"/>
          <w:numId w:val="3"/>
        </w:numPr>
      </w:pPr>
      <w:r w:rsidRPr="00313B9D">
        <w:fldChar w:fldCharType="begin"/>
      </w:r>
      <w:r w:rsidRPr="00313B9D">
        <w:instrText xml:space="preserve"> REF _Ref195892691 \h </w:instrText>
      </w:r>
      <w:r w:rsidR="00313B9D">
        <w:instrText xml:space="preserve"> \* MERGEFORMAT </w:instrText>
      </w:r>
      <w:r w:rsidRPr="00313B9D">
        <w:fldChar w:fldCharType="separate"/>
      </w:r>
      <w:r w:rsidR="00871DD5" w:rsidRPr="00871DD5">
        <w:rPr>
          <w:rStyle w:val="Nagwek6Znak"/>
          <w:rFonts w:ascii="Lato" w:hAnsi="Lato"/>
          <w:b w:val="0"/>
        </w:rPr>
        <w:t xml:space="preserve">Działanie </w:t>
      </w:r>
      <w:r w:rsidR="00871DD5" w:rsidRPr="00871DD5">
        <w:rPr>
          <w:lang w:eastAsia="pl-PL"/>
        </w:rPr>
        <w:t>127. Monitorowanie</w:t>
      </w:r>
      <w:r w:rsidR="00871DD5" w:rsidRPr="00B74121">
        <w:rPr>
          <w:lang w:eastAsia="pl-PL"/>
        </w:rPr>
        <w:t xml:space="preserve"> potrzeb magazynowych w zakresie ropy</w:t>
      </w:r>
      <w:r w:rsidR="00871DD5" w:rsidRPr="00B74121">
        <w:t xml:space="preserve"> naftowej i paliw ciekłych</w:t>
      </w:r>
      <w:r w:rsidRPr="00313B9D">
        <w:fldChar w:fldCharType="end"/>
      </w:r>
    </w:p>
    <w:p w14:paraId="050D169D" w14:textId="3481BB82" w:rsidR="006B25D5" w:rsidRDefault="006B25D5" w:rsidP="006F35FA">
      <w:pPr>
        <w:pStyle w:val="Akapitzlist"/>
        <w:numPr>
          <w:ilvl w:val="0"/>
          <w:numId w:val="3"/>
        </w:numPr>
      </w:pPr>
      <w:r w:rsidRPr="00313B9D">
        <w:fldChar w:fldCharType="begin"/>
      </w:r>
      <w:r w:rsidRPr="00313B9D">
        <w:instrText xml:space="preserve"> REF _Ref195892701 \h </w:instrText>
      </w:r>
      <w:r w:rsidR="00313B9D">
        <w:instrText xml:space="preserve"> \* MERGEFORMAT </w:instrText>
      </w:r>
      <w:r w:rsidRPr="00313B9D">
        <w:fldChar w:fldCharType="separate"/>
      </w:r>
      <w:r w:rsidR="00871DD5" w:rsidRPr="00871DD5">
        <w:rPr>
          <w:rStyle w:val="Nagwek6Znak"/>
          <w:rFonts w:ascii="Lato" w:hAnsi="Lato"/>
          <w:b w:val="0"/>
        </w:rPr>
        <w:t xml:space="preserve">Działanie </w:t>
      </w:r>
      <w:r w:rsidR="00871DD5" w:rsidRPr="00871DD5">
        <w:rPr>
          <w:lang w:eastAsia="pl-PL"/>
        </w:rPr>
        <w:t xml:space="preserve">128. </w:t>
      </w:r>
      <w:r w:rsidR="00871DD5" w:rsidRPr="008A5AE2">
        <w:rPr>
          <w:lang w:eastAsia="pl-PL"/>
        </w:rPr>
        <w:t>Wsparcie inwestycji mających na celu dywersyfikację oraz zwiększenie dostaw ropy naftowej, w tym m.in. zwiększenie możliwości przeładunkowych Naftoportu, budowę II nitki rurociągu „Pomorskiego”</w:t>
      </w:r>
      <w:r w:rsidRPr="00313B9D">
        <w:fldChar w:fldCharType="end"/>
      </w:r>
    </w:p>
    <w:p w14:paraId="79B0D2ED" w14:textId="6E4A9648" w:rsidR="006B0175" w:rsidRPr="00C16CC8" w:rsidRDefault="004F5030" w:rsidP="00544A21">
      <w:pPr>
        <w:pStyle w:val="Nagwek4"/>
        <w:rPr>
          <w:color w:val="C00000"/>
        </w:rPr>
      </w:pPr>
      <w:bookmarkStart w:id="581" w:name="_Toc195897348"/>
      <w:bookmarkStart w:id="582" w:name="_Toc195899593"/>
      <w:bookmarkStart w:id="583" w:name="_Toc195897349"/>
      <w:bookmarkStart w:id="584" w:name="_Toc195899594"/>
      <w:bookmarkStart w:id="585" w:name="_Toc195897350"/>
      <w:bookmarkStart w:id="586" w:name="_Toc205203204"/>
      <w:bookmarkEnd w:id="581"/>
      <w:bookmarkEnd w:id="582"/>
      <w:bookmarkEnd w:id="583"/>
      <w:bookmarkEnd w:id="584"/>
      <w:r w:rsidRPr="00C16CC8">
        <w:rPr>
          <w:color w:val="C00000"/>
        </w:rPr>
        <w:t xml:space="preserve">Zapewnienie odpowiedniego stanu </w:t>
      </w:r>
      <w:r w:rsidR="00544A21" w:rsidRPr="00C16CC8">
        <w:rPr>
          <w:color w:val="C00000"/>
        </w:rPr>
        <w:t>i rozwoju infrastruktury paliwowej</w:t>
      </w:r>
      <w:bookmarkEnd w:id="585"/>
      <w:bookmarkEnd w:id="586"/>
    </w:p>
    <w:p w14:paraId="67D4F436" w14:textId="66F8EDB5" w:rsidR="00544A21" w:rsidRDefault="00544A21" w:rsidP="00544A21">
      <w:r>
        <w:t>W rezultacie zbrojnej a</w:t>
      </w:r>
      <w:r w:rsidRPr="00D22DF6">
        <w:t>gresj</w:t>
      </w:r>
      <w:r>
        <w:t>i Rosji</w:t>
      </w:r>
      <w:r w:rsidRPr="00D22DF6">
        <w:t xml:space="preserve"> wobec Ukrainy</w:t>
      </w:r>
      <w:r>
        <w:t>, Polska w 2023 r. zaprzestała sprowadzania paliw ciekłych z Rosji z wyjątkiem gazu płynnego LPG, którego import z Rosji całkowicie zakończy</w:t>
      </w:r>
      <w:r w:rsidR="008571CE">
        <w:t>ł</w:t>
      </w:r>
      <w:r>
        <w:t xml:space="preserve"> się do 20</w:t>
      </w:r>
      <w:r w:rsidR="00AE24E5">
        <w:t> </w:t>
      </w:r>
      <w:r>
        <w:t>grudnia 2024 r.</w:t>
      </w:r>
    </w:p>
    <w:p w14:paraId="1A126B84" w14:textId="77777777" w:rsidR="00144624" w:rsidRDefault="00144624" w:rsidP="00144624">
      <w:r>
        <w:t>Zmiany w strukturze dostaw paliw ciekłych do Polski sprawiły, że kluczowe w tej kwestii stały się dostawy paliw przez terminale paliwowe w portach morskich w Szczecinie, Świnoujściu, Gdańsku i Gdyni. Wzrosło również znaczenie dostaw lądowych z Niemiec, Czech, Słowacji oraz Litwy. Zmiana punktu ciężkości dostaw stawia przed Polską nowe wyzwania logistyczne w zakresie transportu drogowego i kolejowego paliw ciekłych.</w:t>
      </w:r>
    </w:p>
    <w:p w14:paraId="23F16EAD" w14:textId="76C418BC" w:rsidR="00D40DAD" w:rsidRDefault="00144624" w:rsidP="00144624">
      <w:r w:rsidRPr="005B1858">
        <w:t>W lutym 2023 r</w:t>
      </w:r>
      <w:r>
        <w:t>.</w:t>
      </w:r>
      <w:r w:rsidRPr="005B1858">
        <w:t xml:space="preserve"> GK PERN i </w:t>
      </w:r>
      <w:r w:rsidR="004D06BB">
        <w:t>ORLEN</w:t>
      </w:r>
      <w:r w:rsidRPr="005B1858">
        <w:t xml:space="preserve"> otworzyły nowy rurociąg produktowy Boronów-Trzebinia, zwiększający bezpieczeństwo energetyczne południowej części Polski,</w:t>
      </w:r>
      <w:r>
        <w:t xml:space="preserve"> </w:t>
      </w:r>
      <w:r w:rsidRPr="005B1858">
        <w:t xml:space="preserve">a także urealniający plany </w:t>
      </w:r>
      <w:r w:rsidRPr="005B1858">
        <w:lastRenderedPageBreak/>
        <w:t>potencjalnego przedłużenia systemu rurociągów</w:t>
      </w:r>
      <w:r w:rsidRPr="00630405">
        <w:rPr>
          <w:rFonts w:ascii="Arial Narrow" w:hAnsi="Arial Narrow" w:cs="Times New Roman"/>
          <w:kern w:val="0"/>
          <w:szCs w:val="20"/>
          <w14:ligatures w14:val="none"/>
        </w:rPr>
        <w:t xml:space="preserve"> </w:t>
      </w:r>
      <w:r w:rsidRPr="00630405">
        <w:t>Europejskiej Sieci Rurociągów Paliwowych (CEPS</w:t>
      </w:r>
      <w:r>
        <w:t>, ang.</w:t>
      </w:r>
      <w:r w:rsidR="00AE24E5">
        <w:t> </w:t>
      </w:r>
      <w:r w:rsidRPr="00630405">
        <w:rPr>
          <w:i/>
          <w:iCs/>
        </w:rPr>
        <w:t>Central Europe Pipeline System</w:t>
      </w:r>
      <w:r w:rsidRPr="00630405">
        <w:t>)</w:t>
      </w:r>
      <w:r>
        <w:t xml:space="preserve"> do Polski, co </w:t>
      </w:r>
      <w:r w:rsidRPr="00630405">
        <w:t>może mieć pozytywny wpływ na zabezpieczenie paliwowe ściany wschodniej NATO.</w:t>
      </w:r>
    </w:p>
    <w:p w14:paraId="30F6E4BC" w14:textId="77777777" w:rsidR="00144624" w:rsidRPr="00E45F2E" w:rsidRDefault="00144624" w:rsidP="00144624">
      <w:pPr>
        <w:pStyle w:val="Cele"/>
        <w:rPr>
          <w:b/>
          <w:shd w:val="clear" w:color="auto" w:fill="F2F2F2" w:themeFill="background1" w:themeFillShade="F2"/>
        </w:rPr>
      </w:pPr>
      <w:r w:rsidRPr="00B377B2">
        <w:rPr>
          <w:rStyle w:val="CeleZnak"/>
          <w:b/>
        </w:rPr>
        <w:t xml:space="preserve">Polska wyznacza na 2030 r. cel </w:t>
      </w:r>
      <w:r>
        <w:rPr>
          <w:rStyle w:val="CeleZnak"/>
          <w:b/>
        </w:rPr>
        <w:t xml:space="preserve">dalszego </w:t>
      </w:r>
      <w:r w:rsidRPr="00A744D0">
        <w:rPr>
          <w:rStyle w:val="CeleZnak"/>
          <w:b/>
        </w:rPr>
        <w:t>zapewnienia stabilności funkcjonowania systemów przesyłu i dystrybucji paliw ciekłych oraz ich dalszej rozbudowy.</w:t>
      </w:r>
    </w:p>
    <w:p w14:paraId="0AB1CC81" w14:textId="77777777" w:rsidR="00144624" w:rsidRDefault="00144624" w:rsidP="007517AC">
      <w:pPr>
        <w:pStyle w:val="PaMs"/>
      </w:pPr>
      <w:r w:rsidRPr="00C46DAA">
        <w:t>POLITYKA</w:t>
      </w:r>
    </w:p>
    <w:p w14:paraId="61FF19EC" w14:textId="77777777" w:rsidR="00144624" w:rsidRDefault="00144624" w:rsidP="00144624">
      <w:r>
        <w:t xml:space="preserve">W związku ze zmianą struktury dostaw paliw, nadrzędnym celem w zakresie systemów przesyłu i dystrybucji jest zapewnienie ich stabilnego funkcjonowania oraz zapewnienie odpowiedniej ilości paliw na rynku. </w:t>
      </w:r>
      <w:r w:rsidRPr="00D423ED">
        <w:t xml:space="preserve">Polska </w:t>
      </w:r>
      <w:r>
        <w:t>będzie</w:t>
      </w:r>
      <w:r w:rsidRPr="00D423ED">
        <w:t xml:space="preserve"> kontynuować dotychczasową politykę bezpieczeństwa paliwowego przede wszystkim z uwagi na prognozowany dalszy wzrost krajowego zapotrzebowania na paliwa, </w:t>
      </w:r>
      <w:r>
        <w:br/>
      </w:r>
      <w:r w:rsidRPr="00D423ED">
        <w:t>ale te</w:t>
      </w:r>
      <w:r w:rsidRPr="00D423ED">
        <w:rPr>
          <w:rFonts w:hint="eastAsia"/>
        </w:rPr>
        <w:t>ż</w:t>
      </w:r>
      <w:r w:rsidRPr="00D423ED">
        <w:t xml:space="preserve"> ze</w:t>
      </w:r>
      <w:r>
        <w:t> </w:t>
      </w:r>
      <w:r w:rsidRPr="00D423ED">
        <w:t>wzgl</w:t>
      </w:r>
      <w:r w:rsidRPr="00D423ED">
        <w:rPr>
          <w:rFonts w:hint="eastAsia"/>
        </w:rPr>
        <w:t>ę</w:t>
      </w:r>
      <w:r w:rsidRPr="00D423ED">
        <w:t>du na interes polityczny Polski oraz sojuszniczy.</w:t>
      </w:r>
    </w:p>
    <w:p w14:paraId="12926142" w14:textId="77777777" w:rsidR="00144624" w:rsidRPr="007F4FEC" w:rsidRDefault="00144624" w:rsidP="00144624">
      <w:r w:rsidRPr="007F4FEC">
        <w:t>Cel będzie realizowany przez:</w:t>
      </w:r>
    </w:p>
    <w:p w14:paraId="14A9D162" w14:textId="77777777" w:rsidR="00144624" w:rsidRPr="00DC5728" w:rsidRDefault="00144624" w:rsidP="003530A9">
      <w:pPr>
        <w:pStyle w:val="Akapitzlist"/>
        <w:numPr>
          <w:ilvl w:val="0"/>
          <w:numId w:val="23"/>
        </w:numPr>
        <w:jc w:val="left"/>
      </w:pPr>
      <w:r w:rsidRPr="00DC5728">
        <w:t>utrzymani</w:t>
      </w:r>
      <w:r>
        <w:t>e</w:t>
      </w:r>
      <w:r w:rsidRPr="00DC5728">
        <w:t xml:space="preserve"> sprawnego zaplecza logistycznego z systemami państw sąsiadujących (Niemcy, Czechy, Słowacja, Ukraina, Litwa) oraz morskimi terminalami paliwowymi;</w:t>
      </w:r>
    </w:p>
    <w:p w14:paraId="51D25D1D" w14:textId="77777777" w:rsidR="00144624" w:rsidRPr="00DC5728" w:rsidRDefault="00144624" w:rsidP="003530A9">
      <w:pPr>
        <w:pStyle w:val="Akapitzlist"/>
        <w:numPr>
          <w:ilvl w:val="0"/>
          <w:numId w:val="23"/>
        </w:numPr>
        <w:jc w:val="left"/>
      </w:pPr>
      <w:r w:rsidRPr="00DC5728">
        <w:t>zapewnieni</w:t>
      </w:r>
      <w:r>
        <w:t>e</w:t>
      </w:r>
      <w:r w:rsidRPr="00DC5728">
        <w:t xml:space="preserve"> funkcjonowania oraz rozw</w:t>
      </w:r>
      <w:r>
        <w:t>ój</w:t>
      </w:r>
      <w:r w:rsidRPr="00DC5728">
        <w:t xml:space="preserve"> zdolności przeładunkowych morskich terminali paliwowych</w:t>
      </w:r>
      <w:r>
        <w:t xml:space="preserve"> (również w zakresie LPG)</w:t>
      </w:r>
      <w:r w:rsidRPr="00DC5728">
        <w:t xml:space="preserve"> w Szczecinie, Świnoujściu</w:t>
      </w:r>
      <w:r>
        <w:t>, Gdańsku</w:t>
      </w:r>
      <w:r w:rsidRPr="00DC5728">
        <w:t xml:space="preserve"> oraz Gdyni</w:t>
      </w:r>
      <w:r>
        <w:t xml:space="preserve"> włącznie z bazą wydawczą w Dębogórzu</w:t>
      </w:r>
      <w:r w:rsidRPr="00DC5728">
        <w:t>;</w:t>
      </w:r>
    </w:p>
    <w:p w14:paraId="0E4B0A70" w14:textId="77777777" w:rsidR="00144624" w:rsidRDefault="00144624" w:rsidP="003530A9">
      <w:pPr>
        <w:pStyle w:val="Akapitzlist"/>
        <w:numPr>
          <w:ilvl w:val="0"/>
          <w:numId w:val="23"/>
        </w:numPr>
      </w:pPr>
      <w:r>
        <w:t>rozbudowę pojemności baz paliw;</w:t>
      </w:r>
    </w:p>
    <w:p w14:paraId="6FDC298D" w14:textId="77777777" w:rsidR="00144624" w:rsidRDefault="00144624" w:rsidP="003530A9">
      <w:pPr>
        <w:pStyle w:val="Akapitzlist"/>
        <w:numPr>
          <w:ilvl w:val="0"/>
          <w:numId w:val="23"/>
        </w:numPr>
      </w:pPr>
      <w:r>
        <w:t xml:space="preserve">działania w zakresie </w:t>
      </w:r>
      <w:r w:rsidRPr="003064AB">
        <w:t xml:space="preserve">przedłużenia systemu rurociągów </w:t>
      </w:r>
      <w:r>
        <w:t>paliwowych CEPS do Polski;</w:t>
      </w:r>
    </w:p>
    <w:p w14:paraId="79121D61" w14:textId="728AA538" w:rsidR="00144624" w:rsidRPr="000E240E" w:rsidRDefault="00144624" w:rsidP="003530A9">
      <w:pPr>
        <w:pStyle w:val="Akapitzlist"/>
        <w:numPr>
          <w:ilvl w:val="0"/>
          <w:numId w:val="23"/>
        </w:numPr>
      </w:pPr>
      <w:r>
        <w:t>cykliczną analizę potrzeb rynku w zakresie pojemności magazynowych dla ropy i paliw.</w:t>
      </w:r>
    </w:p>
    <w:p w14:paraId="46FE010F" w14:textId="77777777" w:rsidR="00144624" w:rsidRPr="00C46DAA" w:rsidRDefault="00144624" w:rsidP="007517AC">
      <w:pPr>
        <w:pStyle w:val="PaMs"/>
      </w:pPr>
      <w:r w:rsidRPr="00C46DAA">
        <w:t>DZIAŁANIA</w:t>
      </w:r>
    </w:p>
    <w:p w14:paraId="5FA65864" w14:textId="68027B75" w:rsidR="00F24E2B" w:rsidRPr="00F24E2B" w:rsidRDefault="00F24E2B" w:rsidP="003530A9">
      <w:pPr>
        <w:pStyle w:val="Akapitzlist"/>
        <w:numPr>
          <w:ilvl w:val="0"/>
          <w:numId w:val="3"/>
        </w:numPr>
      </w:pPr>
      <w:r w:rsidRPr="00F24E2B">
        <w:fldChar w:fldCharType="begin"/>
      </w:r>
      <w:r w:rsidRPr="00F24E2B">
        <w:instrText xml:space="preserve"> REF _Ref195892841 \h </w:instrText>
      </w:r>
      <w:r>
        <w:instrText xml:space="preserve"> \* MERGEFORMAT </w:instrText>
      </w:r>
      <w:r w:rsidRPr="00F24E2B">
        <w:fldChar w:fldCharType="separate"/>
      </w:r>
      <w:r w:rsidR="00871DD5" w:rsidRPr="00871DD5">
        <w:rPr>
          <w:rStyle w:val="Nagwek6Znak"/>
          <w:rFonts w:ascii="Lato" w:hAnsi="Lato"/>
          <w:b w:val="0"/>
        </w:rPr>
        <w:t xml:space="preserve">Działanie </w:t>
      </w:r>
      <w:r w:rsidR="00871DD5" w:rsidRPr="00871DD5">
        <w:rPr>
          <w:lang w:eastAsia="pl-PL"/>
        </w:rPr>
        <w:t xml:space="preserve">117. </w:t>
      </w:r>
      <w:r w:rsidR="00871DD5" w:rsidRPr="008A5AE2">
        <w:rPr>
          <w:lang w:eastAsia="pl-PL"/>
        </w:rPr>
        <w:t>Efektywna gospodarka surowcami ważnymi dla krajowej i unijnej gospodarki</w:t>
      </w:r>
      <w:r w:rsidRPr="00F24E2B">
        <w:fldChar w:fldCharType="end"/>
      </w:r>
    </w:p>
    <w:p w14:paraId="01D5F75C" w14:textId="0333E7E0" w:rsidR="006B25D5" w:rsidRPr="00CE40CA" w:rsidRDefault="0059722D" w:rsidP="003530A9">
      <w:pPr>
        <w:pStyle w:val="Akapitzlist"/>
        <w:numPr>
          <w:ilvl w:val="0"/>
          <w:numId w:val="3"/>
        </w:numPr>
      </w:pPr>
      <w:r w:rsidRPr="00CE40CA">
        <w:fldChar w:fldCharType="begin"/>
      </w:r>
      <w:r w:rsidRPr="00CE40CA">
        <w:instrText xml:space="preserve"> REF _Ref195892775 \h </w:instrText>
      </w:r>
      <w:r w:rsidR="00F24E2B" w:rsidRPr="00CE40CA">
        <w:instrText xml:space="preserve"> \* MERGEFORMAT </w:instrText>
      </w:r>
      <w:r w:rsidRPr="00CE40CA">
        <w:fldChar w:fldCharType="separate"/>
      </w:r>
      <w:r w:rsidR="00871DD5" w:rsidRPr="00871DD5">
        <w:rPr>
          <w:rStyle w:val="Nagwek6Znak"/>
          <w:rFonts w:ascii="Lato" w:hAnsi="Lato"/>
          <w:b w:val="0"/>
        </w:rPr>
        <w:t xml:space="preserve">Działanie </w:t>
      </w:r>
      <w:r w:rsidR="00871DD5" w:rsidRPr="00871DD5">
        <w:rPr>
          <w:lang w:eastAsia="pl-PL"/>
        </w:rPr>
        <w:t xml:space="preserve">126. </w:t>
      </w:r>
      <w:r w:rsidR="00871DD5" w:rsidRPr="008A5AE2">
        <w:rPr>
          <w:lang w:eastAsia="pl-PL"/>
        </w:rPr>
        <w:t>Zapewnienie sprawnie funkcjonującej logistyki dostaw paliw, wspieranie rozwoju infrastruktury przeładunkowej, przesyłowej i magazynowej oraz działań zmierzających do przedłużenia systemu Europejskiej Sieci Rurociągów Paliwowych (CEPS – Central Europe Pipeline System) do Polski</w:t>
      </w:r>
      <w:r w:rsidRPr="00CE40CA">
        <w:fldChar w:fldCharType="end"/>
      </w:r>
    </w:p>
    <w:p w14:paraId="2D42742A" w14:textId="21C81E80" w:rsidR="00544A21" w:rsidRPr="00CE40CA" w:rsidRDefault="00CE40CA" w:rsidP="003530A9">
      <w:pPr>
        <w:pStyle w:val="Akapitzlist"/>
        <w:numPr>
          <w:ilvl w:val="0"/>
          <w:numId w:val="3"/>
        </w:numPr>
        <w:rPr>
          <w:rStyle w:val="Nagwek6Znak"/>
          <w:rFonts w:ascii="Lato" w:hAnsi="Lato"/>
        </w:rPr>
      </w:pPr>
      <w:r w:rsidRPr="00CE40CA">
        <w:rPr>
          <w:rStyle w:val="Nagwek6Znak"/>
          <w:rFonts w:ascii="Lato" w:hAnsi="Lato"/>
        </w:rPr>
        <w:fldChar w:fldCharType="begin"/>
      </w:r>
      <w:r w:rsidRPr="00CE40CA">
        <w:rPr>
          <w:rStyle w:val="Nagwek6Znak"/>
          <w:rFonts w:ascii="Lato" w:hAnsi="Lato"/>
        </w:rPr>
        <w:instrText xml:space="preserve"> REF _Ref195892920 \h </w:instrText>
      </w:r>
      <w:r>
        <w:rPr>
          <w:rStyle w:val="Nagwek6Znak"/>
          <w:rFonts w:ascii="Lato" w:hAnsi="Lato"/>
        </w:rPr>
        <w:instrText xml:space="preserve"> \* MERGEFORMAT </w:instrText>
      </w:r>
      <w:r w:rsidRPr="00CE40CA">
        <w:rPr>
          <w:rStyle w:val="Nagwek6Znak"/>
          <w:rFonts w:ascii="Lato" w:hAnsi="Lato"/>
        </w:rPr>
      </w:r>
      <w:r w:rsidRPr="00CE40CA">
        <w:rPr>
          <w:rStyle w:val="Nagwek6Znak"/>
          <w:rFonts w:ascii="Lato" w:hAnsi="Lato"/>
        </w:rPr>
        <w:fldChar w:fldCharType="separate"/>
      </w:r>
      <w:r w:rsidR="00871DD5" w:rsidRPr="00871DD5">
        <w:rPr>
          <w:rStyle w:val="Nagwek6Znak"/>
          <w:rFonts w:ascii="Lato" w:hAnsi="Lato"/>
          <w:b w:val="0"/>
        </w:rPr>
        <w:t xml:space="preserve">Działanie </w:t>
      </w:r>
      <w:r w:rsidR="00871DD5" w:rsidRPr="00871DD5">
        <w:rPr>
          <w:lang w:eastAsia="pl-PL"/>
        </w:rPr>
        <w:t>127. Monitorowanie</w:t>
      </w:r>
      <w:r w:rsidR="00871DD5" w:rsidRPr="00B74121">
        <w:rPr>
          <w:lang w:eastAsia="pl-PL"/>
        </w:rPr>
        <w:t xml:space="preserve"> potrzeb magazynowych w zakresie ropy</w:t>
      </w:r>
      <w:r w:rsidR="00871DD5" w:rsidRPr="00B74121">
        <w:t xml:space="preserve"> naftowej i paliw ciekłych</w:t>
      </w:r>
      <w:r w:rsidRPr="00CE40CA">
        <w:rPr>
          <w:rStyle w:val="Nagwek6Znak"/>
          <w:rFonts w:ascii="Lato" w:hAnsi="Lato"/>
        </w:rPr>
        <w:fldChar w:fldCharType="end"/>
      </w:r>
    </w:p>
    <w:p w14:paraId="2EB1DB15" w14:textId="4638F044" w:rsidR="000730FC" w:rsidRPr="00C16CC8" w:rsidRDefault="000730FC" w:rsidP="00E11FCF">
      <w:pPr>
        <w:pStyle w:val="Nagwek3"/>
        <w:rPr>
          <w:color w:val="C00000"/>
        </w:rPr>
      </w:pPr>
      <w:bookmarkStart w:id="587" w:name="_Toc195897351"/>
      <w:bookmarkStart w:id="588" w:name="_Toc205203205"/>
      <w:r w:rsidRPr="00C16CC8">
        <w:rPr>
          <w:color w:val="C00000"/>
        </w:rPr>
        <w:t>Pokrycie zapotrzebowania na biomasę</w:t>
      </w:r>
      <w:bookmarkEnd w:id="587"/>
      <w:bookmarkEnd w:id="588"/>
    </w:p>
    <w:p w14:paraId="210F9D83" w14:textId="58420932" w:rsidR="00E40848" w:rsidRDefault="009E65A9" w:rsidP="00E40848">
      <w:r w:rsidRPr="00D20B47">
        <w:rPr>
          <w:noProof/>
          <w:lang w:eastAsia="pl-PL"/>
        </w:rPr>
        <mc:AlternateContent>
          <mc:Choice Requires="wps">
            <w:drawing>
              <wp:anchor distT="0" distB="0" distL="114300" distR="114300" simplePos="0" relativeHeight="251621888" behindDoc="1" locked="0" layoutInCell="1" allowOverlap="1" wp14:anchorId="41929FDA" wp14:editId="1397FA5D">
                <wp:simplePos x="0" y="0"/>
                <wp:positionH relativeFrom="margin">
                  <wp:align>right</wp:align>
                </wp:positionH>
                <wp:positionV relativeFrom="paragraph">
                  <wp:posOffset>22572</wp:posOffset>
                </wp:positionV>
                <wp:extent cx="2620010" cy="1963420"/>
                <wp:effectExtent l="19050" t="57150" r="123190" b="69215"/>
                <wp:wrapSquare wrapText="bothSides"/>
                <wp:docPr id="1510345814"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ysClr val="window" lastClr="FFFFFF"/>
                        </a:solidFill>
                        <a:ln w="6350" cap="flat" cmpd="sng" algn="ctr">
                          <a:solidFill>
                            <a:srgbClr val="C00000"/>
                          </a:solidFill>
                          <a:prstDash val="solid"/>
                          <a:miter lim="800000"/>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txbx>
                        <w:txbxContent>
                          <w:p w14:paraId="53D6FCBF" w14:textId="4F6DD218" w:rsidR="00C36C5C" w:rsidRPr="004E21CF" w:rsidRDefault="00C36C5C" w:rsidP="009E65A9">
                            <w:pPr>
                              <w:pStyle w:val="Ramka"/>
                            </w:pPr>
                            <w:r>
                              <w:t xml:space="preserve">Krajowe zasoby biomasy obejmują ulegające biodegradacji </w:t>
                            </w:r>
                            <w:r w:rsidRPr="000E1D6C">
                              <w:t>produkt</w:t>
                            </w:r>
                            <w:r>
                              <w:t>y</w:t>
                            </w:r>
                            <w:r w:rsidRPr="000E1D6C">
                              <w:t>, odpad</w:t>
                            </w:r>
                            <w:r>
                              <w:t>y</w:t>
                            </w:r>
                            <w:r w:rsidRPr="000E1D6C">
                              <w:t xml:space="preserve"> lub pozostałości pochodzenia biologicznego z</w:t>
                            </w:r>
                            <w:r>
                              <w:t> </w:t>
                            </w:r>
                            <w:r w:rsidRPr="000E1D6C">
                              <w:t>rolnictwa, leśnictwa i powiązanych działów przemysłu</w:t>
                            </w:r>
                            <w:r>
                              <w:t xml:space="preserve">, </w:t>
                            </w:r>
                            <w:r w:rsidRPr="000E1D6C">
                              <w:t>w tym rybołówstwa i</w:t>
                            </w:r>
                            <w:r>
                              <w:t> </w:t>
                            </w:r>
                            <w:r w:rsidRPr="000E1D6C">
                              <w:t>akwakultury, a</w:t>
                            </w:r>
                            <w:r>
                              <w:t> </w:t>
                            </w:r>
                            <w:r w:rsidRPr="000E1D6C">
                              <w:t xml:space="preserve">także </w:t>
                            </w:r>
                            <w:r>
                              <w:t>ulegającą</w:t>
                            </w:r>
                            <w:r w:rsidRPr="000E1D6C">
                              <w:t xml:space="preserve"> biodegradacji </w:t>
                            </w:r>
                            <w:r>
                              <w:t>frakcję</w:t>
                            </w:r>
                            <w:r w:rsidRPr="000E1D6C">
                              <w:t xml:space="preserve"> odpadów, w tym odpadów przemysłowych i</w:t>
                            </w:r>
                            <w:r>
                              <w:t> </w:t>
                            </w:r>
                            <w:r w:rsidRPr="000E1D6C">
                              <w:t>miejskich pochodzenia biologicznego</w:t>
                            </w:r>
                            <w:r>
                              <w: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1929FDA" id="_x0000_s1127" style="position:absolute;left:0;text-align:left;margin-left:155.1pt;margin-top:1.8pt;width:206.3pt;height:154.6pt;z-index:-251694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" fillcolor="window" strokecolor="#c00000" strokeweight=".5pt">
                <v:stroke joinstyle="miter"/>
                <v:shadow on="t" color="black" opacity="26214f" origin="-.5" offset="3pt,0"/>
                <v:textbox style="mso-fit-shape-to-text:t" inset="2mm,2.5mm,2mm,0">
                  <w:txbxContent>
                    <w:p w14:paraId="53D6FCBF" w14:textId="4F6DD218" w:rsidR="00C36C5C" w:rsidRPr="004E21CF" w:rsidRDefault="00C36C5C" w:rsidP="009E65A9">
                      <w:pPr>
                        <w:pStyle w:val="Ramka"/>
                      </w:pPr>
                      <w:r>
                        <w:t xml:space="preserve">Krajowe zasoby biomasy obejmują ulegające biodegradacji </w:t>
                      </w:r>
                      <w:r w:rsidRPr="000E1D6C">
                        <w:t>produkt</w:t>
                      </w:r>
                      <w:r>
                        <w:t>y</w:t>
                      </w:r>
                      <w:r w:rsidRPr="000E1D6C">
                        <w:t>, odpad</w:t>
                      </w:r>
                      <w:r>
                        <w:t>y</w:t>
                      </w:r>
                      <w:r w:rsidRPr="000E1D6C">
                        <w:t xml:space="preserve"> lub pozostałości pochodzenia biologicznego z</w:t>
                      </w:r>
                      <w:r>
                        <w:t> </w:t>
                      </w:r>
                      <w:r w:rsidRPr="000E1D6C">
                        <w:t>rolnictwa, leśnictwa i powiązanych działów przemysłu</w:t>
                      </w:r>
                      <w:r>
                        <w:t xml:space="preserve">, </w:t>
                      </w:r>
                      <w:r w:rsidRPr="000E1D6C">
                        <w:t>w tym rybołówstwa i</w:t>
                      </w:r>
                      <w:r>
                        <w:t> </w:t>
                      </w:r>
                      <w:r w:rsidRPr="000E1D6C">
                        <w:t>akwakultury, a</w:t>
                      </w:r>
                      <w:r>
                        <w:t> </w:t>
                      </w:r>
                      <w:r w:rsidRPr="000E1D6C">
                        <w:t xml:space="preserve">także </w:t>
                      </w:r>
                      <w:r>
                        <w:t>ulegającą</w:t>
                      </w:r>
                      <w:r w:rsidRPr="000E1D6C">
                        <w:t xml:space="preserve"> biodegradacji </w:t>
                      </w:r>
                      <w:r>
                        <w:t>frakcję</w:t>
                      </w:r>
                      <w:r w:rsidRPr="000E1D6C">
                        <w:t xml:space="preserve"> odpadów, w tym odpadów przemysłowych i</w:t>
                      </w:r>
                      <w:r>
                        <w:t> </w:t>
                      </w:r>
                      <w:r w:rsidRPr="000E1D6C">
                        <w:t>miejskich pochodzenia biologicznego</w:t>
                      </w:r>
                      <w:r>
                        <w:t>.</w:t>
                      </w:r>
                    </w:p>
                  </w:txbxContent>
                </v:textbox>
                <w10:wrap type="square" anchorx="margin"/>
              </v:roundrect>
            </w:pict>
          </mc:Fallback>
        </mc:AlternateContent>
      </w:r>
      <w:r w:rsidR="009C4AF1">
        <w:rPr>
          <w:b/>
          <w:bCs/>
        </w:rPr>
        <w:t>T</w:t>
      </w:r>
      <w:r w:rsidR="00681175" w:rsidRPr="00C21E80">
        <w:rPr>
          <w:b/>
          <w:bCs/>
        </w:rPr>
        <w:t xml:space="preserve">echniczny </w:t>
      </w:r>
      <w:r w:rsidR="009C4AF1">
        <w:rPr>
          <w:b/>
          <w:bCs/>
        </w:rPr>
        <w:t>p</w:t>
      </w:r>
      <w:r w:rsidR="009C4AF1" w:rsidRPr="00C21E80">
        <w:rPr>
          <w:b/>
          <w:bCs/>
        </w:rPr>
        <w:t xml:space="preserve">otencjał </w:t>
      </w:r>
      <w:r w:rsidR="00681175" w:rsidRPr="00C21E80">
        <w:rPr>
          <w:b/>
          <w:bCs/>
        </w:rPr>
        <w:t xml:space="preserve">biomasy </w:t>
      </w:r>
      <w:r w:rsidR="00863192" w:rsidRPr="00C21E80">
        <w:rPr>
          <w:b/>
          <w:bCs/>
        </w:rPr>
        <w:t>ma charakter ograniczony</w:t>
      </w:r>
      <w:r w:rsidR="00863192">
        <w:t xml:space="preserve"> </w:t>
      </w:r>
      <w:r w:rsidR="004A36EF">
        <w:t xml:space="preserve">i </w:t>
      </w:r>
      <w:r w:rsidR="00500E5A">
        <w:t>odnosi się do całkowitej</w:t>
      </w:r>
      <w:r w:rsidR="009F16C1">
        <w:t xml:space="preserve"> </w:t>
      </w:r>
      <w:r w:rsidR="00181EC1">
        <w:t>iloś</w:t>
      </w:r>
      <w:r w:rsidR="00500E5A">
        <w:t>ci</w:t>
      </w:r>
      <w:r w:rsidR="00181EC1">
        <w:t xml:space="preserve"> </w:t>
      </w:r>
      <w:r w:rsidR="00681175">
        <w:t>zasob</w:t>
      </w:r>
      <w:r w:rsidR="00181EC1">
        <w:t>ów</w:t>
      </w:r>
      <w:r w:rsidR="00681175">
        <w:t xml:space="preserve"> fizycznie dostępn</w:t>
      </w:r>
      <w:r w:rsidR="009F16C1">
        <w:t>ych</w:t>
      </w:r>
      <w:r w:rsidR="00681175">
        <w:t xml:space="preserve"> w danym miejscu</w:t>
      </w:r>
      <w:r w:rsidR="009F16C1">
        <w:t xml:space="preserve"> i czasie</w:t>
      </w:r>
      <w:r w:rsidR="000253D7">
        <w:t xml:space="preserve">. </w:t>
      </w:r>
      <w:r w:rsidR="004A36EF">
        <w:t>Z</w:t>
      </w:r>
      <w:r w:rsidR="00CD0369">
        <w:t>asoby</w:t>
      </w:r>
      <w:r w:rsidR="00B416AE">
        <w:t xml:space="preserve"> </w:t>
      </w:r>
      <w:r w:rsidR="009F16C1">
        <w:t>biomasy</w:t>
      </w:r>
      <w:r w:rsidR="00B416AE">
        <w:t xml:space="preserve"> </w:t>
      </w:r>
      <w:r w:rsidR="008D76A0">
        <w:t xml:space="preserve">stałej </w:t>
      </w:r>
      <w:r w:rsidR="00CD0369">
        <w:t>są</w:t>
      </w:r>
      <w:r w:rsidR="00B416AE">
        <w:t xml:space="preserve"> </w:t>
      </w:r>
      <w:r w:rsidR="004A36EF">
        <w:t>obecnie</w:t>
      </w:r>
      <w:r w:rsidR="00B416AE">
        <w:t xml:space="preserve"> w części zagospodarowan</w:t>
      </w:r>
      <w:r w:rsidR="00CD0369">
        <w:t>e</w:t>
      </w:r>
      <w:r w:rsidR="00EB55C3">
        <w:t xml:space="preserve">. </w:t>
      </w:r>
      <w:r w:rsidR="00C34F83">
        <w:t>Przykładowo</w:t>
      </w:r>
      <w:r w:rsidR="00BC444C">
        <w:t>,</w:t>
      </w:r>
      <w:r w:rsidR="00C34F83">
        <w:t xml:space="preserve"> </w:t>
      </w:r>
      <w:r w:rsidR="0097298C">
        <w:t xml:space="preserve">produkty uboczne </w:t>
      </w:r>
      <w:r w:rsidR="008464DC">
        <w:t xml:space="preserve">z </w:t>
      </w:r>
      <w:r w:rsidR="00C4327B">
        <w:t>p</w:t>
      </w:r>
      <w:r w:rsidR="0097298C">
        <w:t>rzemysłu</w:t>
      </w:r>
      <w:r w:rsidR="00C4327B">
        <w:t xml:space="preserve"> </w:t>
      </w:r>
      <w:r w:rsidR="008464DC">
        <w:t>przerobu drewna</w:t>
      </w:r>
      <w:r w:rsidR="00C57606">
        <w:t xml:space="preserve">, </w:t>
      </w:r>
      <w:r w:rsidR="00BC444C">
        <w:t>t</w:t>
      </w:r>
      <w:r w:rsidR="00C57606">
        <w:t>akie jak zrębki,</w:t>
      </w:r>
      <w:r w:rsidR="008464DC">
        <w:t xml:space="preserve"> są</w:t>
      </w:r>
      <w:r w:rsidR="00AE24E5">
        <w:t> </w:t>
      </w:r>
      <w:r w:rsidR="008464DC">
        <w:t xml:space="preserve">wykorzystywane jako surowiec </w:t>
      </w:r>
      <w:r w:rsidR="00421420">
        <w:t>do</w:t>
      </w:r>
      <w:r w:rsidR="008464DC">
        <w:t xml:space="preserve"> produkcji płyt drewnopochodnych, a słoma zbożowa </w:t>
      </w:r>
      <w:r w:rsidR="006D67A1">
        <w:t>z</w:t>
      </w:r>
      <w:r w:rsidR="00421420">
        <w:t xml:space="preserve">agospodarowywana jest </w:t>
      </w:r>
      <w:r w:rsidR="006D67A1">
        <w:t xml:space="preserve">w produkcji zwierzęcej </w:t>
      </w:r>
      <w:r w:rsidR="00421420">
        <w:t>oraz</w:t>
      </w:r>
      <w:r w:rsidR="006D67A1">
        <w:t xml:space="preserve"> </w:t>
      </w:r>
      <w:r w:rsidR="008E6058">
        <w:t>w celu bilansowania materii organicznej w</w:t>
      </w:r>
      <w:r w:rsidR="00F72987">
        <w:t> g</w:t>
      </w:r>
      <w:r w:rsidR="008E6058">
        <w:t xml:space="preserve">lebach. </w:t>
      </w:r>
      <w:r w:rsidR="004350A9">
        <w:t>R</w:t>
      </w:r>
      <w:r w:rsidR="00870C3B">
        <w:t>oz</w:t>
      </w:r>
      <w:r w:rsidR="00695068">
        <w:t xml:space="preserve">wój energetycznego wykorzystania biomasy nie </w:t>
      </w:r>
      <w:r w:rsidR="00DD267C">
        <w:t xml:space="preserve">powinien </w:t>
      </w:r>
      <w:r w:rsidR="00695068">
        <w:t xml:space="preserve">mieć negatywnych skutków dla </w:t>
      </w:r>
      <w:r w:rsidR="00393F6B">
        <w:t>rynków i podmiotów</w:t>
      </w:r>
      <w:r w:rsidR="00695068">
        <w:t>, któr</w:t>
      </w:r>
      <w:r w:rsidR="0052436C">
        <w:t>e</w:t>
      </w:r>
      <w:r w:rsidR="00695068">
        <w:t xml:space="preserve"> do tej pory z niej korzys</w:t>
      </w:r>
      <w:r w:rsidR="003226BE">
        <w:t>tają</w:t>
      </w:r>
      <w:r w:rsidR="00154436">
        <w:t>,</w:t>
      </w:r>
      <w:r w:rsidR="00B10E9F">
        <w:t xml:space="preserve"> </w:t>
      </w:r>
      <w:r w:rsidR="00A30EA1">
        <w:t>tworząc łańcuchy wartości oparte na tych zasobach</w:t>
      </w:r>
      <w:r w:rsidR="00695068">
        <w:t xml:space="preserve">. </w:t>
      </w:r>
      <w:r w:rsidR="00EB55C3">
        <w:t xml:space="preserve">Dlatego </w:t>
      </w:r>
      <w:r w:rsidR="00695636" w:rsidRPr="00247EC3">
        <w:rPr>
          <w:b/>
        </w:rPr>
        <w:t xml:space="preserve">w </w:t>
      </w:r>
      <w:r w:rsidR="00E413B7" w:rsidRPr="00247EC3">
        <w:rPr>
          <w:b/>
        </w:rPr>
        <w:t>kontekście</w:t>
      </w:r>
      <w:r w:rsidR="00695636" w:rsidRPr="00247EC3">
        <w:rPr>
          <w:b/>
        </w:rPr>
        <w:t xml:space="preserve"> </w:t>
      </w:r>
      <w:r w:rsidR="00E413B7" w:rsidRPr="00247EC3">
        <w:rPr>
          <w:b/>
        </w:rPr>
        <w:t>energetycznego</w:t>
      </w:r>
      <w:r w:rsidR="00695636" w:rsidRPr="00247EC3">
        <w:rPr>
          <w:b/>
        </w:rPr>
        <w:t xml:space="preserve"> wykorzystania biomasy należy zawsze </w:t>
      </w:r>
      <w:r w:rsidR="00BD386E">
        <w:rPr>
          <w:b/>
        </w:rPr>
        <w:t xml:space="preserve">odnosić się </w:t>
      </w:r>
      <w:r w:rsidR="0003659D" w:rsidRPr="00E95871">
        <w:rPr>
          <w:b/>
          <w:bCs/>
        </w:rPr>
        <w:t xml:space="preserve">tylko </w:t>
      </w:r>
      <w:r w:rsidR="008F177E" w:rsidRPr="00E95871">
        <w:rPr>
          <w:b/>
          <w:bCs/>
        </w:rPr>
        <w:lastRenderedPageBreak/>
        <w:t xml:space="preserve">do tej </w:t>
      </w:r>
      <w:r w:rsidR="004C687D" w:rsidRPr="00E95871">
        <w:rPr>
          <w:b/>
          <w:bCs/>
        </w:rPr>
        <w:t>częś</w:t>
      </w:r>
      <w:r w:rsidR="008F177E" w:rsidRPr="00E95871">
        <w:rPr>
          <w:b/>
          <w:bCs/>
        </w:rPr>
        <w:t>ci</w:t>
      </w:r>
      <w:r w:rsidR="0003659D" w:rsidRPr="00E95871">
        <w:rPr>
          <w:b/>
          <w:bCs/>
        </w:rPr>
        <w:t xml:space="preserve"> </w:t>
      </w:r>
      <w:r w:rsidR="0089721B">
        <w:rPr>
          <w:b/>
          <w:bCs/>
        </w:rPr>
        <w:t>zasobów</w:t>
      </w:r>
      <w:r w:rsidR="00061784" w:rsidRPr="00E95871">
        <w:rPr>
          <w:b/>
          <w:bCs/>
        </w:rPr>
        <w:t>, któr</w:t>
      </w:r>
      <w:r w:rsidR="00694D9C">
        <w:rPr>
          <w:b/>
          <w:bCs/>
        </w:rPr>
        <w:t>e</w:t>
      </w:r>
      <w:r w:rsidR="00061784" w:rsidRPr="00E95871">
        <w:rPr>
          <w:b/>
          <w:bCs/>
        </w:rPr>
        <w:t xml:space="preserve"> stanowi</w:t>
      </w:r>
      <w:r w:rsidR="00694D9C">
        <w:rPr>
          <w:b/>
          <w:bCs/>
        </w:rPr>
        <w:t>ą</w:t>
      </w:r>
      <w:r w:rsidR="00061784" w:rsidRPr="00E95871">
        <w:rPr>
          <w:b/>
          <w:bCs/>
        </w:rPr>
        <w:t xml:space="preserve"> </w:t>
      </w:r>
      <w:r w:rsidR="00E95871">
        <w:rPr>
          <w:b/>
          <w:bCs/>
        </w:rPr>
        <w:t xml:space="preserve">niezagospodarowaną </w:t>
      </w:r>
      <w:r w:rsidR="00061784" w:rsidRPr="00E95871">
        <w:rPr>
          <w:b/>
          <w:bCs/>
        </w:rPr>
        <w:t>nadwyżkę</w:t>
      </w:r>
      <w:r w:rsidR="0095255B">
        <w:t xml:space="preserve"> </w:t>
      </w:r>
      <w:r w:rsidR="005E4BB5">
        <w:t>(</w:t>
      </w:r>
      <w:r w:rsidR="00E11F4E">
        <w:t xml:space="preserve">uznając </w:t>
      </w:r>
      <w:r w:rsidR="00443E6D">
        <w:t>dotychczasow</w:t>
      </w:r>
      <w:r w:rsidR="003D295D">
        <w:t>e</w:t>
      </w:r>
      <w:r w:rsidR="00443E6D">
        <w:t xml:space="preserve"> kierun</w:t>
      </w:r>
      <w:r w:rsidR="0089721B">
        <w:t>k</w:t>
      </w:r>
      <w:r w:rsidR="003D295D">
        <w:t xml:space="preserve">i </w:t>
      </w:r>
      <w:r w:rsidR="00814835">
        <w:t>materiałowego</w:t>
      </w:r>
      <w:r w:rsidR="00247EC3">
        <w:t xml:space="preserve"> </w:t>
      </w:r>
      <w:r w:rsidR="00443E6D">
        <w:t>wykorzystania biomasy</w:t>
      </w:r>
      <w:r w:rsidR="002E6DE1">
        <w:t xml:space="preserve"> za </w:t>
      </w:r>
      <w:r w:rsidR="002746AB">
        <w:t xml:space="preserve">konieczne do </w:t>
      </w:r>
      <w:r w:rsidR="0092009D">
        <w:t>utrzymania</w:t>
      </w:r>
      <w:r w:rsidR="005E4BB5">
        <w:t>)</w:t>
      </w:r>
      <w:r w:rsidR="00DE3C64">
        <w:t xml:space="preserve">. </w:t>
      </w:r>
      <w:r w:rsidR="00FF0361">
        <w:t>Z</w:t>
      </w:r>
      <w:r w:rsidR="00B70279">
        <w:t xml:space="preserve">równoważony </w:t>
      </w:r>
      <w:r w:rsidR="00FF0361">
        <w:t xml:space="preserve">potencjał </w:t>
      </w:r>
      <w:r w:rsidR="00B70279">
        <w:t xml:space="preserve">biomasy dla zastosowań energetycznych </w:t>
      </w:r>
      <w:r w:rsidR="006C7600">
        <w:t xml:space="preserve">musi uwzględniać </w:t>
      </w:r>
      <w:r w:rsidR="008F6651">
        <w:t xml:space="preserve">także wytyczne </w:t>
      </w:r>
      <w:r w:rsidR="00247EC3">
        <w:t>określone w ramach kryteriów zrównoważonego rozwoju dla biopaliw, biopłynów i paliw z biomasy określonych w</w:t>
      </w:r>
      <w:r w:rsidR="00761E68">
        <w:t> </w:t>
      </w:r>
      <w:r w:rsidR="00247EC3">
        <w:t>dyrektywie RED II</w:t>
      </w:r>
      <w:r w:rsidR="00B41386">
        <w:rPr>
          <w:rStyle w:val="Odwoanieprzypisudolnego"/>
        </w:rPr>
        <w:footnoteReference w:id="118"/>
      </w:r>
      <w:r w:rsidR="000627A5">
        <w:t xml:space="preserve">. </w:t>
      </w:r>
      <w:r w:rsidR="00D40329">
        <w:t xml:space="preserve">Wytyczne </w:t>
      </w:r>
      <w:r w:rsidR="00924850">
        <w:t>przewidują</w:t>
      </w:r>
      <w:r w:rsidR="00D40329">
        <w:t xml:space="preserve"> </w:t>
      </w:r>
      <w:r w:rsidR="00F255E7">
        <w:t xml:space="preserve">np. </w:t>
      </w:r>
      <w:r w:rsidR="006C7600">
        <w:t xml:space="preserve">zakaz </w:t>
      </w:r>
      <w:r w:rsidR="003C6220">
        <w:t>pozyskiwania biomasy z</w:t>
      </w:r>
      <w:r w:rsidR="00127FD7" w:rsidRPr="00127FD7">
        <w:t xml:space="preserve"> terenów o</w:t>
      </w:r>
      <w:r w:rsidR="00C03247">
        <w:t> </w:t>
      </w:r>
      <w:r w:rsidR="00127FD7" w:rsidRPr="00127FD7">
        <w:t>wysokiej wartości bioróżnorodności i</w:t>
      </w:r>
      <w:r w:rsidR="00395868">
        <w:t> </w:t>
      </w:r>
      <w:r w:rsidR="00127FD7" w:rsidRPr="00127FD7">
        <w:t>terenów zasobnych w pierwiastek węgla</w:t>
      </w:r>
      <w:r w:rsidR="003C6220">
        <w:t xml:space="preserve">, czy </w:t>
      </w:r>
      <w:r w:rsidR="00F255E7">
        <w:t xml:space="preserve">osiągnięcie wymaganego poziomu </w:t>
      </w:r>
      <w:r w:rsidR="00AE45A1">
        <w:t>redukcji</w:t>
      </w:r>
      <w:r w:rsidR="00F255E7">
        <w:t xml:space="preserve"> </w:t>
      </w:r>
      <w:r w:rsidR="00761E68">
        <w:t>GHG</w:t>
      </w:r>
      <w:r w:rsidR="0073194C">
        <w:t>, co</w:t>
      </w:r>
      <w:r w:rsidR="000C0494">
        <w:t> </w:t>
      </w:r>
      <w:r w:rsidR="0073194C">
        <w:t xml:space="preserve">jednoznacznie promuje </w:t>
      </w:r>
      <w:r w:rsidR="00DE1B9C">
        <w:t xml:space="preserve">wykorzystanie do celów energetycznych </w:t>
      </w:r>
      <w:r w:rsidR="00843548">
        <w:t>przede wszystkim</w:t>
      </w:r>
      <w:r w:rsidR="0073194C">
        <w:t xml:space="preserve"> pozostałości i</w:t>
      </w:r>
      <w:r w:rsidR="00BB4122">
        <w:t> </w:t>
      </w:r>
      <w:r w:rsidR="0073194C">
        <w:t>odpa</w:t>
      </w:r>
      <w:r w:rsidR="005057AC">
        <w:t>dów</w:t>
      </w:r>
      <w:r w:rsidR="00AE45A1">
        <w:t xml:space="preserve">. </w:t>
      </w:r>
      <w:r w:rsidR="00E40848" w:rsidRPr="002B7297">
        <w:rPr>
          <w:b/>
          <w:bCs/>
        </w:rPr>
        <w:t>Biomasa</w:t>
      </w:r>
      <w:r w:rsidR="00E40848" w:rsidRPr="29C4EC1A">
        <w:rPr>
          <w:b/>
          <w:bCs/>
        </w:rPr>
        <w:t>,</w:t>
      </w:r>
      <w:r w:rsidR="00E40848" w:rsidRPr="1894B60C">
        <w:rPr>
          <w:b/>
          <w:bCs/>
        </w:rPr>
        <w:t xml:space="preserve"> </w:t>
      </w:r>
      <w:r w:rsidR="00E40848">
        <w:rPr>
          <w:b/>
          <w:bCs/>
        </w:rPr>
        <w:t xml:space="preserve">podobnie jak </w:t>
      </w:r>
      <w:r w:rsidR="00E40848" w:rsidRPr="7FFE968E">
        <w:rPr>
          <w:b/>
          <w:bCs/>
        </w:rPr>
        <w:t>węgiel, gaz i inne paliwa</w:t>
      </w:r>
      <w:r w:rsidR="00E40848" w:rsidRPr="29C4EC1A">
        <w:rPr>
          <w:b/>
          <w:bCs/>
        </w:rPr>
        <w:t xml:space="preserve"> </w:t>
      </w:r>
      <w:r w:rsidR="00E40848">
        <w:rPr>
          <w:b/>
          <w:bCs/>
        </w:rPr>
        <w:t xml:space="preserve">wykorzystywane w procesach spalania </w:t>
      </w:r>
      <w:r w:rsidR="00E40848" w:rsidRPr="29C4EC1A">
        <w:rPr>
          <w:b/>
          <w:bCs/>
        </w:rPr>
        <w:t>charakteryzuj</w:t>
      </w:r>
      <w:r w:rsidR="00E40848">
        <w:rPr>
          <w:b/>
          <w:bCs/>
        </w:rPr>
        <w:t>e</w:t>
      </w:r>
      <w:r w:rsidR="00E40848" w:rsidRPr="29C4EC1A">
        <w:rPr>
          <w:b/>
          <w:bCs/>
        </w:rPr>
        <w:t xml:space="preserve"> się</w:t>
      </w:r>
      <w:r w:rsidR="00E40848" w:rsidRPr="002B7297">
        <w:rPr>
          <w:b/>
          <w:bCs/>
        </w:rPr>
        <w:t xml:space="preserve"> </w:t>
      </w:r>
      <w:r w:rsidR="00E40848">
        <w:t xml:space="preserve">emisją pyłów i podtlenku azotu, które również są objęte celami redukcyjnymi na poziomie państw członkowskich. </w:t>
      </w:r>
    </w:p>
    <w:p w14:paraId="23C874F2" w14:textId="30E028B6" w:rsidR="00843548" w:rsidRDefault="004F1070" w:rsidP="000730FC">
      <w:r w:rsidRPr="007B0971">
        <w:rPr>
          <w:b/>
          <w:bCs/>
        </w:rPr>
        <w:t>Zrównoważon</w:t>
      </w:r>
      <w:r w:rsidR="00622BC8">
        <w:rPr>
          <w:b/>
          <w:bCs/>
        </w:rPr>
        <w:t xml:space="preserve">e </w:t>
      </w:r>
      <w:r w:rsidR="00D80162">
        <w:rPr>
          <w:b/>
          <w:bCs/>
        </w:rPr>
        <w:t>zasoby</w:t>
      </w:r>
      <w:r w:rsidR="00FA43F4">
        <w:rPr>
          <w:b/>
          <w:bCs/>
        </w:rPr>
        <w:t xml:space="preserve"> krajowej</w:t>
      </w:r>
      <w:r w:rsidRPr="007B0971">
        <w:rPr>
          <w:b/>
          <w:bCs/>
        </w:rPr>
        <w:t xml:space="preserve"> biomasy</w:t>
      </w:r>
      <w:r w:rsidR="00071BB6" w:rsidRPr="007B0971">
        <w:rPr>
          <w:b/>
          <w:bCs/>
        </w:rPr>
        <w:t xml:space="preserve"> </w:t>
      </w:r>
      <w:r w:rsidR="00DE1E5A" w:rsidRPr="007B0971">
        <w:rPr>
          <w:b/>
          <w:bCs/>
        </w:rPr>
        <w:t xml:space="preserve">stałej </w:t>
      </w:r>
      <w:r w:rsidR="00071BB6" w:rsidRPr="007B0971">
        <w:rPr>
          <w:b/>
          <w:bCs/>
        </w:rPr>
        <w:t xml:space="preserve">z przeznaczeniem do energetycznego wykorzystania </w:t>
      </w:r>
      <w:r w:rsidR="00682544" w:rsidRPr="007B0971">
        <w:rPr>
          <w:b/>
          <w:bCs/>
        </w:rPr>
        <w:t>kształtuj</w:t>
      </w:r>
      <w:r w:rsidR="00D80162">
        <w:rPr>
          <w:b/>
          <w:bCs/>
        </w:rPr>
        <w:t>ą</w:t>
      </w:r>
      <w:r w:rsidR="00ED1C3E" w:rsidRPr="007B0971">
        <w:rPr>
          <w:b/>
          <w:bCs/>
        </w:rPr>
        <w:t xml:space="preserve"> się obecnie na poziomie </w:t>
      </w:r>
      <w:r w:rsidR="001718E9" w:rsidRPr="007B0971">
        <w:rPr>
          <w:b/>
          <w:bCs/>
        </w:rPr>
        <w:t>2</w:t>
      </w:r>
      <w:r w:rsidR="001718E9">
        <w:rPr>
          <w:b/>
          <w:bCs/>
        </w:rPr>
        <w:t>93</w:t>
      </w:r>
      <w:r w:rsidR="001718E9" w:rsidRPr="007B0971">
        <w:rPr>
          <w:b/>
          <w:bCs/>
        </w:rPr>
        <w:t xml:space="preserve"> </w:t>
      </w:r>
      <w:r w:rsidR="00ED1C3E" w:rsidRPr="007B0971">
        <w:rPr>
          <w:b/>
          <w:bCs/>
        </w:rPr>
        <w:t>PJ/ro</w:t>
      </w:r>
      <w:r w:rsidR="00682544" w:rsidRPr="007B0971">
        <w:rPr>
          <w:b/>
          <w:bCs/>
        </w:rPr>
        <w:t>k</w:t>
      </w:r>
      <w:r w:rsidR="004C687D">
        <w:rPr>
          <w:rStyle w:val="Odwoanieprzypisudolnego"/>
          <w:b/>
          <w:bCs/>
        </w:rPr>
        <w:footnoteReference w:id="119"/>
      </w:r>
      <w:r w:rsidR="00843548" w:rsidRPr="007B0971">
        <w:rPr>
          <w:b/>
          <w:bCs/>
        </w:rPr>
        <w:t xml:space="preserve">. </w:t>
      </w:r>
      <w:r w:rsidR="006D25C9" w:rsidRPr="00363EC5">
        <w:t>Obejmuj</w:t>
      </w:r>
      <w:r w:rsidR="00D80162">
        <w:t>ą</w:t>
      </w:r>
      <w:r w:rsidR="00622BC8">
        <w:t xml:space="preserve"> one główne typy biomasy:</w:t>
      </w:r>
      <w:r w:rsidR="006D25C9" w:rsidRPr="00363EC5">
        <w:t xml:space="preserve"> </w:t>
      </w:r>
      <w:r w:rsidR="00363EC5" w:rsidRPr="00363EC5">
        <w:t>biomasę leśną</w:t>
      </w:r>
      <w:r w:rsidR="00363EC5">
        <w:t xml:space="preserve"> (</w:t>
      </w:r>
      <w:r w:rsidR="00D90DFF">
        <w:t>z</w:t>
      </w:r>
      <w:r w:rsidR="000C0494">
        <w:t> </w:t>
      </w:r>
      <w:r w:rsidR="00BB4122">
        <w:t>las</w:t>
      </w:r>
      <w:r w:rsidR="00D90DFF">
        <w:t>ów</w:t>
      </w:r>
      <w:r w:rsidR="00BB4122">
        <w:t xml:space="preserve"> państwowych, prywatnych i </w:t>
      </w:r>
      <w:r w:rsidR="0063229A">
        <w:t xml:space="preserve">tzw. </w:t>
      </w:r>
      <w:r w:rsidR="00BB4122">
        <w:t>las</w:t>
      </w:r>
      <w:r w:rsidR="00D90DFF">
        <w:t>ów</w:t>
      </w:r>
      <w:r w:rsidR="00363EC5">
        <w:t xml:space="preserve"> poza ewidencją)</w:t>
      </w:r>
      <w:r w:rsidR="00363EC5" w:rsidRPr="00363EC5">
        <w:t xml:space="preserve">, produkty uboczne przerobu drewna, </w:t>
      </w:r>
      <w:r w:rsidR="001718E9">
        <w:t>biomasę pochodzenia rolniczego (</w:t>
      </w:r>
      <w:r w:rsidR="00363EC5" w:rsidRPr="00363EC5">
        <w:t>nadwyżkową słomę zbo</w:t>
      </w:r>
      <w:r w:rsidR="00363EC5">
        <w:t>ż</w:t>
      </w:r>
      <w:r w:rsidR="00363EC5" w:rsidRPr="00363EC5">
        <w:t xml:space="preserve">ową, </w:t>
      </w:r>
      <w:r w:rsidR="00363EC5">
        <w:t xml:space="preserve">biomasę z sadów, </w:t>
      </w:r>
      <w:r w:rsidR="00D83D58">
        <w:t>plantacje energetyczne</w:t>
      </w:r>
      <w:r w:rsidR="001718E9">
        <w:t>)</w:t>
      </w:r>
      <w:r w:rsidR="00D83D58">
        <w:t>.</w:t>
      </w:r>
      <w:r w:rsidR="008B5557">
        <w:t xml:space="preserve"> </w:t>
      </w:r>
      <w:r w:rsidR="00D80162">
        <w:t xml:space="preserve">Zasoby </w:t>
      </w:r>
      <w:r w:rsidR="00CA5C3F">
        <w:t>biomasy drzewnej</w:t>
      </w:r>
      <w:r w:rsidR="00523288">
        <w:t xml:space="preserve"> </w:t>
      </w:r>
      <w:r w:rsidR="002600A3">
        <w:t>są</w:t>
      </w:r>
      <w:r w:rsidR="00B649F9">
        <w:t xml:space="preserve"> </w:t>
      </w:r>
      <w:r w:rsidR="00523288">
        <w:t>w</w:t>
      </w:r>
      <w:r w:rsidR="005423BF">
        <w:t> </w:t>
      </w:r>
      <w:r w:rsidR="00523288">
        <w:t xml:space="preserve">znaczącej części </w:t>
      </w:r>
      <w:r w:rsidR="004774DE">
        <w:t xml:space="preserve">już </w:t>
      </w:r>
      <w:r w:rsidR="00523288">
        <w:t>zagospodarowan</w:t>
      </w:r>
      <w:r w:rsidR="002600A3">
        <w:t>e na cele energetyczne</w:t>
      </w:r>
      <w:r w:rsidR="00B649F9">
        <w:t xml:space="preserve"> (w ogrzewnictwie indywidualnym</w:t>
      </w:r>
      <w:r w:rsidR="00FE3C17">
        <w:t xml:space="preserve">, </w:t>
      </w:r>
      <w:r w:rsidR="0038776C">
        <w:t>w</w:t>
      </w:r>
      <w:r w:rsidR="00360963">
        <w:t> </w:t>
      </w:r>
      <w:r w:rsidR="006E7661">
        <w:t>przemy</w:t>
      </w:r>
      <w:r w:rsidR="00A05E0C">
        <w:t xml:space="preserve">śle </w:t>
      </w:r>
      <w:r w:rsidR="00055BDB">
        <w:t>drzewnym</w:t>
      </w:r>
      <w:r w:rsidR="0038776C">
        <w:t>, a także</w:t>
      </w:r>
      <w:r w:rsidR="00AF5E68">
        <w:t xml:space="preserve"> w</w:t>
      </w:r>
      <w:r w:rsidR="00E25F46">
        <w:t xml:space="preserve"> </w:t>
      </w:r>
      <w:r w:rsidR="00AF5E68">
        <w:t>przedsiębiorstwach energetycznyc</w:t>
      </w:r>
      <w:r w:rsidR="00E25F46">
        <w:t>h)</w:t>
      </w:r>
      <w:r w:rsidR="008607BA">
        <w:t xml:space="preserve">. </w:t>
      </w:r>
      <w:r w:rsidR="00490612">
        <w:t xml:space="preserve">Pozostaje do zagospodarowania nadwyżka słomy. </w:t>
      </w:r>
      <w:r w:rsidR="008B5557">
        <w:t xml:space="preserve">Mając na uwadze scenariusz WAM, </w:t>
      </w:r>
      <w:r w:rsidR="00555E22">
        <w:t xml:space="preserve">dostępność </w:t>
      </w:r>
      <w:r w:rsidR="005B29DA">
        <w:t>biomasy</w:t>
      </w:r>
      <w:r w:rsidR="00D164D6">
        <w:t xml:space="preserve"> na cele energetyczne</w:t>
      </w:r>
      <w:r w:rsidR="005B29DA">
        <w:t xml:space="preserve"> </w:t>
      </w:r>
      <w:r w:rsidR="00207F9C" w:rsidRPr="008D2D23">
        <w:t>będzie</w:t>
      </w:r>
      <w:r w:rsidR="00843548" w:rsidRPr="008D2D23">
        <w:rPr>
          <w:b/>
          <w:bCs/>
        </w:rPr>
        <w:t xml:space="preserve"> </w:t>
      </w:r>
      <w:r w:rsidR="00843548" w:rsidRPr="008D2D23">
        <w:t>malał</w:t>
      </w:r>
      <w:r w:rsidR="00555E22" w:rsidRPr="008D2D23">
        <w:t>a</w:t>
      </w:r>
      <w:r w:rsidR="00843548" w:rsidRPr="008D2D23">
        <w:t xml:space="preserve"> w perspektywie 2030</w:t>
      </w:r>
      <w:r w:rsidR="00BB4122" w:rsidRPr="008D2D23">
        <w:t> </w:t>
      </w:r>
      <w:r w:rsidR="00761E68" w:rsidRPr="008D2D23">
        <w:t>r.</w:t>
      </w:r>
      <w:r w:rsidR="00F80517" w:rsidRPr="008D2D23">
        <w:t>,</w:t>
      </w:r>
      <w:r w:rsidR="00F80517" w:rsidRPr="008D2D23">
        <w:rPr>
          <w:b/>
          <w:bCs/>
        </w:rPr>
        <w:t xml:space="preserve"> </w:t>
      </w:r>
      <w:r w:rsidR="00B93699" w:rsidRPr="008D2D23">
        <w:t>z</w:t>
      </w:r>
      <w:r w:rsidR="00B93699" w:rsidRPr="00B93699">
        <w:t xml:space="preserve"> </w:t>
      </w:r>
      <w:r w:rsidR="00B93699" w:rsidRPr="008265C8">
        <w:t>uwagi na</w:t>
      </w:r>
      <w:r w:rsidR="00843548" w:rsidRPr="008265C8">
        <w:t xml:space="preserve"> </w:t>
      </w:r>
      <w:r w:rsidR="001C2DE0" w:rsidRPr="008265C8">
        <w:t>modyfikację gospodarki leśnej</w:t>
      </w:r>
      <w:r w:rsidR="001C2DE0" w:rsidRPr="001C2DE0">
        <w:t xml:space="preserve"> </w:t>
      </w:r>
      <w:r w:rsidR="00EB0E56">
        <w:t>(</w:t>
      </w:r>
      <w:r w:rsidR="00B93699">
        <w:t>wzmocnienie funkcji ochrony przyrody i dążeni</w:t>
      </w:r>
      <w:r w:rsidR="00EB0E56">
        <w:t>e</w:t>
      </w:r>
      <w:r w:rsidR="00B93699">
        <w:t xml:space="preserve"> do realizacji</w:t>
      </w:r>
      <w:r w:rsidR="001C2DE0" w:rsidRPr="001C2DE0">
        <w:t xml:space="preserve"> celu LULUCF</w:t>
      </w:r>
      <w:r w:rsidR="00EB0E56">
        <w:t>)</w:t>
      </w:r>
      <w:r w:rsidR="001C2DE0" w:rsidRPr="001C2DE0">
        <w:t xml:space="preserve"> oraz</w:t>
      </w:r>
      <w:r w:rsidR="00171C66">
        <w:rPr>
          <w:b/>
          <w:bCs/>
        </w:rPr>
        <w:t xml:space="preserve"> </w:t>
      </w:r>
      <w:r w:rsidR="00BB6155" w:rsidRPr="001D109D">
        <w:t xml:space="preserve">wdrożenie </w:t>
      </w:r>
      <w:r w:rsidR="00BB6155" w:rsidRPr="00761E68">
        <w:rPr>
          <w:i/>
        </w:rPr>
        <w:t>za</w:t>
      </w:r>
      <w:r w:rsidR="00115E5D" w:rsidRPr="00761E68">
        <w:rPr>
          <w:i/>
        </w:rPr>
        <w:t>sady kaskadowego wykorzystania biomasy</w:t>
      </w:r>
      <w:r w:rsidR="00843548" w:rsidRPr="00761E68">
        <w:rPr>
          <w:i/>
        </w:rPr>
        <w:t xml:space="preserve"> drzewnej</w:t>
      </w:r>
      <w:r w:rsidR="0041756F" w:rsidRPr="00C84339">
        <w:rPr>
          <w:iCs/>
        </w:rPr>
        <w:t>, c</w:t>
      </w:r>
      <w:r w:rsidR="00C84339" w:rsidRPr="00C84339">
        <w:rPr>
          <w:iCs/>
        </w:rPr>
        <w:t>o</w:t>
      </w:r>
      <w:r w:rsidR="00C84339">
        <w:t xml:space="preserve"> pozwoli</w:t>
      </w:r>
      <w:r w:rsidR="00C84339" w:rsidRPr="00C84339">
        <w:t xml:space="preserve"> </w:t>
      </w:r>
      <w:r w:rsidR="00BB1FFA">
        <w:t xml:space="preserve">zapewnić </w:t>
      </w:r>
      <w:r w:rsidR="00DB39B4">
        <w:t xml:space="preserve">odpowiednią </w:t>
      </w:r>
      <w:r w:rsidR="00CB3B5D" w:rsidRPr="00CB3B5D">
        <w:t xml:space="preserve">podaż drewna dla krajowego przemysłu </w:t>
      </w:r>
      <w:r w:rsidR="00306B87">
        <w:t>drzewnego</w:t>
      </w:r>
      <w:r w:rsidR="0049785F" w:rsidRPr="001D109D">
        <w:t xml:space="preserve">. </w:t>
      </w:r>
      <w:r w:rsidR="00EC5547">
        <w:t>Jed</w:t>
      </w:r>
      <w:r w:rsidR="006E38D3">
        <w:t xml:space="preserve">ynym </w:t>
      </w:r>
      <w:r w:rsidR="0089621C">
        <w:t>zasobem</w:t>
      </w:r>
      <w:r w:rsidR="000B79EC">
        <w:t xml:space="preserve">, dla którego prognozowany jest wzrost </w:t>
      </w:r>
      <w:r w:rsidR="00BC467C">
        <w:t xml:space="preserve">ilości biomasy </w:t>
      </w:r>
      <w:r w:rsidR="000B79EC">
        <w:t>są plantacje energetyczne</w:t>
      </w:r>
      <w:r w:rsidR="00FF278F">
        <w:t xml:space="preserve"> z uwzględnieniem </w:t>
      </w:r>
      <w:r w:rsidR="009C41D7">
        <w:t>ostrożnych założeń co</w:t>
      </w:r>
      <w:r w:rsidR="003E695D">
        <w:t xml:space="preserve"> do areału i plonów. </w:t>
      </w:r>
    </w:p>
    <w:p w14:paraId="6686D286" w14:textId="5BD14908" w:rsidR="0077320E" w:rsidRDefault="0077320E" w:rsidP="00691310">
      <w:pPr>
        <w:pStyle w:val="odesaniedoza"/>
        <w:spacing w:after="120"/>
      </w:pPr>
      <w:r>
        <w:t xml:space="preserve">Szerszy zakres danych i informacji o </w:t>
      </w:r>
      <w:r w:rsidR="00FF3FF1">
        <w:t>zasobach biomasy znajduje się w załączniku 1 do aKPEiK w rozdziale 3.1.</w:t>
      </w:r>
    </w:p>
    <w:p w14:paraId="744FF7FD" w14:textId="55CE9B81" w:rsidR="004755B1" w:rsidRPr="00C16CC8" w:rsidRDefault="004D5EDE" w:rsidP="005125DC">
      <w:pPr>
        <w:pStyle w:val="Nagwek4"/>
        <w:rPr>
          <w:color w:val="C00000"/>
        </w:rPr>
      </w:pPr>
      <w:bookmarkStart w:id="589" w:name="_Toc198825444"/>
      <w:bookmarkStart w:id="590" w:name="_Toc198825544"/>
      <w:bookmarkStart w:id="591" w:name="_Toc195897352"/>
      <w:bookmarkStart w:id="592" w:name="_Toc205203206"/>
      <w:bookmarkEnd w:id="589"/>
      <w:bookmarkEnd w:id="590"/>
      <w:r w:rsidRPr="00C16CC8">
        <w:rPr>
          <w:color w:val="C00000"/>
        </w:rPr>
        <w:t xml:space="preserve">Zapewnienie </w:t>
      </w:r>
      <w:r w:rsidR="007B0E97" w:rsidRPr="00C16CC8">
        <w:rPr>
          <w:color w:val="C00000"/>
        </w:rPr>
        <w:t>kaskadowego wykorzystania</w:t>
      </w:r>
      <w:r w:rsidR="00774633" w:rsidRPr="00C16CC8">
        <w:rPr>
          <w:color w:val="C00000"/>
        </w:rPr>
        <w:t xml:space="preserve"> biomasy</w:t>
      </w:r>
      <w:bookmarkEnd w:id="591"/>
      <w:bookmarkEnd w:id="592"/>
    </w:p>
    <w:p w14:paraId="24FBE823" w14:textId="7E49D450" w:rsidR="00B409B3" w:rsidRDefault="00740B31" w:rsidP="00391CBE">
      <w:r>
        <w:t>Na</w:t>
      </w:r>
      <w:r w:rsidR="00034679">
        <w:t xml:space="preserve"> zasoby biomasy należy patrzeć szerzej niż przez pryzmat </w:t>
      </w:r>
      <w:r w:rsidR="00D6590F">
        <w:t>bioenergii</w:t>
      </w:r>
      <w:r w:rsidR="005B27ED">
        <w:t xml:space="preserve">. </w:t>
      </w:r>
      <w:r w:rsidR="00703C7D">
        <w:t>Ma to szczególnie znaczenie w</w:t>
      </w:r>
      <w:r w:rsidR="00DB61E0">
        <w:t> </w:t>
      </w:r>
      <w:r w:rsidR="00CB2895">
        <w:t>kontekście deficytu drewna w Europie, w tym sygnalizowanych przez krajowy przemysł drzewny niedoborów drewna</w:t>
      </w:r>
      <w:r w:rsidR="00DF4D18">
        <w:t xml:space="preserve"> jako surowca</w:t>
      </w:r>
      <w:r w:rsidR="00CB2895">
        <w:t xml:space="preserve">. </w:t>
      </w:r>
      <w:r w:rsidR="00D44D16">
        <w:t>D</w:t>
      </w:r>
      <w:r w:rsidR="00104297">
        <w:t>yrektyw</w:t>
      </w:r>
      <w:r w:rsidR="00D44D16">
        <w:t>a</w:t>
      </w:r>
      <w:r w:rsidR="00104297">
        <w:t xml:space="preserve"> RED III </w:t>
      </w:r>
      <w:r w:rsidR="00B86D3F">
        <w:t>wprowadz</w:t>
      </w:r>
      <w:r w:rsidR="00D44D16">
        <w:t>a</w:t>
      </w:r>
      <w:r w:rsidR="00104297">
        <w:t xml:space="preserve"> </w:t>
      </w:r>
      <w:r w:rsidR="00B86D3F" w:rsidRPr="00761E68">
        <w:rPr>
          <w:i/>
        </w:rPr>
        <w:t>zasadę</w:t>
      </w:r>
      <w:r w:rsidR="00B66F8C" w:rsidRPr="00761E68">
        <w:rPr>
          <w:i/>
        </w:rPr>
        <w:t xml:space="preserve"> kaskadowego wykorzystywania biomasy</w:t>
      </w:r>
      <w:r w:rsidR="00845430">
        <w:rPr>
          <w:rStyle w:val="Odwoanieprzypisudolnego"/>
        </w:rPr>
        <w:footnoteReference w:id="120"/>
      </w:r>
      <w:r w:rsidR="00845430">
        <w:t xml:space="preserve">. </w:t>
      </w:r>
      <w:r w:rsidR="00A678BF">
        <w:t>W myśl tej zasady</w:t>
      </w:r>
      <w:r w:rsidR="002F600D">
        <w:t xml:space="preserve"> </w:t>
      </w:r>
      <w:r w:rsidR="004B4634" w:rsidRPr="008177D9">
        <w:rPr>
          <w:b/>
          <w:bCs/>
        </w:rPr>
        <w:t>priorytetowe</w:t>
      </w:r>
      <w:r w:rsidR="002F600D" w:rsidRPr="008177D9">
        <w:rPr>
          <w:b/>
          <w:bCs/>
        </w:rPr>
        <w:t xml:space="preserve"> jest </w:t>
      </w:r>
      <w:r w:rsidR="004B4634" w:rsidRPr="008177D9">
        <w:rPr>
          <w:b/>
          <w:bCs/>
        </w:rPr>
        <w:t>wykorzystani</w:t>
      </w:r>
      <w:r w:rsidR="002F600D" w:rsidRPr="008177D9">
        <w:rPr>
          <w:b/>
          <w:bCs/>
        </w:rPr>
        <w:t>e</w:t>
      </w:r>
      <w:r w:rsidR="004B4634" w:rsidRPr="008177D9">
        <w:rPr>
          <w:b/>
          <w:bCs/>
        </w:rPr>
        <w:t xml:space="preserve"> biomasy</w:t>
      </w:r>
      <w:r w:rsidR="003F252B" w:rsidRPr="008177D9">
        <w:rPr>
          <w:b/>
          <w:bCs/>
        </w:rPr>
        <w:t xml:space="preserve"> </w:t>
      </w:r>
      <w:r w:rsidR="00D44462" w:rsidRPr="008177D9">
        <w:rPr>
          <w:b/>
          <w:bCs/>
        </w:rPr>
        <w:t>do celów materiałowych</w:t>
      </w:r>
      <w:r w:rsidR="002F600D" w:rsidRPr="008177D9">
        <w:rPr>
          <w:b/>
          <w:bCs/>
        </w:rPr>
        <w:t xml:space="preserve"> względem wykorzystania </w:t>
      </w:r>
      <w:r w:rsidR="004A6C3B" w:rsidRPr="008177D9">
        <w:rPr>
          <w:b/>
          <w:bCs/>
        </w:rPr>
        <w:t>energetyczn</w:t>
      </w:r>
      <w:r w:rsidR="002F600D" w:rsidRPr="008177D9">
        <w:rPr>
          <w:b/>
          <w:bCs/>
        </w:rPr>
        <w:t>ego</w:t>
      </w:r>
      <w:r w:rsidR="004A6C3B">
        <w:t>.</w:t>
      </w:r>
      <w:r w:rsidR="00A678BF">
        <w:t xml:space="preserve"> </w:t>
      </w:r>
      <w:r w:rsidR="002F600D">
        <w:t>Chodzi o</w:t>
      </w:r>
      <w:r w:rsidR="00391CBE" w:rsidRPr="00391CBE">
        <w:t xml:space="preserve"> zapewnienie sprawiedliwego dostępu do </w:t>
      </w:r>
      <w:r w:rsidR="00411B9A">
        <w:t>zasobów</w:t>
      </w:r>
      <w:r w:rsidR="00391CBE" w:rsidRPr="00391CBE">
        <w:t xml:space="preserve"> biomas</w:t>
      </w:r>
      <w:r w:rsidR="00411B9A">
        <w:t xml:space="preserve">y </w:t>
      </w:r>
      <w:r w:rsidR="00654BA8">
        <w:t xml:space="preserve">mając na uwadze </w:t>
      </w:r>
      <w:r w:rsidR="00391CBE" w:rsidRPr="00391CBE">
        <w:t>innowacyjn</w:t>
      </w:r>
      <w:r w:rsidR="00654BA8">
        <w:t>e</w:t>
      </w:r>
      <w:r w:rsidR="00391CBE" w:rsidRPr="00391CBE">
        <w:t xml:space="preserve"> </w:t>
      </w:r>
      <w:r w:rsidR="00883524">
        <w:t xml:space="preserve">produkty </w:t>
      </w:r>
      <w:r w:rsidR="00D701D0">
        <w:t xml:space="preserve">z biomasy </w:t>
      </w:r>
      <w:r w:rsidR="00883524">
        <w:t xml:space="preserve">i zastosowania </w:t>
      </w:r>
      <w:r w:rsidR="00391CBE" w:rsidRPr="00391CBE">
        <w:t>o</w:t>
      </w:r>
      <w:r w:rsidR="00761E68">
        <w:t> </w:t>
      </w:r>
      <w:r w:rsidR="00391CBE" w:rsidRPr="00391CBE">
        <w:t xml:space="preserve">wysokiej wartości dodanej oraz </w:t>
      </w:r>
      <w:r w:rsidR="00927C68" w:rsidRPr="00CC0AD4">
        <w:rPr>
          <w:b/>
          <w:bCs/>
        </w:rPr>
        <w:t xml:space="preserve">rozwój </w:t>
      </w:r>
      <w:r w:rsidR="00391CBE" w:rsidRPr="00CC0AD4">
        <w:rPr>
          <w:b/>
          <w:bCs/>
        </w:rPr>
        <w:t>zrównoważonej biogospodarki o obiegu zamkniętym</w:t>
      </w:r>
      <w:r w:rsidR="00927C68">
        <w:t xml:space="preserve">. </w:t>
      </w:r>
      <w:r w:rsidR="00A43E92">
        <w:t xml:space="preserve">Ma to szczególne znaczenie </w:t>
      </w:r>
      <w:r w:rsidR="00263092">
        <w:t>w</w:t>
      </w:r>
      <w:r w:rsidR="00667FF5">
        <w:t> </w:t>
      </w:r>
      <w:r w:rsidR="00263092">
        <w:t xml:space="preserve">kontekście </w:t>
      </w:r>
      <w:r w:rsidR="002B546B">
        <w:t xml:space="preserve">systemów wsparcia </w:t>
      </w:r>
      <w:r w:rsidR="008C4BB9">
        <w:t xml:space="preserve">dla bioenergii. </w:t>
      </w:r>
      <w:r w:rsidR="00521431">
        <w:t xml:space="preserve">RED III wskazuje, że </w:t>
      </w:r>
      <w:r w:rsidR="009065D5">
        <w:t>mo</w:t>
      </w:r>
      <w:r w:rsidR="007F589F">
        <w:t>żl</w:t>
      </w:r>
      <w:r w:rsidR="009065D5">
        <w:t xml:space="preserve">iwe jest odejście od </w:t>
      </w:r>
      <w:r w:rsidR="00C41449">
        <w:t>za</w:t>
      </w:r>
      <w:r w:rsidR="009065D5">
        <w:t>sady</w:t>
      </w:r>
      <w:r w:rsidR="006D3DD9">
        <w:t xml:space="preserve"> kaskadowości</w:t>
      </w:r>
      <w:r w:rsidR="00033DE0">
        <w:t xml:space="preserve">, np. </w:t>
      </w:r>
      <w:r w:rsidR="000574EA">
        <w:t>z uwagi na</w:t>
      </w:r>
      <w:r w:rsidR="00B57A2C">
        <w:t xml:space="preserve"> zapewnieni</w:t>
      </w:r>
      <w:r w:rsidR="000574EA">
        <w:t>e</w:t>
      </w:r>
      <w:r w:rsidR="00B57A2C">
        <w:t xml:space="preserve"> bezpieczeństwa dostaw energii </w:t>
      </w:r>
      <w:r w:rsidR="00462B16">
        <w:t>lub brak</w:t>
      </w:r>
      <w:r w:rsidR="00384978">
        <w:t> </w:t>
      </w:r>
      <w:r w:rsidR="00462B16">
        <w:t xml:space="preserve">lokalnej </w:t>
      </w:r>
      <w:r w:rsidR="009D11AA">
        <w:t>przetwórni</w:t>
      </w:r>
      <w:r w:rsidR="0050656B">
        <w:t xml:space="preserve"> drewna</w:t>
      </w:r>
      <w:r w:rsidR="00122423">
        <w:t>. O</w:t>
      </w:r>
      <w:r w:rsidR="009F42E8">
        <w:t xml:space="preserve">dstępstwa </w:t>
      </w:r>
      <w:r w:rsidR="0052291D">
        <w:t xml:space="preserve">te </w:t>
      </w:r>
      <w:r w:rsidR="009F42E8">
        <w:t xml:space="preserve">wymagają </w:t>
      </w:r>
      <w:r w:rsidR="00CC0AD4">
        <w:t xml:space="preserve">jednak </w:t>
      </w:r>
      <w:r w:rsidR="009065D5">
        <w:t xml:space="preserve">każdorazowo uzasadnienia </w:t>
      </w:r>
      <w:r w:rsidR="007F589F">
        <w:t>i informowania Komisji</w:t>
      </w:r>
      <w:r w:rsidR="00122423">
        <w:t xml:space="preserve"> Europejskiej</w:t>
      </w:r>
      <w:r w:rsidR="00D906C5">
        <w:t xml:space="preserve">, </w:t>
      </w:r>
      <w:r w:rsidR="00721412">
        <w:t xml:space="preserve">są </w:t>
      </w:r>
      <w:r w:rsidR="00D906C5">
        <w:t xml:space="preserve">zatem </w:t>
      </w:r>
      <w:r w:rsidR="00863EFB">
        <w:t>wyjątkiem od reguły kaskadowości</w:t>
      </w:r>
      <w:r w:rsidR="007F589F">
        <w:t xml:space="preserve">. </w:t>
      </w:r>
    </w:p>
    <w:p w14:paraId="1EF3C4AC" w14:textId="0ECEB8E3" w:rsidR="00761E68" w:rsidRDefault="0052637F" w:rsidP="006C2EC7">
      <w:pPr>
        <w:spacing w:after="80"/>
      </w:pPr>
      <w:r>
        <w:t xml:space="preserve">Określając </w:t>
      </w:r>
      <w:r w:rsidR="006505DF">
        <w:t>potencjał</w:t>
      </w:r>
      <w:r w:rsidR="0035029A">
        <w:t xml:space="preserve"> zrównoważonej biomasy</w:t>
      </w:r>
      <w:r w:rsidR="001034F3">
        <w:t xml:space="preserve"> na cele </w:t>
      </w:r>
      <w:r w:rsidR="00A65B1D">
        <w:t>energetyczne</w:t>
      </w:r>
      <w:r w:rsidR="0035029A">
        <w:t xml:space="preserve"> </w:t>
      </w:r>
      <w:r>
        <w:t xml:space="preserve">należy </w:t>
      </w:r>
      <w:r w:rsidR="00B015B4">
        <w:t>kierować się</w:t>
      </w:r>
      <w:r w:rsidR="00C90256">
        <w:t xml:space="preserve"> </w:t>
      </w:r>
      <w:r w:rsidR="00D56F4B">
        <w:t>zasad</w:t>
      </w:r>
      <w:r w:rsidR="00B015B4">
        <w:t>ą</w:t>
      </w:r>
      <w:r w:rsidR="00D56F4B">
        <w:t xml:space="preserve"> </w:t>
      </w:r>
      <w:r w:rsidR="00D56F4B" w:rsidRPr="006C3AFC">
        <w:t xml:space="preserve">wykorzystania </w:t>
      </w:r>
      <w:r w:rsidR="00D56F4B">
        <w:t xml:space="preserve">zasobów </w:t>
      </w:r>
      <w:r w:rsidR="00D56F4B" w:rsidRPr="006C3AFC">
        <w:t>biomasy stosownie do jej najwyższej ekonomicznej i środowiskowej wartości</w:t>
      </w:r>
      <w:r w:rsidR="009E6F76">
        <w:t>. W</w:t>
      </w:r>
      <w:r w:rsidR="00761E68">
        <w:t> </w:t>
      </w:r>
      <w:r w:rsidR="009E6F76">
        <w:t>odniesieniu d</w:t>
      </w:r>
      <w:r w:rsidR="009649A3">
        <w:t>o</w:t>
      </w:r>
      <w:r w:rsidR="009E6F76">
        <w:t xml:space="preserve"> surowca drzewnego </w:t>
      </w:r>
      <w:r w:rsidR="009B78E4" w:rsidRPr="002D32C6">
        <w:rPr>
          <w:b/>
        </w:rPr>
        <w:t>zasada kaskadowego wykorzy</w:t>
      </w:r>
      <w:r w:rsidR="008113A9" w:rsidRPr="002D32C6">
        <w:rPr>
          <w:b/>
        </w:rPr>
        <w:t>stania</w:t>
      </w:r>
      <w:r w:rsidR="008113A9">
        <w:t xml:space="preserve"> </w:t>
      </w:r>
      <w:r w:rsidR="00BD4C37">
        <w:t xml:space="preserve">oznacza </w:t>
      </w:r>
      <w:r w:rsidR="00020918">
        <w:t xml:space="preserve">wykorzystanie drewna </w:t>
      </w:r>
      <w:r w:rsidR="001F2E1A" w:rsidRPr="001F2E1A">
        <w:t xml:space="preserve">zgodnie z następującą hierarchią: </w:t>
      </w:r>
    </w:p>
    <w:p w14:paraId="38EF4D58" w14:textId="77777777" w:rsidR="00761E68" w:rsidRDefault="002858A9" w:rsidP="000625AC">
      <w:pPr>
        <w:pStyle w:val="Akapitzlist"/>
        <w:numPr>
          <w:ilvl w:val="0"/>
          <w:numId w:val="85"/>
        </w:numPr>
      </w:pPr>
      <w:r w:rsidRPr="002858A9">
        <w:t xml:space="preserve">wytworzenie produktów drzewnych, </w:t>
      </w:r>
    </w:p>
    <w:p w14:paraId="6D9A792A" w14:textId="77777777" w:rsidR="00761E68" w:rsidRDefault="002858A9" w:rsidP="000625AC">
      <w:pPr>
        <w:pStyle w:val="Akapitzlist"/>
        <w:numPr>
          <w:ilvl w:val="0"/>
          <w:numId w:val="85"/>
        </w:numPr>
      </w:pPr>
      <w:r w:rsidRPr="002858A9">
        <w:t xml:space="preserve">przedłużenie okresu użytkowania tych produktów, </w:t>
      </w:r>
    </w:p>
    <w:p w14:paraId="5201B211" w14:textId="77777777" w:rsidR="00761E68" w:rsidRDefault="002858A9" w:rsidP="000625AC">
      <w:pPr>
        <w:pStyle w:val="Akapitzlist"/>
        <w:numPr>
          <w:ilvl w:val="0"/>
          <w:numId w:val="85"/>
        </w:numPr>
      </w:pPr>
      <w:r w:rsidRPr="002858A9">
        <w:t xml:space="preserve">ponowne wykorzystanie, </w:t>
      </w:r>
    </w:p>
    <w:p w14:paraId="3871AA65" w14:textId="77777777" w:rsidR="00761E68" w:rsidRDefault="002858A9" w:rsidP="000625AC">
      <w:pPr>
        <w:pStyle w:val="Akapitzlist"/>
        <w:numPr>
          <w:ilvl w:val="0"/>
          <w:numId w:val="85"/>
        </w:numPr>
      </w:pPr>
      <w:r w:rsidRPr="002858A9">
        <w:t xml:space="preserve">recykling, </w:t>
      </w:r>
    </w:p>
    <w:p w14:paraId="58D97AEC" w14:textId="1FF8AD74" w:rsidR="00761E68" w:rsidRDefault="002858A9" w:rsidP="000625AC">
      <w:pPr>
        <w:pStyle w:val="Akapitzlist"/>
        <w:numPr>
          <w:ilvl w:val="0"/>
          <w:numId w:val="85"/>
        </w:numPr>
      </w:pPr>
      <w:r w:rsidRPr="002858A9">
        <w:t>wytworzenie bioenergii</w:t>
      </w:r>
      <w:r w:rsidR="00085E3F">
        <w:t>,</w:t>
      </w:r>
      <w:r w:rsidRPr="002858A9">
        <w:t xml:space="preserve"> </w:t>
      </w:r>
    </w:p>
    <w:p w14:paraId="0AEFF8FC" w14:textId="0F5C18F7" w:rsidR="00806834" w:rsidRDefault="002858A9" w:rsidP="000625AC">
      <w:pPr>
        <w:pStyle w:val="Akapitzlist"/>
        <w:numPr>
          <w:ilvl w:val="0"/>
          <w:numId w:val="85"/>
        </w:numPr>
        <w:spacing w:after="240"/>
      </w:pPr>
      <w:r w:rsidRPr="002858A9">
        <w:lastRenderedPageBreak/>
        <w:t>unieszkodliwienie odpadów</w:t>
      </w:r>
      <w:r w:rsidR="00D2599A">
        <w:t>.</w:t>
      </w:r>
      <w:r w:rsidR="00806834" w:rsidRPr="00806834">
        <w:t xml:space="preserve"> </w:t>
      </w:r>
    </w:p>
    <w:p w14:paraId="24D02DF0" w14:textId="2B97A7B2" w:rsidR="000730FC" w:rsidRPr="00085E3F" w:rsidRDefault="004755B1" w:rsidP="004755B1">
      <w:pPr>
        <w:pStyle w:val="Cele"/>
        <w:rPr>
          <w:b/>
        </w:rPr>
      </w:pPr>
      <w:r w:rsidRPr="00085E3F">
        <w:rPr>
          <w:b/>
        </w:rPr>
        <w:t xml:space="preserve">Celem jest </w:t>
      </w:r>
      <w:r w:rsidR="006C3AFC" w:rsidRPr="00085E3F">
        <w:rPr>
          <w:b/>
        </w:rPr>
        <w:t>zapewnieni</w:t>
      </w:r>
      <w:r w:rsidR="00DB69C3" w:rsidRPr="00085E3F">
        <w:rPr>
          <w:b/>
        </w:rPr>
        <w:t>e</w:t>
      </w:r>
      <w:r w:rsidR="006C3AFC" w:rsidRPr="00085E3F">
        <w:rPr>
          <w:b/>
        </w:rPr>
        <w:t xml:space="preserve"> </w:t>
      </w:r>
      <w:r w:rsidR="009B3AD4" w:rsidRPr="00085E3F">
        <w:rPr>
          <w:b/>
        </w:rPr>
        <w:t xml:space="preserve">efektywnego </w:t>
      </w:r>
      <w:r w:rsidR="006C3AFC" w:rsidRPr="00085E3F">
        <w:rPr>
          <w:b/>
        </w:rPr>
        <w:t xml:space="preserve">wykorzystania </w:t>
      </w:r>
      <w:r w:rsidR="009B3AD4" w:rsidRPr="00085E3F">
        <w:rPr>
          <w:b/>
        </w:rPr>
        <w:t xml:space="preserve">zasobów </w:t>
      </w:r>
      <w:r w:rsidR="006C3AFC" w:rsidRPr="00085E3F">
        <w:rPr>
          <w:b/>
        </w:rPr>
        <w:t>biomasy</w:t>
      </w:r>
      <w:r w:rsidR="002D32C6">
        <w:rPr>
          <w:b/>
        </w:rPr>
        <w:t>,</w:t>
      </w:r>
      <w:r w:rsidR="006C3AFC" w:rsidRPr="00085E3F">
        <w:rPr>
          <w:b/>
        </w:rPr>
        <w:t xml:space="preserve"> stosownie do</w:t>
      </w:r>
      <w:r w:rsidR="00085E3F">
        <w:rPr>
          <w:b/>
          <w:bCs/>
        </w:rPr>
        <w:t> </w:t>
      </w:r>
      <w:r w:rsidR="006C3AFC" w:rsidRPr="00085E3F">
        <w:rPr>
          <w:b/>
        </w:rPr>
        <w:t>jej najwyższej ekonomicznej i środowiskowej wartości</w:t>
      </w:r>
      <w:r w:rsidR="00BE0D4D">
        <w:rPr>
          <w:b/>
        </w:rPr>
        <w:t xml:space="preserve">, w </w:t>
      </w:r>
      <w:r w:rsidR="000F22C5">
        <w:rPr>
          <w:b/>
        </w:rPr>
        <w:t xml:space="preserve">synergii z budowaniem innowacyjnej biogospodarki </w:t>
      </w:r>
      <w:r w:rsidR="002D32C6">
        <w:rPr>
          <w:b/>
        </w:rPr>
        <w:t xml:space="preserve">o </w:t>
      </w:r>
      <w:r w:rsidR="000F22C5">
        <w:rPr>
          <w:b/>
        </w:rPr>
        <w:t>obiegu zamknięt</w:t>
      </w:r>
      <w:r w:rsidR="002D32C6">
        <w:rPr>
          <w:b/>
        </w:rPr>
        <w:t>ym</w:t>
      </w:r>
      <w:r w:rsidR="000F22C5">
        <w:rPr>
          <w:b/>
        </w:rPr>
        <w:t>.</w:t>
      </w:r>
    </w:p>
    <w:p w14:paraId="3D55788E" w14:textId="6D7ADC87" w:rsidR="005A6294" w:rsidRDefault="005A6294" w:rsidP="005A6294">
      <w:pPr>
        <w:pStyle w:val="PaMs"/>
      </w:pPr>
      <w:r>
        <w:t>P</w:t>
      </w:r>
      <w:r w:rsidR="00584879">
        <w:t>OLITYKA</w:t>
      </w:r>
    </w:p>
    <w:p w14:paraId="2FC26A0F" w14:textId="2286AA5B" w:rsidR="00CB619C" w:rsidRDefault="00CB619C" w:rsidP="00CB619C">
      <w:r>
        <w:t xml:space="preserve">Odpowiadając na </w:t>
      </w:r>
      <w:r w:rsidR="004676F4">
        <w:t>potrzebę</w:t>
      </w:r>
      <w:r w:rsidRPr="003D0326">
        <w:t xml:space="preserve"> </w:t>
      </w:r>
      <w:r w:rsidR="00FD1CE1">
        <w:t>wykorzystania drewna</w:t>
      </w:r>
      <w:r w:rsidRPr="003D0326">
        <w:t xml:space="preserve"> w </w:t>
      </w:r>
      <w:r w:rsidR="00E40772">
        <w:t xml:space="preserve">sposób </w:t>
      </w:r>
      <w:r>
        <w:t>naj</w:t>
      </w:r>
      <w:r w:rsidRPr="003D0326">
        <w:t xml:space="preserve">bardziej korzystny ekonomicznie </w:t>
      </w:r>
      <w:r w:rsidR="005C17FA">
        <w:t>i</w:t>
      </w:r>
      <w:r w:rsidR="000C0494">
        <w:t> </w:t>
      </w:r>
      <w:r w:rsidR="005C17FA">
        <w:t>środowiskowo</w:t>
      </w:r>
      <w:r>
        <w:t>,</w:t>
      </w:r>
      <w:r w:rsidRPr="003D0326">
        <w:t xml:space="preserve"> </w:t>
      </w:r>
      <w:r>
        <w:t xml:space="preserve">konieczne jest zapewnienie, </w:t>
      </w:r>
      <w:r w:rsidRPr="000C507A">
        <w:rPr>
          <w:b/>
        </w:rPr>
        <w:t>aby w energetyce zawodowej</w:t>
      </w:r>
      <w:r w:rsidR="00EE48FB" w:rsidRPr="000C507A">
        <w:rPr>
          <w:b/>
        </w:rPr>
        <w:t xml:space="preserve"> nie było spalane drewno</w:t>
      </w:r>
      <w:r w:rsidR="00023B2D" w:rsidRPr="000C507A">
        <w:rPr>
          <w:b/>
        </w:rPr>
        <w:t xml:space="preserve">, które znajduje </w:t>
      </w:r>
      <w:r w:rsidR="004958B8">
        <w:rPr>
          <w:b/>
        </w:rPr>
        <w:t xml:space="preserve">lepsze </w:t>
      </w:r>
      <w:r w:rsidR="00023B2D" w:rsidRPr="000C507A">
        <w:rPr>
          <w:b/>
        </w:rPr>
        <w:t>zastosowanie w innych gałęziach gospodarki</w:t>
      </w:r>
      <w:r w:rsidR="004958B8">
        <w:rPr>
          <w:b/>
        </w:rPr>
        <w:t>, w szczególności do przerobu przemysłowego</w:t>
      </w:r>
      <w:r>
        <w:t xml:space="preserve">. </w:t>
      </w:r>
    </w:p>
    <w:p w14:paraId="0634B1B4" w14:textId="767BC69E" w:rsidR="004D2EC8" w:rsidRDefault="00925383" w:rsidP="005A6294">
      <w:r w:rsidRPr="00925383">
        <w:t xml:space="preserve">Definicja </w:t>
      </w:r>
      <w:r w:rsidRPr="008E0D76">
        <w:rPr>
          <w:b/>
          <w:i/>
        </w:rPr>
        <w:t>drewna energetycznego</w:t>
      </w:r>
      <w:r w:rsidRPr="00925383">
        <w:t xml:space="preserve"> zawarta została w art. 2 pkt 7a ustawy o odnawialnych źródłach energii.</w:t>
      </w:r>
      <w:r w:rsidR="004D2EC8" w:rsidRPr="004D2EC8">
        <w:t xml:space="preserve"> </w:t>
      </w:r>
      <w:r w:rsidR="004F2147" w:rsidRPr="004F2147">
        <w:t>Wskazany przepis stanowi, że drewno energetyczne to surowiec drzewny, który ze względu na cechy jakościowo-wymiarowe posiada obniżoną wartość techniczną i użytkową uniemożliwiającą jego przemysłowe wykorzystanie, a także surowiec drzewny stanowiący biomasę pochodzenia rolniczego</w:t>
      </w:r>
      <w:r w:rsidR="00AF14DA">
        <w:t>.</w:t>
      </w:r>
      <w:r w:rsidR="00023B2D" w:rsidRPr="00023B2D">
        <w:t xml:space="preserve"> </w:t>
      </w:r>
      <w:r w:rsidR="00DC0282">
        <w:t>Ro</w:t>
      </w:r>
      <w:r w:rsidR="00797334">
        <w:t xml:space="preserve">zporządzenie </w:t>
      </w:r>
      <w:r w:rsidR="00023B2D">
        <w:t>Minist</w:t>
      </w:r>
      <w:r w:rsidR="00797334">
        <w:t>ra</w:t>
      </w:r>
      <w:r w:rsidR="00023B2D">
        <w:t xml:space="preserve"> Klimatu i Środowiska </w:t>
      </w:r>
      <w:r w:rsidR="00797334">
        <w:t>z dn</w:t>
      </w:r>
      <w:r w:rsidR="00CB567E">
        <w:t>ia</w:t>
      </w:r>
      <w:r w:rsidR="00797334">
        <w:t xml:space="preserve"> 30 maja </w:t>
      </w:r>
      <w:r w:rsidR="00842CE6">
        <w:t>2025</w:t>
      </w:r>
      <w:r w:rsidR="00797334">
        <w:t xml:space="preserve"> r. </w:t>
      </w:r>
      <w:r w:rsidR="00023B2D" w:rsidRPr="00925383">
        <w:rPr>
          <w:i/>
          <w:iCs/>
        </w:rPr>
        <w:t>w sprawie szczegółowych cech jakościowo-wymiarowych drewna energetycznego</w:t>
      </w:r>
      <w:r w:rsidR="00023B2D">
        <w:t xml:space="preserve"> </w:t>
      </w:r>
      <w:r w:rsidR="00023B2D" w:rsidDel="000E14FF">
        <w:t>(</w:t>
      </w:r>
      <w:r w:rsidR="009E431D" w:rsidRPr="009E431D">
        <w:t>Dz.</w:t>
      </w:r>
      <w:r w:rsidR="00842CE6">
        <w:t xml:space="preserve"> </w:t>
      </w:r>
      <w:r w:rsidR="009E431D" w:rsidRPr="009E431D">
        <w:t>U. poz. 746</w:t>
      </w:r>
      <w:r w:rsidR="00842CE6">
        <w:t>)</w:t>
      </w:r>
      <w:r w:rsidR="00023B2D">
        <w:t xml:space="preserve"> </w:t>
      </w:r>
      <w:r w:rsidR="002870CC">
        <w:t xml:space="preserve">ma na celu </w:t>
      </w:r>
      <w:r w:rsidR="00504C04" w:rsidRPr="00504C04">
        <w:t>elimin</w:t>
      </w:r>
      <w:r w:rsidR="006D6C94">
        <w:t>ację</w:t>
      </w:r>
      <w:r w:rsidR="0003036C">
        <w:t xml:space="preserve"> </w:t>
      </w:r>
      <w:r w:rsidR="00504C04" w:rsidRPr="00504C04">
        <w:t>zjawisk</w:t>
      </w:r>
      <w:r w:rsidR="007161E3">
        <w:t>a</w:t>
      </w:r>
      <w:r w:rsidR="00504C04" w:rsidRPr="00504C04">
        <w:t xml:space="preserve"> spalania w energetyce zawodowej </w:t>
      </w:r>
      <w:r w:rsidR="006D6C94">
        <w:t xml:space="preserve">pełnowartościowego </w:t>
      </w:r>
      <w:r w:rsidR="005C76BC">
        <w:t xml:space="preserve">surowca </w:t>
      </w:r>
      <w:r w:rsidR="00504C04" w:rsidRPr="00504C04">
        <w:t>dr</w:t>
      </w:r>
      <w:r w:rsidR="005C76BC">
        <w:t>z</w:t>
      </w:r>
      <w:r w:rsidR="00504C04" w:rsidRPr="00504C04">
        <w:t>ewn</w:t>
      </w:r>
      <w:r w:rsidR="005C76BC">
        <w:t>ego</w:t>
      </w:r>
      <w:r w:rsidR="00504C04" w:rsidRPr="00504C04">
        <w:t xml:space="preserve">, które może zostać wykorzystane przemysłowo w inny, bardziej korzystny </w:t>
      </w:r>
      <w:r w:rsidR="00927B7A">
        <w:t xml:space="preserve">dla gospodarki </w:t>
      </w:r>
      <w:r w:rsidR="00504C04" w:rsidRPr="00504C04">
        <w:t>sposób</w:t>
      </w:r>
      <w:r w:rsidR="00153926">
        <w:t>. Jest to</w:t>
      </w:r>
      <w:r w:rsidR="00463D96" w:rsidRPr="00463D96">
        <w:t xml:space="preserve"> korzystn</w:t>
      </w:r>
      <w:r w:rsidR="00153926">
        <w:t>e</w:t>
      </w:r>
      <w:r w:rsidR="00463D96" w:rsidRPr="00463D96">
        <w:t xml:space="preserve"> z</w:t>
      </w:r>
      <w:r w:rsidR="00B05D72">
        <w:t> </w:t>
      </w:r>
      <w:r w:rsidR="00463D96" w:rsidRPr="00463D96">
        <w:t xml:space="preserve">perspektywy ochrony środowiska, zmniejszając presję na wyręb lasów ze strony energetyki zawodowej. </w:t>
      </w:r>
      <w:r w:rsidR="005411B0" w:rsidRPr="002B2FF7">
        <w:rPr>
          <w:b/>
          <w:bCs/>
        </w:rPr>
        <w:t>Jest</w:t>
      </w:r>
      <w:r w:rsidR="005411B0" w:rsidRPr="002B2FF7">
        <w:rPr>
          <w:b/>
        </w:rPr>
        <w:t xml:space="preserve"> to sygnał, że</w:t>
      </w:r>
      <w:r w:rsidR="000C0494">
        <w:rPr>
          <w:b/>
        </w:rPr>
        <w:t> </w:t>
      </w:r>
      <w:r w:rsidR="005411B0" w:rsidRPr="002B2FF7">
        <w:rPr>
          <w:b/>
        </w:rPr>
        <w:t xml:space="preserve">głównym kierunkiem </w:t>
      </w:r>
      <w:r w:rsidR="00DA2645" w:rsidRPr="002B2FF7">
        <w:rPr>
          <w:b/>
        </w:rPr>
        <w:t xml:space="preserve">dekarbonizacji </w:t>
      </w:r>
      <w:r w:rsidR="002B2FF7" w:rsidRPr="002B2FF7">
        <w:rPr>
          <w:b/>
          <w:bCs/>
        </w:rPr>
        <w:t>elektroenergetyki</w:t>
      </w:r>
      <w:r w:rsidR="00DA2645" w:rsidRPr="002B2FF7">
        <w:rPr>
          <w:b/>
        </w:rPr>
        <w:t xml:space="preserve"> </w:t>
      </w:r>
      <w:r w:rsidR="00460719">
        <w:rPr>
          <w:b/>
        </w:rPr>
        <w:t xml:space="preserve">i </w:t>
      </w:r>
      <w:r w:rsidR="00460719" w:rsidRPr="002B2FF7">
        <w:rPr>
          <w:b/>
          <w:bCs/>
        </w:rPr>
        <w:t>ciepłownictwa</w:t>
      </w:r>
      <w:r w:rsidR="00460719" w:rsidRPr="002B2FF7">
        <w:rPr>
          <w:b/>
        </w:rPr>
        <w:t xml:space="preserve"> systemowego </w:t>
      </w:r>
      <w:r w:rsidR="00DA2645" w:rsidRPr="002B2FF7">
        <w:rPr>
          <w:b/>
        </w:rPr>
        <w:t>nie może być wykorzystanie biomasy</w:t>
      </w:r>
      <w:r w:rsidR="00DA2645">
        <w:t>.</w:t>
      </w:r>
      <w:r w:rsidR="005411B0">
        <w:t xml:space="preserve"> </w:t>
      </w:r>
      <w:r w:rsidR="00463D96" w:rsidRPr="00463D96">
        <w:t>Polska nie dysponuje bowiem wystarczającym potencjałem zrównoważonej biomasy drzewnej, aby realizować transformację energetyczną w ten sposób.</w:t>
      </w:r>
      <w:r w:rsidR="00E02689">
        <w:t xml:space="preserve"> </w:t>
      </w:r>
    </w:p>
    <w:p w14:paraId="18043C0C" w14:textId="0C16ADF8" w:rsidR="00B84803" w:rsidRDefault="00F6578A" w:rsidP="005A6294">
      <w:r w:rsidRPr="00F135F9">
        <w:t xml:space="preserve">Jednocześnie należy </w:t>
      </w:r>
      <w:r w:rsidR="306DFDCF" w:rsidRPr="00F135F9">
        <w:t xml:space="preserve">stworzyć warunki do </w:t>
      </w:r>
      <w:r w:rsidR="00D530F2" w:rsidRPr="00F135F9">
        <w:t xml:space="preserve">stopniowego </w:t>
      </w:r>
      <w:r w:rsidR="4D0F31B8" w:rsidRPr="00F135F9">
        <w:t xml:space="preserve">odejścia </w:t>
      </w:r>
      <w:r w:rsidR="0070634A" w:rsidRPr="00F135F9">
        <w:t xml:space="preserve">po 2030 </w:t>
      </w:r>
      <w:r w:rsidR="006069D4" w:rsidRPr="00F135F9">
        <w:t xml:space="preserve">r. </w:t>
      </w:r>
      <w:r w:rsidR="4D0F31B8" w:rsidRPr="00F135F9">
        <w:t>od</w:t>
      </w:r>
      <w:r w:rsidRPr="00F135F9">
        <w:t xml:space="preserve"> </w:t>
      </w:r>
      <w:r w:rsidR="008D7470">
        <w:t>wykorzystania</w:t>
      </w:r>
      <w:r w:rsidR="008D7470" w:rsidRPr="00F135F9">
        <w:t xml:space="preserve"> </w:t>
      </w:r>
      <w:r w:rsidRPr="00F135F9">
        <w:t xml:space="preserve">drewna </w:t>
      </w:r>
      <w:r w:rsidR="008D7470">
        <w:t xml:space="preserve">do produkcji energii w </w:t>
      </w:r>
      <w:r w:rsidRPr="00F135F9">
        <w:t xml:space="preserve">energetyce zawodowej. </w:t>
      </w:r>
      <w:r w:rsidR="00D815D4" w:rsidRPr="00F135F9">
        <w:t>W</w:t>
      </w:r>
      <w:r w:rsidRPr="00F135F9">
        <w:t xml:space="preserve">iąże się z </w:t>
      </w:r>
      <w:r w:rsidR="55519C49" w:rsidRPr="00F135F9">
        <w:t>koniecznością</w:t>
      </w:r>
      <w:r w:rsidRPr="00F135F9">
        <w:t xml:space="preserve"> </w:t>
      </w:r>
      <w:r w:rsidRPr="00F135F9">
        <w:rPr>
          <w:b/>
        </w:rPr>
        <w:t xml:space="preserve">przygotowania odpowiedniej mapy drogowej </w:t>
      </w:r>
      <w:r w:rsidR="002A2BB4">
        <w:rPr>
          <w:b/>
        </w:rPr>
        <w:t>w związku z ograniczeniem</w:t>
      </w:r>
      <w:r w:rsidR="004B32D0" w:rsidRPr="00F135F9">
        <w:rPr>
          <w:b/>
        </w:rPr>
        <w:t xml:space="preserve"> </w:t>
      </w:r>
      <w:r w:rsidR="00282C36" w:rsidRPr="00F135F9">
        <w:rPr>
          <w:b/>
        </w:rPr>
        <w:t xml:space="preserve">stosowania </w:t>
      </w:r>
      <w:r w:rsidR="00424AED" w:rsidRPr="00F135F9">
        <w:rPr>
          <w:b/>
        </w:rPr>
        <w:t>drewna</w:t>
      </w:r>
      <w:r w:rsidR="004B32D0" w:rsidRPr="00F135F9">
        <w:rPr>
          <w:b/>
        </w:rPr>
        <w:t xml:space="preserve"> </w:t>
      </w:r>
      <w:r w:rsidRPr="00F135F9">
        <w:rPr>
          <w:b/>
        </w:rPr>
        <w:t>jako paliwa</w:t>
      </w:r>
      <w:r w:rsidR="00AD2C83" w:rsidRPr="00F135F9">
        <w:rPr>
          <w:b/>
        </w:rPr>
        <w:t xml:space="preserve"> dla </w:t>
      </w:r>
      <w:r w:rsidR="00100674" w:rsidRPr="00F135F9">
        <w:rPr>
          <w:b/>
          <w:bCs/>
        </w:rPr>
        <w:t>elektro</w:t>
      </w:r>
      <w:r w:rsidR="00AD2C83" w:rsidRPr="00F135F9">
        <w:rPr>
          <w:b/>
          <w:bCs/>
        </w:rPr>
        <w:t>energetyki</w:t>
      </w:r>
      <w:r w:rsidR="00AD2C83" w:rsidRPr="00F135F9">
        <w:rPr>
          <w:b/>
        </w:rPr>
        <w:t xml:space="preserve"> i</w:t>
      </w:r>
      <w:r w:rsidR="00A71E5D">
        <w:rPr>
          <w:b/>
        </w:rPr>
        <w:t> </w:t>
      </w:r>
      <w:r w:rsidR="00AD2C83" w:rsidRPr="00F135F9">
        <w:rPr>
          <w:b/>
        </w:rPr>
        <w:t>ciepłownictwa</w:t>
      </w:r>
      <w:r w:rsidRPr="00F135F9">
        <w:t xml:space="preserve">. Dążenie to jest spójne z prognozowanym dynamicznym wzrostem udziału bezemisyjnych odnawialnych źródeł energii, takich jak słońce i wiatr, w krajowym systemie energetycznym, </w:t>
      </w:r>
      <w:r w:rsidR="007D22D9">
        <w:t xml:space="preserve">rozwojem </w:t>
      </w:r>
      <w:r w:rsidR="00D815D4" w:rsidRPr="00F135F9">
        <w:t>elektryfikacj</w:t>
      </w:r>
      <w:r w:rsidR="00940393">
        <w:t>i</w:t>
      </w:r>
      <w:r w:rsidR="00D815D4" w:rsidRPr="00F135F9">
        <w:t xml:space="preserve"> ciepłownictwa, </w:t>
      </w:r>
      <w:r w:rsidRPr="00F135F9">
        <w:t>a także rozwojem biogospodarki jako sektora wzmacniającego konkurencyjność i bezemisyjność polskiej gospodarki.</w:t>
      </w:r>
    </w:p>
    <w:p w14:paraId="18547BA3" w14:textId="6C80B9AF" w:rsidR="005A6294" w:rsidRPr="000730FC" w:rsidRDefault="00584879" w:rsidP="005A6294">
      <w:pPr>
        <w:pStyle w:val="PaMs"/>
      </w:pPr>
      <w:r>
        <w:t>DZIAŁANIA</w:t>
      </w:r>
    </w:p>
    <w:p w14:paraId="092200DE" w14:textId="5A4E1899" w:rsidR="00285AE9" w:rsidRDefault="00285AE9" w:rsidP="003530A9">
      <w:pPr>
        <w:pStyle w:val="Akapitzlist"/>
        <w:numPr>
          <w:ilvl w:val="0"/>
          <w:numId w:val="3"/>
        </w:numPr>
      </w:pPr>
      <w:r>
        <w:fldChar w:fldCharType="begin"/>
      </w:r>
      <w:r>
        <w:instrText xml:space="preserve"> REF _Ref195893018 \h </w:instrText>
      </w:r>
      <w:r>
        <w:fldChar w:fldCharType="separate"/>
      </w:r>
      <w:r w:rsidR="00871DD5">
        <w:t xml:space="preserve">Działanie </w:t>
      </w:r>
      <w:r w:rsidR="00871DD5">
        <w:rPr>
          <w:noProof/>
        </w:rPr>
        <w:t>83</w:t>
      </w:r>
      <w:r w:rsidR="00871DD5">
        <w:t xml:space="preserve">. </w:t>
      </w:r>
      <w:r w:rsidR="00871DD5" w:rsidRPr="00E2098B">
        <w:t>Wdrożenie zasady kaskadowego wykorzystania biomasy</w:t>
      </w:r>
      <w:r>
        <w:fldChar w:fldCharType="end"/>
      </w:r>
    </w:p>
    <w:p w14:paraId="4B891FBE" w14:textId="78791C29" w:rsidR="00285AE9" w:rsidRDefault="00285AE9" w:rsidP="003530A9">
      <w:pPr>
        <w:pStyle w:val="Akapitzlist"/>
        <w:numPr>
          <w:ilvl w:val="0"/>
          <w:numId w:val="3"/>
        </w:numPr>
      </w:pPr>
      <w:r>
        <w:fldChar w:fldCharType="begin"/>
      </w:r>
      <w:r>
        <w:instrText xml:space="preserve"> REF _Ref195893026 \h </w:instrText>
      </w:r>
      <w:r>
        <w:fldChar w:fldCharType="separate"/>
      </w:r>
      <w:r w:rsidR="00871DD5">
        <w:t xml:space="preserve">Działanie </w:t>
      </w:r>
      <w:r w:rsidR="00871DD5">
        <w:rPr>
          <w:noProof/>
        </w:rPr>
        <w:t>84</w:t>
      </w:r>
      <w:r w:rsidR="00871DD5">
        <w:t>. Opracowanie s</w:t>
      </w:r>
      <w:r w:rsidR="00871DD5" w:rsidRPr="00F05952">
        <w:t>trategi</w:t>
      </w:r>
      <w:r w:rsidR="00871DD5">
        <w:t>i</w:t>
      </w:r>
      <w:r w:rsidR="00871DD5" w:rsidRPr="00F05952">
        <w:t xml:space="preserve"> biogospodarki</w:t>
      </w:r>
      <w:r>
        <w:fldChar w:fldCharType="end"/>
      </w:r>
    </w:p>
    <w:p w14:paraId="4780BB7A" w14:textId="73C9189F" w:rsidR="00FD411D" w:rsidRDefault="00917318" w:rsidP="00FD411D">
      <w:pPr>
        <w:pStyle w:val="Nagwek3"/>
        <w:rPr>
          <w:color w:val="C00000"/>
        </w:rPr>
      </w:pPr>
      <w:bookmarkStart w:id="593" w:name="_Toc195897353"/>
      <w:bookmarkStart w:id="594" w:name="_Toc195899598"/>
      <w:bookmarkStart w:id="595" w:name="_Toc195897354"/>
      <w:bookmarkStart w:id="596" w:name="_Toc195899599"/>
      <w:bookmarkStart w:id="597" w:name="_Toc159598324"/>
      <w:bookmarkStart w:id="598" w:name="_Toc195897355"/>
      <w:bookmarkStart w:id="599" w:name="_Toc205203207"/>
      <w:bookmarkEnd w:id="593"/>
      <w:bookmarkEnd w:id="594"/>
      <w:bookmarkEnd w:id="595"/>
      <w:bookmarkEnd w:id="596"/>
      <w:r w:rsidRPr="00FD411D">
        <w:rPr>
          <w:color w:val="C00000"/>
        </w:rPr>
        <w:t>P</w:t>
      </w:r>
      <w:r>
        <w:rPr>
          <w:color w:val="C00000"/>
        </w:rPr>
        <w:t>erspektywiczne p</w:t>
      </w:r>
      <w:r w:rsidR="00FD411D" w:rsidRPr="00FD411D">
        <w:rPr>
          <w:color w:val="C00000"/>
        </w:rPr>
        <w:t>okrycie zapotrzebowania na paliwo jądrowe</w:t>
      </w:r>
      <w:bookmarkEnd w:id="597"/>
      <w:bookmarkEnd w:id="598"/>
      <w:bookmarkEnd w:id="599"/>
    </w:p>
    <w:p w14:paraId="1DFA919C" w14:textId="34F04A0B" w:rsidR="00992251" w:rsidRPr="00917318" w:rsidRDefault="00BD6117" w:rsidP="00992251">
      <w:r>
        <w:t xml:space="preserve">W polskim systemie energetycznym nie występują elektrownie jądrowe, ale po uruchomieniu </w:t>
      </w:r>
      <w:r w:rsidRPr="00B62763">
        <w:rPr>
          <w:b/>
          <w:bCs/>
        </w:rPr>
        <w:t>pierwszej wielkoskalowej elektrowni jądrowej</w:t>
      </w:r>
      <w:r>
        <w:t xml:space="preserve"> </w:t>
      </w:r>
      <w:r w:rsidR="00543D24">
        <w:t xml:space="preserve">(po 2035 r.) </w:t>
      </w:r>
      <w:r>
        <w:t xml:space="preserve">realizowanej w ramach </w:t>
      </w:r>
      <w:r w:rsidRPr="00543D24">
        <w:rPr>
          <w:i/>
          <w:iCs/>
        </w:rPr>
        <w:t xml:space="preserve">Programu Polskiej Energetyki Jądrowej </w:t>
      </w:r>
      <w:r>
        <w:t xml:space="preserve">(PPEJ) na Pomorzu oraz pierwszego bloku drugiej siłowni planowanej w ramach programu, łączna moc zainstalowana wielkoskalowych jednostek jądrowych może wynieść w 2040 r. ok. </w:t>
      </w:r>
      <w:r w:rsidR="00AA0175">
        <w:t>3,5</w:t>
      </w:r>
      <w:r>
        <w:t xml:space="preserve"> GW (netto), a po 2040 r. ok.</w:t>
      </w:r>
      <w:r w:rsidR="00083E77">
        <w:t xml:space="preserve"> </w:t>
      </w:r>
      <w:r w:rsidR="00AA0175">
        <w:t>7,7</w:t>
      </w:r>
      <w:r>
        <w:t xml:space="preserve"> GW (dwa kolejne bloki drugiej elektrowni jądrowej w ramach PPEJ). </w:t>
      </w:r>
      <w:r w:rsidR="00D75B7C">
        <w:t>Ponadto</w:t>
      </w:r>
      <w:r w:rsidR="000C0494">
        <w:t> </w:t>
      </w:r>
      <w:r w:rsidR="0060501D">
        <w:t xml:space="preserve">istnieje potencjalne zainteresowanie inwestorskie w zakresie </w:t>
      </w:r>
      <w:r w:rsidR="00D75B7C">
        <w:t xml:space="preserve">budowy małych reaktorów jądrowych (SMR, ang. </w:t>
      </w:r>
      <w:r w:rsidR="00D75B7C" w:rsidRPr="00D75B7C">
        <w:rPr>
          <w:i/>
          <w:iCs/>
        </w:rPr>
        <w:t>small modular reactor</w:t>
      </w:r>
      <w:r w:rsidR="00D74F64">
        <w:rPr>
          <w:i/>
          <w:iCs/>
        </w:rPr>
        <w:t>s</w:t>
      </w:r>
      <w:r w:rsidR="00D75B7C">
        <w:t>)</w:t>
      </w:r>
      <w:r w:rsidR="001B132F">
        <w:t>, niemniej</w:t>
      </w:r>
      <w:r w:rsidR="00833734">
        <w:t xml:space="preserve"> przy zauważaln</w:t>
      </w:r>
      <w:r w:rsidR="001B198E">
        <w:t>ej niepewności wdrożeniowej</w:t>
      </w:r>
      <w:r w:rsidR="00D75B7C">
        <w:t xml:space="preserve">. </w:t>
      </w:r>
      <w:r w:rsidR="00D75B7C">
        <w:lastRenderedPageBreak/>
        <w:t>Z</w:t>
      </w:r>
      <w:r w:rsidR="000C0494">
        <w:t> </w:t>
      </w:r>
      <w:r w:rsidR="00D75B7C">
        <w:t xml:space="preserve">tego względu </w:t>
      </w:r>
      <w:r w:rsidR="00992251">
        <w:t>w tej części określone zostało podejście do zapewniania bezpiecznych dostaw paliwa jądrowego, ale także odniesienie do krajowych zasobów złóż uranu</w:t>
      </w:r>
      <w:r>
        <w:t>.</w:t>
      </w:r>
    </w:p>
    <w:p w14:paraId="151D207B" w14:textId="580ABACB" w:rsidR="00917318" w:rsidRDefault="00D75B7C" w:rsidP="00917318">
      <w:r>
        <w:t>Zasady funkcjonowania energetyki jądrowej są ściśle wystandaryzowane na arenie międzynarodowej, dlatego ich przestrzeganie jest kluczowym założeniem w obszarze bezpieczeństwa jądrowego.</w:t>
      </w:r>
    </w:p>
    <w:p w14:paraId="2A53F762" w14:textId="476488C6" w:rsidR="00FD411D" w:rsidRDefault="00DC1AB1" w:rsidP="00FD411D">
      <w:pPr>
        <w:pStyle w:val="Nagwek4"/>
        <w:rPr>
          <w:color w:val="C00000"/>
        </w:rPr>
      </w:pPr>
      <w:bookmarkStart w:id="600" w:name="_Toc159598325"/>
      <w:bookmarkStart w:id="601" w:name="_Toc195897356"/>
      <w:bookmarkStart w:id="602" w:name="_Toc205203208"/>
      <w:r>
        <w:rPr>
          <w:color w:val="C00000"/>
        </w:rPr>
        <w:t xml:space="preserve">Zapewnienie </w:t>
      </w:r>
      <w:r w:rsidR="00917318">
        <w:rPr>
          <w:color w:val="C00000"/>
        </w:rPr>
        <w:t xml:space="preserve">bezpiecznych </w:t>
      </w:r>
      <w:r>
        <w:rPr>
          <w:color w:val="C00000"/>
        </w:rPr>
        <w:t>dostaw (importu) paliwa</w:t>
      </w:r>
      <w:r w:rsidR="006322D4">
        <w:rPr>
          <w:color w:val="C00000"/>
        </w:rPr>
        <w:t> </w:t>
      </w:r>
      <w:r>
        <w:rPr>
          <w:color w:val="C00000"/>
        </w:rPr>
        <w:t>jądrowego</w:t>
      </w:r>
      <w:bookmarkEnd w:id="600"/>
      <w:bookmarkEnd w:id="601"/>
      <w:bookmarkEnd w:id="602"/>
    </w:p>
    <w:p w14:paraId="4EF5DFD6" w14:textId="43FEB186" w:rsidR="00583DF8" w:rsidRDefault="00583DF8" w:rsidP="0002312E">
      <w:r w:rsidRPr="00583DF8">
        <w:t>Bezpieczeństwo dostaw paliwa jądrowego zależy od pewności dostaw koncentratu uranowego, dostępu do usług cyklu paliwowego, a także pewności i niezawodności transportu materiałów jądrowych na</w:t>
      </w:r>
      <w:r w:rsidR="009D42AC">
        <w:t> </w:t>
      </w:r>
      <w:r w:rsidRPr="00583DF8">
        <w:t>różnych etapach cyklu paliwowego oraz transportu gotowego paliwa jądrowego. Zasady dotyczące dostaw uranu i usług jądrowego cyklu paliwowego w ramach UE reguluje Traktat EURATOM</w:t>
      </w:r>
      <w:r>
        <w:t>.</w:t>
      </w:r>
    </w:p>
    <w:p w14:paraId="0BDAC7C9" w14:textId="1503A830" w:rsidR="0002312E" w:rsidRDefault="0002312E" w:rsidP="0002312E">
      <w:r w:rsidRPr="0002312E">
        <w:t xml:space="preserve">Złoża rudy uranowej </w:t>
      </w:r>
      <w:r w:rsidR="0037748D">
        <w:t>występują</w:t>
      </w:r>
      <w:r w:rsidRPr="0002312E">
        <w:t xml:space="preserve"> w różnych częściach świata</w:t>
      </w:r>
      <w:r w:rsidR="0037748D">
        <w:t>.</w:t>
      </w:r>
      <w:r w:rsidRPr="0002312E">
        <w:t xml:space="preserve"> Zasadność ekonomiczna eksploatacji złóż uranu zależy głównie od jego ceny rynkowej. Obecnie w związku ze wzrastającym popytem obserwowany jest wzrost cen uranu, co będzie zachęcać firmy wydobywcze do zagospodarowywania nowych złóż. Zgodnie </w:t>
      </w:r>
      <w:r>
        <w:t>z</w:t>
      </w:r>
      <w:r w:rsidRPr="0002312E">
        <w:t xml:space="preserve"> ustaleniami</w:t>
      </w:r>
      <w:r>
        <w:t xml:space="preserve"> przyjętymi w </w:t>
      </w:r>
      <w:r>
        <w:rPr>
          <w:i/>
          <w:iCs/>
        </w:rPr>
        <w:t xml:space="preserve">Programie polskiej energetyki jądrowej </w:t>
      </w:r>
      <w:r>
        <w:t>(</w:t>
      </w:r>
      <w:hyperlink r:id="rId88" w:history="1">
        <w:r w:rsidRPr="0002312E">
          <w:rPr>
            <w:rStyle w:val="Hipercze"/>
          </w:rPr>
          <w:t>link</w:t>
        </w:r>
      </w:hyperlink>
      <w:r>
        <w:t xml:space="preserve">) z 2020 r. </w:t>
      </w:r>
      <w:r w:rsidRPr="0002312E">
        <w:t>uran i paliwo powinny być dostarczane z krajów bezpiecznych, a</w:t>
      </w:r>
      <w:r>
        <w:t> </w:t>
      </w:r>
      <w:r w:rsidRPr="0002312E">
        <w:t xml:space="preserve">w szczególności z krajów UE bądź szerzej z OECD. Kontrakty na dostawy paliwa jądrowego zawierane są przez właścicieli elektrowni </w:t>
      </w:r>
      <w:r w:rsidR="00583DF8">
        <w:t xml:space="preserve">z wyprzedzeniem </w:t>
      </w:r>
      <w:r w:rsidRPr="0002312E">
        <w:t>na okres co najmniej kilkuletni i obejmują wszystkie usługi jądrowego cyklu paliwowego potrzebne do stworzenia produktu końcowego w postaci kaset paliwowych do reaktora. Umowy takie podlegają zgłoszeniu do Agencji Dostaw Euratomu (</w:t>
      </w:r>
      <w:r>
        <w:t xml:space="preserve">ang. </w:t>
      </w:r>
      <w:r w:rsidRPr="0002312E">
        <w:rPr>
          <w:i/>
          <w:iCs/>
        </w:rPr>
        <w:t>Euratom Supply Agency</w:t>
      </w:r>
      <w:r w:rsidRPr="0002312E">
        <w:t>), która posiada instrumenty zabezpieczające kraje członkowskie przed ewentualnymi problemami z</w:t>
      </w:r>
      <w:r>
        <w:t> </w:t>
      </w:r>
      <w:r w:rsidRPr="0002312E">
        <w:t>dostępnością paliwa.</w:t>
      </w:r>
      <w:r w:rsidR="00583DF8">
        <w:t xml:space="preserve"> </w:t>
      </w:r>
    </w:p>
    <w:p w14:paraId="56362A32" w14:textId="299AD73C" w:rsidR="00BD6117" w:rsidRPr="0002312E" w:rsidRDefault="00BD6117" w:rsidP="00BD6117">
      <w:pPr>
        <w:pStyle w:val="Cele"/>
        <w:rPr>
          <w:b/>
          <w:shd w:val="clear" w:color="auto" w:fill="F2F2F2" w:themeFill="background1" w:themeFillShade="F2"/>
        </w:rPr>
      </w:pPr>
      <w:r w:rsidRPr="00B377B2">
        <w:rPr>
          <w:rStyle w:val="CeleZnak"/>
          <w:b/>
        </w:rPr>
        <w:t xml:space="preserve">Polska wyznacza na 2030 r. cel </w:t>
      </w:r>
      <w:r w:rsidRPr="0002312E">
        <w:rPr>
          <w:rStyle w:val="CeleZnak"/>
          <w:b/>
        </w:rPr>
        <w:t xml:space="preserve">w postaci </w:t>
      </w:r>
      <w:r>
        <w:rPr>
          <w:rStyle w:val="CeleZnak"/>
          <w:b/>
        </w:rPr>
        <w:t>zawarcia umowy na</w:t>
      </w:r>
      <w:r w:rsidRPr="0002312E">
        <w:rPr>
          <w:rStyle w:val="CeleZnak"/>
          <w:b/>
        </w:rPr>
        <w:t xml:space="preserve"> dostaw</w:t>
      </w:r>
      <w:r>
        <w:rPr>
          <w:rStyle w:val="CeleZnak"/>
          <w:b/>
        </w:rPr>
        <w:t>ę</w:t>
      </w:r>
      <w:r w:rsidRPr="0002312E">
        <w:rPr>
          <w:rStyle w:val="CeleZnak"/>
          <w:b/>
        </w:rPr>
        <w:t xml:space="preserve"> paliwa </w:t>
      </w:r>
      <w:r>
        <w:rPr>
          <w:rStyle w:val="CeleZnak"/>
          <w:b/>
        </w:rPr>
        <w:t>na potrzeby</w:t>
      </w:r>
      <w:r w:rsidRPr="0002312E">
        <w:rPr>
          <w:rStyle w:val="CeleZnak"/>
          <w:b/>
        </w:rPr>
        <w:t xml:space="preserve"> pierwszego bloku pierwszej polskiej elektrowni jądrowej</w:t>
      </w:r>
      <w:r>
        <w:rPr>
          <w:rStyle w:val="CeleZnak"/>
          <w:b/>
        </w:rPr>
        <w:t>.</w:t>
      </w:r>
    </w:p>
    <w:p w14:paraId="07AD0498" w14:textId="77777777" w:rsidR="00F3711B" w:rsidRDefault="00F3711B" w:rsidP="00F155CB">
      <w:pPr>
        <w:pStyle w:val="PaMs"/>
      </w:pPr>
      <w:r w:rsidRPr="00C46DAA">
        <w:t>POLITYKA</w:t>
      </w:r>
    </w:p>
    <w:p w14:paraId="5A151E64" w14:textId="391937AB" w:rsidR="00583DF8" w:rsidRDefault="00583DF8" w:rsidP="00F3711B">
      <w:r>
        <w:t xml:space="preserve">Mając na względzie </w:t>
      </w:r>
      <w:r w:rsidRPr="00583DF8">
        <w:t>bezpieczeństw</w:t>
      </w:r>
      <w:r>
        <w:t>o</w:t>
      </w:r>
      <w:r w:rsidRPr="00583DF8">
        <w:t xml:space="preserve"> energetyczne </w:t>
      </w:r>
      <w:r>
        <w:t xml:space="preserve">będzie się dążyć do tworzenia </w:t>
      </w:r>
      <w:r w:rsidRPr="00583DF8">
        <w:t>wieloletnich zapasów paliwa jądrowego</w:t>
      </w:r>
      <w:r>
        <w:t xml:space="preserve">. Gromadzenie </w:t>
      </w:r>
      <w:r w:rsidRPr="00583DF8">
        <w:t>kilkuletniego zapasu</w:t>
      </w:r>
      <w:r>
        <w:t xml:space="preserve"> tego paliwa jest stosunkowe łatwe do realizacji, ze</w:t>
      </w:r>
      <w:r w:rsidR="009D42AC">
        <w:t> </w:t>
      </w:r>
      <w:r>
        <w:t>względu na jego specyfikę.</w:t>
      </w:r>
    </w:p>
    <w:p w14:paraId="725BDDDA" w14:textId="3518D08C" w:rsidR="004627A2" w:rsidRPr="009839F3" w:rsidRDefault="004627A2" w:rsidP="004627A2">
      <w:r>
        <w:t xml:space="preserve">Zakup usług fabrykacji (produkcji gotowych kaset paliwowych) do elektrowni jądrowych w pierwszej fazie funkcjonowania polskiej energetyki jądrowej (np. dla pierwszego i drugiego wsadu paliwa) będzie związany z zakupem konkretnej technologii. Stosowaną na świecie praktyką jest zapewnianie przez dostawcę technologii również dostawy usług fabrykacji w ciągu pierwszych kilku lat pracy reaktora (i potencjalnie w ciągu kolejnych lat) oraz dostęp do danych w celu fabrykacji paliwa przez strony trzecie </w:t>
      </w:r>
      <w:r w:rsidRPr="009839F3">
        <w:t xml:space="preserve">(w celu uniknięcia praktyk monopolistycznych). </w:t>
      </w:r>
    </w:p>
    <w:p w14:paraId="7A1E1265" w14:textId="67593AC7" w:rsidR="00F3711B" w:rsidRPr="009839F3" w:rsidRDefault="004627A2" w:rsidP="004627A2">
      <w:r w:rsidRPr="009839F3">
        <w:t>Polska będzie dążyła do zapewnienia możliwości dostaw uranu i paliwa z krajów bezpiecznych, a w szczególności z krajów UE bądź szerzej OECD.</w:t>
      </w:r>
    </w:p>
    <w:p w14:paraId="6EB494FD" w14:textId="77777777" w:rsidR="00F3711B" w:rsidRPr="00C46DAA" w:rsidRDefault="00F3711B" w:rsidP="00F155CB">
      <w:pPr>
        <w:pStyle w:val="PaMs"/>
      </w:pPr>
      <w:r w:rsidRPr="00C46DAA">
        <w:t>DZIAŁANIA</w:t>
      </w:r>
    </w:p>
    <w:p w14:paraId="40944884" w14:textId="65B0002E" w:rsidR="0016533D" w:rsidRPr="00CA0E0F" w:rsidRDefault="00A632AC" w:rsidP="003530A9">
      <w:pPr>
        <w:pStyle w:val="Akapitzlist"/>
        <w:numPr>
          <w:ilvl w:val="0"/>
          <w:numId w:val="3"/>
        </w:numPr>
      </w:pPr>
      <w:r>
        <w:fldChar w:fldCharType="begin"/>
      </w:r>
      <w:r>
        <w:instrText xml:space="preserve"> REF _Ref197523309 \h </w:instrText>
      </w:r>
      <w:r>
        <w:fldChar w:fldCharType="separate"/>
      </w:r>
      <w:r w:rsidR="00871DD5">
        <w:t xml:space="preserve">Działanie </w:t>
      </w:r>
      <w:r w:rsidR="00871DD5">
        <w:rPr>
          <w:noProof/>
        </w:rPr>
        <w:t>21</w:t>
      </w:r>
      <w:r w:rsidR="00871DD5">
        <w:t xml:space="preserve">. </w:t>
      </w:r>
      <w:r w:rsidR="00871DD5" w:rsidRPr="00E34034">
        <w:t>Wdrożenie energetyki jądrowej</w:t>
      </w:r>
      <w:r>
        <w:fldChar w:fldCharType="end"/>
      </w:r>
    </w:p>
    <w:p w14:paraId="595BA27C" w14:textId="4C0DC664" w:rsidR="00AE5592" w:rsidRPr="00AE5592" w:rsidRDefault="00AE5592" w:rsidP="00AE5592">
      <w:pPr>
        <w:pStyle w:val="Nagwek4"/>
        <w:rPr>
          <w:color w:val="C00000"/>
        </w:rPr>
      </w:pPr>
      <w:bookmarkStart w:id="603" w:name="_Toc159598326"/>
      <w:bookmarkStart w:id="604" w:name="_Toc195897357"/>
      <w:bookmarkStart w:id="605" w:name="_Toc205203209"/>
      <w:r w:rsidRPr="00AE5592">
        <w:rPr>
          <w:color w:val="C00000"/>
        </w:rPr>
        <w:lastRenderedPageBreak/>
        <w:t>Inwentaryzacja krajowych złóż uranu</w:t>
      </w:r>
      <w:bookmarkEnd w:id="603"/>
      <w:bookmarkEnd w:id="604"/>
      <w:bookmarkEnd w:id="605"/>
    </w:p>
    <w:p w14:paraId="3F053E3D" w14:textId="3655755A" w:rsidR="007F4F00" w:rsidRDefault="007F4F00" w:rsidP="007F4F00">
      <w:pPr>
        <w:rPr>
          <w:rFonts w:ascii="Calibri" w:hAnsi="Calibri"/>
          <w:sz w:val="22"/>
        </w:rPr>
      </w:pPr>
      <w:bookmarkStart w:id="606" w:name="_Hlk178877344"/>
      <w:r>
        <w:t xml:space="preserve">Z dotychczasowych analiz wynika, że Polska nie posiada </w:t>
      </w:r>
      <w:r w:rsidRPr="00D5714C">
        <w:rPr>
          <w:u w:val="single"/>
        </w:rPr>
        <w:t>przemysłowych</w:t>
      </w:r>
      <w:r>
        <w:t xml:space="preserve"> ilości uranu ze złóż konwencjonalnych, jednakże istnieje potencjał złóż niekonwencjonalnych. Zalicza się do nich m.in. uran współwystępujący w popiołach, fosforytach, czy w złożach miedzi, który traktowany jest jako odpad przemysłu miedziowego (</w:t>
      </w:r>
      <w:r w:rsidRPr="0036398B">
        <w:t>w rejonie Lubina–Sieroszowic</w:t>
      </w:r>
      <w:r>
        <w:t>)</w:t>
      </w:r>
      <w:r w:rsidRPr="0036398B">
        <w:t>.</w:t>
      </w:r>
    </w:p>
    <w:p w14:paraId="458DCA21" w14:textId="65840CA1" w:rsidR="007F4F00" w:rsidRDefault="007F4F00" w:rsidP="007F4F00">
      <w:r w:rsidRPr="007F4F00">
        <w:t>Ich eksploatacja wymagałaby przeprowadzenia szczegółowej inwentaryzacji złóż niekonwencjonalnych, a w przyszłości w miarę wzrostu cen uranu, analiz techniczno-ekonomicznych możliwości ich wykorzystania dla potrzeb przemysłu krajowego, w tym energetyki jądrowej.</w:t>
      </w:r>
    </w:p>
    <w:bookmarkEnd w:id="606"/>
    <w:p w14:paraId="4F29621F" w14:textId="77777777" w:rsidR="007F4F00" w:rsidRDefault="007F4F00" w:rsidP="007F4F00">
      <w:pPr>
        <w:pStyle w:val="PaMs"/>
      </w:pPr>
      <w:r w:rsidRPr="00C46DAA">
        <w:t>POLITYKA</w:t>
      </w:r>
    </w:p>
    <w:p w14:paraId="01A630EF" w14:textId="7CFEC980" w:rsidR="007F4F00" w:rsidRDefault="007F4F00" w:rsidP="007F4F00">
      <w:r w:rsidRPr="004627A2">
        <w:t xml:space="preserve">Polska posiada </w:t>
      </w:r>
      <w:r w:rsidR="0037748D">
        <w:t>zasoby</w:t>
      </w:r>
      <w:r w:rsidR="0037748D" w:rsidRPr="004627A2">
        <w:t xml:space="preserve"> </w:t>
      </w:r>
      <w:r w:rsidRPr="004627A2">
        <w:t>uranu, zarówno konwencjonalne, jak i niekonwencjonalne. Obecnie wydobycie w</w:t>
      </w:r>
      <w:r>
        <w:t> </w:t>
      </w:r>
      <w:r w:rsidRPr="004627A2">
        <w:t xml:space="preserve">Polsce uranu ze względu m.in. na jego </w:t>
      </w:r>
      <w:r w:rsidR="0037748D">
        <w:t>zawartość (skład procentowy),</w:t>
      </w:r>
      <w:r w:rsidRPr="004627A2">
        <w:t xml:space="preserve"> nierównomierne rozłożenie w</w:t>
      </w:r>
      <w:r w:rsidR="00974007">
        <w:t xml:space="preserve">  </w:t>
      </w:r>
      <w:r w:rsidRPr="004627A2">
        <w:t>złożach i wielkość złóż byłoby nieopłacalne. Natomiast krajowe zasoby uranu stanowią potencjał, który może być wykorzystywany</w:t>
      </w:r>
      <w:r w:rsidR="0037748D" w:rsidRPr="0037748D">
        <w:t xml:space="preserve"> </w:t>
      </w:r>
      <w:r w:rsidR="0037748D" w:rsidRPr="004627A2">
        <w:t>w przyszłości</w:t>
      </w:r>
      <w:r>
        <w:t xml:space="preserve">. </w:t>
      </w:r>
    </w:p>
    <w:p w14:paraId="5FAFE2FD" w14:textId="628FCB1E" w:rsidR="007F4F00" w:rsidRDefault="007F4F00" w:rsidP="007F4F00">
      <w:r w:rsidRPr="00B021CC">
        <w:t>Do 2030 r. przeprowadzone zostanie rozpoznani</w:t>
      </w:r>
      <w:r>
        <w:t>e</w:t>
      </w:r>
      <w:r w:rsidRPr="00B021CC">
        <w:t xml:space="preserve"> wielkości potencjalnych złóż uranu, szczególnie niekonwencjonalnych oraz ocenę możliwości jego pozyskania, w tym możliwość komercjalizacji wykorzystania uranu do produkcji paliwa jądrowego dla polskich elektrowni jądrowych.</w:t>
      </w:r>
      <w:r>
        <w:t xml:space="preserve"> </w:t>
      </w:r>
    </w:p>
    <w:p w14:paraId="79A3FD84" w14:textId="77777777" w:rsidR="007D1651" w:rsidRDefault="007D1651" w:rsidP="007D1651">
      <w:pPr>
        <w:pStyle w:val="PaMs"/>
      </w:pPr>
      <w:r>
        <w:t>DZIAŁANIA</w:t>
      </w:r>
    </w:p>
    <w:p w14:paraId="713F7B91" w14:textId="682230F9" w:rsidR="007D1651" w:rsidRDefault="007D1651" w:rsidP="000625AC">
      <w:pPr>
        <w:pStyle w:val="Akapitzlist"/>
        <w:numPr>
          <w:ilvl w:val="0"/>
          <w:numId w:val="170"/>
        </w:numPr>
      </w:pPr>
      <w:r>
        <w:fldChar w:fldCharType="begin"/>
      </w:r>
      <w:r>
        <w:instrText xml:space="preserve"> REF _Ref198288545 \h </w:instrText>
      </w:r>
      <w:r>
        <w:fldChar w:fldCharType="separate"/>
      </w:r>
      <w:r w:rsidR="00871DD5">
        <w:t xml:space="preserve">Działanie </w:t>
      </w:r>
      <w:r w:rsidR="00871DD5">
        <w:rPr>
          <w:noProof/>
        </w:rPr>
        <w:t>21</w:t>
      </w:r>
      <w:r w:rsidR="00871DD5">
        <w:t xml:space="preserve">. </w:t>
      </w:r>
      <w:r w:rsidR="00871DD5" w:rsidRPr="00E34034">
        <w:t>Wdrożenie energetyki jądrowej</w:t>
      </w:r>
      <w:r>
        <w:fldChar w:fldCharType="end"/>
      </w:r>
    </w:p>
    <w:p w14:paraId="05A19D59" w14:textId="01555CD2" w:rsidR="00471A6A" w:rsidRPr="00925327" w:rsidRDefault="00471A6A" w:rsidP="00815F85">
      <w:pPr>
        <w:pStyle w:val="Nagwek3"/>
        <w:rPr>
          <w:color w:val="C00000"/>
        </w:rPr>
      </w:pPr>
      <w:bookmarkStart w:id="607" w:name="_Toc195897358"/>
      <w:bookmarkStart w:id="608" w:name="_Toc195899603"/>
      <w:bookmarkStart w:id="609" w:name="_Toc159598331"/>
      <w:bookmarkStart w:id="610" w:name="_Ref191391295"/>
      <w:bookmarkStart w:id="611" w:name="_Ref191391308"/>
      <w:bookmarkStart w:id="612" w:name="_Toc195897359"/>
      <w:bookmarkStart w:id="613" w:name="_Toc205203210"/>
      <w:bookmarkEnd w:id="607"/>
      <w:bookmarkEnd w:id="608"/>
      <w:r>
        <w:rPr>
          <w:color w:val="C00000"/>
        </w:rPr>
        <w:t>P</w:t>
      </w:r>
      <w:r w:rsidR="008A46D0">
        <w:rPr>
          <w:color w:val="C00000"/>
        </w:rPr>
        <w:t>okrycie</w:t>
      </w:r>
      <w:r>
        <w:rPr>
          <w:color w:val="C00000"/>
        </w:rPr>
        <w:t xml:space="preserve"> zapotrzebowania na</w:t>
      </w:r>
      <w:r w:rsidR="000C0494">
        <w:rPr>
          <w:color w:val="C00000"/>
        </w:rPr>
        <w:t> </w:t>
      </w:r>
      <w:r>
        <w:rPr>
          <w:color w:val="C00000"/>
        </w:rPr>
        <w:t>energię</w:t>
      </w:r>
      <w:r w:rsidR="008A46D0">
        <w:rPr>
          <w:color w:val="C00000"/>
        </w:rPr>
        <w:t> </w:t>
      </w:r>
      <w:r w:rsidRPr="00925327">
        <w:rPr>
          <w:color w:val="C00000"/>
        </w:rPr>
        <w:t>elektr</w:t>
      </w:r>
      <w:r w:rsidR="00013573">
        <w:rPr>
          <w:color w:val="C00000"/>
        </w:rPr>
        <w:t>yczną</w:t>
      </w:r>
      <w:bookmarkEnd w:id="609"/>
      <w:bookmarkEnd w:id="610"/>
      <w:bookmarkEnd w:id="611"/>
      <w:bookmarkEnd w:id="612"/>
      <w:bookmarkEnd w:id="613"/>
    </w:p>
    <w:p w14:paraId="2C69D858" w14:textId="2D160ABA" w:rsidR="008173D7" w:rsidRDefault="008173D7" w:rsidP="008173D7">
      <w:r>
        <w:t>Pokrycie zapotrzebowania na energię elektryczną warunkuje funkcjonowanie gospodarki, a </w:t>
      </w:r>
      <w:r w:rsidR="00783DD8">
        <w:t xml:space="preserve">– </w:t>
      </w:r>
      <w:r>
        <w:t>odmiennie w</w:t>
      </w:r>
      <w:r w:rsidR="00783DD8">
        <w:t> </w:t>
      </w:r>
      <w:r>
        <w:t>stosunku do paliw</w:t>
      </w:r>
      <w:r w:rsidR="00783DD8">
        <w:t xml:space="preserve"> –</w:t>
      </w:r>
      <w:r>
        <w:t xml:space="preserve"> jej magazynowanie ma ograniczony charakter, dlatego bezpieczeństwo elektroenergetyczne wydaje się </w:t>
      </w:r>
      <w:r w:rsidR="008B58DE">
        <w:t xml:space="preserve">najbardziej wrażliwym elementem </w:t>
      </w:r>
      <w:r>
        <w:t xml:space="preserve">bezpieczeństwa energetycznego. </w:t>
      </w:r>
    </w:p>
    <w:p w14:paraId="739D79CA" w14:textId="3D8353E4" w:rsidR="008173D7" w:rsidRDefault="008173D7" w:rsidP="008173D7">
      <w:r>
        <w:t xml:space="preserve">Na pewność dostaw energii elektrycznej składa się wiele elementów. Pierwszym jest zapewnienie surowców do wytwarzania energii, o czym mowa na wcześniejszych stronach tego dokumentu. Następnie pewność wytwarzania energii – w tym obszarze nastąpiła istotna zmiana w ostatniej dekadzie, ze względu na sukcesywny przyrost mocy OZE zależnych od warunków atmosferycznych. Paradygmat wystarczającej ilości mocy dyspozycyjnych (dotychczas moce węglowe) musiał zostać uzupełniony o konieczność zapewnienia części mocy elastycznych (takich jak moce gazowe), jak również innych rozwiązań umożliwiających pokrycie zapotrzebowania na moc. Kolejnym komponentem bezpieczeństwa elektroenergetycznego jest odpowiednio rozbudowana i właściwie zarządzana infrastruktura przesyłowa i dystrybucyjna. </w:t>
      </w:r>
      <w:r w:rsidR="00791630">
        <w:t>Duże znaczenie m</w:t>
      </w:r>
      <w:r w:rsidR="00EA124E">
        <w:t xml:space="preserve">a także coraz głębsza zmiana </w:t>
      </w:r>
      <w:r w:rsidR="0028654B">
        <w:t>od sce</w:t>
      </w:r>
      <w:r w:rsidR="002F542C">
        <w:t>ntralizowanego do</w:t>
      </w:r>
      <w:r w:rsidR="00EA124E">
        <w:t xml:space="preserve"> rozprosz</w:t>
      </w:r>
      <w:r w:rsidR="002F542C">
        <w:t xml:space="preserve">onego </w:t>
      </w:r>
      <w:r w:rsidR="00111808">
        <w:t xml:space="preserve">sposobu </w:t>
      </w:r>
      <w:r w:rsidR="00EA124E">
        <w:t>wytwarzania energii</w:t>
      </w:r>
      <w:r w:rsidR="002F542C">
        <w:t xml:space="preserve"> </w:t>
      </w:r>
      <w:r w:rsidR="00111808">
        <w:t xml:space="preserve">w mniejszych </w:t>
      </w:r>
      <w:r w:rsidR="00207C08">
        <w:t xml:space="preserve">jednostkach oraz </w:t>
      </w:r>
      <w:r w:rsidR="0018728E">
        <w:t xml:space="preserve">przez </w:t>
      </w:r>
      <w:r w:rsidR="006A5B40">
        <w:t xml:space="preserve">gospodarstwa domowe </w:t>
      </w:r>
      <w:r w:rsidR="00716FC4">
        <w:t>i podmioty</w:t>
      </w:r>
      <w:r w:rsidR="00207C08">
        <w:t>, których gł</w:t>
      </w:r>
      <w:r w:rsidR="006A5B40">
        <w:t>ó</w:t>
      </w:r>
      <w:r w:rsidR="00207C08">
        <w:t>wną działalnością nie jest wytwarzanie en</w:t>
      </w:r>
      <w:r w:rsidR="006A5B40">
        <w:t>e</w:t>
      </w:r>
      <w:r w:rsidR="00207C08">
        <w:t>rgii</w:t>
      </w:r>
      <w:r w:rsidR="008A2989">
        <w:t xml:space="preserve"> </w:t>
      </w:r>
      <w:r w:rsidR="00531A00">
        <w:t xml:space="preserve">np. </w:t>
      </w:r>
      <w:r w:rsidR="008A2989">
        <w:t>społeczności energetyczne</w:t>
      </w:r>
      <w:r w:rsidR="00531A00">
        <w:t xml:space="preserve">. </w:t>
      </w:r>
      <w:r w:rsidR="008B58DE" w:rsidRPr="00F268EE">
        <w:t>Coraz częstsze sytuacje wymagające interwencji wymagają odpowiedniego przygotowania oraz opracowania rozwiązań, które zredukują ich skutki</w:t>
      </w:r>
      <w:r w:rsidR="008B58DE">
        <w:t>.</w:t>
      </w:r>
      <w:r>
        <w:t xml:space="preserve"> </w:t>
      </w:r>
    </w:p>
    <w:p w14:paraId="7B5621B5" w14:textId="1E537A42" w:rsidR="008173D7" w:rsidRDefault="008173D7" w:rsidP="008173D7">
      <w:r>
        <w:t xml:space="preserve">Wszystkie wymienione powyżej elementy zostały ujęte poniżej w formie celów. Część zagadnień związanych z </w:t>
      </w:r>
      <w:r w:rsidR="00456285">
        <w:t>wymianą</w:t>
      </w:r>
      <w:r w:rsidR="00901880">
        <w:t xml:space="preserve"> </w:t>
      </w:r>
      <w:r w:rsidR="00456285">
        <w:t>międzysystemo</w:t>
      </w:r>
      <w:r w:rsidR="006F1C06">
        <w:t>w</w:t>
      </w:r>
      <w:r w:rsidR="002B1F7C">
        <w:t>ą</w:t>
      </w:r>
      <w:r>
        <w:t xml:space="preserve"> zostały omówione również w 4. wymiarze, w</w:t>
      </w:r>
      <w:r w:rsidR="00456285">
        <w:t xml:space="preserve"> </w:t>
      </w:r>
      <w:r w:rsidR="00456285">
        <w:fldChar w:fldCharType="begin"/>
      </w:r>
      <w:r w:rsidR="00456285">
        <w:instrText xml:space="preserve"> REF _Ref191988639 \r \h </w:instrText>
      </w:r>
      <w:r w:rsidR="00456285">
        <w:fldChar w:fldCharType="separate"/>
      </w:r>
      <w:r w:rsidR="00871DD5">
        <w:t>Cel 4.1.1</w:t>
      </w:r>
      <w:r w:rsidR="00456285">
        <w:fldChar w:fldCharType="end"/>
      </w:r>
      <w:r w:rsidR="00456285">
        <w:t>,</w:t>
      </w:r>
      <w:r>
        <w:t xml:space="preserve"> </w:t>
      </w:r>
      <w:r w:rsidR="00456285">
        <w:t>a</w:t>
      </w:r>
      <w:r w:rsidR="000730A0">
        <w:t> </w:t>
      </w:r>
      <w:r w:rsidR="00134BE3">
        <w:t>z</w:t>
      </w:r>
      <w:r>
        <w:t xml:space="preserve">agadnienia związane z redukcją emisji </w:t>
      </w:r>
      <w:r w:rsidR="00AD0FB0">
        <w:t>GHG</w:t>
      </w:r>
      <w:r>
        <w:t xml:space="preserve"> z sektora oraz rozwoju OZE w sektorze zostały omówione </w:t>
      </w:r>
      <w:r w:rsidR="00C44E99">
        <w:lastRenderedPageBreak/>
        <w:t>w</w:t>
      </w:r>
      <w:r w:rsidR="00134BE3">
        <w:t> </w:t>
      </w:r>
      <w:r w:rsidR="001B6DBE">
        <w:t>części</w:t>
      </w:r>
      <w:r w:rsidR="00901681">
        <w:t xml:space="preserve"> </w:t>
      </w:r>
      <w:r w:rsidR="006C28BD">
        <w:fldChar w:fldCharType="begin"/>
      </w:r>
      <w:r w:rsidR="006C28BD">
        <w:instrText xml:space="preserve"> REF _Ref195891929 \n \h </w:instrText>
      </w:r>
      <w:r w:rsidR="006C28BD">
        <w:fldChar w:fldCharType="separate"/>
      </w:r>
      <w:r w:rsidR="00871DD5">
        <w:t>Cel 1.2.1</w:t>
      </w:r>
      <w:r w:rsidR="006C28BD">
        <w:fldChar w:fldCharType="end"/>
      </w:r>
      <w:r>
        <w:t>.</w:t>
      </w:r>
      <w:r w:rsidR="00AD258A" w:rsidRPr="00AD258A">
        <w:t xml:space="preserve"> </w:t>
      </w:r>
      <w:r w:rsidR="00901681" w:rsidRPr="00901681">
        <w:t xml:space="preserve">Na </w:t>
      </w:r>
      <w:r w:rsidR="00B139B1">
        <w:t>rysunkach poniżej</w:t>
      </w:r>
      <w:r w:rsidR="00901681">
        <w:t xml:space="preserve"> przedstawiono strukturę mocy zainstalowanej i produkcji energii eklektycznej w perspektywie 2040 r. </w:t>
      </w:r>
      <w:r w:rsidR="00B139B1">
        <w:t>według scenariusza WAM.</w:t>
      </w:r>
      <w:r w:rsidR="00B139B1" w:rsidRPr="00B139B1">
        <w:rPr>
          <w:rStyle w:val="odesaniedozaZnak"/>
        </w:rPr>
        <w:t xml:space="preserve"> Szczegółowy opis struktury produkcji i</w:t>
      </w:r>
      <w:r w:rsidR="003B3E09">
        <w:rPr>
          <w:rStyle w:val="odesaniedozaZnak"/>
        </w:rPr>
        <w:t> </w:t>
      </w:r>
      <w:r w:rsidR="00B139B1" w:rsidRPr="00B139B1">
        <w:rPr>
          <w:rStyle w:val="odesaniedozaZnak"/>
        </w:rPr>
        <w:t>mocy znajduje się w rozdziałach 3.7 i 3.8 załącznika 1 do KPEiK.</w:t>
      </w:r>
    </w:p>
    <w:p w14:paraId="71415C7F" w14:textId="77777777" w:rsidR="00543D24" w:rsidRPr="00506275" w:rsidRDefault="00543D24" w:rsidP="00543D24">
      <w:pPr>
        <w:pStyle w:val="Nagwek4"/>
        <w:rPr>
          <w:color w:val="C00000"/>
        </w:rPr>
      </w:pPr>
      <w:bookmarkStart w:id="614" w:name="_Ref198288868"/>
      <w:bookmarkStart w:id="615" w:name="_Toc205203211"/>
      <w:r w:rsidRPr="00506275">
        <w:rPr>
          <w:color w:val="C00000"/>
        </w:rPr>
        <w:t>Zapewnienie wystarczalności mocy</w:t>
      </w:r>
      <w:bookmarkEnd w:id="614"/>
      <w:bookmarkEnd w:id="615"/>
    </w:p>
    <w:p w14:paraId="73866FD7" w14:textId="77777777" w:rsidR="00543D24" w:rsidRPr="006464F9" w:rsidRDefault="00543D24" w:rsidP="00543D24">
      <w:pPr>
        <w:rPr>
          <w:i/>
          <w:iCs/>
        </w:rPr>
      </w:pPr>
      <w:r w:rsidRPr="006464F9">
        <w:rPr>
          <w:i/>
          <w:iCs/>
        </w:rPr>
        <w:t xml:space="preserve">Wprowadzenie do celu związanego z zapewnieniem wystarczalności mocy stanowi opis towarzyszący celowi 1.2.1., w którym omówiono cel w zakresie redukcji emisji </w:t>
      </w:r>
      <w:r>
        <w:rPr>
          <w:i/>
          <w:iCs/>
        </w:rPr>
        <w:t>GHG</w:t>
      </w:r>
      <w:r w:rsidRPr="006464F9">
        <w:rPr>
          <w:i/>
          <w:iCs/>
        </w:rPr>
        <w:t xml:space="preserve"> w sektorze elektroenergetycznym w świetle zmian</w:t>
      </w:r>
      <w:r>
        <w:rPr>
          <w:i/>
          <w:iCs/>
        </w:rPr>
        <w:t>,</w:t>
      </w:r>
      <w:r w:rsidRPr="006464F9">
        <w:rPr>
          <w:i/>
          <w:iCs/>
        </w:rPr>
        <w:t xml:space="preserve"> jakie zaszły w sektorze w ostatnich latach.</w:t>
      </w:r>
    </w:p>
    <w:p w14:paraId="077D871E" w14:textId="0FD0F77A" w:rsidR="00543D24" w:rsidRDefault="00543D24" w:rsidP="00543D24">
      <w:r>
        <w:t xml:space="preserve">Przyrost wykorzystania energii z OZE jest niezwykle potrzebny w kontekście dekarbonizacji sektora elektroenergetycznego, ale najtańsze, najpopularniejsze i niemal nieposiadające kosztów zmiennych OZE, oparte o energię słońca i wiatru nie mogą być uwzględniane jako źródła gwarantujące pewność dostaw. Zasadny jest równoległy rozwój </w:t>
      </w:r>
      <w:r w:rsidRPr="00C32083">
        <w:t>stabilnych i sterowalnych jednostek wytwórczych OZE niezależnych pogodowo</w:t>
      </w:r>
      <w:r>
        <w:t xml:space="preserve">, przy jednoczesnym </w:t>
      </w:r>
      <w:r w:rsidRPr="00C32083">
        <w:t>prom</w:t>
      </w:r>
      <w:r>
        <w:t xml:space="preserve">owaniu rozwiązań ukierunkowanych na </w:t>
      </w:r>
      <w:r w:rsidRPr="00C32083">
        <w:t>bieżącą i lokalną autokonsumpcję energii</w:t>
      </w:r>
      <w:r>
        <w:t>, takich jak różnego rodzaju magazyny energii</w:t>
      </w:r>
      <w:r w:rsidRPr="00C32083">
        <w:t>.</w:t>
      </w:r>
    </w:p>
    <w:p w14:paraId="75B52EAF" w14:textId="5E2EBA4A" w:rsidR="00543D24" w:rsidRDefault="00543D24" w:rsidP="00543D24">
      <w:r w:rsidRPr="006464F9">
        <w:rPr>
          <w:b/>
          <w:bCs/>
        </w:rPr>
        <w:t>Jednostki węglowe</w:t>
      </w:r>
      <w:r>
        <w:t>, stanowiące przez dekady podstawę produkcji energii elektrycznej w Polsce, w</w:t>
      </w:r>
      <w:r w:rsidR="006F348E">
        <w:t> </w:t>
      </w:r>
      <w:r>
        <w:t xml:space="preserve">ostatnich latach zmieniają swoją rolę w kierunku uzupełniania dobowego bilansu elektroenergetycznego – ponad to, co wytwarzają OZE zależne od warunków atmosferycznych. Sukcesywnie jednostki te są odstawiane, z uwzględnieniem potrzeb systemu w zakresie ilości mocy dyspozycyjnych w systemie. </w:t>
      </w:r>
    </w:p>
    <w:p w14:paraId="0628267A" w14:textId="41AD89FD" w:rsidR="00B139B1" w:rsidRDefault="00543D24" w:rsidP="008173D7">
      <w:r>
        <w:t xml:space="preserve">W celu zapewnienia wystarczalności mocy, a jednocześnie zapewnienia większej elastyczności systemu, w ostatnich latach powstało </w:t>
      </w:r>
      <w:r w:rsidRPr="00134BE3">
        <w:t>ok. 2 GW</w:t>
      </w:r>
      <w:r>
        <w:t xml:space="preserve"> nowych </w:t>
      </w:r>
      <w:r w:rsidRPr="006464F9">
        <w:rPr>
          <w:b/>
          <w:bCs/>
        </w:rPr>
        <w:t>mocy gazowych</w:t>
      </w:r>
      <w:r>
        <w:t>, a do ok. 4,4 GW kolejnych mocy gazowych może powstać w wyniku realizacji kontraktów zawartych w dotychczasowych aukcjach mocy. W wyniku kryzysu energetycznego w 2021 i 2022 r., niektóre z planowanych wcześniej projektów zostały poddane ponownej analizie pod względem możliwości zastąpienia innowacyjnymi rozwiązaniami. Niemniej w najbliższej perspektywie czasowej co najmniej część z tych inwestycji jest niezbędnych. Co</w:t>
      </w:r>
      <w:r w:rsidR="00B44DD0">
        <w:t> </w:t>
      </w:r>
      <w:r>
        <w:t>ważne, jednostki gazowe będą mogły wykorzystywać w przyszłości biometan, a także wodór.</w:t>
      </w:r>
    </w:p>
    <w:p w14:paraId="436F96F2" w14:textId="77777777" w:rsidR="006C28BD" w:rsidRDefault="006C28BD" w:rsidP="008173D7"/>
    <w:p w14:paraId="10A1CB42" w14:textId="558524F1" w:rsidR="00065586" w:rsidRDefault="003F5F13" w:rsidP="00065586">
      <w:pPr>
        <w:pStyle w:val="tyturys"/>
        <w:jc w:val="both"/>
      </w:pPr>
      <w:r>
        <w:rPr>
          <w:noProof/>
          <w:lang w:eastAsia="pl-PL"/>
        </w:rPr>
        <w:drawing>
          <wp:inline distT="0" distB="0" distL="0" distR="0" wp14:anchorId="74AE9041" wp14:editId="5681E07C">
            <wp:extent cx="5962650" cy="3190875"/>
            <wp:effectExtent l="0" t="0" r="0" b="0"/>
            <wp:docPr id="1048113127" name="Wykres 1">
              <a:extLst xmlns:a="http://schemas.openxmlformats.org/drawingml/2006/main">
                <a:ext uri="{FF2B5EF4-FFF2-40B4-BE49-F238E27FC236}">
                  <a16:creationId xmlns:a16="http://schemas.microsoft.com/office/drawing/2014/main" id="{C0D4F9D7-D4B1-4A50-853B-150A70EAB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C8802B2" w14:textId="3FD95C43" w:rsidR="00065586" w:rsidRDefault="00065586" w:rsidP="00065586">
      <w:pPr>
        <w:pStyle w:val="Legenda"/>
      </w:pPr>
      <w:bookmarkStart w:id="616" w:name="_Ref203473763"/>
      <w:bookmarkStart w:id="617" w:name="_Toc205204454"/>
      <w:r>
        <w:t xml:space="preserve">Wykres </w:t>
      </w:r>
      <w:fldSimple w:instr=" SEQ Wykres \* ARABIC ">
        <w:r w:rsidR="00871DD5">
          <w:rPr>
            <w:noProof/>
          </w:rPr>
          <w:t>16</w:t>
        </w:r>
      </w:fldSimple>
      <w:bookmarkEnd w:id="616"/>
      <w:r>
        <w:t>. Prognoza mocy osiągalnej netto wytwarzania energii elektrycznej</w:t>
      </w:r>
      <w:bookmarkEnd w:id="617"/>
    </w:p>
    <w:p w14:paraId="1EFBCA73" w14:textId="56F33F04" w:rsidR="00CB5088" w:rsidRDefault="00C54922" w:rsidP="00EB2A7A">
      <w:pPr>
        <w:pStyle w:val="tyturys"/>
        <w:jc w:val="both"/>
      </w:pPr>
      <w:r>
        <w:rPr>
          <w:noProof/>
          <w:lang w:eastAsia="pl-PL"/>
        </w:rPr>
        <w:lastRenderedPageBreak/>
        <w:drawing>
          <wp:inline distT="0" distB="0" distL="0" distR="0" wp14:anchorId="4CC560B5" wp14:editId="3EA92A03">
            <wp:extent cx="5760720" cy="3082813"/>
            <wp:effectExtent l="0" t="0" r="0" b="3810"/>
            <wp:docPr id="184364844" name="Wykres 1">
              <a:extLst xmlns:a="http://schemas.openxmlformats.org/drawingml/2006/main">
                <a:ext uri="{FF2B5EF4-FFF2-40B4-BE49-F238E27FC236}">
                  <a16:creationId xmlns:a16="http://schemas.microsoft.com/office/drawing/2014/main" id="{C0D4F9D7-D4B1-4A50-853B-150A70EAB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5F336187" w14:textId="140578C5" w:rsidR="00B139B1" w:rsidRDefault="00CB5088" w:rsidP="00CB5088">
      <w:pPr>
        <w:pStyle w:val="Legenda"/>
      </w:pPr>
      <w:bookmarkStart w:id="618" w:name="_Ref203473775"/>
      <w:bookmarkStart w:id="619" w:name="_Toc205204455"/>
      <w:r>
        <w:t xml:space="preserve">Wykres </w:t>
      </w:r>
      <w:fldSimple w:instr=" SEQ Wykres \* ARABIC ">
        <w:r w:rsidR="00871DD5">
          <w:rPr>
            <w:noProof/>
          </w:rPr>
          <w:t>17</w:t>
        </w:r>
      </w:fldSimple>
      <w:bookmarkEnd w:id="618"/>
      <w:r>
        <w:t xml:space="preserve">. </w:t>
      </w:r>
      <w:r w:rsidRPr="00BF0E8A">
        <w:t>Prognoza produkcji energii elektrycznej brutto</w:t>
      </w:r>
      <w:bookmarkEnd w:id="619"/>
    </w:p>
    <w:p w14:paraId="0B7AF6C1" w14:textId="38312E4E" w:rsidR="00714C6A" w:rsidRPr="00714C6A" w:rsidRDefault="00714C6A" w:rsidP="00714C6A">
      <w:pPr>
        <w:spacing w:after="0" w:line="240" w:lineRule="auto"/>
        <w:rPr>
          <w:sz w:val="18"/>
          <w:szCs w:val="18"/>
        </w:rPr>
      </w:pPr>
      <w:bookmarkStart w:id="620" w:name="_Hlk175150654"/>
      <w:r w:rsidRPr="00714C6A">
        <w:rPr>
          <w:i/>
          <w:iCs/>
          <w:sz w:val="18"/>
          <w:szCs w:val="18"/>
        </w:rPr>
        <w:t>* Łącznie z gazem koksowniczym i wie</w:t>
      </w:r>
      <w:r w:rsidR="00836A34">
        <w:rPr>
          <w:i/>
          <w:iCs/>
          <w:sz w:val="18"/>
          <w:szCs w:val="18"/>
        </w:rPr>
        <w:t>l</w:t>
      </w:r>
      <w:r w:rsidRPr="00714C6A">
        <w:rPr>
          <w:i/>
          <w:iCs/>
          <w:sz w:val="18"/>
          <w:szCs w:val="18"/>
        </w:rPr>
        <w:t>kopiecowym</w:t>
      </w:r>
    </w:p>
    <w:p w14:paraId="0758FD38" w14:textId="0900CFE4" w:rsidR="00714C6A" w:rsidRPr="00714C6A" w:rsidRDefault="00714C6A" w:rsidP="00714C6A">
      <w:pPr>
        <w:spacing w:after="0" w:line="240" w:lineRule="auto"/>
        <w:rPr>
          <w:sz w:val="18"/>
          <w:szCs w:val="18"/>
        </w:rPr>
      </w:pPr>
      <w:r w:rsidRPr="00714C6A">
        <w:rPr>
          <w:i/>
          <w:iCs/>
          <w:sz w:val="18"/>
          <w:szCs w:val="18"/>
        </w:rPr>
        <w:t>** Gaz ziemny wysokometanowy i zaazotowany, gaz z odmetan</w:t>
      </w:r>
      <w:r>
        <w:rPr>
          <w:i/>
          <w:iCs/>
          <w:sz w:val="18"/>
          <w:szCs w:val="18"/>
        </w:rPr>
        <w:t>o</w:t>
      </w:r>
      <w:r w:rsidRPr="00714C6A">
        <w:rPr>
          <w:i/>
          <w:iCs/>
          <w:sz w:val="18"/>
          <w:szCs w:val="18"/>
        </w:rPr>
        <w:t>wania kopalń, gaz towarzyszący ropie naftowej</w:t>
      </w:r>
    </w:p>
    <w:p w14:paraId="7BF6FC2C" w14:textId="3641D460" w:rsidR="00714C6A" w:rsidRPr="00714C6A" w:rsidRDefault="00714C6A" w:rsidP="00714C6A">
      <w:pPr>
        <w:spacing w:after="0" w:line="240" w:lineRule="auto"/>
        <w:rPr>
          <w:sz w:val="18"/>
          <w:szCs w:val="18"/>
        </w:rPr>
      </w:pPr>
      <w:r w:rsidRPr="00714C6A">
        <w:rPr>
          <w:i/>
          <w:iCs/>
          <w:sz w:val="18"/>
          <w:szCs w:val="18"/>
        </w:rPr>
        <w:t>*** Odpady przemysłowe i komunalne</w:t>
      </w:r>
    </w:p>
    <w:p w14:paraId="56D6A6C8" w14:textId="7ABD84CF" w:rsidR="008173D7" w:rsidRDefault="00DA2F26" w:rsidP="005B46E6">
      <w:pPr>
        <w:spacing w:before="240" w:after="240"/>
      </w:pPr>
      <w:r>
        <w:t xml:space="preserve">Standardy </w:t>
      </w:r>
      <w:r w:rsidR="00E4348A">
        <w:t xml:space="preserve">w zakresie </w:t>
      </w:r>
      <w:r w:rsidR="002233BE">
        <w:t>funkcjonowania rynku</w:t>
      </w:r>
      <w:r w:rsidR="000D37B8">
        <w:t xml:space="preserve"> energii </w:t>
      </w:r>
      <w:r w:rsidR="002233BE">
        <w:t xml:space="preserve">elektrycznej </w:t>
      </w:r>
      <w:r w:rsidR="000D37B8">
        <w:t xml:space="preserve">są </w:t>
      </w:r>
      <w:r w:rsidR="006F5194">
        <w:t>przedmiotem</w:t>
      </w:r>
      <w:r w:rsidR="00360ACE">
        <w:t xml:space="preserve"> </w:t>
      </w:r>
      <w:r w:rsidR="00A24B43">
        <w:t>rozporządze</w:t>
      </w:r>
      <w:r w:rsidR="00360ACE">
        <w:t xml:space="preserve">nia </w:t>
      </w:r>
      <w:r w:rsidR="00047D91">
        <w:t xml:space="preserve">UE </w:t>
      </w:r>
      <w:r w:rsidR="006F5194">
        <w:t>2019/943 w</w:t>
      </w:r>
      <w:r w:rsidR="00B43E61">
        <w:t xml:space="preserve"> </w:t>
      </w:r>
      <w:r w:rsidR="00E15308">
        <w:t xml:space="preserve">sprawie </w:t>
      </w:r>
      <w:r w:rsidR="00A24B43" w:rsidRPr="00A24B43">
        <w:t>rynku wewnętrznego energii elektrycznej</w:t>
      </w:r>
      <w:r w:rsidR="00C633F1">
        <w:t xml:space="preserve">. </w:t>
      </w:r>
      <w:r w:rsidR="000706A1">
        <w:t xml:space="preserve">Ponadto </w:t>
      </w:r>
      <w:r w:rsidR="000706A1" w:rsidRPr="000706A1">
        <w:t xml:space="preserve">Agencja ds. Współpracy Organów Regulacji Energetyki </w:t>
      </w:r>
      <w:r w:rsidR="000706A1">
        <w:t xml:space="preserve">(ACER, ang. </w:t>
      </w:r>
      <w:r w:rsidR="000706A1" w:rsidRPr="00EF70EE">
        <w:rPr>
          <w:i/>
          <w:iCs/>
        </w:rPr>
        <w:t>European Union Agency for the Cooperation of Energy Regulators</w:t>
      </w:r>
      <w:r w:rsidR="000706A1">
        <w:t>) opracowuje ramowe wytyczne w tym obszarze. Na podstawie rozporządzania i wytycznych ACER,</w:t>
      </w:r>
      <w:r w:rsidR="00974007">
        <w:t xml:space="preserve"> </w:t>
      </w:r>
      <w:r w:rsidR="00EF70EE">
        <w:t>stowarzyszenie</w:t>
      </w:r>
      <w:r w:rsidR="00C633F1">
        <w:t xml:space="preserve"> </w:t>
      </w:r>
      <w:r w:rsidR="00553EF6" w:rsidRPr="00553EF6">
        <w:t>Europejska Sieć Operatorów Systemów Przesyłowych Energii Elektrycznej</w:t>
      </w:r>
      <w:r w:rsidR="00553EF6">
        <w:t xml:space="preserve"> (ENTSO</w:t>
      </w:r>
      <w:r w:rsidR="009D42B4">
        <w:t xml:space="preserve">-E, ang. </w:t>
      </w:r>
      <w:r w:rsidR="009D42B4" w:rsidRPr="009D42B4">
        <w:rPr>
          <w:i/>
          <w:iCs/>
        </w:rPr>
        <w:t>European Network of Transmission System Operators for Electricity</w:t>
      </w:r>
      <w:r w:rsidR="00553EF6">
        <w:t xml:space="preserve">) </w:t>
      </w:r>
      <w:r w:rsidR="00C633F1">
        <w:t>opracow</w:t>
      </w:r>
      <w:r w:rsidR="00553EF6">
        <w:t xml:space="preserve">uje </w:t>
      </w:r>
      <w:r w:rsidR="002233BE">
        <w:t>wytyczne i</w:t>
      </w:r>
      <w:r w:rsidR="00C633F1">
        <w:t xml:space="preserve"> kodeksy sieciowe</w:t>
      </w:r>
      <w:r w:rsidR="002233BE">
        <w:t>, które określają</w:t>
      </w:r>
      <w:r w:rsidR="00EF70EE">
        <w:t xml:space="preserve"> techniczne </w:t>
      </w:r>
      <w:r w:rsidR="00120802" w:rsidRPr="00120802">
        <w:t xml:space="preserve">zasady </w:t>
      </w:r>
      <w:r w:rsidR="002233BE">
        <w:t>funkcjonowania rynku energii elektrycznej</w:t>
      </w:r>
      <w:r w:rsidR="000706A1">
        <w:t>,</w:t>
      </w:r>
      <w:r w:rsidR="002233BE">
        <w:t xml:space="preserve"> w tym m.in. </w:t>
      </w:r>
      <w:r w:rsidR="00120802" w:rsidRPr="00120802">
        <w:t>zasady bezpieczeństwa i niezawodności siec</w:t>
      </w:r>
      <w:r w:rsidR="00120802">
        <w:t>i</w:t>
      </w:r>
      <w:r w:rsidR="00413790">
        <w:t xml:space="preserve">, które </w:t>
      </w:r>
      <w:r w:rsidR="00C42F0F">
        <w:t>z kolei</w:t>
      </w:r>
      <w:r w:rsidR="00413790">
        <w:t xml:space="preserve"> muszą znaleźć przełożenie na systemy krajowe</w:t>
      </w:r>
      <w:r w:rsidR="00C620DE">
        <w:t xml:space="preserve">. </w:t>
      </w:r>
      <w:r w:rsidR="00AC42A0">
        <w:t xml:space="preserve">Tym samym </w:t>
      </w:r>
      <w:r w:rsidR="00AC42A0" w:rsidRPr="000706A1">
        <w:rPr>
          <w:i/>
        </w:rPr>
        <w:t>wystarczalność mocy</w:t>
      </w:r>
      <w:r w:rsidR="00AC42A0">
        <w:t xml:space="preserve"> określana jest na ściśle technicznych zasadach</w:t>
      </w:r>
      <w:r w:rsidR="007E05CE">
        <w:t xml:space="preserve">, </w:t>
      </w:r>
      <w:r w:rsidR="006103AA">
        <w:t xml:space="preserve">które uwzględniają </w:t>
      </w:r>
      <w:r w:rsidR="007E05CE">
        <w:t>dyspozycyjność poszczególnych</w:t>
      </w:r>
      <w:r w:rsidR="005B46E6">
        <w:t xml:space="preserve"> źródeł.</w:t>
      </w:r>
    </w:p>
    <w:p w14:paraId="03C92392" w14:textId="773B552F" w:rsidR="008173D7" w:rsidRPr="003514CF" w:rsidRDefault="008173D7" w:rsidP="008173D7">
      <w:pPr>
        <w:pStyle w:val="Cele"/>
      </w:pPr>
      <w:r w:rsidRPr="00B377B2">
        <w:rPr>
          <w:rStyle w:val="CeleZnak"/>
          <w:b/>
        </w:rPr>
        <w:t xml:space="preserve">Polska </w:t>
      </w:r>
      <w:r>
        <w:rPr>
          <w:rStyle w:val="CeleZnak"/>
          <w:b/>
        </w:rPr>
        <w:t>wyznacza cel</w:t>
      </w:r>
      <w:r w:rsidR="00134BE3">
        <w:rPr>
          <w:rStyle w:val="CeleZnak"/>
          <w:b/>
        </w:rPr>
        <w:t xml:space="preserve"> zapewnienia bezpieczeństwa dostaw energii elektrycznej dla</w:t>
      </w:r>
      <w:r w:rsidR="0015579D">
        <w:rPr>
          <w:rStyle w:val="CeleZnak"/>
          <w:b/>
        </w:rPr>
        <w:t> </w:t>
      </w:r>
      <w:r w:rsidR="00134BE3">
        <w:rPr>
          <w:rStyle w:val="CeleZnak"/>
          <w:b/>
        </w:rPr>
        <w:t xml:space="preserve">odbiorców końcowych zgodnie z krajowym standardem bezpieczeństwa </w:t>
      </w:r>
      <w:r w:rsidR="001E1894">
        <w:rPr>
          <w:rStyle w:val="CeleZnak"/>
          <w:b/>
        </w:rPr>
        <w:br/>
      </w:r>
      <w:r w:rsidR="00134BE3" w:rsidRPr="00C42F0F">
        <w:rPr>
          <w:rStyle w:val="CeleZnak"/>
          <w:sz w:val="22"/>
        </w:rPr>
        <w:t>(</w:t>
      </w:r>
      <w:r w:rsidR="00BA4AF0" w:rsidRPr="00C42F0F">
        <w:rPr>
          <w:rStyle w:val="CeleZnak"/>
          <w:sz w:val="22"/>
        </w:rPr>
        <w:t xml:space="preserve">według stanu na 2024 r. </w:t>
      </w:r>
      <w:r w:rsidR="002223C2" w:rsidRPr="003514CF">
        <w:rPr>
          <w:rStyle w:val="CeleZnak"/>
          <w:sz w:val="22"/>
        </w:rPr>
        <w:t>wskaźnik</w:t>
      </w:r>
      <w:r w:rsidR="00BA4AF0" w:rsidRPr="003514CF">
        <w:rPr>
          <w:rStyle w:val="CeleZnak"/>
          <w:sz w:val="22"/>
        </w:rPr>
        <w:t xml:space="preserve"> </w:t>
      </w:r>
      <w:r w:rsidR="00134BE3" w:rsidRPr="003514CF">
        <w:rPr>
          <w:rStyle w:val="CeleZnak"/>
          <w:sz w:val="22"/>
        </w:rPr>
        <w:t>LoLE</w:t>
      </w:r>
      <w:r w:rsidR="001E1894" w:rsidRPr="003514CF">
        <w:rPr>
          <w:rStyle w:val="CeleZnak"/>
          <w:sz w:val="22"/>
        </w:rPr>
        <w:t xml:space="preserve"> </w:t>
      </w:r>
      <w:r w:rsidR="00BA4AF0" w:rsidRPr="003514CF">
        <w:rPr>
          <w:rStyle w:val="CeleZnak"/>
          <w:sz w:val="22"/>
        </w:rPr>
        <w:t>(ang</w:t>
      </w:r>
      <w:r w:rsidR="00BA4AF0" w:rsidRPr="003514CF">
        <w:rPr>
          <w:rStyle w:val="CeleZnak"/>
          <w:i/>
          <w:sz w:val="22"/>
        </w:rPr>
        <w:t>. loss of load expectatio</w:t>
      </w:r>
      <w:r w:rsidR="00BA4AF0" w:rsidRPr="003514CF">
        <w:rPr>
          <w:rStyle w:val="CeleZnak"/>
          <w:sz w:val="22"/>
        </w:rPr>
        <w:t>n)</w:t>
      </w:r>
      <w:r w:rsidR="00134BE3" w:rsidRPr="003514CF">
        <w:rPr>
          <w:rStyle w:val="CeleZnak"/>
          <w:sz w:val="22"/>
        </w:rPr>
        <w:t xml:space="preserve"> </w:t>
      </w:r>
      <w:r w:rsidR="00BA4AF0" w:rsidRPr="003514CF">
        <w:rPr>
          <w:rStyle w:val="CeleZnak"/>
          <w:sz w:val="22"/>
        </w:rPr>
        <w:t>wynosi</w:t>
      </w:r>
      <w:r w:rsidR="00CD6785" w:rsidRPr="003514CF">
        <w:rPr>
          <w:rStyle w:val="CeleZnak"/>
          <w:sz w:val="22"/>
        </w:rPr>
        <w:t>ł</w:t>
      </w:r>
      <w:r w:rsidR="00BA4AF0" w:rsidRPr="003514CF">
        <w:rPr>
          <w:rStyle w:val="CeleZnak"/>
          <w:sz w:val="22"/>
        </w:rPr>
        <w:t xml:space="preserve"> </w:t>
      </w:r>
      <w:r w:rsidR="00134BE3" w:rsidRPr="003514CF">
        <w:rPr>
          <w:rStyle w:val="CeleZnak"/>
          <w:sz w:val="22"/>
        </w:rPr>
        <w:t>3</w:t>
      </w:r>
      <w:r w:rsidR="009D40EA" w:rsidRPr="003514CF">
        <w:rPr>
          <w:rStyle w:val="CeleZnak"/>
          <w:sz w:val="22"/>
        </w:rPr>
        <w:t> </w:t>
      </w:r>
      <w:r w:rsidR="00134BE3" w:rsidRPr="003514CF">
        <w:rPr>
          <w:rStyle w:val="CeleZnak"/>
          <w:sz w:val="22"/>
        </w:rPr>
        <w:t>h</w:t>
      </w:r>
      <w:r w:rsidR="009D40EA" w:rsidRPr="003514CF">
        <w:rPr>
          <w:rStyle w:val="CeleZnak"/>
          <w:sz w:val="22"/>
        </w:rPr>
        <w:t>/rok</w:t>
      </w:r>
      <w:r w:rsidR="00134BE3" w:rsidRPr="003514CF">
        <w:rPr>
          <w:rStyle w:val="CeleZnak"/>
          <w:sz w:val="22"/>
        </w:rPr>
        <w:t>).</w:t>
      </w:r>
    </w:p>
    <w:p w14:paraId="71F46FA5" w14:textId="77777777" w:rsidR="008173D7" w:rsidRDefault="008173D7" w:rsidP="00D9684B">
      <w:pPr>
        <w:pStyle w:val="PaMs"/>
      </w:pPr>
      <w:r w:rsidRPr="00D9684B">
        <w:t>POLITYKA</w:t>
      </w:r>
    </w:p>
    <w:p w14:paraId="4BBB6F77" w14:textId="281F6CEA" w:rsidR="00B8028D" w:rsidRDefault="005F7105" w:rsidP="008173D7">
      <w:r>
        <w:t>W celu zapewnienia wystarczalności mocy co najmniej do 2030 r.</w:t>
      </w:r>
      <w:r w:rsidRPr="009B4E66">
        <w:rPr>
          <w:b/>
          <w:bCs/>
        </w:rPr>
        <w:t xml:space="preserve"> funkcjonować będzie rynek mocy</w:t>
      </w:r>
      <w:r>
        <w:t xml:space="preserve">. </w:t>
      </w:r>
      <w:r w:rsidR="006A2F2E">
        <w:t>Jego</w:t>
      </w:r>
      <w:r w:rsidR="0015579D">
        <w:t> </w:t>
      </w:r>
      <w:r w:rsidR="006A2F2E">
        <w:t>funkcjonowanie ma skutkować zarówno utrzymaniem niezbędnej ilości istniejących mocy, jak</w:t>
      </w:r>
      <w:r w:rsidR="0015579D">
        <w:t> </w:t>
      </w:r>
      <w:r w:rsidR="006A2F2E">
        <w:t xml:space="preserve">również zachęceniem inwestorów do </w:t>
      </w:r>
      <w:bookmarkStart w:id="621" w:name="_Hlk159941616"/>
      <w:r w:rsidR="006A2F2E">
        <w:t xml:space="preserve">budowy nowych stabilnych i dyspozycyjnych </w:t>
      </w:r>
      <w:bookmarkEnd w:id="621"/>
      <w:r w:rsidR="006A2F2E">
        <w:t xml:space="preserve">mocy, bez których nie nastąpi intensywniejszy rozwój OZE zależnych od pogody – fotowoltaiki i elektrowni wiatrowych. </w:t>
      </w:r>
      <w:r w:rsidR="008173D7">
        <w:t>W</w:t>
      </w:r>
      <w:r w:rsidR="0015579D">
        <w:t> </w:t>
      </w:r>
      <w:r w:rsidR="008173D7">
        <w:t xml:space="preserve">ramach różnych innych form wsparcia wspierane będą rozwiązania oparte o gazy </w:t>
      </w:r>
      <w:r w:rsidR="00C91E0C">
        <w:t>odnawialne i</w:t>
      </w:r>
      <w:r w:rsidR="0015579D">
        <w:t> </w:t>
      </w:r>
      <w:r w:rsidR="008173D7">
        <w:t>zdekarbonizowane tj. biometan, czy wodór, tak aby perspektywicznie mogły stanowić alternatywę dla paliw kopalnych.</w:t>
      </w:r>
      <w:r w:rsidR="00974007">
        <w:t xml:space="preserve">  </w:t>
      </w:r>
    </w:p>
    <w:p w14:paraId="487EF736" w14:textId="57640E29" w:rsidR="00E7074E" w:rsidRDefault="0075772A" w:rsidP="008173D7">
      <w:r>
        <w:t>Biorąc pod uwagę prognozowany znaczny udział w KSE mocy OZE o zmiennej generacji</w:t>
      </w:r>
      <w:r w:rsidR="00B8028D">
        <w:t xml:space="preserve"> przy</w:t>
      </w:r>
      <w:r w:rsidR="00E56C46">
        <w:t> </w:t>
      </w:r>
      <w:r w:rsidR="00B8028D">
        <w:t xml:space="preserve">jednoczesnym wysokim poziomie odstawień mocy konwencjonalnych i równoległym ryzyku przyspieszonych wycofań ze względów ekonomicznych i technicznych (ze względu na obniżenie </w:t>
      </w:r>
      <w:r w:rsidR="00B8028D">
        <w:lastRenderedPageBreak/>
        <w:t xml:space="preserve">żywotności), </w:t>
      </w:r>
      <w:r w:rsidR="00EC0FCA">
        <w:t xml:space="preserve">w dalszej perspektywie </w:t>
      </w:r>
      <w:r w:rsidR="00B8028D">
        <w:t>z</w:t>
      </w:r>
      <w:r>
        <w:t xml:space="preserve">ostanie przeprowadzona </w:t>
      </w:r>
      <w:r w:rsidRPr="00DF4A51">
        <w:rPr>
          <w:b/>
          <w:bCs/>
        </w:rPr>
        <w:t xml:space="preserve">analiza zasadności wdrożenia uzupełniającego mechanizmu wsparcia dyspozycyjnych </w:t>
      </w:r>
      <w:r w:rsidR="00B8028D" w:rsidRPr="00DF4A51">
        <w:rPr>
          <w:b/>
          <w:bCs/>
        </w:rPr>
        <w:t>jednostek wytwórczych</w:t>
      </w:r>
      <w:r w:rsidR="00B8028D">
        <w:t xml:space="preserve">, </w:t>
      </w:r>
      <w:r>
        <w:t>celem zapewnienia wystarczalności mocy oraz</w:t>
      </w:r>
      <w:r w:rsidR="00E56C46">
        <w:t> </w:t>
      </w:r>
      <w:r>
        <w:t>zagwarantowania bilansowania systemu elektroenergetycznego.</w:t>
      </w:r>
      <w:r w:rsidR="009659F6">
        <w:t xml:space="preserve"> W</w:t>
      </w:r>
      <w:r w:rsidR="0072085B">
        <w:t xml:space="preserve">stępnie ocenia się, że </w:t>
      </w:r>
      <w:r w:rsidR="00245990">
        <w:t xml:space="preserve">w dalszej perspektywie </w:t>
      </w:r>
      <w:r w:rsidR="00A819A1">
        <w:t xml:space="preserve">mechanizm </w:t>
      </w:r>
      <w:r w:rsidR="00245990">
        <w:t xml:space="preserve">mógłby w większym stopniu różnicować </w:t>
      </w:r>
      <w:r w:rsidR="003712E4">
        <w:t xml:space="preserve">wielkości jednostek, </w:t>
      </w:r>
      <w:r w:rsidR="00025C95">
        <w:t xml:space="preserve">parametry reakcji (ang. </w:t>
      </w:r>
      <w:r w:rsidR="00223783">
        <w:rPr>
          <w:i/>
          <w:iCs/>
        </w:rPr>
        <w:t>S</w:t>
      </w:r>
      <w:r w:rsidR="00025C95" w:rsidRPr="00223783">
        <w:rPr>
          <w:i/>
          <w:iCs/>
        </w:rPr>
        <w:t>ervi</w:t>
      </w:r>
      <w:r w:rsidR="00564031" w:rsidRPr="00223783">
        <w:rPr>
          <w:i/>
          <w:iCs/>
        </w:rPr>
        <w:t xml:space="preserve">ce </w:t>
      </w:r>
      <w:r w:rsidR="00223783">
        <w:rPr>
          <w:i/>
          <w:iCs/>
        </w:rPr>
        <w:t>L</w:t>
      </w:r>
      <w:r w:rsidR="00564031" w:rsidRPr="00223783">
        <w:rPr>
          <w:i/>
          <w:iCs/>
        </w:rPr>
        <w:t xml:space="preserve">evel </w:t>
      </w:r>
      <w:r w:rsidR="00223783">
        <w:rPr>
          <w:i/>
          <w:iCs/>
        </w:rPr>
        <w:t>A</w:t>
      </w:r>
      <w:r w:rsidR="00564031" w:rsidRPr="00223783">
        <w:rPr>
          <w:i/>
          <w:iCs/>
        </w:rPr>
        <w:t>gr</w:t>
      </w:r>
      <w:r w:rsidR="00223783">
        <w:rPr>
          <w:i/>
          <w:iCs/>
        </w:rPr>
        <w:t>ee</w:t>
      </w:r>
      <w:r w:rsidR="00564031" w:rsidRPr="00223783">
        <w:rPr>
          <w:i/>
          <w:iCs/>
        </w:rPr>
        <w:t>ment</w:t>
      </w:r>
      <w:r w:rsidR="00564031">
        <w:t>, SLA)</w:t>
      </w:r>
      <w:r w:rsidR="00D92B26">
        <w:t xml:space="preserve">, ale także określać </w:t>
      </w:r>
      <w:r w:rsidR="007366FC">
        <w:t xml:space="preserve">wymagania w zakresie transformacji </w:t>
      </w:r>
      <w:r w:rsidR="007366FC" w:rsidRPr="006C28BD">
        <w:t xml:space="preserve">np. </w:t>
      </w:r>
      <w:r w:rsidR="00C61063" w:rsidRPr="006C28BD">
        <w:t xml:space="preserve">poprzez </w:t>
      </w:r>
      <w:r w:rsidR="007366FC" w:rsidRPr="006C28BD">
        <w:t>stosowanie określonego poziomu biometanu lub wodoru przez jednostki gazowe.</w:t>
      </w:r>
      <w:r w:rsidR="00745B32">
        <w:t xml:space="preserve"> </w:t>
      </w:r>
    </w:p>
    <w:p w14:paraId="10234D0F" w14:textId="5AFA3959" w:rsidR="00506275" w:rsidRDefault="00655174" w:rsidP="008173D7">
      <w:r>
        <w:t>Analiza może wykazać także zasadność utrzymania niektórych jednostek węglowych</w:t>
      </w:r>
      <w:r w:rsidR="00982C75">
        <w:t xml:space="preserve"> lub nawet ich częściowej modernizacji na potrzeby pokrycia zapotrzebowania na moc</w:t>
      </w:r>
      <w:r w:rsidR="006906D8">
        <w:t xml:space="preserve">, lecz </w:t>
      </w:r>
      <w:r w:rsidR="0093447B">
        <w:t>stopień wykorzystania</w:t>
      </w:r>
      <w:r w:rsidR="006906D8">
        <w:t xml:space="preserve"> tych jednostek w ujęciu średniorocznym po 2030 r. </w:t>
      </w:r>
      <w:r w:rsidR="0093447B">
        <w:t xml:space="preserve">będzie </w:t>
      </w:r>
      <w:r w:rsidR="00F14E0D">
        <w:t xml:space="preserve">prawdopodobnie </w:t>
      </w:r>
      <w:r w:rsidR="0023656A">
        <w:t>bardzo niski</w:t>
      </w:r>
      <w:r w:rsidR="00E7074E">
        <w:t>.</w:t>
      </w:r>
      <w:r w:rsidR="003E2DE5">
        <w:t xml:space="preserve"> </w:t>
      </w:r>
    </w:p>
    <w:p w14:paraId="3DEE2EDD" w14:textId="29328B9E" w:rsidR="008173D7" w:rsidRDefault="00076839" w:rsidP="008173D7">
      <w:r>
        <w:t>W</w:t>
      </w:r>
      <w:r w:rsidR="008173D7">
        <w:t xml:space="preserve">ażnym elementem polityki w zakresie wystarczalności mocy jest wdrożenie </w:t>
      </w:r>
      <w:r w:rsidR="008173D7" w:rsidRPr="00EE7039">
        <w:rPr>
          <w:b/>
          <w:bCs/>
        </w:rPr>
        <w:t>energetyki jądrowej</w:t>
      </w:r>
      <w:r w:rsidR="00DE3F08">
        <w:t xml:space="preserve">, której pierwszy blok zostanie uruchomiony </w:t>
      </w:r>
      <w:r w:rsidR="00855C04">
        <w:t>po 2035</w:t>
      </w:r>
      <w:r w:rsidR="00675F2F">
        <w:t> </w:t>
      </w:r>
      <w:r w:rsidR="003076E3">
        <w:t>r</w:t>
      </w:r>
      <w:r w:rsidR="008173D7">
        <w:t xml:space="preserve">. Moc wielkoskalowych elektrowni jądrowych w 2040 r. powinna sięgnąć </w:t>
      </w:r>
      <w:r w:rsidR="006000E6">
        <w:t>ok.</w:t>
      </w:r>
      <w:r w:rsidR="008173D7">
        <w:t xml:space="preserve"> </w:t>
      </w:r>
      <w:r w:rsidR="00DB3B63">
        <w:t>3,5</w:t>
      </w:r>
      <w:r w:rsidR="008173D7">
        <w:t xml:space="preserve"> GW</w:t>
      </w:r>
      <w:r w:rsidR="00C65543">
        <w:t xml:space="preserve">, </w:t>
      </w:r>
      <w:r w:rsidR="00DE3F08">
        <w:t xml:space="preserve">a w dalszej perspektywie </w:t>
      </w:r>
      <w:r w:rsidR="009A5F14">
        <w:t xml:space="preserve">może </w:t>
      </w:r>
      <w:r w:rsidR="002B607E">
        <w:t>przekroczy</w:t>
      </w:r>
      <w:r w:rsidR="009A5F14">
        <w:t>ć</w:t>
      </w:r>
      <w:r w:rsidR="002B607E">
        <w:t xml:space="preserve"> dwukrotność</w:t>
      </w:r>
      <w:r w:rsidR="009A5F14">
        <w:t xml:space="preserve"> tej wartości</w:t>
      </w:r>
      <w:r w:rsidR="00C65543">
        <w:t xml:space="preserve">. </w:t>
      </w:r>
      <w:r w:rsidR="00237849">
        <w:t>Powyższa moc</w:t>
      </w:r>
      <w:r w:rsidR="008173D7">
        <w:t xml:space="preserve"> może zostać </w:t>
      </w:r>
      <w:r w:rsidR="007826CA">
        <w:t xml:space="preserve">w przyszłości </w:t>
      </w:r>
      <w:r w:rsidR="008173D7">
        <w:t>uzupełniona również małymi reaktorami modułowymi – SMR</w:t>
      </w:r>
      <w:r w:rsidR="00DE3F08">
        <w:t>, w</w:t>
      </w:r>
      <w:r w:rsidR="00D5386D">
        <w:t> </w:t>
      </w:r>
      <w:r w:rsidR="00DE3F08">
        <w:t>zależności od stopnia komercjalizacji, dostępności oraz kosztów tej technologii</w:t>
      </w:r>
      <w:r w:rsidR="00A75252">
        <w:t xml:space="preserve"> (decyzja o</w:t>
      </w:r>
      <w:r w:rsidR="006B3F44">
        <w:t> </w:t>
      </w:r>
      <w:r w:rsidR="00A75252">
        <w:t>realizacji proj</w:t>
      </w:r>
      <w:r w:rsidR="00865896">
        <w:t xml:space="preserve">ektu po stronie </w:t>
      </w:r>
      <w:r w:rsidR="00FE2E2F">
        <w:t>prywatnych inwestorów</w:t>
      </w:r>
      <w:r w:rsidR="00A75252">
        <w:t>)</w:t>
      </w:r>
      <w:r w:rsidR="008173D7">
        <w:t>.</w:t>
      </w:r>
      <w:r w:rsidR="00C72481">
        <w:t xml:space="preserve"> </w:t>
      </w:r>
      <w:r w:rsidR="00742867">
        <w:t xml:space="preserve">W prognozach </w:t>
      </w:r>
      <w:r w:rsidR="00CF323B">
        <w:t xml:space="preserve">do </w:t>
      </w:r>
      <w:r w:rsidR="00742867">
        <w:t xml:space="preserve">aKPEiK </w:t>
      </w:r>
      <w:r w:rsidR="008A0887">
        <w:t xml:space="preserve">w horyzoncie do </w:t>
      </w:r>
      <w:r w:rsidR="00756032">
        <w:t>2040 r. nie</w:t>
      </w:r>
      <w:r w:rsidR="00D06D3A">
        <w:t xml:space="preserve"> występują moce </w:t>
      </w:r>
      <w:r w:rsidR="00D85615">
        <w:t>małych reaktorów jądrowych</w:t>
      </w:r>
      <w:r w:rsidR="00F71036">
        <w:t>,</w:t>
      </w:r>
      <w:r w:rsidR="008212C2">
        <w:t xml:space="preserve"> </w:t>
      </w:r>
      <w:r w:rsidR="00D65460">
        <w:t xml:space="preserve">m.in. </w:t>
      </w:r>
      <w:r w:rsidR="008212C2">
        <w:t>z</w:t>
      </w:r>
      <w:r w:rsidR="00640E3C">
        <w:t xml:space="preserve">e względu na </w:t>
      </w:r>
      <w:r w:rsidR="00B63754">
        <w:t xml:space="preserve">brak </w:t>
      </w:r>
      <w:r w:rsidR="005F4C5B">
        <w:t xml:space="preserve">ich </w:t>
      </w:r>
      <w:r w:rsidR="002A680D">
        <w:t>komercyjnego</w:t>
      </w:r>
      <w:r w:rsidR="00B63754">
        <w:t xml:space="preserve"> </w:t>
      </w:r>
      <w:r w:rsidR="005F4C5B">
        <w:t xml:space="preserve">wdrożenia </w:t>
      </w:r>
      <w:r w:rsidR="00C628BB">
        <w:t>na</w:t>
      </w:r>
      <w:r w:rsidR="0015579D">
        <w:t> </w:t>
      </w:r>
      <w:r w:rsidR="00C628BB">
        <w:t>świecie</w:t>
      </w:r>
      <w:r w:rsidR="00375412">
        <w:t xml:space="preserve"> i niepewność co do dalszego rozwoju </w:t>
      </w:r>
      <w:r w:rsidR="00234928">
        <w:t xml:space="preserve">tej </w:t>
      </w:r>
      <w:r w:rsidR="00F71036">
        <w:t>technologi</w:t>
      </w:r>
      <w:r w:rsidR="00234928">
        <w:t>i</w:t>
      </w:r>
      <w:r w:rsidR="008212C2">
        <w:t xml:space="preserve">. </w:t>
      </w:r>
      <w:r w:rsidR="00720103">
        <w:t>Należy jednak monitorować</w:t>
      </w:r>
      <w:r w:rsidR="008212C2">
        <w:t xml:space="preserve"> </w:t>
      </w:r>
      <w:r w:rsidR="002B19A6">
        <w:t xml:space="preserve">postęp </w:t>
      </w:r>
      <w:r w:rsidR="006003C3">
        <w:t>w</w:t>
      </w:r>
      <w:r w:rsidR="0015579D">
        <w:t> </w:t>
      </w:r>
      <w:r w:rsidR="006003C3">
        <w:t>zakresie</w:t>
      </w:r>
      <w:r w:rsidR="00234928">
        <w:t xml:space="preserve"> </w:t>
      </w:r>
      <w:r w:rsidR="00957B9F">
        <w:t xml:space="preserve">rozwiązań </w:t>
      </w:r>
      <w:r w:rsidR="002B19A6">
        <w:t>SMR</w:t>
      </w:r>
      <w:r w:rsidR="00910B18">
        <w:t>,</w:t>
      </w:r>
      <w:r w:rsidR="00636E9F">
        <w:t xml:space="preserve"> pod kątem</w:t>
      </w:r>
      <w:r w:rsidR="001E512A">
        <w:t xml:space="preserve"> </w:t>
      </w:r>
      <w:r w:rsidR="00596895">
        <w:t xml:space="preserve">potencjału </w:t>
      </w:r>
      <w:r w:rsidR="00F6113F">
        <w:t>implementacyjnego</w:t>
      </w:r>
      <w:r w:rsidR="00596895">
        <w:t xml:space="preserve"> w warunkach polskich.</w:t>
      </w:r>
    </w:p>
    <w:p w14:paraId="38755B9C" w14:textId="56C2C318" w:rsidR="00A30CFD" w:rsidRDefault="00A30CFD" w:rsidP="00237849">
      <w:pPr>
        <w:spacing w:before="360"/>
      </w:pPr>
      <w:r>
        <w:t>Przyłączenie nowych mocy</w:t>
      </w:r>
      <w:r w:rsidR="00090F42">
        <w:t xml:space="preserve"> i inne aspekty wystarczalności </w:t>
      </w:r>
      <w:r w:rsidR="001D4935">
        <w:t xml:space="preserve">systemu </w:t>
      </w:r>
      <w:r w:rsidR="00090F42">
        <w:t xml:space="preserve">są również związane z </w:t>
      </w:r>
      <w:r w:rsidR="00090F42" w:rsidRPr="007F5E33">
        <w:rPr>
          <w:b/>
          <w:bCs/>
        </w:rPr>
        <w:t>rozwojem s</w:t>
      </w:r>
      <w:r w:rsidR="00F86CFD">
        <w:rPr>
          <w:b/>
          <w:bCs/>
        </w:rPr>
        <w:t>ieci</w:t>
      </w:r>
      <w:r w:rsidR="00090F42" w:rsidRPr="007F5E33">
        <w:rPr>
          <w:b/>
          <w:bCs/>
        </w:rPr>
        <w:t xml:space="preserve"> przesyłow</w:t>
      </w:r>
      <w:r w:rsidR="00F86CFD">
        <w:rPr>
          <w:b/>
          <w:bCs/>
        </w:rPr>
        <w:t>ych</w:t>
      </w:r>
      <w:r w:rsidR="00090F42" w:rsidRPr="007F5E33">
        <w:rPr>
          <w:b/>
          <w:bCs/>
        </w:rPr>
        <w:t xml:space="preserve"> i dystrybucyjnych</w:t>
      </w:r>
      <w:r w:rsidR="007F5E33">
        <w:t xml:space="preserve"> energii elektrycznej</w:t>
      </w:r>
      <w:r w:rsidR="00AD6210">
        <w:t xml:space="preserve">. </w:t>
      </w:r>
      <w:r w:rsidR="00FE1D9D">
        <w:t xml:space="preserve">Z tego </w:t>
      </w:r>
      <w:r w:rsidR="00F6232A">
        <w:t xml:space="preserve">względu </w:t>
      </w:r>
      <w:r w:rsidR="002968F0">
        <w:t xml:space="preserve">operatorzy </w:t>
      </w:r>
      <w:r w:rsidR="00F35B8D">
        <w:t xml:space="preserve">systemowi </w:t>
      </w:r>
      <w:r w:rsidR="007D46CD">
        <w:t>będą konsekwentnie realizować programy rozwoju</w:t>
      </w:r>
      <w:r w:rsidR="00F35B8D">
        <w:t xml:space="preserve">, </w:t>
      </w:r>
      <w:r w:rsidR="009D0921">
        <w:t xml:space="preserve">tak by </w:t>
      </w:r>
      <w:r w:rsidR="00E51425">
        <w:t>możliwy był odpowiedni rozpływ energii po kraju</w:t>
      </w:r>
      <w:r w:rsidR="00E51425">
        <w:rPr>
          <w:rStyle w:val="Odwoanieprzypisudolnego"/>
        </w:rPr>
        <w:footnoteReference w:id="121"/>
      </w:r>
      <w:r w:rsidR="00E51425">
        <w:t>.</w:t>
      </w:r>
    </w:p>
    <w:p w14:paraId="226E9A4E" w14:textId="5B0F5BC0" w:rsidR="00D23F52" w:rsidRDefault="00D23F52" w:rsidP="00D23F52">
      <w:r>
        <w:t xml:space="preserve">Ponadto </w:t>
      </w:r>
      <w:r w:rsidRPr="00F648EB">
        <w:rPr>
          <w:b/>
          <w:bCs/>
        </w:rPr>
        <w:t>finansowe</w:t>
      </w:r>
      <w:r>
        <w:t xml:space="preserve"> </w:t>
      </w:r>
      <w:r w:rsidRPr="00F648EB">
        <w:rPr>
          <w:b/>
          <w:bCs/>
        </w:rPr>
        <w:t>wsparcie odnawialnych źródeł energii</w:t>
      </w:r>
      <w:r>
        <w:t xml:space="preserve"> będzie stopniowo kierunkowane na rozwiązania premiujące bilansowanie niedyspozycyjnych źródeł, tak by m</w:t>
      </w:r>
      <w:r w:rsidR="00B53A5D">
        <w:t>ieć</w:t>
      </w:r>
      <w:r>
        <w:t xml:space="preserve"> pewn</w:t>
      </w:r>
      <w:r w:rsidR="00B53A5D">
        <w:t>oś</w:t>
      </w:r>
      <w:r>
        <w:t xml:space="preserve">ć, że rozwojowi źródeł zależnych od warunków atmosferycznych będzie towarzyszyć rozwój mocy i rozwiązań zapewniających ich bilansowanie, co może mieć odzwierciedlenie w modyfikacji systemu aukcji na zakup energii elektrycznej z OZE. Również rozwiązania takie jak </w:t>
      </w:r>
      <w:r w:rsidRPr="00E025A2">
        <w:rPr>
          <w:i/>
          <w:iCs/>
        </w:rPr>
        <w:t>Mój Prąd</w:t>
      </w:r>
      <w:r>
        <w:t xml:space="preserve"> coraz silniej będą wspierać przyrost mocy, który nie będzie generował nadmiernych problemów z zarządzeniem systemem, np. poprzez dopłaty wyłącznie do instalacji z magazynem lub do samego magazynu.</w:t>
      </w:r>
    </w:p>
    <w:p w14:paraId="65EBA7EC" w14:textId="1D3008B2" w:rsidR="008B2023" w:rsidRDefault="009058B8" w:rsidP="008173D7">
      <w:r>
        <w:t xml:space="preserve">Wpływ na wystarczalność mocy będą mieć także </w:t>
      </w:r>
      <w:r w:rsidR="003B2848">
        <w:t xml:space="preserve">działania związane </w:t>
      </w:r>
      <w:r w:rsidR="003B2848" w:rsidRPr="001A0B65">
        <w:rPr>
          <w:b/>
          <w:bCs/>
        </w:rPr>
        <w:t>z ograniczaniem szczytów zapotrzebowania na energię</w:t>
      </w:r>
      <w:r w:rsidR="00AC41BF">
        <w:t>, które</w:t>
      </w:r>
      <w:r w:rsidR="003B2848">
        <w:t xml:space="preserve"> determi</w:t>
      </w:r>
      <w:r w:rsidR="00163C88">
        <w:t>n</w:t>
      </w:r>
      <w:r w:rsidR="003B2848">
        <w:t>uje szczytowe zapotrzebowanie na moc</w:t>
      </w:r>
      <w:r w:rsidR="00907F63">
        <w:t>. Powinny one równocześnie oddziaływać na poprawę elastyczności</w:t>
      </w:r>
      <w:r w:rsidR="00163C88">
        <w:t>.</w:t>
      </w:r>
      <w:r w:rsidR="00907F63">
        <w:t xml:space="preserve"> Szczególną rolę odgrywać będzie </w:t>
      </w:r>
      <w:r w:rsidR="00910F33" w:rsidRPr="00910F33">
        <w:rPr>
          <w:b/>
          <w:bCs/>
        </w:rPr>
        <w:t xml:space="preserve">upowszechnianie </w:t>
      </w:r>
      <w:r w:rsidR="00D54DF3">
        <w:rPr>
          <w:b/>
          <w:bCs/>
        </w:rPr>
        <w:t xml:space="preserve">umów z </w:t>
      </w:r>
      <w:r w:rsidR="00A66AA8">
        <w:rPr>
          <w:b/>
          <w:bCs/>
        </w:rPr>
        <w:t>cen</w:t>
      </w:r>
      <w:r w:rsidR="00985A06">
        <w:rPr>
          <w:b/>
          <w:bCs/>
        </w:rPr>
        <w:t xml:space="preserve">ą </w:t>
      </w:r>
      <w:r w:rsidR="00910F33" w:rsidRPr="00910F33">
        <w:rPr>
          <w:b/>
          <w:bCs/>
        </w:rPr>
        <w:t>dynamiczn</w:t>
      </w:r>
      <w:r w:rsidR="00985A06">
        <w:rPr>
          <w:b/>
          <w:bCs/>
        </w:rPr>
        <w:t>ą</w:t>
      </w:r>
      <w:r w:rsidR="000419A8" w:rsidRPr="00431174">
        <w:t>,</w:t>
      </w:r>
      <w:r w:rsidR="00240ED3" w:rsidRPr="00431174">
        <w:t xml:space="preserve"> </w:t>
      </w:r>
      <w:r w:rsidR="000419A8">
        <w:t>jak</w:t>
      </w:r>
      <w:r w:rsidR="00240ED3">
        <w:t xml:space="preserve"> również </w:t>
      </w:r>
      <w:r w:rsidR="00FC7899">
        <w:t xml:space="preserve">wyposażanie </w:t>
      </w:r>
      <w:r w:rsidR="00167FED">
        <w:t>instalacji prosumenckich w magazyny energii</w:t>
      </w:r>
      <w:r w:rsidR="00CA3B9A">
        <w:t xml:space="preserve"> </w:t>
      </w:r>
      <w:r w:rsidR="00941117">
        <w:t xml:space="preserve">i ich </w:t>
      </w:r>
      <w:r w:rsidR="00CA3B9A">
        <w:t>efektywn</w:t>
      </w:r>
      <w:r w:rsidR="00941117">
        <w:t xml:space="preserve">e </w:t>
      </w:r>
      <w:r w:rsidR="00CA3B9A">
        <w:t>wykorzystani</w:t>
      </w:r>
      <w:r w:rsidR="00941117">
        <w:t>e</w:t>
      </w:r>
      <w:r w:rsidR="00910F33">
        <w:t xml:space="preserve">. </w:t>
      </w:r>
    </w:p>
    <w:p w14:paraId="5A2B5272" w14:textId="5EDC1CEC" w:rsidR="00471A6A" w:rsidRPr="00C46DAA" w:rsidRDefault="00471A6A" w:rsidP="00D9684B">
      <w:pPr>
        <w:pStyle w:val="PaMs"/>
      </w:pPr>
      <w:r w:rsidRPr="00C46DAA">
        <w:t>DZIAŁANIA</w:t>
      </w:r>
    </w:p>
    <w:p w14:paraId="14D4B3BD" w14:textId="2A9ACE0F" w:rsidR="00B3403E" w:rsidRDefault="00B3403E" w:rsidP="003530A9">
      <w:pPr>
        <w:pStyle w:val="Akapitzlist"/>
        <w:numPr>
          <w:ilvl w:val="0"/>
          <w:numId w:val="3"/>
        </w:numPr>
      </w:pPr>
      <w:r w:rsidRPr="00B3403E">
        <w:fldChar w:fldCharType="begin"/>
      </w:r>
      <w:r w:rsidRPr="00B3403E">
        <w:instrText xml:space="preserve"> REF _Ref195892608 \h </w:instrText>
      </w:r>
      <w:r>
        <w:instrText xml:space="preserve"> \* MERGEFORMAT </w:instrText>
      </w:r>
      <w:r w:rsidRPr="00B3403E">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2</w:t>
      </w:r>
      <w:r w:rsidR="00871DD5" w:rsidRPr="00871DD5">
        <w:rPr>
          <w:rStyle w:val="Nagwek6Znak"/>
          <w:rFonts w:ascii="Lato" w:hAnsi="Lato"/>
          <w:b w:val="0"/>
        </w:rPr>
        <w:t xml:space="preserve">. </w:t>
      </w:r>
      <w:r w:rsidR="00871DD5" w:rsidRPr="00077D7F">
        <w:t>Instrument finansowy – Fundusz Modernizacyjny</w:t>
      </w:r>
      <w:r w:rsidRPr="00B3403E">
        <w:fldChar w:fldCharType="end"/>
      </w:r>
    </w:p>
    <w:p w14:paraId="610CE668" w14:textId="2FDD1E0D" w:rsidR="00594159" w:rsidRPr="00B3403E" w:rsidRDefault="003D2524" w:rsidP="003530A9">
      <w:pPr>
        <w:pStyle w:val="Akapitzlist"/>
        <w:numPr>
          <w:ilvl w:val="0"/>
          <w:numId w:val="3"/>
        </w:numPr>
      </w:pPr>
      <w:r>
        <w:fldChar w:fldCharType="begin"/>
      </w:r>
      <w:r>
        <w:instrText xml:space="preserve"> REF _Ref195893365 \h </w:instrText>
      </w:r>
      <w:r>
        <w:fldChar w:fldCharType="separate"/>
      </w:r>
      <w:r w:rsidR="00871DD5">
        <w:t xml:space="preserve">Działanie </w:t>
      </w:r>
      <w:r w:rsidR="00871DD5">
        <w:rPr>
          <w:noProof/>
        </w:rPr>
        <w:t>17</w:t>
      </w:r>
      <w:r w:rsidR="00871DD5">
        <w:t>.</w:t>
      </w:r>
      <w:r w:rsidR="00871DD5" w:rsidRPr="00077D7F">
        <w:rPr>
          <w:lang w:eastAsia="pl-PL"/>
        </w:rPr>
        <w:t xml:space="preserve"> Rozwój rynku </w:t>
      </w:r>
      <w:r w:rsidR="00871DD5" w:rsidRPr="00731E3F">
        <w:t>magazynów</w:t>
      </w:r>
      <w:r w:rsidR="00871DD5" w:rsidRPr="00077D7F">
        <w:rPr>
          <w:lang w:eastAsia="pl-PL"/>
        </w:rPr>
        <w:t xml:space="preserve"> energii elektrycznej oraz magazynów ciepła</w:t>
      </w:r>
      <w:r>
        <w:fldChar w:fldCharType="end"/>
      </w:r>
    </w:p>
    <w:p w14:paraId="5E67B346" w14:textId="24230527" w:rsidR="00065586" w:rsidRDefault="00C42F0F" w:rsidP="00C42F0F">
      <w:pPr>
        <w:pStyle w:val="Akapitzlist"/>
        <w:numPr>
          <w:ilvl w:val="0"/>
          <w:numId w:val="3"/>
        </w:numPr>
      </w:pPr>
      <w:r>
        <w:fldChar w:fldCharType="begin"/>
      </w:r>
      <w:r>
        <w:instrText xml:space="preserve"> REF _Ref197523309 \h </w:instrText>
      </w:r>
      <w:r>
        <w:fldChar w:fldCharType="separate"/>
      </w:r>
      <w:r w:rsidR="00871DD5">
        <w:t xml:space="preserve">Działanie </w:t>
      </w:r>
      <w:r w:rsidR="00871DD5">
        <w:rPr>
          <w:noProof/>
        </w:rPr>
        <w:t>21</w:t>
      </w:r>
      <w:r w:rsidR="00871DD5">
        <w:t xml:space="preserve">. </w:t>
      </w:r>
      <w:r w:rsidR="00871DD5" w:rsidRPr="00E34034">
        <w:t>Wdrożenie energetyki jądrowej</w:t>
      </w:r>
      <w:r>
        <w:fldChar w:fldCharType="end"/>
      </w:r>
    </w:p>
    <w:p w14:paraId="448C5611" w14:textId="36B4A8AA" w:rsidR="00594159" w:rsidRDefault="00065586" w:rsidP="00C42F0F">
      <w:pPr>
        <w:pStyle w:val="Akapitzlist"/>
        <w:numPr>
          <w:ilvl w:val="0"/>
          <w:numId w:val="3"/>
        </w:numPr>
      </w:pPr>
      <w:r>
        <w:fldChar w:fldCharType="begin"/>
      </w:r>
      <w:r>
        <w:instrText xml:space="preserve"> REF _Ref195892481 \h  \* MERGEFORMAT </w:instrText>
      </w:r>
      <w:r>
        <w:fldChar w:fldCharType="separate"/>
      </w:r>
      <w:r w:rsidR="00871DD5" w:rsidRPr="00871DD5">
        <w:rPr>
          <w:rStyle w:val="Nagwek6Znak"/>
          <w:rFonts w:ascii="Lato" w:hAnsi="Lato"/>
          <w:b w:val="0"/>
        </w:rPr>
        <w:t xml:space="preserve">Działanie </w:t>
      </w:r>
      <w:r w:rsidR="00871DD5" w:rsidRPr="00871DD5">
        <w:rPr>
          <w:rFonts w:eastAsia="Times New Roman" w:cs="Times New Roman"/>
          <w:bCs/>
          <w:color w:val="000000"/>
          <w:kern w:val="0"/>
          <w:lang w:eastAsia="pl-PL"/>
          <w14:ligatures w14:val="none"/>
        </w:rPr>
        <w:t xml:space="preserve">130. </w:t>
      </w:r>
      <w:r w:rsidR="00871DD5" w:rsidRPr="006C2F1F">
        <w:rPr>
          <w:rFonts w:eastAsia="Times New Roman" w:cs="Times New Roman"/>
          <w:bCs/>
          <w:color w:val="000000"/>
          <w:kern w:val="0"/>
          <w:lang w:eastAsia="pl-PL"/>
          <w14:ligatures w14:val="none"/>
        </w:rPr>
        <w:t>Instrument finansowy – Rynek mocy</w:t>
      </w:r>
      <w:r>
        <w:fldChar w:fldCharType="end"/>
      </w:r>
      <w:r w:rsidR="00B3403E">
        <w:t xml:space="preserve"> </w:t>
      </w:r>
    </w:p>
    <w:p w14:paraId="57EC0ECE" w14:textId="7B3BC99F" w:rsidR="00471A6A" w:rsidRPr="00D603C2" w:rsidRDefault="00471A6A" w:rsidP="00D603C2">
      <w:pPr>
        <w:pStyle w:val="Nagwek4"/>
        <w:rPr>
          <w:color w:val="C00000"/>
        </w:rPr>
      </w:pPr>
      <w:bookmarkStart w:id="622" w:name="_Toc159598333"/>
      <w:bookmarkStart w:id="623" w:name="_Ref195893816"/>
      <w:bookmarkStart w:id="624" w:name="_Toc195897361"/>
      <w:bookmarkStart w:id="625" w:name="_Toc205203212"/>
      <w:bookmarkEnd w:id="620"/>
      <w:r w:rsidRPr="00D603C2">
        <w:rPr>
          <w:color w:val="C00000"/>
        </w:rPr>
        <w:lastRenderedPageBreak/>
        <w:t>Zapewnienie elastyczności systemu elektroenergetycznego dla lepszej integracji OZE</w:t>
      </w:r>
      <w:bookmarkEnd w:id="622"/>
      <w:bookmarkEnd w:id="623"/>
      <w:bookmarkEnd w:id="624"/>
      <w:bookmarkEnd w:id="625"/>
    </w:p>
    <w:p w14:paraId="73B90740" w14:textId="53EC6AF2" w:rsidR="005F7105" w:rsidRDefault="005F7105" w:rsidP="005F7105">
      <w:r>
        <w:t>Wzrost udziału w krajowym miksie energetycznym źródeł wytwórczych OZE, których generacja w dużym stopniu jest zależna od warunków pogodowych oraz jest zmienna w czasie, powoduje, że pokrycie zapotrzebowania na energię elektryczną oraz moc w systemie elektroenergetycznym staje się coraz większym wyzwaniem. Jedną z odpowiedzi na to wyzwanie jest zwiększenie elastyczności systemu elektroenergetycznego</w:t>
      </w:r>
      <w:r w:rsidR="008B58DE">
        <w:t>, czyli zapewnienie takich źródeł i rozwiązań, które pozwolą na pokrycie zapotrzebowania na energię w okresach braku lub niskiej dostępności energii z OZE</w:t>
      </w:r>
      <w:r>
        <w:t>.</w:t>
      </w:r>
    </w:p>
    <w:p w14:paraId="2D1D93D6" w14:textId="38FFC8E2" w:rsidR="00F56F72" w:rsidRDefault="005F7105" w:rsidP="005F7105">
      <w:r>
        <w:t xml:space="preserve">W ostatnich latach elastyczność systemu zapewniały głównie </w:t>
      </w:r>
      <w:r w:rsidR="00370D28">
        <w:t xml:space="preserve">gazowe </w:t>
      </w:r>
      <w:r>
        <w:t>jednostki wytwórcze</w:t>
      </w:r>
      <w:r w:rsidR="00370D28">
        <w:t>,</w:t>
      </w:r>
      <w:r w:rsidR="143365A5">
        <w:t xml:space="preserve"> czy</w:t>
      </w:r>
      <w:r>
        <w:t xml:space="preserve"> elektrownie szczytowo-pompowe</w:t>
      </w:r>
      <w:r w:rsidR="00370D28">
        <w:t>, a także częściowo moce węglowe</w:t>
      </w:r>
      <w:r>
        <w:t xml:space="preserve">. Możliwości wykorzystania tych zasobów do zapewniania elastyczności systemu </w:t>
      </w:r>
      <w:r w:rsidR="00F509D4">
        <w:t>są</w:t>
      </w:r>
      <w:r>
        <w:t xml:space="preserve"> zależn</w:t>
      </w:r>
      <w:r w:rsidR="00F509D4">
        <w:t>e</w:t>
      </w:r>
      <w:r>
        <w:t xml:space="preserve"> m.in. od ich parametrów technicznych</w:t>
      </w:r>
      <w:r w:rsidR="00835B2B">
        <w:t>, a także poziomu emisyjności</w:t>
      </w:r>
      <w:r>
        <w:t xml:space="preserve">. Jednak rosnący udział </w:t>
      </w:r>
      <w:r w:rsidR="00827860">
        <w:t xml:space="preserve">zależnych pogodowo </w:t>
      </w:r>
      <w:r>
        <w:t xml:space="preserve">OZE w produkcji energii elektrycznej stanowi wyzwanie dla tych jednostek wytwórczych, które dla zapewniania elastyczności systemu elektroenergetycznego będą musiały być wspierane przez inne źródła elastyczności, w tym </w:t>
      </w:r>
      <w:r w:rsidR="00370D28">
        <w:t xml:space="preserve">moce </w:t>
      </w:r>
      <w:r w:rsidR="00BC60E2">
        <w:t xml:space="preserve">dyspozycyjne </w:t>
      </w:r>
      <w:r w:rsidR="003F3B74">
        <w:t>(np. moce gazowe wykorzystujące</w:t>
      </w:r>
      <w:r w:rsidR="5A1AB0B3">
        <w:t xml:space="preserve"> </w:t>
      </w:r>
      <w:r w:rsidR="003F3B74">
        <w:t>biometan</w:t>
      </w:r>
      <w:r w:rsidR="00370D28">
        <w:t>,</w:t>
      </w:r>
      <w:r w:rsidR="00370D28" w:rsidRPr="00370D28">
        <w:t xml:space="preserve"> </w:t>
      </w:r>
      <w:r w:rsidR="5A1AB0B3">
        <w:t>biogaz albo</w:t>
      </w:r>
      <w:r w:rsidR="003F3B74">
        <w:t xml:space="preserve"> </w:t>
      </w:r>
      <w:r w:rsidR="00370D28">
        <w:t>wodór</w:t>
      </w:r>
      <w:r w:rsidR="003F3B74">
        <w:t>)</w:t>
      </w:r>
      <w:r w:rsidR="00BC60E2">
        <w:t xml:space="preserve">, </w:t>
      </w:r>
      <w:r>
        <w:t>magazyny energii czy zarządzanie popytem (DSR</w:t>
      </w:r>
      <w:r w:rsidRPr="00EB316B">
        <w:t xml:space="preserve"> </w:t>
      </w:r>
      <w:r>
        <w:t xml:space="preserve">ang. </w:t>
      </w:r>
      <w:r w:rsidRPr="00813E69">
        <w:rPr>
          <w:i/>
          <w:iCs/>
        </w:rPr>
        <w:t>demand side response</w:t>
      </w:r>
      <w:r>
        <w:t>)</w:t>
      </w:r>
      <w:r w:rsidR="00F42CB2">
        <w:t xml:space="preserve"> </w:t>
      </w:r>
      <w:r w:rsidR="002A6C3A">
        <w:t>m.in. przez</w:t>
      </w:r>
      <w:r w:rsidR="00F42CB2">
        <w:t xml:space="preserve"> </w:t>
      </w:r>
      <w:r w:rsidR="0093049E">
        <w:t>upow</w:t>
      </w:r>
      <w:r w:rsidR="00682CEF">
        <w:t xml:space="preserve">szechnianie </w:t>
      </w:r>
      <w:r w:rsidR="004B6BA9">
        <w:t xml:space="preserve">umów z </w:t>
      </w:r>
      <w:r w:rsidR="00985A06">
        <w:t xml:space="preserve">ceną </w:t>
      </w:r>
      <w:r w:rsidR="004B6BA9">
        <w:t>dynamiczn</w:t>
      </w:r>
      <w:r w:rsidR="00985A06">
        <w:t>ą</w:t>
      </w:r>
      <w:r w:rsidR="00192834">
        <w:t xml:space="preserve">, </w:t>
      </w:r>
      <w:r w:rsidR="00C672EE">
        <w:t xml:space="preserve">świadczenie usług przez </w:t>
      </w:r>
      <w:r w:rsidR="00D476FC">
        <w:t>„dużych” odbiorców</w:t>
      </w:r>
      <w:r w:rsidR="00A81CEA">
        <w:t xml:space="preserve"> przemysłowych</w:t>
      </w:r>
      <w:r w:rsidR="00D50FCF">
        <w:t>, czy agregatorów</w:t>
      </w:r>
      <w:r w:rsidR="00F56F72">
        <w:t xml:space="preserve">. </w:t>
      </w:r>
      <w:r w:rsidR="00A81CEA">
        <w:t>Coraz</w:t>
      </w:r>
      <w:r w:rsidR="0015579D">
        <w:t> </w:t>
      </w:r>
      <w:r w:rsidR="00A81CEA">
        <w:t>większą rolę może pełnić także współpraca z sektorem ciepłownictwa i elektromobilności, co</w:t>
      </w:r>
      <w:r w:rsidR="0015579D">
        <w:t> </w:t>
      </w:r>
      <w:r w:rsidR="00A81CEA">
        <w:t>pozwala w</w:t>
      </w:r>
      <w:r w:rsidR="004B6BA9">
        <w:t> </w:t>
      </w:r>
      <w:r w:rsidR="00A81CEA">
        <w:t xml:space="preserve">szczególności na </w:t>
      </w:r>
      <w:r w:rsidR="00D82819">
        <w:t>zagospodarowanie</w:t>
      </w:r>
      <w:r w:rsidR="00A81CEA">
        <w:t xml:space="preserve"> nadwyżek z OZE.</w:t>
      </w:r>
    </w:p>
    <w:p w14:paraId="1C580C47" w14:textId="145F2253" w:rsidR="00A81CEA" w:rsidRDefault="00F56F72" w:rsidP="00C40955">
      <w:pPr>
        <w:spacing w:before="360"/>
      </w:pPr>
      <w:r w:rsidRPr="00F56F72">
        <w:rPr>
          <w:b/>
          <w:bCs/>
        </w:rPr>
        <w:t xml:space="preserve">Elastyczność systemu powinna prowadzić do pewności dostaw energii elektrycznej, a także do ograniczania wysokości cen energii, a zwłaszcza skoków cen </w:t>
      </w:r>
      <w:r w:rsidRPr="00F56F72">
        <w:t xml:space="preserve">(ang. </w:t>
      </w:r>
      <w:r w:rsidRPr="00F56F72">
        <w:rPr>
          <w:i/>
          <w:iCs/>
        </w:rPr>
        <w:t>prices spikes</w:t>
      </w:r>
      <w:r w:rsidRPr="00F56F72">
        <w:t>)</w:t>
      </w:r>
      <w:r>
        <w:t xml:space="preserve">, które mogą być następstwem </w:t>
      </w:r>
      <w:r w:rsidR="001B2EEF">
        <w:t xml:space="preserve">np. </w:t>
      </w:r>
      <w:r w:rsidRPr="00F56F72">
        <w:t>niekorzystny</w:t>
      </w:r>
      <w:r>
        <w:t>ch</w:t>
      </w:r>
      <w:r w:rsidRPr="00F56F72">
        <w:t xml:space="preserve"> warunk</w:t>
      </w:r>
      <w:r>
        <w:t>ów</w:t>
      </w:r>
      <w:r w:rsidRPr="00F56F72">
        <w:t xml:space="preserve"> atmosferyczny</w:t>
      </w:r>
      <w:r>
        <w:t>ch</w:t>
      </w:r>
      <w:r w:rsidRPr="00F56F72">
        <w:t xml:space="preserve">, </w:t>
      </w:r>
      <w:r w:rsidR="00873579">
        <w:t xml:space="preserve">występowania wysokich szczytów dobowego popytu w godzinach </w:t>
      </w:r>
      <w:r w:rsidR="00D9684B">
        <w:t>wieczornych</w:t>
      </w:r>
      <w:r w:rsidR="00873579">
        <w:t xml:space="preserve"> czy dalszego wzrostu poziomu szczytowego zapotrzebowania na energię</w:t>
      </w:r>
      <w:r w:rsidR="001B2EEF">
        <w:t xml:space="preserve">. </w:t>
      </w:r>
    </w:p>
    <w:p w14:paraId="4EFCDACC" w14:textId="47CA5DEB" w:rsidR="002E3D94" w:rsidRDefault="002A4207" w:rsidP="005F7105">
      <w:r>
        <w:t xml:space="preserve">Zgodnie z rozporządzeniem (UE) 2019/943 </w:t>
      </w:r>
      <w:r w:rsidRPr="00967F44">
        <w:t>w sprawie rynku wewnętrznego energii elektrycznej</w:t>
      </w:r>
      <w:r w:rsidR="0067154A">
        <w:t>, zwanym „rynkowym”</w:t>
      </w:r>
      <w:r w:rsidR="007F70BF">
        <w:t xml:space="preserve"> </w:t>
      </w:r>
      <w:r w:rsidR="00D162F7">
        <w:t>–</w:t>
      </w:r>
      <w:r w:rsidR="004B6BA9">
        <w:t xml:space="preserve"> </w:t>
      </w:r>
      <w:r w:rsidR="005D0502">
        <w:t>znowelizowanym</w:t>
      </w:r>
      <w:r w:rsidR="00D162F7">
        <w:t xml:space="preserve"> rozporządzeniem (UE) 2024/17</w:t>
      </w:r>
      <w:r w:rsidR="00C75C24">
        <w:t>4</w:t>
      </w:r>
      <w:r w:rsidR="00D162F7">
        <w:t>7</w:t>
      </w:r>
      <w:r w:rsidR="00DC2046">
        <w:t xml:space="preserve"> </w:t>
      </w:r>
      <w:r w:rsidR="00D162F7">
        <w:t xml:space="preserve">– </w:t>
      </w:r>
      <w:r w:rsidR="00DC2046">
        <w:t>rynek energii powinien funkcjonować i</w:t>
      </w:r>
      <w:r w:rsidR="00A81CEA">
        <w:t> </w:t>
      </w:r>
      <w:r w:rsidR="00DC2046">
        <w:t xml:space="preserve">rozwijać się tak, aby </w:t>
      </w:r>
      <w:r w:rsidR="00224987">
        <w:t xml:space="preserve">był </w:t>
      </w:r>
      <w:r w:rsidR="00224987" w:rsidRPr="00224987">
        <w:rPr>
          <w:b/>
          <w:bCs/>
        </w:rPr>
        <w:t>konkurencyjny, przejrzysty i oparty na zasadach rynkowych</w:t>
      </w:r>
      <w:r w:rsidR="00224987">
        <w:rPr>
          <w:b/>
          <w:bCs/>
        </w:rPr>
        <w:t xml:space="preserve">, </w:t>
      </w:r>
      <w:r w:rsidR="007F70BF">
        <w:rPr>
          <w:b/>
          <w:bCs/>
        </w:rPr>
        <w:t>zapewniający swobodny przepływ energii, uwzgledniający udział konsumentów</w:t>
      </w:r>
      <w:r w:rsidR="00E45243">
        <w:rPr>
          <w:rStyle w:val="Odwoanieprzypisudolnego"/>
          <w:b/>
          <w:bCs/>
        </w:rPr>
        <w:footnoteReference w:id="122"/>
      </w:r>
      <w:r w:rsidR="00E45243">
        <w:t>. Jednym z</w:t>
      </w:r>
      <w:r w:rsidR="004B6BA9">
        <w:t> </w:t>
      </w:r>
      <w:r w:rsidR="00E45243">
        <w:t>kluczowych element</w:t>
      </w:r>
      <w:r w:rsidR="0095495A">
        <w:t>ó</w:t>
      </w:r>
      <w:r w:rsidR="00E45243">
        <w:t xml:space="preserve">w </w:t>
      </w:r>
      <w:r w:rsidR="00AE2E5D">
        <w:t>realizowanych działań powinno być zapewnienie elastyczności systemu elektroenergetycznego</w:t>
      </w:r>
      <w:r w:rsidR="004A601C">
        <w:t xml:space="preserve">, co odnosi się zarówno do wytwarzania energii, </w:t>
      </w:r>
      <w:r w:rsidR="008F395E">
        <w:t>dysponowania nią</w:t>
      </w:r>
      <w:r w:rsidR="00E07201">
        <w:t xml:space="preserve"> przez operatorów</w:t>
      </w:r>
      <w:r w:rsidR="008F395E">
        <w:t xml:space="preserve"> i </w:t>
      </w:r>
      <w:r w:rsidR="00E07201">
        <w:t>bardziej elastycznego popytu</w:t>
      </w:r>
      <w:r w:rsidR="002E3D94">
        <w:t>.</w:t>
      </w:r>
      <w:r w:rsidR="0091687E">
        <w:t xml:space="preserve"> Kwest</w:t>
      </w:r>
      <w:r w:rsidR="00692C13">
        <w:t xml:space="preserve">ie zasad funkcjonowania rynku </w:t>
      </w:r>
      <w:r w:rsidR="008441C4">
        <w:t>w oparciu o</w:t>
      </w:r>
      <w:r w:rsidR="0015579D">
        <w:t> </w:t>
      </w:r>
      <w:r w:rsidR="008441C4">
        <w:t xml:space="preserve">elastyczność </w:t>
      </w:r>
      <w:r w:rsidR="00A17583">
        <w:t xml:space="preserve">i zachęty dla </w:t>
      </w:r>
      <w:r w:rsidR="004770E2">
        <w:t xml:space="preserve">aktywnego uczestnictwa w rynku określa także dyrektywa PE i Rady 2019/944. </w:t>
      </w:r>
      <w:r w:rsidR="005D0502">
        <w:t>Z</w:t>
      </w:r>
      <w:r w:rsidR="004B6BA9">
        <w:t> </w:t>
      </w:r>
      <w:r w:rsidR="004770E2">
        <w:t>powyższych regulacji wynika, że</w:t>
      </w:r>
      <w:r w:rsidR="00B04EBF">
        <w:t xml:space="preserve"> n</w:t>
      </w:r>
      <w:r w:rsidR="005E05EA">
        <w:t xml:space="preserve">arzędziami do </w:t>
      </w:r>
      <w:r w:rsidR="00FB1D2B">
        <w:t xml:space="preserve">wdrażania zasady elastyczności </w:t>
      </w:r>
      <w:r w:rsidR="004770E2">
        <w:t>powinny być</w:t>
      </w:r>
      <w:r w:rsidR="00FB1D2B">
        <w:t xml:space="preserve"> przede wszystkim</w:t>
      </w:r>
      <w:r w:rsidR="000A60B0">
        <w:t>:</w:t>
      </w:r>
    </w:p>
    <w:p w14:paraId="4E944BAA" w14:textId="7096ACCB" w:rsidR="000A60B0" w:rsidRDefault="00FB1D2B" w:rsidP="000625AC">
      <w:pPr>
        <w:pStyle w:val="Akapitzlist"/>
        <w:numPr>
          <w:ilvl w:val="0"/>
          <w:numId w:val="63"/>
        </w:numPr>
      </w:pPr>
      <w:r>
        <w:t>W</w:t>
      </w:r>
      <w:r w:rsidR="00C44463">
        <w:t>łaściw</w:t>
      </w:r>
      <w:r>
        <w:t>e</w:t>
      </w:r>
      <w:r w:rsidR="00C44463">
        <w:t xml:space="preserve"> </w:t>
      </w:r>
      <w:r w:rsidR="00C44463" w:rsidRPr="00142AC8">
        <w:rPr>
          <w:b/>
          <w:bCs/>
        </w:rPr>
        <w:t>redysponowani</w:t>
      </w:r>
      <w:r>
        <w:rPr>
          <w:b/>
          <w:bCs/>
        </w:rPr>
        <w:t>e</w:t>
      </w:r>
      <w:r w:rsidR="00474FB7">
        <w:t xml:space="preserve">, </w:t>
      </w:r>
      <w:r w:rsidR="00BA4F13">
        <w:t>o</w:t>
      </w:r>
      <w:r w:rsidR="00474FB7">
        <w:t>part</w:t>
      </w:r>
      <w:r>
        <w:t>e</w:t>
      </w:r>
      <w:r w:rsidR="00474FB7">
        <w:t xml:space="preserve"> o</w:t>
      </w:r>
      <w:r w:rsidR="00BA4F13">
        <w:t xml:space="preserve"> </w:t>
      </w:r>
      <w:r w:rsidR="00C25362" w:rsidRPr="00C25362">
        <w:t>przejrzyst</w:t>
      </w:r>
      <w:r w:rsidR="00BA4F13">
        <w:t>e</w:t>
      </w:r>
      <w:r w:rsidR="00C25362" w:rsidRPr="00C25362">
        <w:t xml:space="preserve"> i niedyskryminacyjn</w:t>
      </w:r>
      <w:r w:rsidR="00BA4F13">
        <w:t>e</w:t>
      </w:r>
      <w:r w:rsidR="00C25362" w:rsidRPr="00C25362">
        <w:t xml:space="preserve"> kryteria</w:t>
      </w:r>
      <w:r w:rsidR="00474FB7">
        <w:t xml:space="preserve">, </w:t>
      </w:r>
      <w:r w:rsidR="00420B41">
        <w:t xml:space="preserve">otwarte </w:t>
      </w:r>
      <w:r w:rsidR="00F1536D" w:rsidRPr="00F1536D">
        <w:t>dla wszystkich technologii wytwarzania, magazynowania energii i odpowiedzi odbioru</w:t>
      </w:r>
      <w:r>
        <w:t>, w tym także z innych państw członkowskich</w:t>
      </w:r>
      <w:r w:rsidR="00F1536D">
        <w:t xml:space="preserve"> (art. 13</w:t>
      </w:r>
      <w:r w:rsidR="004770E2">
        <w:t xml:space="preserve"> rozporządzenia 2019/943</w:t>
      </w:r>
      <w:r w:rsidR="00F1536D">
        <w:t>)</w:t>
      </w:r>
      <w:r>
        <w:t>;</w:t>
      </w:r>
    </w:p>
    <w:p w14:paraId="1074E669" w14:textId="564E463D" w:rsidR="00F1536D" w:rsidRDefault="00353D6C" w:rsidP="000625AC">
      <w:pPr>
        <w:pStyle w:val="Akapitzlist"/>
        <w:numPr>
          <w:ilvl w:val="0"/>
          <w:numId w:val="63"/>
        </w:numPr>
      </w:pPr>
      <w:r>
        <w:t>Środki</w:t>
      </w:r>
      <w:r w:rsidR="00444CC2" w:rsidRPr="00444CC2">
        <w:t xml:space="preserve"> służące</w:t>
      </w:r>
      <w:r w:rsidR="00444CC2">
        <w:rPr>
          <w:b/>
          <w:bCs/>
        </w:rPr>
        <w:t xml:space="preserve"> r</w:t>
      </w:r>
      <w:r w:rsidR="00142AC8" w:rsidRPr="00AA2F78">
        <w:rPr>
          <w:b/>
          <w:bCs/>
        </w:rPr>
        <w:t>edukcji ograniczeń przesyłowych</w:t>
      </w:r>
      <w:r w:rsidR="00000C5E">
        <w:t>,</w:t>
      </w:r>
      <w:r w:rsidR="00B43676">
        <w:t xml:space="preserve"> </w:t>
      </w:r>
      <w:r w:rsidR="00000C5E">
        <w:t xml:space="preserve">zarówno wewnątrz </w:t>
      </w:r>
      <w:r w:rsidR="00E7589F">
        <w:t xml:space="preserve">państw członkowskich (obszar rynkowy), jak i pomiędzy </w:t>
      </w:r>
      <w:r w:rsidR="003F1658">
        <w:t>obszarami rynkowymi</w:t>
      </w:r>
      <w:r w:rsidR="00295136">
        <w:t xml:space="preserve"> i </w:t>
      </w:r>
      <w:r w:rsidR="004E14E9">
        <w:t>odpowiednie</w:t>
      </w:r>
      <w:r w:rsidR="00444CC2">
        <w:t>mu</w:t>
      </w:r>
      <w:r w:rsidR="00295136">
        <w:t xml:space="preserve"> zarządzani</w:t>
      </w:r>
      <w:r w:rsidR="00444CC2">
        <w:t>u</w:t>
      </w:r>
      <w:r w:rsidR="00295136">
        <w:t xml:space="preserve"> tymi ograniczeniami</w:t>
      </w:r>
      <w:r w:rsidR="004E14E9">
        <w:t xml:space="preserve"> (art. 14</w:t>
      </w:r>
      <w:r w:rsidR="004770E2" w:rsidRPr="004770E2">
        <w:t xml:space="preserve"> </w:t>
      </w:r>
      <w:r w:rsidR="004770E2">
        <w:t>rozporządzenia 2019/943</w:t>
      </w:r>
      <w:r w:rsidR="004E14E9">
        <w:t>)</w:t>
      </w:r>
      <w:r w:rsidR="00AA2F78">
        <w:t>;</w:t>
      </w:r>
    </w:p>
    <w:p w14:paraId="21B47F95" w14:textId="72FD948F" w:rsidR="003E58C1" w:rsidRDefault="001A26E0" w:rsidP="000625AC">
      <w:pPr>
        <w:pStyle w:val="Akapitzlist"/>
        <w:numPr>
          <w:ilvl w:val="0"/>
          <w:numId w:val="63"/>
        </w:numPr>
      </w:pPr>
      <w:r>
        <w:t>O</w:t>
      </w:r>
      <w:r w:rsidR="006F4DC2">
        <w:t>d</w:t>
      </w:r>
      <w:r>
        <w:t xml:space="preserve">powiednie </w:t>
      </w:r>
      <w:r w:rsidRPr="00E06641">
        <w:rPr>
          <w:b/>
          <w:bCs/>
        </w:rPr>
        <w:t>kształtowani</w:t>
      </w:r>
      <w:r w:rsidR="00444CC2">
        <w:rPr>
          <w:b/>
          <w:bCs/>
        </w:rPr>
        <w:t>e</w:t>
      </w:r>
      <w:r w:rsidRPr="00E06641">
        <w:rPr>
          <w:b/>
          <w:bCs/>
        </w:rPr>
        <w:t xml:space="preserve"> </w:t>
      </w:r>
      <w:r w:rsidR="006F4DC2" w:rsidRPr="00E06641">
        <w:rPr>
          <w:b/>
          <w:bCs/>
        </w:rPr>
        <w:t>opłat sieciowych</w:t>
      </w:r>
      <w:r w:rsidR="00BF1F96">
        <w:rPr>
          <w:b/>
          <w:bCs/>
        </w:rPr>
        <w:t xml:space="preserve"> </w:t>
      </w:r>
      <w:r w:rsidR="00BF1F96" w:rsidRPr="00BF1F96">
        <w:t>za korzystanie z sieci</w:t>
      </w:r>
      <w:r w:rsidR="006F4DC2">
        <w:t xml:space="preserve">, </w:t>
      </w:r>
      <w:r w:rsidR="00E06641">
        <w:t xml:space="preserve">które </w:t>
      </w:r>
      <w:r w:rsidR="00CE501F">
        <w:t xml:space="preserve">są </w:t>
      </w:r>
      <w:r w:rsidR="00CE501F" w:rsidRPr="003E58C1">
        <w:t>przejrzyste</w:t>
      </w:r>
      <w:r w:rsidR="00BB1D70">
        <w:t>,</w:t>
      </w:r>
      <w:r w:rsidR="00CE501F" w:rsidRPr="003E58C1">
        <w:t xml:space="preserve"> </w:t>
      </w:r>
      <w:r w:rsidR="003E58C1" w:rsidRPr="003E58C1">
        <w:t>odzwierciedlają koszty</w:t>
      </w:r>
      <w:r w:rsidR="00F370DB">
        <w:t xml:space="preserve"> operatorów</w:t>
      </w:r>
      <w:r w:rsidR="003E58C1" w:rsidRPr="003E58C1">
        <w:t xml:space="preserve"> </w:t>
      </w:r>
      <w:r w:rsidR="009F2CAF">
        <w:t>oraz</w:t>
      </w:r>
      <w:r w:rsidR="003E58C1" w:rsidRPr="003E58C1">
        <w:t xml:space="preserve"> uwzględniają potrzebę zapewnienia bezpieczeństwa i elastyczności sieci</w:t>
      </w:r>
      <w:r w:rsidR="0065093F">
        <w:t xml:space="preserve">, a </w:t>
      </w:r>
      <w:r w:rsidR="001F5D13">
        <w:t>nawe</w:t>
      </w:r>
      <w:r w:rsidR="00182B28">
        <w:t>t</w:t>
      </w:r>
      <w:r w:rsidR="001F5D13">
        <w:t xml:space="preserve"> wspierają </w:t>
      </w:r>
      <w:r w:rsidR="00182B28">
        <w:t>korzystanie z usług elastyczności</w:t>
      </w:r>
      <w:r w:rsidR="007D7FA1">
        <w:t xml:space="preserve">. Jednocześnie </w:t>
      </w:r>
      <w:r w:rsidR="00817F52">
        <w:t>o</w:t>
      </w:r>
      <w:r w:rsidR="00817F52" w:rsidRPr="00817F52">
        <w:t>płaty sieciowe nie mogą prowadzić do pozytywnej ani negatywnej dyskryminacji magazynowania energii i agregacji oraz nie mogą tworzyć bodźców zniechęcających do samodzielnego wytwarzania i konsumpcji lub udziału w odpowiedzi odbioru</w:t>
      </w:r>
      <w:r w:rsidR="00BF1F96">
        <w:t xml:space="preserve"> (art. 18</w:t>
      </w:r>
      <w:r w:rsidR="004770E2">
        <w:t xml:space="preserve"> rozporządzenia 2019/943</w:t>
      </w:r>
      <w:r w:rsidR="00BF1F96">
        <w:t>)</w:t>
      </w:r>
      <w:r w:rsidR="003E76C4">
        <w:t>;</w:t>
      </w:r>
    </w:p>
    <w:p w14:paraId="14A1BA71" w14:textId="693B0B9B" w:rsidR="000C7403" w:rsidRDefault="003B6B34" w:rsidP="000625AC">
      <w:pPr>
        <w:pStyle w:val="Akapitzlist"/>
        <w:numPr>
          <w:ilvl w:val="0"/>
          <w:numId w:val="63"/>
        </w:numPr>
      </w:pPr>
      <w:r>
        <w:lastRenderedPageBreak/>
        <w:t>Zapewnieni</w:t>
      </w:r>
      <w:r w:rsidR="009921F5">
        <w:t>e</w:t>
      </w:r>
      <w:r>
        <w:t xml:space="preserve"> </w:t>
      </w:r>
      <w:r w:rsidR="00991396">
        <w:t xml:space="preserve">warunków </w:t>
      </w:r>
      <w:r w:rsidR="00AE6DF2" w:rsidRPr="003E76C4">
        <w:t>uczestnictwa</w:t>
      </w:r>
      <w:r w:rsidR="00991396" w:rsidRPr="003E76C4">
        <w:t xml:space="preserve"> w rynku i </w:t>
      </w:r>
      <w:r w:rsidR="00AE6DF2" w:rsidRPr="003E76C4">
        <w:t>wykorzystania</w:t>
      </w:r>
      <w:r w:rsidR="00991396" w:rsidRPr="003E76C4">
        <w:t xml:space="preserve"> potencjał</w:t>
      </w:r>
      <w:r w:rsidR="00AE6DF2" w:rsidRPr="003E76C4">
        <w:t xml:space="preserve">u </w:t>
      </w:r>
      <w:r w:rsidR="008B7984" w:rsidRPr="003E76C4">
        <w:t>produkcyjnego i</w:t>
      </w:r>
      <w:r w:rsidR="008042F5" w:rsidRPr="003E76C4">
        <w:t> </w:t>
      </w:r>
      <w:r w:rsidR="00E952F7" w:rsidRPr="003E76C4">
        <w:t>redukcyjnego</w:t>
      </w:r>
      <w:r w:rsidR="00E952F7">
        <w:rPr>
          <w:b/>
          <w:bCs/>
        </w:rPr>
        <w:t xml:space="preserve"> </w:t>
      </w:r>
      <w:r w:rsidR="00AE6DF2" w:rsidRPr="008B7984">
        <w:rPr>
          <w:b/>
          <w:bCs/>
        </w:rPr>
        <w:t>odbiorców, agregatorów</w:t>
      </w:r>
      <w:r w:rsidR="00AE6DF2">
        <w:t xml:space="preserve"> </w:t>
      </w:r>
      <w:r w:rsidR="000C7403">
        <w:t>(art. 13</w:t>
      </w:r>
      <w:r w:rsidR="008B7984">
        <w:t>, 15</w:t>
      </w:r>
      <w:r w:rsidR="000C7403">
        <w:t xml:space="preserve"> i 17</w:t>
      </w:r>
      <w:r w:rsidR="003E76C4">
        <w:t xml:space="preserve"> dyrektywy 2019/944</w:t>
      </w:r>
      <w:r w:rsidR="000C7403">
        <w:t>)</w:t>
      </w:r>
      <w:r w:rsidR="003E76C4">
        <w:t>;</w:t>
      </w:r>
    </w:p>
    <w:p w14:paraId="361FE5ED" w14:textId="7392106C" w:rsidR="00D30679" w:rsidRDefault="00AE6DF2" w:rsidP="000625AC">
      <w:pPr>
        <w:pStyle w:val="Akapitzlist"/>
        <w:numPr>
          <w:ilvl w:val="0"/>
          <w:numId w:val="63"/>
        </w:numPr>
      </w:pPr>
      <w:r>
        <w:t>Upow</w:t>
      </w:r>
      <w:r w:rsidR="008A43E1">
        <w:t>szechniani</w:t>
      </w:r>
      <w:r w:rsidR="009921F5">
        <w:t>e</w:t>
      </w:r>
      <w:r w:rsidR="008A43E1">
        <w:t xml:space="preserve"> </w:t>
      </w:r>
      <w:r w:rsidR="00434FC0" w:rsidRPr="008B7984">
        <w:rPr>
          <w:b/>
          <w:bCs/>
        </w:rPr>
        <w:t>inteligentnych systemów opomiarowania</w:t>
      </w:r>
      <w:r w:rsidR="008B7984">
        <w:t>, wpływającego na lepsze zarządzanie dostawami energią i bardziej świadome korzystanie z niej</w:t>
      </w:r>
      <w:r w:rsidR="00434FC0">
        <w:t xml:space="preserve"> </w:t>
      </w:r>
      <w:r w:rsidR="002F10AE">
        <w:t>(art. 19 i 20 dyrektywy 2019/944)</w:t>
      </w:r>
      <w:r w:rsidR="007E15AC">
        <w:t>;</w:t>
      </w:r>
    </w:p>
    <w:p w14:paraId="5A6A3C5D" w14:textId="1BB1E628" w:rsidR="00832FD3" w:rsidRDefault="00595E51" w:rsidP="000625AC">
      <w:pPr>
        <w:pStyle w:val="Akapitzlist"/>
        <w:numPr>
          <w:ilvl w:val="0"/>
          <w:numId w:val="63"/>
        </w:numPr>
      </w:pPr>
      <w:r>
        <w:t xml:space="preserve">Zapewnienie funkcjonowania </w:t>
      </w:r>
      <w:r w:rsidR="00600A89" w:rsidRPr="0043682C">
        <w:rPr>
          <w:b/>
          <w:bCs/>
        </w:rPr>
        <w:t>rynk</w:t>
      </w:r>
      <w:r w:rsidR="00FD5769" w:rsidRPr="0043682C">
        <w:rPr>
          <w:b/>
          <w:bCs/>
        </w:rPr>
        <w:t>ów terminowych i rynku</w:t>
      </w:r>
      <w:r w:rsidRPr="0043682C">
        <w:rPr>
          <w:b/>
          <w:bCs/>
        </w:rPr>
        <w:t xml:space="preserve"> bilans</w:t>
      </w:r>
      <w:r w:rsidR="00600A89" w:rsidRPr="0043682C">
        <w:rPr>
          <w:b/>
          <w:bCs/>
        </w:rPr>
        <w:t>ującego</w:t>
      </w:r>
      <w:r>
        <w:t xml:space="preserve"> według ściśle określonych zasad </w:t>
      </w:r>
      <w:r w:rsidR="004B6BA9">
        <w:t xml:space="preserve">oraz możliwość wdrożenia przez </w:t>
      </w:r>
      <w:r w:rsidR="00DB39EF">
        <w:t>wiązania</w:t>
      </w:r>
      <w:r w:rsidR="004B6BA9">
        <w:t xml:space="preserve"> (produktu) </w:t>
      </w:r>
      <w:r w:rsidR="00DB39EF">
        <w:t>wygładzonego profilu zapotrzebowania – w określonych sytuacjach kryzysowych</w:t>
      </w:r>
      <w:r>
        <w:t xml:space="preserve"> </w:t>
      </w:r>
      <w:r w:rsidR="00832FD3">
        <w:t>(art.</w:t>
      </w:r>
      <w:r w:rsidR="003E2DE5">
        <w:t xml:space="preserve"> </w:t>
      </w:r>
      <w:r w:rsidR="00600A89">
        <w:t>5</w:t>
      </w:r>
      <w:r w:rsidR="0043682C">
        <w:t>,</w:t>
      </w:r>
      <w:r w:rsidR="00600A89">
        <w:t xml:space="preserve"> 6</w:t>
      </w:r>
      <w:r w:rsidR="0043682C">
        <w:t>, 9</w:t>
      </w:r>
      <w:r w:rsidR="00600A89">
        <w:t xml:space="preserve"> </w:t>
      </w:r>
      <w:r w:rsidR="00832FD3">
        <w:t>rozporządzenia 2019/943)</w:t>
      </w:r>
      <w:r w:rsidR="00600A89">
        <w:t>;</w:t>
      </w:r>
    </w:p>
    <w:p w14:paraId="722A1664" w14:textId="7B114A90" w:rsidR="00600F5B" w:rsidRDefault="000B4464" w:rsidP="000625AC">
      <w:pPr>
        <w:pStyle w:val="Akapitzlist"/>
        <w:numPr>
          <w:ilvl w:val="0"/>
          <w:numId w:val="63"/>
        </w:numPr>
      </w:pPr>
      <w:r>
        <w:rPr>
          <w:b/>
          <w:bCs/>
        </w:rPr>
        <w:t>Właściw</w:t>
      </w:r>
      <w:r w:rsidR="00600F5B">
        <w:rPr>
          <w:b/>
          <w:bCs/>
        </w:rPr>
        <w:t>a</w:t>
      </w:r>
      <w:r>
        <w:rPr>
          <w:b/>
          <w:bCs/>
        </w:rPr>
        <w:t xml:space="preserve"> alokacj</w:t>
      </w:r>
      <w:r w:rsidR="00600F5B">
        <w:rPr>
          <w:b/>
          <w:bCs/>
        </w:rPr>
        <w:t>a</w:t>
      </w:r>
      <w:r>
        <w:rPr>
          <w:b/>
          <w:bCs/>
        </w:rPr>
        <w:t xml:space="preserve"> </w:t>
      </w:r>
      <w:r w:rsidR="00F71B3A" w:rsidRPr="00F71B3A">
        <w:rPr>
          <w:b/>
          <w:bCs/>
        </w:rPr>
        <w:t>międzyobszarowych zdolności przesyłowych</w:t>
      </w:r>
      <w:r w:rsidR="00F71B3A">
        <w:t>, wzmacniają</w:t>
      </w:r>
      <w:r w:rsidR="009921F5">
        <w:t>ca</w:t>
      </w:r>
      <w:r w:rsidR="00F71B3A">
        <w:t xml:space="preserve"> </w:t>
      </w:r>
      <w:r w:rsidR="00A86A87">
        <w:t xml:space="preserve">możliwości </w:t>
      </w:r>
      <w:r w:rsidR="00857DD9">
        <w:t xml:space="preserve">wykorzystania potencjału </w:t>
      </w:r>
      <w:r w:rsidR="008E2C8C">
        <w:t xml:space="preserve">elastyczności </w:t>
      </w:r>
      <w:r w:rsidR="00610610">
        <w:t>wynikających z połączeń transgranicznych (art. 17</w:t>
      </w:r>
      <w:r w:rsidR="008B7984">
        <w:t xml:space="preserve"> rozporządzenia 2019/943</w:t>
      </w:r>
      <w:r w:rsidR="00610610">
        <w:t>)</w:t>
      </w:r>
      <w:r w:rsidR="00600F5B">
        <w:t>;</w:t>
      </w:r>
    </w:p>
    <w:p w14:paraId="4221C4B1" w14:textId="3BECCB97" w:rsidR="00ED0862" w:rsidRDefault="00600F5B" w:rsidP="000625AC">
      <w:pPr>
        <w:pStyle w:val="Akapitzlist"/>
        <w:numPr>
          <w:ilvl w:val="0"/>
          <w:numId w:val="63"/>
        </w:numPr>
      </w:pPr>
      <w:r w:rsidRPr="009921F5">
        <w:t>Uwzględnienie</w:t>
      </w:r>
      <w:r>
        <w:rPr>
          <w:b/>
          <w:bCs/>
        </w:rPr>
        <w:t xml:space="preserve"> </w:t>
      </w:r>
      <w:r>
        <w:t xml:space="preserve">możliwości </w:t>
      </w:r>
      <w:r w:rsidRPr="009921F5">
        <w:rPr>
          <w:b/>
          <w:bCs/>
        </w:rPr>
        <w:t>zakupu usług elastyczności</w:t>
      </w:r>
      <w:r>
        <w:t xml:space="preserve"> przy tworzeniu planów rozwoju sieci </w:t>
      </w:r>
      <w:r w:rsidR="009921F5">
        <w:t xml:space="preserve">dystrybucyjnych </w:t>
      </w:r>
      <w:r>
        <w:t xml:space="preserve">(art. </w:t>
      </w:r>
      <w:r w:rsidR="009921F5">
        <w:t>32 dyrektywy 2019/944</w:t>
      </w:r>
      <w:r>
        <w:t>)</w:t>
      </w:r>
      <w:r w:rsidR="00610610">
        <w:t>.</w:t>
      </w:r>
    </w:p>
    <w:p w14:paraId="01322050" w14:textId="1CAED5C3" w:rsidR="005F7105" w:rsidRPr="00877657" w:rsidRDefault="00166A08" w:rsidP="005F7105">
      <w:r>
        <w:t>Rola e</w:t>
      </w:r>
      <w:r w:rsidR="00ED0862">
        <w:t>lastycznoś</w:t>
      </w:r>
      <w:r>
        <w:t>ci</w:t>
      </w:r>
      <w:r w:rsidR="00ED0862">
        <w:t xml:space="preserve"> systemu elektroenergetycznego została </w:t>
      </w:r>
      <w:r>
        <w:t xml:space="preserve">podkreślona także w ramach </w:t>
      </w:r>
      <w:r w:rsidR="003876D4">
        <w:t>Komunikatu</w:t>
      </w:r>
      <w:r w:rsidR="00347273">
        <w:t xml:space="preserve"> </w:t>
      </w:r>
      <w:r w:rsidR="003876D4">
        <w:t>Komisji</w:t>
      </w:r>
      <w:r w:rsidR="00347273">
        <w:t xml:space="preserve"> Europ</w:t>
      </w:r>
      <w:r w:rsidR="00953CD7">
        <w:t xml:space="preserve">ejskiej określającej </w:t>
      </w:r>
      <w:r w:rsidR="006C6EA0" w:rsidRPr="00953CD7">
        <w:rPr>
          <w:i/>
          <w:iCs/>
        </w:rPr>
        <w:t>Plan działania na rzecz przystępnej cenowo energii</w:t>
      </w:r>
      <w:r w:rsidR="00953CD7" w:rsidRPr="00F43616">
        <w:rPr>
          <w:rStyle w:val="Odwoanieprzypisudolnego"/>
        </w:rPr>
        <w:footnoteReference w:id="123"/>
      </w:r>
      <w:r w:rsidR="00873579">
        <w:rPr>
          <w:i/>
          <w:iCs/>
        </w:rPr>
        <w:t>.</w:t>
      </w:r>
      <w:r w:rsidR="00873579">
        <w:t xml:space="preserve"> </w:t>
      </w:r>
      <w:r w:rsidR="00873579" w:rsidRPr="00F56F72">
        <w:t xml:space="preserve">Wzmocnienie elastyczności przez rozwój magazynowania i przesuwanie popytu na okresy, gdy energia jest najtańsza jest </w:t>
      </w:r>
      <w:r w:rsidR="00873579">
        <w:t xml:space="preserve">zostały wskazane jako </w:t>
      </w:r>
      <w:r w:rsidR="00873579" w:rsidRPr="00F56F72">
        <w:t>jedyn</w:t>
      </w:r>
      <w:r w:rsidR="00873579">
        <w:t>e</w:t>
      </w:r>
      <w:r w:rsidR="00873579" w:rsidRPr="00F56F72">
        <w:t xml:space="preserve"> z narzędzi</w:t>
      </w:r>
      <w:r w:rsidR="00A81CEA">
        <w:t xml:space="preserve"> obniżania kosztów dostaw energii.</w:t>
      </w:r>
      <w:r w:rsidR="00873579" w:rsidRPr="00F56F72">
        <w:t xml:space="preserve"> </w:t>
      </w:r>
      <w:r w:rsidR="005F7105">
        <w:t>E</w:t>
      </w:r>
      <w:r w:rsidR="005F7105" w:rsidRPr="005F7105">
        <w:t>lastyczność systemów elektroenergetycznych będzie kluczowym elementem na drodze do zdekarbonizowanego systemu energetycznego</w:t>
      </w:r>
      <w:r w:rsidR="005F7105">
        <w:t>.</w:t>
      </w:r>
    </w:p>
    <w:p w14:paraId="327635E3" w14:textId="62A5E820" w:rsidR="005F7105" w:rsidRDefault="005F7105" w:rsidP="005F7105">
      <w:pPr>
        <w:pStyle w:val="Cele"/>
        <w:rPr>
          <w:rStyle w:val="CeleZnak"/>
          <w:b/>
        </w:rPr>
      </w:pPr>
      <w:r>
        <w:rPr>
          <w:rStyle w:val="CeleZnak"/>
          <w:b/>
        </w:rPr>
        <w:t xml:space="preserve">Celem działań jest </w:t>
      </w:r>
      <w:r w:rsidR="00986CF0">
        <w:rPr>
          <w:rStyle w:val="CeleZnak"/>
          <w:b/>
        </w:rPr>
        <w:t>zapewnienie takiej</w:t>
      </w:r>
      <w:r>
        <w:rPr>
          <w:rStyle w:val="CeleZnak"/>
          <w:b/>
        </w:rPr>
        <w:t xml:space="preserve"> elastyczności systemu elektroenergetycznego</w:t>
      </w:r>
      <w:r w:rsidR="00986CF0">
        <w:rPr>
          <w:rStyle w:val="CeleZnak"/>
          <w:b/>
        </w:rPr>
        <w:t xml:space="preserve">, która </w:t>
      </w:r>
      <w:r w:rsidR="00257F67">
        <w:rPr>
          <w:rStyle w:val="CeleZnak"/>
          <w:b/>
        </w:rPr>
        <w:t xml:space="preserve">umożliwi </w:t>
      </w:r>
      <w:r w:rsidR="007971CA">
        <w:rPr>
          <w:rStyle w:val="CeleZnak"/>
          <w:b/>
        </w:rPr>
        <w:t xml:space="preserve">stabilne </w:t>
      </w:r>
      <w:r w:rsidR="00B162B5">
        <w:rPr>
          <w:rStyle w:val="CeleZnak"/>
          <w:b/>
        </w:rPr>
        <w:t>dostawy energii do odbiorów końcowych</w:t>
      </w:r>
      <w:r w:rsidR="00C40955">
        <w:rPr>
          <w:rStyle w:val="CeleZnak"/>
          <w:b/>
        </w:rPr>
        <w:t xml:space="preserve"> i ograniczy wzrost kosztów utrzymania systemu</w:t>
      </w:r>
      <w:r>
        <w:rPr>
          <w:rStyle w:val="CeleZnak"/>
          <w:b/>
        </w:rPr>
        <w:t xml:space="preserve">. </w:t>
      </w:r>
    </w:p>
    <w:p w14:paraId="69CCC8B6" w14:textId="1121D4B7" w:rsidR="00471A6A" w:rsidRDefault="00471A6A" w:rsidP="000262E7">
      <w:pPr>
        <w:rPr>
          <w:rFonts w:ascii="Bahnschrift" w:hAnsi="Bahnschrift"/>
        </w:rPr>
      </w:pPr>
      <w:r w:rsidRPr="00C46DAA">
        <w:rPr>
          <w:rFonts w:ascii="Bahnschrift" w:hAnsi="Bahnschrift"/>
          <w:b/>
          <w:bCs/>
          <w:sz w:val="32"/>
          <w:szCs w:val="32"/>
        </w:rPr>
        <w:t>POLITYKA</w:t>
      </w:r>
    </w:p>
    <w:p w14:paraId="75153665" w14:textId="2F8328F6" w:rsidR="004978BC" w:rsidRDefault="00B66A83" w:rsidP="00A3306B">
      <w:r>
        <w:t xml:space="preserve">Rozbudowa systemu elektroenergetycznego będzie realizowana tak, aby dążyć do dekarbonizacji sektora, w szczególności przez wzrost wykorzystania energii ze źródeł odnawialnych, a przed 2040 r. </w:t>
      </w:r>
      <w:r w:rsidR="00280FB4">
        <w:t>energii jądrowej. W takim systemie niezbędne jest z</w:t>
      </w:r>
      <w:r>
        <w:t>apewnienie i wzmocnienie elastyczności</w:t>
      </w:r>
      <w:r w:rsidR="00280FB4">
        <w:t xml:space="preserve">, co będzie osiągane </w:t>
      </w:r>
      <w:r>
        <w:t>w szczególności przez następujące polityki:</w:t>
      </w:r>
    </w:p>
    <w:p w14:paraId="0DA6B7D6" w14:textId="3981D5B7" w:rsidR="00B66A83" w:rsidRDefault="00B66A83" w:rsidP="000625AC">
      <w:pPr>
        <w:pStyle w:val="Akapitzlist"/>
        <w:numPr>
          <w:ilvl w:val="0"/>
          <w:numId w:val="70"/>
        </w:numPr>
        <w:ind w:left="714" w:hanging="357"/>
        <w:contextualSpacing w:val="0"/>
      </w:pPr>
      <w:r>
        <w:t xml:space="preserve">W przejściowym okresie transformacji w systemie elektroenergetycznym </w:t>
      </w:r>
      <w:r w:rsidR="00B5484C">
        <w:t xml:space="preserve">mogą funkcjonować istniejące dyspozycyjne źródła wytwórcze, w tym oparte o węgiel. Dłuższą perspektywę wykorzystania niż źródła węglowe będą mieć źródła gazowe, które zapewniają wyższą elastyczność pracy. Dlatego dopuszcza się także </w:t>
      </w:r>
      <w:r w:rsidR="00B5484C" w:rsidRPr="00B5484C">
        <w:rPr>
          <w:b/>
          <w:bCs/>
        </w:rPr>
        <w:t>budowę nowych jednostek</w:t>
      </w:r>
      <w:r w:rsidR="00B5484C">
        <w:t>. Perspektywicznie elektrownie gazowe mogą wykorzystywać biometan, a także wodór, czyli paliw</w:t>
      </w:r>
      <w:r w:rsidR="00681735">
        <w:t>a</w:t>
      </w:r>
      <w:r w:rsidR="00B5484C">
        <w:t xml:space="preserve"> odnawialn</w:t>
      </w:r>
      <w:r w:rsidR="00681735">
        <w:t>e</w:t>
      </w:r>
      <w:r w:rsidR="00B5484C">
        <w:t xml:space="preserve"> i</w:t>
      </w:r>
      <w:r w:rsidR="0015579D">
        <w:t> </w:t>
      </w:r>
      <w:r w:rsidR="00B5484C">
        <w:t>zdekarbonizowan</w:t>
      </w:r>
      <w:r w:rsidR="00681735">
        <w:t>e</w:t>
      </w:r>
      <w:r w:rsidR="00B5484C">
        <w:t>.</w:t>
      </w:r>
    </w:p>
    <w:p w14:paraId="6F9C984D" w14:textId="44F0A30C" w:rsidR="001942AB" w:rsidRDefault="000D5C45" w:rsidP="000625AC">
      <w:pPr>
        <w:pStyle w:val="Akapitzlist"/>
        <w:numPr>
          <w:ilvl w:val="0"/>
          <w:numId w:val="69"/>
        </w:numPr>
        <w:contextualSpacing w:val="0"/>
      </w:pPr>
      <w:r>
        <w:t xml:space="preserve">Popularyzacji </w:t>
      </w:r>
      <w:r w:rsidR="003C51E5">
        <w:t xml:space="preserve">i zwiększeniu udziału w rynku energii elektrycznej </w:t>
      </w:r>
      <w:r>
        <w:t xml:space="preserve">powinno ulegać </w:t>
      </w:r>
      <w:r w:rsidRPr="000D5C45">
        <w:rPr>
          <w:b/>
          <w:bCs/>
        </w:rPr>
        <w:t>magazynowanie energii elektrycznej</w:t>
      </w:r>
      <w:r>
        <w:t xml:space="preserve"> w zróżnicowanych formach, w tym bateryjnych i opartych na gazach </w:t>
      </w:r>
      <w:r w:rsidR="006F3557">
        <w:t>odnawialnych</w:t>
      </w:r>
      <w:r>
        <w:t>.</w:t>
      </w:r>
      <w:r w:rsidR="00A3306B">
        <w:t xml:space="preserve"> </w:t>
      </w:r>
    </w:p>
    <w:p w14:paraId="0328060D" w14:textId="5EABEDD5" w:rsidR="001942AB" w:rsidRPr="007915C4" w:rsidRDefault="000D5C45" w:rsidP="000625AC">
      <w:pPr>
        <w:pStyle w:val="Akapitzlist"/>
        <w:numPr>
          <w:ilvl w:val="0"/>
          <w:numId w:val="69"/>
        </w:numPr>
        <w:contextualSpacing w:val="0"/>
      </w:pPr>
      <w:r>
        <w:t>Powinna następować</w:t>
      </w:r>
      <w:r w:rsidR="00A3306B">
        <w:t xml:space="preserve"> </w:t>
      </w:r>
      <w:r w:rsidR="004978BC">
        <w:t xml:space="preserve">popularyzacja </w:t>
      </w:r>
      <w:r w:rsidR="00A3306B" w:rsidRPr="001942AB">
        <w:rPr>
          <w:b/>
          <w:bCs/>
        </w:rPr>
        <w:t xml:space="preserve">mechanizmów elastyczności po stronie popytu i podaży, agregacji, taryf i </w:t>
      </w:r>
      <w:r w:rsidR="00A24E9C">
        <w:rPr>
          <w:b/>
          <w:bCs/>
        </w:rPr>
        <w:t xml:space="preserve">upowszechnienia </w:t>
      </w:r>
      <w:r w:rsidR="00D54DF3">
        <w:rPr>
          <w:b/>
          <w:bCs/>
        </w:rPr>
        <w:t xml:space="preserve">umów </w:t>
      </w:r>
      <w:r w:rsidR="00A3306B" w:rsidRPr="001942AB">
        <w:rPr>
          <w:b/>
          <w:bCs/>
        </w:rPr>
        <w:t>cen</w:t>
      </w:r>
      <w:r w:rsidR="00D54DF3">
        <w:rPr>
          <w:b/>
          <w:bCs/>
        </w:rPr>
        <w:t>ami</w:t>
      </w:r>
      <w:r w:rsidR="00A3306B" w:rsidRPr="001942AB">
        <w:rPr>
          <w:b/>
          <w:bCs/>
        </w:rPr>
        <w:t xml:space="preserve"> dynamiczn</w:t>
      </w:r>
      <w:r w:rsidR="00D54DF3">
        <w:rPr>
          <w:b/>
          <w:bCs/>
        </w:rPr>
        <w:t>ymi</w:t>
      </w:r>
      <w:r w:rsidR="003C51E5">
        <w:t>.</w:t>
      </w:r>
      <w:r w:rsidR="00A3306B">
        <w:t xml:space="preserve"> </w:t>
      </w:r>
      <w:r w:rsidR="001942AB">
        <w:t xml:space="preserve">Skuteczność </w:t>
      </w:r>
      <w:r w:rsidR="00D54DF3">
        <w:t xml:space="preserve">stosowania </w:t>
      </w:r>
      <w:r w:rsidR="00B86B94">
        <w:t xml:space="preserve">tego typ </w:t>
      </w:r>
      <w:r w:rsidR="00CB302D">
        <w:t>umów</w:t>
      </w:r>
      <w:r w:rsidR="00B86B94">
        <w:t xml:space="preserve"> </w:t>
      </w:r>
      <w:r w:rsidR="001942AB">
        <w:t xml:space="preserve">jest skorelowana ze świadomością użytkowników energii i prosumentów. Istotną rolę w obszarze racjonalnego wykorzystania energii, wytwarzania, magazynowania i oddawania do sieci odgrywa w tym obszarze rozwój </w:t>
      </w:r>
      <w:r w:rsidR="001942AB" w:rsidRPr="001942AB">
        <w:rPr>
          <w:b/>
          <w:bCs/>
        </w:rPr>
        <w:t>inteligentnych systemów</w:t>
      </w:r>
      <w:r w:rsidR="001942AB" w:rsidRPr="001942AB">
        <w:rPr>
          <w:b/>
          <w:bCs/>
          <w:i/>
          <w:iCs/>
        </w:rPr>
        <w:t>,</w:t>
      </w:r>
      <w:r w:rsidR="001942AB">
        <w:t xml:space="preserve"> który nadal będzie wspierany </w:t>
      </w:r>
      <w:r w:rsidR="001942AB">
        <w:lastRenderedPageBreak/>
        <w:t xml:space="preserve">wśród wszystkich uczestników rynku – zarówno użytkowników, producentów energii, społeczności energetycznych, jak i operatorów systemów elektroenergetycznych. </w:t>
      </w:r>
    </w:p>
    <w:p w14:paraId="70B9E0E8" w14:textId="07325AC3" w:rsidR="00D82819" w:rsidRDefault="001942AB" w:rsidP="000625AC">
      <w:pPr>
        <w:pStyle w:val="Akapitzlist"/>
        <w:numPr>
          <w:ilvl w:val="0"/>
          <w:numId w:val="69"/>
        </w:numPr>
        <w:ind w:left="714" w:hanging="357"/>
        <w:contextualSpacing w:val="0"/>
      </w:pPr>
      <w:r>
        <w:t xml:space="preserve">Prowadzone będą prace nad zapewnieniem </w:t>
      </w:r>
      <w:r w:rsidRPr="001942AB">
        <w:rPr>
          <w:b/>
          <w:bCs/>
        </w:rPr>
        <w:t xml:space="preserve">rozwiązań prawnych oraz opracowaniem koncepcji mechanizmów rynkowej integracji OZE </w:t>
      </w:r>
      <w:r>
        <w:t xml:space="preserve">w związku z wyzwaniami rosnącej produkcji i mocy zainstalowanej w systemie elektroenergetycznym, w tym w zakresie usług rynkowych świadczonych przez OZE, uwzględnienia lokalizacji OZE w sieci, współpracy OZE z magazynami oraz usług wpływających na bilansowanie systemu elektroenergetycznego i warunki funkcjonowania sieci elektroenergetycznej. </w:t>
      </w:r>
      <w:r w:rsidR="00276D9C">
        <w:t xml:space="preserve">Rozszerzeniu może ulegać cały </w:t>
      </w:r>
      <w:r w:rsidR="00276D9C" w:rsidRPr="005F7105">
        <w:t>katalog usług służących elastyczności systemu elektroenergetycznego</w:t>
      </w:r>
      <w:r w:rsidR="00156977">
        <w:t>.</w:t>
      </w:r>
      <w:r w:rsidR="00276D9C">
        <w:t xml:space="preserve"> </w:t>
      </w:r>
      <w:r w:rsidR="003C51E5">
        <w:t>Z</w:t>
      </w:r>
      <w:r w:rsidR="00A3306B">
        <w:t>większ</w:t>
      </w:r>
      <w:r w:rsidR="00156977">
        <w:t>ać się</w:t>
      </w:r>
      <w:r w:rsidR="003C51E5">
        <w:t xml:space="preserve"> powinien także</w:t>
      </w:r>
      <w:r w:rsidR="00156977">
        <w:t xml:space="preserve"> aktywny</w:t>
      </w:r>
      <w:r w:rsidR="00A3306B">
        <w:t xml:space="preserve"> udział pozostałych uczestników w rynku bilansującym. </w:t>
      </w:r>
    </w:p>
    <w:p w14:paraId="6B94A6AB" w14:textId="0718FD29" w:rsidR="001942AB" w:rsidRDefault="001942AB" w:rsidP="000625AC">
      <w:pPr>
        <w:pStyle w:val="Akapitzlist"/>
        <w:numPr>
          <w:ilvl w:val="0"/>
          <w:numId w:val="69"/>
        </w:numPr>
        <w:ind w:left="714" w:hanging="357"/>
        <w:contextualSpacing w:val="0"/>
      </w:pPr>
      <w:r>
        <w:t xml:space="preserve">Wsparcie finansowe na bezpośredni rozwój najtańszych OZE </w:t>
      </w:r>
      <w:r w:rsidRPr="001942AB">
        <w:rPr>
          <w:b/>
          <w:bCs/>
        </w:rPr>
        <w:t>będzie stopniowo przesuwane w kierunku rozwiązań warunkujących ich bezpieczne funkcjonowanie w systemie</w:t>
      </w:r>
      <w:r>
        <w:t>.</w:t>
      </w:r>
      <w:r w:rsidR="00596136">
        <w:t xml:space="preserve"> Dotyczyć to może premiowania zastosowania magazynu energii elektrycznej, uzależnienie pomocy od jego zastosowania lub wsparcie wyłącznie magazynowania. Systemowe wsparcie, oparte dotychczas na aukcyjnych dopłatach do produkcji energii elektrycznej z OZE może zostać skierowane na rozwiązania </w:t>
      </w:r>
      <w:r w:rsidR="00276D9C">
        <w:t xml:space="preserve">oparte o </w:t>
      </w:r>
      <w:r w:rsidR="00276D9C" w:rsidRPr="00276D9C">
        <w:t>instalacje hybrydowe,</w:t>
      </w:r>
      <w:r w:rsidR="00276D9C" w:rsidRPr="00A50A79">
        <w:t xml:space="preserve"> </w:t>
      </w:r>
      <w:r w:rsidR="00276D9C" w:rsidRPr="00B139B1">
        <w:rPr>
          <w:b/>
          <w:bCs/>
        </w:rPr>
        <w:t>charakteryzujące się wysoką dyspozycyjnością</w:t>
      </w:r>
      <w:r w:rsidR="00276D9C" w:rsidRPr="00A50A79">
        <w:t>. Instalacje te powinny integrować różnorodne źródła OZE, technologie magazynowania energii oraz – w razie potrzeby i możliwości – źródła szczytowe, co pozwoli na budowanie stabilności systemu energetycznego już u jego podstaw.</w:t>
      </w:r>
    </w:p>
    <w:p w14:paraId="35CCCAD3" w14:textId="13B8AA30" w:rsidR="00156977" w:rsidRPr="007915C4" w:rsidRDefault="00276D9C" w:rsidP="000625AC">
      <w:pPr>
        <w:pStyle w:val="Akapitzlist"/>
        <w:numPr>
          <w:ilvl w:val="0"/>
          <w:numId w:val="69"/>
        </w:numPr>
        <w:ind w:left="714" w:hanging="357"/>
        <w:contextualSpacing w:val="0"/>
      </w:pPr>
      <w:r w:rsidRPr="00A50A79">
        <w:t xml:space="preserve">Ważnym </w:t>
      </w:r>
      <w:r>
        <w:t xml:space="preserve">rozwiązaniem wspierającym </w:t>
      </w:r>
      <w:r w:rsidRPr="00A50A79">
        <w:t xml:space="preserve">jest </w:t>
      </w:r>
      <w:r w:rsidRPr="00BD1879">
        <w:rPr>
          <w:b/>
          <w:bCs/>
        </w:rPr>
        <w:t>możliwość współdzielenia przyłącza przez kilka instalacji wytwórczych</w:t>
      </w:r>
      <w:r>
        <w:rPr>
          <w:b/>
          <w:bCs/>
        </w:rPr>
        <w:t xml:space="preserve"> (ang.</w:t>
      </w:r>
      <w:r w:rsidRPr="00BD1879">
        <w:rPr>
          <w:b/>
          <w:bCs/>
        </w:rPr>
        <w:t xml:space="preserve"> </w:t>
      </w:r>
      <w:r w:rsidRPr="00BD1879">
        <w:rPr>
          <w:b/>
          <w:bCs/>
          <w:i/>
          <w:iCs/>
        </w:rPr>
        <w:t>cable pooling</w:t>
      </w:r>
      <w:r>
        <w:rPr>
          <w:b/>
          <w:bCs/>
        </w:rPr>
        <w:t>)</w:t>
      </w:r>
      <w:r w:rsidRPr="00A50A79">
        <w:t xml:space="preserve">, </w:t>
      </w:r>
      <w:r>
        <w:t xml:space="preserve">co </w:t>
      </w:r>
      <w:r w:rsidRPr="00A50A79">
        <w:t>umożliwia łączenie różnych, wzajemnie uzupełniających się źródeł energii w ramach wspólnej infrastruktury przyłączeniowej.</w:t>
      </w:r>
      <w:r w:rsidR="00F234CF">
        <w:t xml:space="preserve"> </w:t>
      </w:r>
      <w:r w:rsidR="00B6608F">
        <w:t xml:space="preserve">Współdzielenie przyłącza dotychczas </w:t>
      </w:r>
      <w:r w:rsidR="00725AC5">
        <w:t xml:space="preserve">przewidziane było tylko dla OZE, ale zostanie </w:t>
      </w:r>
      <w:r w:rsidR="00F234CF">
        <w:t xml:space="preserve">rozszerzone </w:t>
      </w:r>
      <w:r w:rsidR="003561C4">
        <w:t>na inne źródła i magazyny energii.</w:t>
      </w:r>
    </w:p>
    <w:p w14:paraId="02438B05" w14:textId="04CFE27E" w:rsidR="000262E7" w:rsidRDefault="00A3306B" w:rsidP="000625AC">
      <w:pPr>
        <w:pStyle w:val="Akapitzlist"/>
        <w:numPr>
          <w:ilvl w:val="0"/>
          <w:numId w:val="69"/>
        </w:numPr>
      </w:pPr>
      <w:r>
        <w:t xml:space="preserve">Priorytetem </w:t>
      </w:r>
      <w:r w:rsidR="00156977">
        <w:t xml:space="preserve">pozostaje </w:t>
      </w:r>
      <w:r w:rsidRPr="00D82819">
        <w:rPr>
          <w:b/>
          <w:bCs/>
        </w:rPr>
        <w:t>rozbudowa i modernizacja sieci elektroenergetycznych</w:t>
      </w:r>
      <w:r>
        <w:t xml:space="preserve"> (przesyłowych i</w:t>
      </w:r>
      <w:r w:rsidR="0015579D">
        <w:t> </w:t>
      </w:r>
      <w:r>
        <w:t xml:space="preserve">dystrybucyjnych), tak aby system był zdolny do odbioru energii ze źródeł wytwórczych oraz do zapewniania odpowiedniego rozpływu energii </w:t>
      </w:r>
      <w:r w:rsidR="00BA4AF0">
        <w:t xml:space="preserve">elektrycznej </w:t>
      </w:r>
      <w:r>
        <w:t>w systemie.</w:t>
      </w:r>
    </w:p>
    <w:p w14:paraId="51368BD6" w14:textId="667247B2" w:rsidR="00471A6A" w:rsidRPr="00C46DAA" w:rsidRDefault="00471A6A" w:rsidP="00B139B1">
      <w:pPr>
        <w:pStyle w:val="PaMs"/>
      </w:pPr>
      <w:r w:rsidRPr="00C46DAA">
        <w:t>DZIAŁANIA</w:t>
      </w:r>
    </w:p>
    <w:p w14:paraId="11A4C8F2" w14:textId="1BB17B5C" w:rsidR="00083AF9" w:rsidRDefault="00083AF9" w:rsidP="003530A9">
      <w:pPr>
        <w:pStyle w:val="Akapitzlist"/>
        <w:numPr>
          <w:ilvl w:val="0"/>
          <w:numId w:val="3"/>
        </w:numPr>
      </w:pPr>
      <w:r w:rsidRPr="0011634C">
        <w:fldChar w:fldCharType="begin"/>
      </w:r>
      <w:r w:rsidRPr="0011634C">
        <w:instrText xml:space="preserve"> REF _Ref195892938 \h </w:instrText>
      </w:r>
      <w:r w:rsidR="0011634C">
        <w:instrText xml:space="preserve"> \* MERGEFORMAT </w:instrText>
      </w:r>
      <w:r w:rsidRPr="0011634C">
        <w:fldChar w:fldCharType="separate"/>
      </w:r>
      <w:r w:rsidR="00871DD5">
        <w:t xml:space="preserve">Działanie </w:t>
      </w:r>
      <w:r w:rsidR="00871DD5">
        <w:rPr>
          <w:noProof/>
        </w:rPr>
        <w:t>17</w:t>
      </w:r>
      <w:r w:rsidR="00871DD5">
        <w:t>.</w:t>
      </w:r>
      <w:r w:rsidR="00871DD5" w:rsidRPr="00077D7F">
        <w:rPr>
          <w:lang w:eastAsia="pl-PL"/>
        </w:rPr>
        <w:t xml:space="preserve"> Rozwój rynku </w:t>
      </w:r>
      <w:r w:rsidR="00871DD5" w:rsidRPr="00731E3F">
        <w:rPr>
          <w:lang w:eastAsia="pl-PL"/>
        </w:rPr>
        <w:t>magazynów</w:t>
      </w:r>
      <w:r w:rsidR="00871DD5" w:rsidRPr="00077D7F">
        <w:rPr>
          <w:lang w:eastAsia="pl-PL"/>
        </w:rPr>
        <w:t xml:space="preserve"> energii elektrycznej oraz magazynów ciepła</w:t>
      </w:r>
      <w:r w:rsidRPr="0011634C">
        <w:fldChar w:fldCharType="end"/>
      </w:r>
    </w:p>
    <w:p w14:paraId="6B338899" w14:textId="5315264A" w:rsidR="00792029" w:rsidRDefault="00792029" w:rsidP="009B382F">
      <w:pPr>
        <w:pStyle w:val="Akapitzlist"/>
        <w:numPr>
          <w:ilvl w:val="0"/>
          <w:numId w:val="3"/>
        </w:numPr>
      </w:pPr>
      <w:r w:rsidRPr="00BD43AD">
        <w:fldChar w:fldCharType="begin"/>
      </w:r>
      <w:r w:rsidRPr="00BD43AD">
        <w:instrText xml:space="preserve"> REF _Ref197949397 \h </w:instrText>
      </w:r>
      <w:r w:rsidR="00BD43AD">
        <w:instrText xml:space="preserve"> \* MERGEFORMAT </w:instrText>
      </w:r>
      <w:r w:rsidRPr="00BD43AD">
        <w:fldChar w:fldCharType="separate"/>
      </w:r>
      <w:r w:rsidR="00871DD5">
        <w:t xml:space="preserve">Działanie </w:t>
      </w:r>
      <w:r w:rsidR="00871DD5">
        <w:rPr>
          <w:noProof/>
        </w:rPr>
        <w:t>23</w:t>
      </w:r>
      <w:r w:rsidR="00871DD5">
        <w:t xml:space="preserve">. </w:t>
      </w:r>
      <w:r w:rsidR="00871DD5" w:rsidRPr="002259C9">
        <w:t xml:space="preserve">Działania w zakresie zwiększenia elastyczności systemu </w:t>
      </w:r>
      <w:r w:rsidR="00871DD5">
        <w:t>elektro</w:t>
      </w:r>
      <w:r w:rsidR="00871DD5" w:rsidRPr="002259C9">
        <w:t>energetycznego w</w:t>
      </w:r>
      <w:r w:rsidR="00871DD5">
        <w:t xml:space="preserve"> </w:t>
      </w:r>
      <w:r w:rsidR="00871DD5" w:rsidRPr="002259C9">
        <w:t xml:space="preserve">odniesieniu do wytwarzania energii </w:t>
      </w:r>
      <w:r w:rsidR="00871DD5">
        <w:t>z OZE</w:t>
      </w:r>
      <w:r w:rsidR="00871DD5" w:rsidRPr="002259C9">
        <w:t xml:space="preserve"> i dostosowania się do przewidywanych zmian KSE</w:t>
      </w:r>
      <w:r w:rsidRPr="00BD43AD">
        <w:fldChar w:fldCharType="end"/>
      </w:r>
    </w:p>
    <w:p w14:paraId="426CE729" w14:textId="5B45136D" w:rsidR="00DA7B3F" w:rsidRDefault="00552271" w:rsidP="003530A9">
      <w:pPr>
        <w:pStyle w:val="Akapitzlist"/>
        <w:numPr>
          <w:ilvl w:val="0"/>
          <w:numId w:val="3"/>
        </w:numPr>
      </w:pPr>
      <w:r w:rsidRPr="00552271">
        <w:fldChar w:fldCharType="begin"/>
      </w:r>
      <w:r w:rsidRPr="00552271">
        <w:instrText xml:space="preserve"> REF _Ref195893375 \h </w:instrText>
      </w:r>
      <w:r>
        <w:instrText xml:space="preserve"> \* MERGEFORMAT </w:instrText>
      </w:r>
      <w:r w:rsidRPr="00552271">
        <w:fldChar w:fldCharType="separate"/>
      </w:r>
      <w:r w:rsidR="00871DD5" w:rsidRPr="00871DD5">
        <w:rPr>
          <w:rStyle w:val="Nagwek6Znak"/>
          <w:rFonts w:ascii="Lato" w:hAnsi="Lato"/>
          <w:b w:val="0"/>
        </w:rPr>
        <w:t xml:space="preserve">Działanie </w:t>
      </w:r>
      <w:r w:rsidR="00871DD5" w:rsidRPr="00871DD5">
        <w:rPr>
          <w:lang w:eastAsia="pl-PL"/>
        </w:rPr>
        <w:t xml:space="preserve">137. </w:t>
      </w:r>
      <w:r w:rsidR="00871DD5" w:rsidRPr="007811A4">
        <w:rPr>
          <w:lang w:eastAsia="pl-PL"/>
        </w:rPr>
        <w:t>Działania w zakresie integracji oraz poprawy funkcjonowania rynku energii elektrycznej</w:t>
      </w:r>
      <w:r w:rsidRPr="00552271">
        <w:fldChar w:fldCharType="end"/>
      </w:r>
    </w:p>
    <w:p w14:paraId="6E03BE77" w14:textId="3BC08C50" w:rsidR="000B1987" w:rsidRDefault="000B1987" w:rsidP="000B1987">
      <w:pPr>
        <w:pStyle w:val="Akapitzlist"/>
        <w:numPr>
          <w:ilvl w:val="0"/>
          <w:numId w:val="3"/>
        </w:numPr>
      </w:pPr>
      <w:r w:rsidRPr="0011634C">
        <w:fldChar w:fldCharType="begin"/>
      </w:r>
      <w:r w:rsidRPr="0011634C">
        <w:instrText xml:space="preserve"> REF _Ref195892831 \h </w:instrText>
      </w:r>
      <w:r>
        <w:instrText xml:space="preserve"> \* MERGEFORMAT </w:instrText>
      </w:r>
      <w:r w:rsidRPr="0011634C">
        <w:fldChar w:fldCharType="separate"/>
      </w:r>
      <w:r w:rsidR="00871DD5" w:rsidRPr="00871DD5">
        <w:rPr>
          <w:rStyle w:val="Nagwek6Znak"/>
          <w:rFonts w:ascii="Lato" w:hAnsi="Lato"/>
          <w:b w:val="0"/>
        </w:rPr>
        <w:t xml:space="preserve">Działanie </w:t>
      </w:r>
      <w:r w:rsidR="00871DD5" w:rsidRPr="00871DD5">
        <w:rPr>
          <w:rFonts w:eastAsia="Times New Roman" w:cs="Times New Roman"/>
          <w:bCs/>
          <w:color w:val="000000"/>
          <w:lang w:eastAsia="pl-PL"/>
        </w:rPr>
        <w:t xml:space="preserve">140. </w:t>
      </w:r>
      <w:r w:rsidR="00871DD5" w:rsidRPr="004D6F82">
        <w:rPr>
          <w:rFonts w:eastAsia="Times New Roman" w:cs="Times New Roman"/>
          <w:bCs/>
          <w:color w:val="000000"/>
          <w:lang w:eastAsia="pl-PL"/>
        </w:rPr>
        <w:t>Upowszechnienie umów z ceną dynamiczną</w:t>
      </w:r>
      <w:r w:rsidRPr="0011634C">
        <w:fldChar w:fldCharType="end"/>
      </w:r>
    </w:p>
    <w:p w14:paraId="4126075B" w14:textId="1993AC6B" w:rsidR="00083AF9" w:rsidRPr="00BD43AD" w:rsidRDefault="00083AF9" w:rsidP="003530A9">
      <w:pPr>
        <w:pStyle w:val="Akapitzlist"/>
        <w:numPr>
          <w:ilvl w:val="0"/>
          <w:numId w:val="3"/>
        </w:numPr>
        <w:rPr>
          <w:i/>
        </w:rPr>
      </w:pPr>
      <w:r w:rsidRPr="0011634C">
        <w:rPr>
          <w:i/>
          <w:iCs/>
        </w:rPr>
        <w:t>Wszystkie działania wskazane w części</w:t>
      </w:r>
      <w:r w:rsidR="0011634C" w:rsidRPr="0011634C">
        <w:rPr>
          <w:i/>
          <w:iCs/>
        </w:rPr>
        <w:t xml:space="preserve">ach dotyczących zapewnienia dostępności gazu ziemnego oraz rozwoju rynku biometanu, biogazu i wodoru </w:t>
      </w:r>
      <w:r w:rsidR="0011634C">
        <w:rPr>
          <w:i/>
          <w:iCs/>
        </w:rPr>
        <w:t xml:space="preserve">– </w:t>
      </w:r>
      <w:r w:rsidR="0011634C" w:rsidRPr="0011634C">
        <w:rPr>
          <w:i/>
          <w:iCs/>
        </w:rPr>
        <w:fldChar w:fldCharType="begin"/>
      </w:r>
      <w:r w:rsidR="0011634C" w:rsidRPr="0011634C">
        <w:rPr>
          <w:i/>
          <w:iCs/>
        </w:rPr>
        <w:instrText xml:space="preserve"> REF _Ref195893053 \n \h </w:instrText>
      </w:r>
      <w:r w:rsidR="0011634C">
        <w:rPr>
          <w:i/>
          <w:iCs/>
        </w:rPr>
        <w:instrText xml:space="preserve"> \* MERGEFORMAT </w:instrText>
      </w:r>
      <w:r w:rsidR="0011634C" w:rsidRPr="0011634C">
        <w:rPr>
          <w:i/>
          <w:iCs/>
        </w:rPr>
      </w:r>
      <w:r w:rsidR="0011634C" w:rsidRPr="0011634C">
        <w:rPr>
          <w:i/>
          <w:iCs/>
        </w:rPr>
        <w:fldChar w:fldCharType="separate"/>
      </w:r>
      <w:r w:rsidR="00871DD5">
        <w:rPr>
          <w:i/>
          <w:iCs/>
        </w:rPr>
        <w:t>Obszar 3.3</w:t>
      </w:r>
      <w:r w:rsidR="0011634C" w:rsidRPr="0011634C">
        <w:rPr>
          <w:i/>
          <w:iCs/>
        </w:rPr>
        <w:fldChar w:fldCharType="end"/>
      </w:r>
      <w:r w:rsidR="0011634C" w:rsidRPr="0011634C">
        <w:rPr>
          <w:i/>
          <w:iCs/>
        </w:rPr>
        <w:t xml:space="preserve"> i </w:t>
      </w:r>
      <w:r w:rsidR="0011634C" w:rsidRPr="0011634C">
        <w:rPr>
          <w:i/>
          <w:iCs/>
        </w:rPr>
        <w:fldChar w:fldCharType="begin"/>
      </w:r>
      <w:r w:rsidR="0011634C" w:rsidRPr="0011634C">
        <w:rPr>
          <w:i/>
          <w:iCs/>
        </w:rPr>
        <w:instrText xml:space="preserve"> REF _Ref195893046 \n \h </w:instrText>
      </w:r>
      <w:r w:rsidR="0011634C">
        <w:rPr>
          <w:i/>
          <w:iCs/>
        </w:rPr>
        <w:instrText xml:space="preserve"> \* MERGEFORMAT </w:instrText>
      </w:r>
      <w:r w:rsidR="0011634C" w:rsidRPr="0011634C">
        <w:rPr>
          <w:i/>
          <w:iCs/>
        </w:rPr>
      </w:r>
      <w:r w:rsidR="0011634C" w:rsidRPr="0011634C">
        <w:rPr>
          <w:i/>
          <w:iCs/>
        </w:rPr>
        <w:fldChar w:fldCharType="separate"/>
      </w:r>
      <w:r w:rsidR="00871DD5">
        <w:rPr>
          <w:i/>
          <w:iCs/>
        </w:rPr>
        <w:t>Obszar 3.4</w:t>
      </w:r>
      <w:r w:rsidR="0011634C" w:rsidRPr="0011634C">
        <w:rPr>
          <w:i/>
          <w:iCs/>
        </w:rPr>
        <w:fldChar w:fldCharType="end"/>
      </w:r>
      <w:r w:rsidR="0011634C">
        <w:rPr>
          <w:i/>
          <w:iCs/>
        </w:rPr>
        <w:t>.</w:t>
      </w:r>
    </w:p>
    <w:p w14:paraId="152B5D56" w14:textId="6AC0759D" w:rsidR="00B108DF" w:rsidRDefault="00B108DF" w:rsidP="00582122">
      <w:pPr>
        <w:pStyle w:val="Nagwek4"/>
        <w:rPr>
          <w:color w:val="C00000"/>
        </w:rPr>
      </w:pPr>
      <w:bookmarkStart w:id="626" w:name="_Ref193873744"/>
      <w:bookmarkStart w:id="627" w:name="_Ref193873750"/>
      <w:bookmarkStart w:id="628" w:name="_Toc195897362"/>
      <w:bookmarkStart w:id="629" w:name="_Toc205203213"/>
      <w:bookmarkStart w:id="630" w:name="_Toc159598334"/>
      <w:r w:rsidRPr="00582122">
        <w:rPr>
          <w:color w:val="C00000"/>
        </w:rPr>
        <w:t xml:space="preserve">Rozwój infrastruktury </w:t>
      </w:r>
      <w:r w:rsidR="00B7434E">
        <w:rPr>
          <w:color w:val="C00000"/>
        </w:rPr>
        <w:t>przesyłu i dystrybucji</w:t>
      </w:r>
      <w:r w:rsidR="00AE77C6" w:rsidRPr="00582122">
        <w:rPr>
          <w:color w:val="C00000"/>
        </w:rPr>
        <w:t xml:space="preserve"> </w:t>
      </w:r>
      <w:r w:rsidR="005A17E7" w:rsidRPr="00582122">
        <w:rPr>
          <w:color w:val="C00000"/>
        </w:rPr>
        <w:t>energii elektrycznej</w:t>
      </w:r>
      <w:bookmarkEnd w:id="626"/>
      <w:bookmarkEnd w:id="627"/>
      <w:bookmarkEnd w:id="628"/>
      <w:bookmarkEnd w:id="629"/>
    </w:p>
    <w:p w14:paraId="13E84199" w14:textId="6FA3D2C7" w:rsidR="00AD31FC" w:rsidRDefault="00AD31FC" w:rsidP="00AD31FC">
      <w:r>
        <w:t xml:space="preserve">Zapewnienie </w:t>
      </w:r>
      <w:r w:rsidRPr="007915C4">
        <w:rPr>
          <w:b/>
        </w:rPr>
        <w:t xml:space="preserve">odpowiedniego stanu i rozbudowa </w:t>
      </w:r>
      <w:r w:rsidR="00350493">
        <w:rPr>
          <w:b/>
        </w:rPr>
        <w:t xml:space="preserve">liniowej </w:t>
      </w:r>
      <w:r w:rsidRPr="007915C4">
        <w:rPr>
          <w:b/>
        </w:rPr>
        <w:t>infrastruktury elektroenergetycznej</w:t>
      </w:r>
      <w:r>
        <w:t xml:space="preserve"> </w:t>
      </w:r>
      <w:r w:rsidRPr="00FD5859">
        <w:t xml:space="preserve">oraz budowa połączeń </w:t>
      </w:r>
      <w:r>
        <w:t>międzysystemowych to czynniki wpływające na</w:t>
      </w:r>
      <w:r w:rsidR="000B4972">
        <w:t xml:space="preserve"> </w:t>
      </w:r>
      <w:r>
        <w:t>obecną i perspektywiczną pewność dostaw energii elektrycznej do odbiorców</w:t>
      </w:r>
      <w:r w:rsidR="000B4972">
        <w:t>, ściślej:</w:t>
      </w:r>
    </w:p>
    <w:p w14:paraId="177E4C9C" w14:textId="4A9751E3" w:rsidR="000B4972" w:rsidRDefault="000B4972" w:rsidP="000625AC">
      <w:pPr>
        <w:pStyle w:val="Akapitzlist"/>
        <w:numPr>
          <w:ilvl w:val="0"/>
          <w:numId w:val="66"/>
        </w:numPr>
      </w:pPr>
      <w:r w:rsidRPr="000B4972">
        <w:rPr>
          <w:b/>
          <w:bCs/>
        </w:rPr>
        <w:t>zapewnienie bezpieczeństwa dostaw energii elektrycznej</w:t>
      </w:r>
      <w:r>
        <w:t xml:space="preserve"> – rozumiane jako zdolność systemu elektroenergetycznego do zapewnienia bezpieczeństwa pracy sieci elektroenergetycznej oraz równoważenia dostaw energii elektrycznej z zapotrzebowaniem na tę energię</w:t>
      </w:r>
      <w:r w:rsidR="00D62A2A">
        <w:t>,</w:t>
      </w:r>
    </w:p>
    <w:p w14:paraId="184DA660" w14:textId="6F8775CC" w:rsidR="000B4972" w:rsidRDefault="000B4972" w:rsidP="000625AC">
      <w:pPr>
        <w:pStyle w:val="Akapitzlist"/>
        <w:numPr>
          <w:ilvl w:val="0"/>
          <w:numId w:val="66"/>
        </w:numPr>
      </w:pPr>
      <w:r w:rsidRPr="000B4972">
        <w:rPr>
          <w:b/>
          <w:bCs/>
        </w:rPr>
        <w:lastRenderedPageBreak/>
        <w:t>zapewnienie długoterminowej zdolności systemu elektroenergetycznego</w:t>
      </w:r>
      <w:r w:rsidRPr="000B4972">
        <w:t xml:space="preserve"> do zaspokajania uzasadnionych potrzeb w zakresie przesyłania energii elektrycznej w obrocie krajowym i</w:t>
      </w:r>
      <w:r>
        <w:t> </w:t>
      </w:r>
      <w:r w:rsidRPr="000B4972">
        <w:t>transgranicznym</w:t>
      </w:r>
      <w:r>
        <w:t>.</w:t>
      </w:r>
    </w:p>
    <w:p w14:paraId="26C53BFB" w14:textId="4CB83F03" w:rsidR="003A311A" w:rsidRDefault="003A311A" w:rsidP="000B4972">
      <w:pPr>
        <w:spacing w:before="240"/>
      </w:pPr>
      <w:r>
        <w:t xml:space="preserve">Odpowiednio rozbudowana i utrzymana oraz sprawnie zarządzana </w:t>
      </w:r>
      <w:r w:rsidRPr="009E3C53">
        <w:rPr>
          <w:b/>
          <w:bCs/>
        </w:rPr>
        <w:t>infrastruktura przesyłowa energii elektrycznej</w:t>
      </w:r>
      <w:r>
        <w:t xml:space="preserve"> ma zapewnić wyprowadzenie energii z jednostek wytwórczych do systemu przesyłowego i rozprowadzenie jej </w:t>
      </w:r>
      <w:r w:rsidRPr="002F6A71">
        <w:rPr>
          <w:b/>
          <w:bCs/>
        </w:rPr>
        <w:t>do systemów dystrybucyjnych</w:t>
      </w:r>
      <w:r>
        <w:t>, aż docelowo do odbiorców końcowych. Infrastruktura ta zapewnia</w:t>
      </w:r>
      <w:r w:rsidDel="009B5743">
        <w:t xml:space="preserve"> </w:t>
      </w:r>
      <w:r>
        <w:t xml:space="preserve">również możliwości sprawnej wymiany energii z systemami państw </w:t>
      </w:r>
      <w:r w:rsidR="005D0502">
        <w:t>UE i</w:t>
      </w:r>
      <w:r w:rsidR="00D41043">
        <w:t> </w:t>
      </w:r>
      <w:r w:rsidR="005D0502">
        <w:t>Wspólnoty Energetycznej</w:t>
      </w:r>
      <w:r w:rsidR="00C34F49">
        <w:rPr>
          <w:rStyle w:val="Odwoanieprzypisudolnego"/>
        </w:rPr>
        <w:footnoteReference w:id="124"/>
      </w:r>
      <w:r>
        <w:t>.</w:t>
      </w:r>
    </w:p>
    <w:p w14:paraId="1C22CB5C" w14:textId="77777777" w:rsidR="00E724E1" w:rsidRDefault="00E724E1" w:rsidP="002F6A71">
      <w:pPr>
        <w:spacing w:before="360" w:after="80"/>
      </w:pPr>
      <w:r w:rsidRPr="002F6A71">
        <w:rPr>
          <w:b/>
          <w:bCs/>
        </w:rPr>
        <w:t>System przesyłowy energii elektrycznej</w:t>
      </w:r>
      <w:r>
        <w:t xml:space="preserve"> oparty jest na sieci szkieletowej, którą buduje i zarządza </w:t>
      </w:r>
      <w:r w:rsidRPr="00133B72">
        <w:t>operato</w:t>
      </w:r>
      <w:r>
        <w:t>r</w:t>
      </w:r>
      <w:r w:rsidRPr="00133B72">
        <w:t xml:space="preserve"> systemu przesyłowego elektroenergetycznego</w:t>
      </w:r>
      <w:r>
        <w:t xml:space="preserve"> (OSPe). </w:t>
      </w:r>
      <w:r w:rsidRPr="00C67596">
        <w:t xml:space="preserve">Sieć szkieletowa </w:t>
      </w:r>
      <w:r>
        <w:t xml:space="preserve">jest niezbędna do </w:t>
      </w:r>
      <w:r w:rsidRPr="00C67596">
        <w:t xml:space="preserve">poprawnego funkcjonowania </w:t>
      </w:r>
      <w:r>
        <w:t>k</w:t>
      </w:r>
      <w:r w:rsidRPr="00133B72">
        <w:rPr>
          <w:iCs/>
        </w:rPr>
        <w:t xml:space="preserve">rajowego </w:t>
      </w:r>
      <w:r>
        <w:rPr>
          <w:iCs/>
        </w:rPr>
        <w:t>s</w:t>
      </w:r>
      <w:r w:rsidRPr="00133B72">
        <w:rPr>
          <w:iCs/>
        </w:rPr>
        <w:t xml:space="preserve">ystemu </w:t>
      </w:r>
      <w:r>
        <w:rPr>
          <w:iCs/>
        </w:rPr>
        <w:t>e</w:t>
      </w:r>
      <w:r w:rsidRPr="00133B72">
        <w:rPr>
          <w:iCs/>
        </w:rPr>
        <w:t>lektroenergetycznego</w:t>
      </w:r>
      <w:r w:rsidRPr="00C67596">
        <w:t xml:space="preserve"> i</w:t>
      </w:r>
      <w:r>
        <w:t> </w:t>
      </w:r>
      <w:r w:rsidRPr="00C67596">
        <w:t>jednoczesnego zapewnienia</w:t>
      </w:r>
      <w:r>
        <w:t>:</w:t>
      </w:r>
    </w:p>
    <w:p w14:paraId="7DE05478" w14:textId="77777777" w:rsidR="00E724E1" w:rsidRPr="00C67596" w:rsidRDefault="00E724E1" w:rsidP="003530A9">
      <w:pPr>
        <w:pStyle w:val="Akapitzlist"/>
        <w:numPr>
          <w:ilvl w:val="0"/>
          <w:numId w:val="12"/>
        </w:numPr>
      </w:pPr>
      <w:r w:rsidRPr="00C67596">
        <w:t>pewności zasilania odbiorców, w tym dużych aglomeracji miejskich poprzez spełnienie kryteriów n-1 pewności zasilania i dotrzymanie parametrów jakości pracy sieci,</w:t>
      </w:r>
    </w:p>
    <w:p w14:paraId="22158DCF" w14:textId="053EB117" w:rsidR="00E724E1" w:rsidRPr="00C67596" w:rsidRDefault="00E724E1" w:rsidP="003530A9">
      <w:pPr>
        <w:pStyle w:val="Akapitzlist"/>
        <w:numPr>
          <w:ilvl w:val="0"/>
          <w:numId w:val="12"/>
        </w:numPr>
      </w:pPr>
      <w:r w:rsidRPr="00C67596">
        <w:t xml:space="preserve">przyłączenia i wyprowadzenia mocy z istniejących i budowanych źródeł wytwórczych, w tym </w:t>
      </w:r>
      <w:r w:rsidR="00340561">
        <w:t>wielkoskalowych</w:t>
      </w:r>
      <w:r w:rsidRPr="00C67596">
        <w:t xml:space="preserve"> OZE,</w:t>
      </w:r>
    </w:p>
    <w:p w14:paraId="2FEE0EC0" w14:textId="2D275795" w:rsidR="00E724E1" w:rsidRPr="00C67596" w:rsidRDefault="00E724E1" w:rsidP="003530A9">
      <w:pPr>
        <w:pStyle w:val="Akapitzlist"/>
        <w:numPr>
          <w:ilvl w:val="0"/>
          <w:numId w:val="12"/>
        </w:numPr>
      </w:pPr>
      <w:r w:rsidRPr="00C67596">
        <w:t>spełnienia wymaganych przepisami zdolności wymiany mocy z krajami sąsiednimi</w:t>
      </w:r>
      <w:r>
        <w:t xml:space="preserve"> UE</w:t>
      </w:r>
      <w:r w:rsidRPr="00C67596">
        <w:t>.</w:t>
      </w:r>
    </w:p>
    <w:p w14:paraId="5AB89957" w14:textId="77777777" w:rsidR="00E724E1" w:rsidRPr="00C67596" w:rsidRDefault="00E724E1" w:rsidP="00E724E1">
      <w:r w:rsidRPr="00C67596">
        <w:t>Sieć szkieletowa pozwala na elastyczne adaptowanie się do różnych scenariuszy pracy KSE, nawet w</w:t>
      </w:r>
      <w:r>
        <w:t> </w:t>
      </w:r>
      <w:r w:rsidRPr="00C67596">
        <w:t>przypadku ograniczenia roli sieci przesyłowej do funkcji rezerwującej, która ma zagwarantować jedynie bezpieczeństwo pracy systemu.</w:t>
      </w:r>
    </w:p>
    <w:p w14:paraId="779ACECB" w14:textId="148715B1" w:rsidR="003A311A" w:rsidRDefault="000B4972" w:rsidP="00E724E1">
      <w:pPr>
        <w:spacing w:before="360"/>
      </w:pPr>
      <w:r w:rsidRPr="000B4972">
        <w:rPr>
          <w:b/>
          <w:bCs/>
        </w:rPr>
        <w:t>Dostawy do odbiorców odbywają się z sieci dystrybucyjnej</w:t>
      </w:r>
      <w:r>
        <w:t xml:space="preserve">. </w:t>
      </w:r>
      <w:r w:rsidR="003A311A">
        <w:t>Od momentu upowszechniania produkcji energii przez prosumentów i społeczności energetyczn</w:t>
      </w:r>
      <w:r w:rsidR="007915C4">
        <w:t>ych</w:t>
      </w:r>
      <w:r w:rsidR="003A311A" w:rsidRPr="000B4972">
        <w:t xml:space="preserve"> charakter infrastruktury dystrybucyjnej ulega zmianie. Jej głównym zadaniem jest dostarczenie ene</w:t>
      </w:r>
      <w:r w:rsidR="003A311A">
        <w:t xml:space="preserve">rgii do odbiorców końcowych, ale zmiana modelu rynku wymaga sukcesywnego dostosowania </w:t>
      </w:r>
      <w:r w:rsidR="002F6A71">
        <w:t xml:space="preserve">infrastruktury </w:t>
      </w:r>
      <w:r w:rsidR="003A311A">
        <w:t>do odbioru energii wytworzonej przez prosumentów i społeczności energetyczne oraz współpracę z</w:t>
      </w:r>
      <w:r w:rsidR="002F6A71">
        <w:t> </w:t>
      </w:r>
      <w:r w:rsidR="003A311A">
        <w:t>magazynami energii</w:t>
      </w:r>
      <w:r>
        <w:t xml:space="preserve">. W związku z tym odbywa się stopniowe </w:t>
      </w:r>
      <w:r w:rsidR="003A311A">
        <w:t xml:space="preserve">przekształcanie sieci pasywnej </w:t>
      </w:r>
      <w:r>
        <w:t xml:space="preserve">– </w:t>
      </w:r>
      <w:r w:rsidR="003A311A" w:rsidRPr="000B4972">
        <w:rPr>
          <w:i/>
          <w:iCs/>
        </w:rPr>
        <w:t>jednokierunkowej</w:t>
      </w:r>
      <w:r w:rsidR="003A311A">
        <w:t xml:space="preserve"> w aktywną – </w:t>
      </w:r>
      <w:r w:rsidR="003A311A" w:rsidRPr="000B4972">
        <w:rPr>
          <w:i/>
          <w:iCs/>
        </w:rPr>
        <w:t>dwukierunkową</w:t>
      </w:r>
      <w:r w:rsidR="003A311A">
        <w:t>.</w:t>
      </w:r>
      <w:r w:rsidR="006920B6">
        <w:t xml:space="preserve"> </w:t>
      </w:r>
      <w:r>
        <w:t>Ze względu na szereg czynników technicznych j</w:t>
      </w:r>
      <w:r w:rsidR="006920B6" w:rsidRPr="006920B6">
        <w:rPr>
          <w:b/>
          <w:bCs/>
        </w:rPr>
        <w:t>akość dostaw</w:t>
      </w:r>
      <w:r w:rsidR="006920B6">
        <w:t xml:space="preserve"> </w:t>
      </w:r>
      <w:r w:rsidR="006920B6" w:rsidRPr="006920B6">
        <w:rPr>
          <w:b/>
          <w:bCs/>
        </w:rPr>
        <w:t>energii</w:t>
      </w:r>
      <w:r w:rsidR="006920B6">
        <w:t xml:space="preserve"> w największym stopniu zależy od stanu infrastruktury </w:t>
      </w:r>
      <w:r w:rsidR="004D5F68">
        <w:t xml:space="preserve">dystrybucyjnej </w:t>
      </w:r>
      <w:r w:rsidR="006920B6">
        <w:t xml:space="preserve">i sprawności </w:t>
      </w:r>
      <w:r w:rsidR="004D5F68">
        <w:t>operatorów.</w:t>
      </w:r>
      <w:r>
        <w:t xml:space="preserve"> Trzeba jednak podkreślić, że w następstwie zmiany klimatu występuje coraz więcej zdarzeń ekstremalnych, wpływających na zakłócenia dostaw.</w:t>
      </w:r>
    </w:p>
    <w:p w14:paraId="50293584" w14:textId="3630B4A5" w:rsidR="00AD31FC" w:rsidRDefault="00243707" w:rsidP="00992A71">
      <w:pPr>
        <w:spacing w:before="360"/>
      </w:pPr>
      <w:r>
        <w:t xml:space="preserve">Stabilność dostaw </w:t>
      </w:r>
      <w:r w:rsidR="00EC068A">
        <w:t xml:space="preserve">energii elektrycznej </w:t>
      </w:r>
      <w:r>
        <w:t>wymaga spełnienia odpowiednich warunków technicznych</w:t>
      </w:r>
      <w:r w:rsidR="001E1632">
        <w:t>.</w:t>
      </w:r>
      <w:r w:rsidR="00EC068A">
        <w:t xml:space="preserve"> </w:t>
      </w:r>
      <w:r w:rsidR="00396306">
        <w:t xml:space="preserve">Ponieważ </w:t>
      </w:r>
      <w:r w:rsidR="00EC068A">
        <w:t xml:space="preserve">zapewnienie </w:t>
      </w:r>
      <w:r w:rsidR="00AD6652">
        <w:t>c</w:t>
      </w:r>
      <w:r w:rsidR="007C0DC2">
        <w:t>iągłoś</w:t>
      </w:r>
      <w:r w:rsidR="00EC068A">
        <w:t>ci</w:t>
      </w:r>
      <w:r w:rsidR="007C0DC2">
        <w:t xml:space="preserve"> dostaw warunkuje funkcjonowanie gospodarki</w:t>
      </w:r>
      <w:r w:rsidR="00E76D93">
        <w:t>,</w:t>
      </w:r>
      <w:r w:rsidR="0007745E">
        <w:t xml:space="preserve"> dlatego</w:t>
      </w:r>
      <w:r w:rsidR="008F3CFA">
        <w:t xml:space="preserve"> </w:t>
      </w:r>
      <w:r w:rsidR="00D13A7C">
        <w:t>działalność w</w:t>
      </w:r>
      <w:r w:rsidR="0015579D">
        <w:t> </w:t>
      </w:r>
      <w:r w:rsidR="00D13A7C">
        <w:t>obszarze zarządzania systemami elektroenergetycznymi</w:t>
      </w:r>
      <w:r w:rsidR="00A725C9">
        <w:t xml:space="preserve"> </w:t>
      </w:r>
      <w:r w:rsidR="00AD31FC">
        <w:t xml:space="preserve">jest ściśle określona w ustawie – </w:t>
      </w:r>
      <w:r w:rsidR="00AD31FC" w:rsidRPr="00C829B7">
        <w:rPr>
          <w:i/>
          <w:iCs/>
        </w:rPr>
        <w:t>Prawo energetyczne</w:t>
      </w:r>
      <w:r w:rsidR="00AD31FC">
        <w:t xml:space="preserve"> i regulowana przez Prezesa Urzędu Regulacji Energetyki (URE). Sytuacja jest </w:t>
      </w:r>
      <w:r w:rsidR="00AD31FC" w:rsidRPr="00FD5859">
        <w:t>szczegółowo monitorowana zarówno przez ministra właściwego do spraw energii, jak</w:t>
      </w:r>
      <w:r w:rsidR="00AD31FC">
        <w:t> </w:t>
      </w:r>
      <w:r w:rsidR="00AD31FC" w:rsidRPr="00FD5859">
        <w:t>również przez Pełnomocnika Rządu do spraw Strategicznej Infrastruktury Energetycznej</w:t>
      </w:r>
      <w:r w:rsidR="00D13A7C">
        <w:t xml:space="preserve"> </w:t>
      </w:r>
      <w:r w:rsidR="00AD31FC" w:rsidRPr="00FD5859">
        <w:t xml:space="preserve">– w zakresie kluczowych z punktu widzenia zdolności importowych do kraju inwestycji. </w:t>
      </w:r>
      <w:r w:rsidR="00AD31FC">
        <w:t>Kluczową rolę pełni operator systemu przesyłowego elektroenergetycznego. Ponieważ czas inwestycji infrastrukturalnych i perspektywa ich wykorzystania ma charakter długookresowy, OSPe wyznaczany jest w wieloletniej perspektywie. Prezes URE wyznaczył Polskie Sieci Elektroenergetyczne S</w:t>
      </w:r>
      <w:r w:rsidR="00D13A7C">
        <w:t>.</w:t>
      </w:r>
      <w:r w:rsidR="00AD31FC">
        <w:t>A</w:t>
      </w:r>
      <w:r w:rsidR="00D13A7C">
        <w:t>.</w:t>
      </w:r>
      <w:r w:rsidR="00AD31FC">
        <w:t xml:space="preserve"> do pełnienia funkcji OSPe do końca 2030 r. Na rynku funkcjonuje pięciu największych operatorów systemów dystrybucyjnych </w:t>
      </w:r>
      <w:r w:rsidR="00AE6313">
        <w:t>elektroenergetycznych (OSDe)</w:t>
      </w:r>
      <w:r w:rsidR="00AD31FC">
        <w:t xml:space="preserve"> oraz większa liczba operatorów o charakterze bardziej lokalnym, przy czym pierwsza grupa podlega dokładniejszemu monitoringowi Prezesa URE.</w:t>
      </w:r>
    </w:p>
    <w:p w14:paraId="2C705CB3" w14:textId="789D99E2" w:rsidR="00AD31FC" w:rsidRDefault="00350493" w:rsidP="00AD31FC">
      <w:r>
        <w:rPr>
          <w:iCs/>
        </w:rPr>
        <w:t xml:space="preserve">OSPe i OSDe </w:t>
      </w:r>
      <w:r w:rsidR="00AD31FC" w:rsidRPr="00C67596">
        <w:t xml:space="preserve">planują rozwój sieci </w:t>
      </w:r>
      <w:r w:rsidR="00100EE6">
        <w:t>elektroenergetycznej</w:t>
      </w:r>
      <w:r w:rsidR="00AD31FC" w:rsidRPr="00C67596">
        <w:t xml:space="preserve"> adekwatnie do wzrastającego zapotrzebowania, wymagań rynku energii i potrzeb użytkowników KSE.</w:t>
      </w:r>
      <w:r w:rsidR="00AD31FC">
        <w:t xml:space="preserve"> </w:t>
      </w:r>
      <w:r w:rsidR="00AD31FC" w:rsidRPr="00DA73DE">
        <w:rPr>
          <w:b/>
          <w:bCs/>
        </w:rPr>
        <w:t>W ostatnich latach następuje</w:t>
      </w:r>
      <w:r w:rsidR="00AD31FC">
        <w:t xml:space="preserve"> </w:t>
      </w:r>
      <w:r w:rsidR="00AD31FC" w:rsidRPr="00DA73DE">
        <w:rPr>
          <w:b/>
          <w:bCs/>
        </w:rPr>
        <w:t xml:space="preserve">bardzo intensywny </w:t>
      </w:r>
      <w:r w:rsidR="00D13A7C">
        <w:rPr>
          <w:b/>
          <w:bCs/>
        </w:rPr>
        <w:t>przyrost</w:t>
      </w:r>
      <w:r w:rsidR="00AD31FC" w:rsidRPr="00DA73DE">
        <w:rPr>
          <w:b/>
          <w:bCs/>
        </w:rPr>
        <w:t xml:space="preserve"> OZE, </w:t>
      </w:r>
      <w:r w:rsidR="00AD31FC">
        <w:rPr>
          <w:b/>
          <w:bCs/>
        </w:rPr>
        <w:t>który wymaga odpowiednio rozbudowanej i dostosowanej infrastruktury liniowej</w:t>
      </w:r>
      <w:r w:rsidR="00E12CE8">
        <w:rPr>
          <w:b/>
          <w:bCs/>
        </w:rPr>
        <w:t>.</w:t>
      </w:r>
      <w:r w:rsidR="00AD31FC">
        <w:rPr>
          <w:b/>
          <w:bCs/>
        </w:rPr>
        <w:t xml:space="preserve"> </w:t>
      </w:r>
      <w:r w:rsidR="00E12CE8">
        <w:rPr>
          <w:b/>
          <w:bCs/>
        </w:rPr>
        <w:lastRenderedPageBreak/>
        <w:t>D</w:t>
      </w:r>
      <w:r w:rsidR="00AD31FC" w:rsidRPr="00DA73DE">
        <w:rPr>
          <w:b/>
          <w:bCs/>
        </w:rPr>
        <w:t>latego rozwój sieci przesyłowej i dystrybucyjnej stały się priorytetem w</w:t>
      </w:r>
      <w:r w:rsidR="00D13A7C">
        <w:rPr>
          <w:b/>
          <w:bCs/>
        </w:rPr>
        <w:t> </w:t>
      </w:r>
      <w:r w:rsidR="00AD31FC" w:rsidRPr="00DA73DE">
        <w:rPr>
          <w:b/>
          <w:bCs/>
        </w:rPr>
        <w:t>procesie transformacji sektora elektroenergetycznego</w:t>
      </w:r>
      <w:r w:rsidR="00AD31FC">
        <w:t>. Jednocześnie zależność elektrowni wiatrowych i słonecznych od warunków atmosferycznych, jak również coraz częstsze ekstremalne zjawiska pogodowe stawiają coraz więcej wyzwań przed OSPe</w:t>
      </w:r>
      <w:r>
        <w:t xml:space="preserve"> i OSDe</w:t>
      </w:r>
      <w:r w:rsidR="00AD31FC">
        <w:t>.</w:t>
      </w:r>
      <w:r w:rsidR="00D34DC7">
        <w:t xml:space="preserve"> </w:t>
      </w:r>
    </w:p>
    <w:p w14:paraId="0C9B7ACE" w14:textId="160E944B" w:rsidR="00551A99" w:rsidRDefault="002F6A71" w:rsidP="00C75C24">
      <w:pPr>
        <w:spacing w:after="80"/>
      </w:pPr>
      <w:r>
        <w:t>Działania operatorów muszą opierać się na</w:t>
      </w:r>
      <w:r w:rsidR="00CE6449">
        <w:t xml:space="preserve"> regulacjach unijnych i ścisłej współpracy z operatorami innych systemów, w szczególności w ramach </w:t>
      </w:r>
      <w:r w:rsidR="00CE6449" w:rsidRPr="00CE6449">
        <w:t>Europejsk</w:t>
      </w:r>
      <w:r w:rsidR="00CE6449">
        <w:t>iej</w:t>
      </w:r>
      <w:r w:rsidR="00CE6449" w:rsidRPr="00CE6449">
        <w:t xml:space="preserve"> Sie</w:t>
      </w:r>
      <w:r w:rsidR="00CE6449">
        <w:t>ci</w:t>
      </w:r>
      <w:r w:rsidR="00CE6449" w:rsidRPr="00CE6449">
        <w:t xml:space="preserve"> Operatorów Systemów Przesyłowych Energii Elektrycznej</w:t>
      </w:r>
      <w:r>
        <w:t xml:space="preserve"> </w:t>
      </w:r>
      <w:r w:rsidR="00CE6449">
        <w:t>(ENTSO-E</w:t>
      </w:r>
      <w:r w:rsidR="00EF55F4">
        <w:t xml:space="preserve">, ang. </w:t>
      </w:r>
      <w:r w:rsidR="00EF55F4" w:rsidRPr="00EF55F4">
        <w:rPr>
          <w:i/>
          <w:iCs/>
        </w:rPr>
        <w:t>European Network of Transmission System Operators for Electricity</w:t>
      </w:r>
      <w:r w:rsidR="00CE6449">
        <w:t>)</w:t>
      </w:r>
      <w:r w:rsidR="00787649">
        <w:t xml:space="preserve">. </w:t>
      </w:r>
      <w:r w:rsidR="0037474E">
        <w:t xml:space="preserve">Dotyczą one w szczególności: </w:t>
      </w:r>
    </w:p>
    <w:p w14:paraId="43266692" w14:textId="4017D15C" w:rsidR="0037474E" w:rsidRDefault="007506B6" w:rsidP="000625AC">
      <w:pPr>
        <w:pStyle w:val="Akapitzlist"/>
        <w:numPr>
          <w:ilvl w:val="0"/>
          <w:numId w:val="65"/>
        </w:numPr>
        <w:spacing w:after="80"/>
      </w:pPr>
      <w:r>
        <w:t xml:space="preserve">dążenia do </w:t>
      </w:r>
      <w:r w:rsidR="0037474E">
        <w:t>r</w:t>
      </w:r>
      <w:r w:rsidR="0037474E" w:rsidRPr="0037474E">
        <w:t>edukcji ograniczeń przesyłowych</w:t>
      </w:r>
      <w:r w:rsidR="0037474E">
        <w:t xml:space="preserve">, </w:t>
      </w:r>
    </w:p>
    <w:p w14:paraId="08C9533C" w14:textId="3E6C3238" w:rsidR="007506B6" w:rsidRDefault="007506B6" w:rsidP="000625AC">
      <w:pPr>
        <w:pStyle w:val="Akapitzlist"/>
        <w:numPr>
          <w:ilvl w:val="0"/>
          <w:numId w:val="65"/>
        </w:numPr>
        <w:spacing w:after="80"/>
      </w:pPr>
      <w:r>
        <w:t xml:space="preserve">kształtowania opłat sieciowych, </w:t>
      </w:r>
    </w:p>
    <w:p w14:paraId="1035CBC5" w14:textId="6A2D5FC2" w:rsidR="00D7177E" w:rsidRDefault="00D7177E" w:rsidP="000625AC">
      <w:pPr>
        <w:pStyle w:val="Akapitzlist"/>
        <w:numPr>
          <w:ilvl w:val="0"/>
          <w:numId w:val="65"/>
        </w:numPr>
        <w:spacing w:after="80"/>
      </w:pPr>
      <w:r>
        <w:t>usług elastyczności i ich uwzględniania przy tworzeniu planów rozwoju sieci dystrybucyjnych,</w:t>
      </w:r>
    </w:p>
    <w:p w14:paraId="2E8AD67A" w14:textId="64E77D43" w:rsidR="007506B6" w:rsidRDefault="00D7177E" w:rsidP="000625AC">
      <w:pPr>
        <w:pStyle w:val="Akapitzlist"/>
        <w:numPr>
          <w:ilvl w:val="0"/>
          <w:numId w:val="65"/>
        </w:numPr>
      </w:pPr>
      <w:r>
        <w:t xml:space="preserve">wymiany międzysystemowej i </w:t>
      </w:r>
      <w:r w:rsidR="007506B6">
        <w:t>właściwej alokacj</w:t>
      </w:r>
      <w:r>
        <w:t>i</w:t>
      </w:r>
      <w:r w:rsidR="007506B6">
        <w:t xml:space="preserve"> międzyobszarowych zdolności przesyłowych</w:t>
      </w:r>
      <w:r>
        <w:t>.</w:t>
      </w:r>
    </w:p>
    <w:p w14:paraId="22F5C05B" w14:textId="1EB830FA" w:rsidR="002F6A71" w:rsidRDefault="00CE6449" w:rsidP="00C75C24">
      <w:pPr>
        <w:spacing w:after="80"/>
      </w:pPr>
      <w:r>
        <w:t>Kluczowe regulacje, które wdrażają lub implementują operatorzy, to w</w:t>
      </w:r>
      <w:r w:rsidR="00C75C24">
        <w:t> </w:t>
      </w:r>
      <w:r>
        <w:t>szczególności:</w:t>
      </w:r>
    </w:p>
    <w:p w14:paraId="455EEE3B" w14:textId="77777777" w:rsidR="00787649" w:rsidRDefault="00787649" w:rsidP="000625AC">
      <w:pPr>
        <w:pStyle w:val="Akapitzlist"/>
        <w:numPr>
          <w:ilvl w:val="0"/>
          <w:numId w:val="64"/>
        </w:numPr>
      </w:pPr>
      <w:r>
        <w:t xml:space="preserve">dyrektywa PE i Rady 2019/944 </w:t>
      </w:r>
      <w:r w:rsidRPr="00787649">
        <w:t>w sprawie wspólnych zasad rynku wewnętrznego energii elektrycznej</w:t>
      </w:r>
      <w:r>
        <w:t>,</w:t>
      </w:r>
    </w:p>
    <w:p w14:paraId="21FC8738" w14:textId="236978CF" w:rsidR="00CE6449" w:rsidRDefault="00CE6449" w:rsidP="000625AC">
      <w:pPr>
        <w:pStyle w:val="Akapitzlist"/>
        <w:numPr>
          <w:ilvl w:val="0"/>
          <w:numId w:val="64"/>
        </w:numPr>
      </w:pPr>
      <w:r>
        <w:t xml:space="preserve">rozporządzenie UE 2019/943 </w:t>
      </w:r>
      <w:r w:rsidRPr="00967F44">
        <w:t>w sprawie rynku wewnętrznego energii elektrycznej</w:t>
      </w:r>
      <w:r>
        <w:t xml:space="preserve">, </w:t>
      </w:r>
      <w:r w:rsidR="005D0502">
        <w:t>zmienione</w:t>
      </w:r>
      <w:r>
        <w:t xml:space="preserve"> rozporządzeniem (UE) 2024/17</w:t>
      </w:r>
      <w:r w:rsidR="00C75C24">
        <w:t>4</w:t>
      </w:r>
      <w:r>
        <w:t>7,</w:t>
      </w:r>
    </w:p>
    <w:p w14:paraId="77F31B46" w14:textId="204C5E17" w:rsidR="00F73002" w:rsidRDefault="00787649" w:rsidP="000625AC">
      <w:pPr>
        <w:pStyle w:val="Akapitzlist"/>
        <w:numPr>
          <w:ilvl w:val="0"/>
          <w:numId w:val="64"/>
        </w:numPr>
      </w:pPr>
      <w:r>
        <w:t>tzw. k</w:t>
      </w:r>
      <w:r w:rsidR="00F73002" w:rsidRPr="00F73002">
        <w:t xml:space="preserve">odeksy </w:t>
      </w:r>
      <w:r>
        <w:t>s</w:t>
      </w:r>
      <w:r w:rsidR="00F73002" w:rsidRPr="00F73002">
        <w:t>ieci</w:t>
      </w:r>
      <w:r w:rsidR="00F73002">
        <w:t xml:space="preserve"> i </w:t>
      </w:r>
      <w:r>
        <w:t>w</w:t>
      </w:r>
      <w:r w:rsidR="00F73002">
        <w:t>ytyczne (</w:t>
      </w:r>
      <w:r w:rsidR="00F73002" w:rsidRPr="00F73002">
        <w:t>akt</w:t>
      </w:r>
      <w:r w:rsidR="00F73002">
        <w:t xml:space="preserve">y </w:t>
      </w:r>
      <w:r w:rsidR="00F73002" w:rsidRPr="00F73002">
        <w:t>wykonawcz</w:t>
      </w:r>
      <w:r w:rsidR="00F73002">
        <w:t>e</w:t>
      </w:r>
      <w:r w:rsidR="00F73002" w:rsidRPr="00F73002">
        <w:t xml:space="preserve"> lub delegowan</w:t>
      </w:r>
      <w:r w:rsidR="00F73002">
        <w:t>e</w:t>
      </w:r>
      <w:r w:rsidR="00F73002" w:rsidRPr="00F73002">
        <w:t xml:space="preserve"> </w:t>
      </w:r>
      <w:r w:rsidR="00F73002">
        <w:t xml:space="preserve">wydawane </w:t>
      </w:r>
      <w:r w:rsidR="00F73002" w:rsidRPr="00F73002">
        <w:t xml:space="preserve">na podstawie art. 59 </w:t>
      </w:r>
      <w:r w:rsidR="00F73002">
        <w:t>rozporządzenia</w:t>
      </w:r>
      <w:r w:rsidR="00F73002" w:rsidRPr="00F73002">
        <w:t xml:space="preserve"> UE 2019/943</w:t>
      </w:r>
      <w:r w:rsidR="00F73002">
        <w:t xml:space="preserve">) w obszarze </w:t>
      </w:r>
      <w:r w:rsidR="00F73002" w:rsidRPr="00787649">
        <w:rPr>
          <w:i/>
          <w:iCs/>
        </w:rPr>
        <w:t>rynkowym, przyłączeniowym, operacyjnym i</w:t>
      </w:r>
      <w:r>
        <w:rPr>
          <w:i/>
          <w:iCs/>
        </w:rPr>
        <w:t> </w:t>
      </w:r>
      <w:r w:rsidR="00F73002" w:rsidRPr="00787649">
        <w:rPr>
          <w:i/>
          <w:iCs/>
        </w:rPr>
        <w:t>cyberbezp</w:t>
      </w:r>
      <w:r w:rsidR="00E84DDF">
        <w:rPr>
          <w:i/>
          <w:iCs/>
        </w:rPr>
        <w:t>ie</w:t>
      </w:r>
      <w:r w:rsidR="00F73002" w:rsidRPr="00787649">
        <w:rPr>
          <w:i/>
          <w:iCs/>
        </w:rPr>
        <w:t>czeństwa</w:t>
      </w:r>
      <w:r>
        <w:t>,</w:t>
      </w:r>
    </w:p>
    <w:p w14:paraId="77E7D8B6" w14:textId="25748B7B" w:rsidR="002F6A71" w:rsidRDefault="00600DEB" w:rsidP="000625AC">
      <w:pPr>
        <w:pStyle w:val="Akapitzlist"/>
        <w:numPr>
          <w:ilvl w:val="0"/>
          <w:numId w:val="64"/>
        </w:numPr>
      </w:pPr>
      <w:r>
        <w:t>r</w:t>
      </w:r>
      <w:r w:rsidRPr="00C75C24">
        <w:t xml:space="preserve">ozporządzenie </w:t>
      </w:r>
      <w:r>
        <w:t xml:space="preserve">PE </w:t>
      </w:r>
      <w:r w:rsidRPr="00C75C24">
        <w:t xml:space="preserve">i Rady </w:t>
      </w:r>
      <w:r w:rsidRPr="00600DEB">
        <w:t>2019/941 w sprawie gotowości na wypadek zagrożeń w sektorze energii elektrycznej</w:t>
      </w:r>
      <w:r w:rsidR="00895D24">
        <w:t>,</w:t>
      </w:r>
    </w:p>
    <w:p w14:paraId="343FBDC9" w14:textId="277A4B60" w:rsidR="00895D24" w:rsidRDefault="00895D24" w:rsidP="000625AC">
      <w:pPr>
        <w:pStyle w:val="Akapitzlist"/>
        <w:numPr>
          <w:ilvl w:val="0"/>
          <w:numId w:val="64"/>
        </w:numPr>
        <w:spacing w:after="360"/>
      </w:pPr>
      <w:r>
        <w:t>dyrektywa PE i Rady</w:t>
      </w:r>
      <w:r w:rsidRPr="00895D24">
        <w:t> 2022/2555 z dnia 14 grudnia 2022 r. w sprawie środków na rzecz wysokiego wspólnego poziomu cyberbezpieczeństwa na terytorium Unii</w:t>
      </w:r>
      <w:r>
        <w:t>.</w:t>
      </w:r>
    </w:p>
    <w:p w14:paraId="73629FA4" w14:textId="06340EA0" w:rsidR="00AD31FC" w:rsidRPr="00963A1E" w:rsidRDefault="0031562F" w:rsidP="00C45621">
      <w:pPr>
        <w:pStyle w:val="Cele"/>
      </w:pPr>
      <w:r>
        <w:t>Celem w zakresie liniowej</w:t>
      </w:r>
      <w:r w:rsidR="00AD31FC" w:rsidRPr="00C67596">
        <w:t xml:space="preserve"> infrastruktury energii elektrycznej </w:t>
      </w:r>
      <w:r>
        <w:t>jest</w:t>
      </w:r>
      <w:r>
        <w:rPr>
          <w:b/>
          <w:bCs/>
        </w:rPr>
        <w:t xml:space="preserve"> </w:t>
      </w:r>
      <w:r w:rsidR="00AD31FC" w:rsidRPr="00963A1E">
        <w:rPr>
          <w:b/>
          <w:bCs/>
        </w:rPr>
        <w:t>zapewnienie bezpieczeństwa dostaw energii elektrycznej</w:t>
      </w:r>
      <w:r w:rsidR="00AD31FC" w:rsidRPr="00963A1E">
        <w:t xml:space="preserve"> </w:t>
      </w:r>
      <w:r>
        <w:t xml:space="preserve">oraz </w:t>
      </w:r>
      <w:r w:rsidR="00AD31FC" w:rsidRPr="00963A1E">
        <w:rPr>
          <w:b/>
          <w:bCs/>
        </w:rPr>
        <w:t>zapewnienie długoterminowej zdolności systemu elektroenergetycznego</w:t>
      </w:r>
      <w:r w:rsidR="00AD31FC" w:rsidRPr="00963A1E">
        <w:t xml:space="preserve"> do zaspokajania </w:t>
      </w:r>
      <w:r w:rsidRPr="00963A1E">
        <w:t xml:space="preserve">potrzeb w zakresie </w:t>
      </w:r>
      <w:r>
        <w:t>dostaw</w:t>
      </w:r>
      <w:r w:rsidRPr="00963A1E">
        <w:t xml:space="preserve"> energii elektrycznej</w:t>
      </w:r>
      <w:r w:rsidR="00AD31FC" w:rsidRPr="0031562F">
        <w:t>.</w:t>
      </w:r>
      <w:r>
        <w:t xml:space="preserve"> </w:t>
      </w:r>
      <w:r w:rsidR="00EF55F4">
        <w:t xml:space="preserve">Dążyć się będzie do osiągnięcia </w:t>
      </w:r>
      <w:r w:rsidR="00B61305">
        <w:t xml:space="preserve">w 2030 r. wskaźnika </w:t>
      </w:r>
      <w:r w:rsidR="00EF55F4">
        <w:t>SAI</w:t>
      </w:r>
      <w:r w:rsidR="00C45621">
        <w:t>D</w:t>
      </w:r>
      <w:r w:rsidR="00EF55F4">
        <w:t>I</w:t>
      </w:r>
      <w:r w:rsidR="00EF55F4">
        <w:rPr>
          <w:rStyle w:val="Odwoanieprzypisudolnego"/>
        </w:rPr>
        <w:footnoteReference w:id="125"/>
      </w:r>
      <w:r w:rsidR="00EF55F4">
        <w:t xml:space="preserve"> na</w:t>
      </w:r>
      <w:r w:rsidR="00B05D72">
        <w:t> </w:t>
      </w:r>
      <w:r w:rsidR="00EF55F4">
        <w:t>poziomie</w:t>
      </w:r>
      <w:r w:rsidR="00B05D72">
        <w:t> </w:t>
      </w:r>
      <w:r w:rsidR="00EF55F4">
        <w:t>85 min./odbiorcę</w:t>
      </w:r>
      <w:r w:rsidR="00C45621">
        <w:t>.</w:t>
      </w:r>
      <w:r w:rsidR="00EF55F4">
        <w:t xml:space="preserve"> </w:t>
      </w:r>
    </w:p>
    <w:p w14:paraId="159D1B29" w14:textId="77777777" w:rsidR="00AD31FC" w:rsidRDefault="00AD31FC" w:rsidP="00AD31FC">
      <w:pPr>
        <w:pStyle w:val="PaMs"/>
      </w:pPr>
      <w:r w:rsidRPr="00C46DAA">
        <w:t>POLITYKA</w:t>
      </w:r>
    </w:p>
    <w:p w14:paraId="613831C4" w14:textId="058EF29D" w:rsidR="00296419" w:rsidRDefault="00AD31FC" w:rsidP="007E3918">
      <w:r w:rsidRPr="0053209D">
        <w:t>Zapewnienie odpowiedniego stanu</w:t>
      </w:r>
      <w:r>
        <w:t xml:space="preserve"> </w:t>
      </w:r>
      <w:r w:rsidRPr="0053209D">
        <w:t xml:space="preserve">i rozwoju infrastruktury </w:t>
      </w:r>
      <w:r>
        <w:t xml:space="preserve">elektroenergetycznej będzie opierać się o regulowaną działalność profesjonalnych podmiotów. </w:t>
      </w:r>
      <w:r w:rsidR="00175E85">
        <w:t xml:space="preserve">Opiniowanie planów rozwoju systemów przesyłowego i dystrybucyjnego przez Prezesa Urzędu Regulacji Energetyki, a także regulacja jakościowa stanowi swego </w:t>
      </w:r>
      <w:r w:rsidR="00EC299C">
        <w:t>rodzaju</w:t>
      </w:r>
      <w:r w:rsidR="00175E85">
        <w:t xml:space="preserve"> gwarancję tego, że infrastruktura liniowa będzie odbywać się zgodnie z</w:t>
      </w:r>
      <w:r w:rsidR="0085067A">
        <w:t> </w:t>
      </w:r>
      <w:r w:rsidR="00175E85">
        <w:t xml:space="preserve">potrzebami rozwoju rynku, transformacji energetycznej i warunków bezpieczeństwa. </w:t>
      </w:r>
    </w:p>
    <w:p w14:paraId="0891B54D" w14:textId="3A68484C" w:rsidR="00FC15C1" w:rsidRDefault="00FC15C1" w:rsidP="00FC15C1">
      <w:pPr>
        <w:spacing w:after="80"/>
      </w:pPr>
      <w:r>
        <w:t>Działania podejmowane w obszarze zapewnienia sprawnej infrastruktury przesyłowej i dystrybucyjnej energii elektrycznej będą ukierunkowane na:</w:t>
      </w:r>
    </w:p>
    <w:p w14:paraId="58E4F528" w14:textId="77777777" w:rsidR="00FC15C1" w:rsidRDefault="00FC15C1" w:rsidP="003530A9">
      <w:pPr>
        <w:pStyle w:val="Akapitzlist"/>
        <w:numPr>
          <w:ilvl w:val="0"/>
          <w:numId w:val="13"/>
        </w:numPr>
      </w:pPr>
      <w:r>
        <w:t>bezpieczeństwo dostaw m.in. dzięki interoperacyjności, odpowiednim połączeniom oraz bezpiecznemu i niezawodnemu funkcjonowaniu systemu,</w:t>
      </w:r>
    </w:p>
    <w:p w14:paraId="629DE37C" w14:textId="1AFA75DC" w:rsidR="00FC15C1" w:rsidRDefault="00FC15C1" w:rsidP="003530A9">
      <w:pPr>
        <w:pStyle w:val="Akapitzlist"/>
        <w:numPr>
          <w:ilvl w:val="0"/>
          <w:numId w:val="13"/>
        </w:numPr>
      </w:pPr>
      <w:r>
        <w:t xml:space="preserve">zapewnienie wystarczających zdolności przesyłowych wynikających z prognozowanego </w:t>
      </w:r>
      <w:r w:rsidRPr="005016EE">
        <w:t>zapotrzebowania</w:t>
      </w:r>
      <w:r>
        <w:t xml:space="preserve"> na moc i energię elektryczną poszczególnych obszarów KSE,</w:t>
      </w:r>
    </w:p>
    <w:p w14:paraId="5E2CF1B9" w14:textId="77777777" w:rsidR="00FC15C1" w:rsidRDefault="00FC15C1" w:rsidP="003530A9">
      <w:pPr>
        <w:pStyle w:val="Akapitzlist"/>
        <w:numPr>
          <w:ilvl w:val="0"/>
          <w:numId w:val="13"/>
        </w:numPr>
      </w:pPr>
      <w:r>
        <w:t xml:space="preserve">przyłączenie i wyprowadzenie mocy z nowych źródeł wytwórczych (zarówno konwencjonalnych, jak i OZE), </w:t>
      </w:r>
    </w:p>
    <w:p w14:paraId="7D4232B3" w14:textId="77777777" w:rsidR="00FC15C1" w:rsidRDefault="00FC15C1" w:rsidP="003530A9">
      <w:pPr>
        <w:pStyle w:val="Akapitzlist"/>
        <w:numPr>
          <w:ilvl w:val="0"/>
          <w:numId w:val="13"/>
        </w:numPr>
      </w:pPr>
      <w:r>
        <w:lastRenderedPageBreak/>
        <w:t>zapewnienie możliwości przyłączenia nowych odbiorców energii,</w:t>
      </w:r>
    </w:p>
    <w:p w14:paraId="6F9FFDD4" w14:textId="77777777" w:rsidR="00FC15C1" w:rsidRDefault="00FC15C1" w:rsidP="003530A9">
      <w:pPr>
        <w:pStyle w:val="Akapitzlist"/>
        <w:numPr>
          <w:ilvl w:val="0"/>
          <w:numId w:val="13"/>
        </w:numPr>
      </w:pPr>
      <w:r>
        <w:t>zwiększenie pewności zasilania dużych centrów odbioru,</w:t>
      </w:r>
    </w:p>
    <w:p w14:paraId="67D99125" w14:textId="77777777" w:rsidR="00FC15C1" w:rsidRDefault="00FC15C1" w:rsidP="003530A9">
      <w:pPr>
        <w:pStyle w:val="Akapitzlist"/>
        <w:numPr>
          <w:ilvl w:val="0"/>
          <w:numId w:val="13"/>
        </w:numPr>
      </w:pPr>
      <w:r>
        <w:t>zwiększenie zdolności do regulacji napięć,</w:t>
      </w:r>
    </w:p>
    <w:p w14:paraId="28973F46" w14:textId="77777777" w:rsidR="00FC15C1" w:rsidRDefault="00FC15C1" w:rsidP="003530A9">
      <w:pPr>
        <w:pStyle w:val="Akapitzlist"/>
        <w:numPr>
          <w:ilvl w:val="0"/>
          <w:numId w:val="13"/>
        </w:numPr>
      </w:pPr>
      <w:r>
        <w:t xml:space="preserve">stworzenie warunków bezpiecznej pracy KSE, zapewniając współpracę źródeł energii o zróżnicowanej technologii wytwarzania i różnych charakterystykach pracy, </w:t>
      </w:r>
    </w:p>
    <w:p w14:paraId="6F45912D" w14:textId="495A4F0B" w:rsidR="00B30F5E" w:rsidRDefault="00FC15C1" w:rsidP="003530A9">
      <w:pPr>
        <w:pStyle w:val="Akapitzlist"/>
        <w:numPr>
          <w:ilvl w:val="0"/>
          <w:numId w:val="13"/>
        </w:numPr>
      </w:pPr>
      <w:r>
        <w:t>zwiększenie elastyczności ruchowej systemu przesyłowego umożliwiającej odstawienie z ruchu do prac eksploatacyjnych i remontowych ważnych elementów sieci, których wyłączenie przy obecnym kształcie i obciążeniu sieci jest trudne.</w:t>
      </w:r>
    </w:p>
    <w:p w14:paraId="42C5A155" w14:textId="444908FB" w:rsidR="00B30F5E" w:rsidRDefault="00B30F5E" w:rsidP="00B30F5E">
      <w:pPr>
        <w:pStyle w:val="Nagwek5"/>
      </w:pPr>
      <w:r>
        <w:t>Przesył energii elektrycznej</w:t>
      </w:r>
    </w:p>
    <w:p w14:paraId="19A9216F" w14:textId="6B9A178B" w:rsidR="00FF06D4" w:rsidRDefault="00AD31FC" w:rsidP="000D6861">
      <w:r>
        <w:t xml:space="preserve">Jak dotychczas </w:t>
      </w:r>
      <w:r w:rsidRPr="002B4DFC">
        <w:rPr>
          <w:b/>
          <w:bCs/>
        </w:rPr>
        <w:t>operator system</w:t>
      </w:r>
      <w:r>
        <w:rPr>
          <w:b/>
          <w:bCs/>
        </w:rPr>
        <w:t>u</w:t>
      </w:r>
      <w:r w:rsidRPr="002B4DFC">
        <w:rPr>
          <w:b/>
          <w:bCs/>
        </w:rPr>
        <w:t xml:space="preserve"> przesyłow</w:t>
      </w:r>
      <w:r>
        <w:rPr>
          <w:b/>
          <w:bCs/>
        </w:rPr>
        <w:t>ego</w:t>
      </w:r>
      <w:r>
        <w:t xml:space="preserve"> będzie realizować zadania określone w </w:t>
      </w:r>
      <w:r w:rsidR="005E4412">
        <w:rPr>
          <w:i/>
          <w:iCs/>
        </w:rPr>
        <w:t>p</w:t>
      </w:r>
      <w:r w:rsidRPr="005E4412">
        <w:rPr>
          <w:i/>
          <w:iCs/>
        </w:rPr>
        <w:t>lanie rozwoju w</w:t>
      </w:r>
      <w:r w:rsidR="005E4412">
        <w:rPr>
          <w:i/>
          <w:iCs/>
        </w:rPr>
        <w:t> </w:t>
      </w:r>
      <w:r w:rsidRPr="005E4412">
        <w:rPr>
          <w:i/>
          <w:iCs/>
        </w:rPr>
        <w:t>zakresie zaspokojenia obecnego i przyszłego zapotrzebowania na energię elektryczną</w:t>
      </w:r>
      <w:r w:rsidR="00FC15C1">
        <w:rPr>
          <w:i/>
          <w:iCs/>
        </w:rPr>
        <w:t xml:space="preserve"> </w:t>
      </w:r>
      <w:r w:rsidR="00FC15C1" w:rsidRPr="00FC15C1">
        <w:t>(t</w:t>
      </w:r>
      <w:r w:rsidR="000D6861">
        <w:t>zw.</w:t>
      </w:r>
      <w:r w:rsidR="00FC15C1" w:rsidRPr="00FC15C1">
        <w:t xml:space="preserve"> PRSP)</w:t>
      </w:r>
      <w:r w:rsidRPr="003A1509">
        <w:t xml:space="preserve"> </w:t>
      </w:r>
      <w:r w:rsidRPr="00FD5859">
        <w:t>na okres 10</w:t>
      </w:r>
      <w:r w:rsidR="000D6861">
        <w:t> </w:t>
      </w:r>
      <w:r w:rsidRPr="00FD5859">
        <w:t>lat</w:t>
      </w:r>
      <w:r w:rsidR="007F5A6C">
        <w:t xml:space="preserve">, który będzie podlegał aktualizacji </w:t>
      </w:r>
      <w:r w:rsidR="00FF06D4">
        <w:t xml:space="preserve">co 2 lata </w:t>
      </w:r>
      <w:r w:rsidR="007F5A6C">
        <w:t xml:space="preserve">zgodnie z </w:t>
      </w:r>
      <w:r w:rsidR="005E4412">
        <w:t>kierunkiem rozwoju rynku</w:t>
      </w:r>
      <w:r w:rsidR="00FF06D4">
        <w:t>. Aktualnie obowiązujący dokument obejmuje perspektywę lat 2025–2034</w:t>
      </w:r>
      <w:r w:rsidR="00FC15C1">
        <w:rPr>
          <w:rStyle w:val="Odwoanieprzypisudolnego"/>
        </w:rPr>
        <w:footnoteReference w:id="126"/>
      </w:r>
      <w:r w:rsidR="00FF06D4">
        <w:t>.</w:t>
      </w:r>
      <w:r>
        <w:t xml:space="preserve"> </w:t>
      </w:r>
    </w:p>
    <w:p w14:paraId="494A5722" w14:textId="5ABA6EE6" w:rsidR="00AB4542" w:rsidRDefault="00EF55F4" w:rsidP="00AB4542">
      <w:r>
        <w:t xml:space="preserve">Działania OSPe w najbliższym czasie będą </w:t>
      </w:r>
      <w:r w:rsidR="00175E85">
        <w:t xml:space="preserve">w sposób szczególny </w:t>
      </w:r>
      <w:r>
        <w:t>ukierunkowane na:</w:t>
      </w:r>
    </w:p>
    <w:p w14:paraId="0E43246B" w14:textId="4B6F27A9" w:rsidR="00EF55F4" w:rsidRDefault="00EF55F4" w:rsidP="000625AC">
      <w:pPr>
        <w:pStyle w:val="Akapitzlist"/>
        <w:numPr>
          <w:ilvl w:val="0"/>
          <w:numId w:val="67"/>
        </w:numPr>
      </w:pPr>
      <w:r w:rsidRPr="00EF55F4">
        <w:t>rozw</w:t>
      </w:r>
      <w:r>
        <w:t>ój</w:t>
      </w:r>
      <w:r w:rsidRPr="00EF55F4">
        <w:t xml:space="preserve"> sieci przesyłowej dla przyłączenia </w:t>
      </w:r>
      <w:r w:rsidRPr="00EF55F4">
        <w:rPr>
          <w:b/>
          <w:bCs/>
        </w:rPr>
        <w:t>morskich farm wiatrowych</w:t>
      </w:r>
      <w:r>
        <w:t xml:space="preserve"> na Bałtyku,</w:t>
      </w:r>
    </w:p>
    <w:p w14:paraId="70ACAEC7" w14:textId="4FB79D19" w:rsidR="00EF55F4" w:rsidRDefault="00EF55F4" w:rsidP="000625AC">
      <w:pPr>
        <w:pStyle w:val="Akapitzlist"/>
        <w:numPr>
          <w:ilvl w:val="0"/>
          <w:numId w:val="67"/>
        </w:numPr>
      </w:pPr>
      <w:r>
        <w:t>p</w:t>
      </w:r>
      <w:r w:rsidRPr="00EF55F4">
        <w:t xml:space="preserve">rzyłączenie i wyprowadzenie </w:t>
      </w:r>
      <w:r w:rsidRPr="00EF55F4">
        <w:rPr>
          <w:b/>
          <w:bCs/>
        </w:rPr>
        <w:t>mocy z elektrowni jądrowych</w:t>
      </w:r>
      <w:r>
        <w:t>,</w:t>
      </w:r>
    </w:p>
    <w:p w14:paraId="3C955F4C" w14:textId="2CC2575F" w:rsidR="00EF55F4" w:rsidRPr="00EF55F4" w:rsidRDefault="00EF55F4" w:rsidP="000625AC">
      <w:pPr>
        <w:pStyle w:val="Akapitzlist"/>
        <w:numPr>
          <w:ilvl w:val="0"/>
          <w:numId w:val="67"/>
        </w:numPr>
      </w:pPr>
      <w:r>
        <w:t>zapewnieni</w:t>
      </w:r>
      <w:r w:rsidR="00756D43">
        <w:t>e</w:t>
      </w:r>
      <w:r>
        <w:t xml:space="preserve"> sprawnego przesyłu energii z północy na południe Polski</w:t>
      </w:r>
      <w:r w:rsidR="003B667E">
        <w:t>,</w:t>
      </w:r>
    </w:p>
    <w:p w14:paraId="3F6C2905" w14:textId="369EA823" w:rsidR="00EF55F4" w:rsidRDefault="00EF55F4" w:rsidP="000625AC">
      <w:pPr>
        <w:pStyle w:val="Akapitzlist"/>
        <w:numPr>
          <w:ilvl w:val="0"/>
          <w:numId w:val="67"/>
        </w:numPr>
      </w:pPr>
      <w:r>
        <w:t>popraw</w:t>
      </w:r>
      <w:r w:rsidR="00756D43">
        <w:t>ę</w:t>
      </w:r>
      <w:r>
        <w:t xml:space="preserve"> </w:t>
      </w:r>
      <w:r w:rsidRPr="00EF55F4">
        <w:rPr>
          <w:b/>
          <w:bCs/>
        </w:rPr>
        <w:t>warunków zasilania</w:t>
      </w:r>
      <w:r>
        <w:t>, szczególnie w północnej Polsce, gdzie powstaje duża sumaryczna ilość mocy zainstalowanej</w:t>
      </w:r>
      <w:r w:rsidR="00D62A2A">
        <w:t>,</w:t>
      </w:r>
    </w:p>
    <w:p w14:paraId="4DC677E6" w14:textId="6251DF2F" w:rsidR="00EF55F4" w:rsidRDefault="00EF55F4" w:rsidP="000625AC">
      <w:pPr>
        <w:pStyle w:val="Akapitzlist"/>
        <w:numPr>
          <w:ilvl w:val="0"/>
          <w:numId w:val="67"/>
        </w:numPr>
      </w:pPr>
      <w:r>
        <w:t>przyłączanie nowych odbiorców, jednostek wytwórczych – zarówno OZE, jak i innych zero- i niskoemisyjnych – oraz magazynów energii,</w:t>
      </w:r>
    </w:p>
    <w:p w14:paraId="00C46BEC" w14:textId="4442EBF1" w:rsidR="00EF55F4" w:rsidRDefault="00EF55F4" w:rsidP="000625AC">
      <w:pPr>
        <w:pStyle w:val="Akapitzlist"/>
        <w:numPr>
          <w:ilvl w:val="0"/>
          <w:numId w:val="67"/>
        </w:numPr>
      </w:pPr>
      <w:r>
        <w:t>wspieranie różnych obszarów transformacji energetycznej związanej z m.in. rozwojem elektromobilności, gospodarki wodorowej, skali prosumeryzmu i społeczności energetycznych.</w:t>
      </w:r>
    </w:p>
    <w:p w14:paraId="576E88E2" w14:textId="6B046099" w:rsidR="00EF55F4" w:rsidRDefault="0062080A" w:rsidP="00B30F5E">
      <w:r>
        <w:t xml:space="preserve">Poszczególne zadania inwestycyjne podejmowane w obszarze modernizacji i rozbudowy infrastruktury liniowej przesyłowej zazwyczaj oddziałują na więcej niż jeden efekt – np. inwestycje na potrzeby wyprowadzenia mocy z elektrowni jądrowej i morskich farm wiatrowych poprawią warunki zasilania odbiorców na północy kraju. </w:t>
      </w:r>
      <w:r w:rsidR="00895D24">
        <w:t>Cześć z p</w:t>
      </w:r>
      <w:r w:rsidR="002B394B">
        <w:t>odejmowan</w:t>
      </w:r>
      <w:r w:rsidR="00895D24">
        <w:t>ych</w:t>
      </w:r>
      <w:r w:rsidR="00EF55F4">
        <w:t xml:space="preserve"> </w:t>
      </w:r>
      <w:r w:rsidR="00EF55F4" w:rsidRPr="00EA2BB8">
        <w:rPr>
          <w:color w:val="000000" w:themeColor="text1"/>
        </w:rPr>
        <w:t>inwestycj</w:t>
      </w:r>
      <w:r w:rsidR="00895D24" w:rsidRPr="00EA2BB8">
        <w:rPr>
          <w:color w:val="000000" w:themeColor="text1"/>
        </w:rPr>
        <w:t>i</w:t>
      </w:r>
      <w:r w:rsidR="00EF55F4" w:rsidRPr="00EA2BB8">
        <w:rPr>
          <w:color w:val="000000" w:themeColor="text1"/>
        </w:rPr>
        <w:t xml:space="preserve"> będ</w:t>
      </w:r>
      <w:r w:rsidR="00895D24" w:rsidRPr="00EA2BB8">
        <w:rPr>
          <w:color w:val="000000" w:themeColor="text1"/>
        </w:rPr>
        <w:t>zie</w:t>
      </w:r>
      <w:r w:rsidR="00EF55F4" w:rsidRPr="00EA2BB8">
        <w:rPr>
          <w:color w:val="000000" w:themeColor="text1"/>
        </w:rPr>
        <w:t xml:space="preserve"> również oddziaływać na </w:t>
      </w:r>
      <w:r w:rsidR="006C4E41" w:rsidRPr="00EA2BB8">
        <w:rPr>
          <w:color w:val="000000" w:themeColor="text1"/>
        </w:rPr>
        <w:t>rozwój połączeń transgranicznych</w:t>
      </w:r>
      <w:r w:rsidR="00895D24" w:rsidRPr="00EA2BB8">
        <w:rPr>
          <w:color w:val="000000" w:themeColor="text1"/>
        </w:rPr>
        <w:t xml:space="preserve"> i</w:t>
      </w:r>
      <w:r w:rsidR="00FC0FE0" w:rsidRPr="00EA2BB8">
        <w:rPr>
          <w:color w:val="000000" w:themeColor="text1"/>
        </w:rPr>
        <w:t> </w:t>
      </w:r>
      <w:r w:rsidR="006C4E41" w:rsidRPr="00EA2BB8">
        <w:rPr>
          <w:color w:val="000000" w:themeColor="text1"/>
        </w:rPr>
        <w:t>wymiany międzysystemowej</w:t>
      </w:r>
      <w:r w:rsidR="00FC0FE0" w:rsidRPr="00EA2BB8">
        <w:rPr>
          <w:color w:val="000000" w:themeColor="text1"/>
        </w:rPr>
        <w:t xml:space="preserve">, co rozszerzono w części </w:t>
      </w:r>
      <w:r w:rsidR="00FC0FE0" w:rsidRPr="00EA2BB8">
        <w:rPr>
          <w:i/>
          <w:iCs/>
          <w:color w:val="000000" w:themeColor="text1"/>
        </w:rPr>
        <w:fldChar w:fldCharType="begin"/>
      </w:r>
      <w:r w:rsidR="00FC0FE0" w:rsidRPr="00EA2BB8">
        <w:rPr>
          <w:i/>
          <w:iCs/>
          <w:color w:val="000000" w:themeColor="text1"/>
        </w:rPr>
        <w:instrText xml:space="preserve"> REF _Ref191988639 \n \h  \* MERGEFORMAT </w:instrText>
      </w:r>
      <w:r w:rsidR="00FC0FE0" w:rsidRPr="00EA2BB8">
        <w:rPr>
          <w:i/>
          <w:iCs/>
          <w:color w:val="000000" w:themeColor="text1"/>
        </w:rPr>
      </w:r>
      <w:r w:rsidR="00FC0FE0" w:rsidRPr="00EA2BB8">
        <w:rPr>
          <w:i/>
          <w:iCs/>
          <w:color w:val="000000" w:themeColor="text1"/>
        </w:rPr>
        <w:fldChar w:fldCharType="separate"/>
      </w:r>
      <w:r w:rsidR="00871DD5">
        <w:rPr>
          <w:i/>
          <w:iCs/>
          <w:color w:val="000000" w:themeColor="text1"/>
        </w:rPr>
        <w:t>Cel 4.1.1</w:t>
      </w:r>
      <w:r w:rsidR="00FC0FE0" w:rsidRPr="00EA2BB8">
        <w:rPr>
          <w:i/>
          <w:iCs/>
          <w:color w:val="000000" w:themeColor="text1"/>
        </w:rPr>
        <w:fldChar w:fldCharType="end"/>
      </w:r>
      <w:r w:rsidR="00FC0FE0" w:rsidRPr="00EA2BB8">
        <w:rPr>
          <w:i/>
          <w:iCs/>
          <w:color w:val="000000" w:themeColor="text1"/>
        </w:rPr>
        <w:t xml:space="preserve">. </w:t>
      </w:r>
      <w:r w:rsidR="00FC0FE0" w:rsidRPr="00EA2BB8">
        <w:rPr>
          <w:i/>
          <w:iCs/>
          <w:color w:val="000000" w:themeColor="text1"/>
        </w:rPr>
        <w:fldChar w:fldCharType="begin"/>
      </w:r>
      <w:r w:rsidR="00FC0FE0" w:rsidRPr="00EA2BB8">
        <w:rPr>
          <w:i/>
          <w:iCs/>
          <w:color w:val="000000" w:themeColor="text1"/>
        </w:rPr>
        <w:instrText xml:space="preserve"> REF _Ref191988639 \h  \* MERGEFORMAT </w:instrText>
      </w:r>
      <w:r w:rsidR="00FC0FE0" w:rsidRPr="00EA2BB8">
        <w:rPr>
          <w:i/>
          <w:iCs/>
          <w:color w:val="000000" w:themeColor="text1"/>
        </w:rPr>
      </w:r>
      <w:r w:rsidR="00FC0FE0" w:rsidRPr="00EA2BB8">
        <w:rPr>
          <w:i/>
          <w:iCs/>
          <w:color w:val="000000" w:themeColor="text1"/>
        </w:rPr>
        <w:fldChar w:fldCharType="separate"/>
      </w:r>
      <w:r w:rsidR="00871DD5" w:rsidRPr="00871DD5">
        <w:rPr>
          <w:i/>
          <w:iCs/>
          <w:color w:val="000000" w:themeColor="text1"/>
        </w:rPr>
        <w:t>Zapewnienie warunków wymiany międzysystemowej energii elektrycznej</w:t>
      </w:r>
      <w:r w:rsidR="00FC0FE0" w:rsidRPr="00EA2BB8">
        <w:rPr>
          <w:i/>
          <w:iCs/>
          <w:color w:val="000000" w:themeColor="text1"/>
        </w:rPr>
        <w:fldChar w:fldCharType="end"/>
      </w:r>
      <w:r w:rsidR="00895D24" w:rsidRPr="00EA2BB8">
        <w:rPr>
          <w:color w:val="000000" w:themeColor="text1"/>
        </w:rPr>
        <w:t>.</w:t>
      </w:r>
    </w:p>
    <w:p w14:paraId="2A048882" w14:textId="0BBE29AE" w:rsidR="00B30F5E" w:rsidRDefault="00B30F5E" w:rsidP="00B30F5E">
      <w:pPr>
        <w:pStyle w:val="Nagwek5"/>
      </w:pPr>
      <w:r>
        <w:t>Dystrybucja energii elektrycznej</w:t>
      </w:r>
    </w:p>
    <w:p w14:paraId="2E0388B3" w14:textId="34A7B848" w:rsidR="00E05EA5" w:rsidRDefault="00750742" w:rsidP="00E05EA5">
      <w:r>
        <w:t xml:space="preserve">Jak dotychczas </w:t>
      </w:r>
      <w:r w:rsidRPr="002B4DFC">
        <w:rPr>
          <w:b/>
          <w:bCs/>
        </w:rPr>
        <w:t>operator</w:t>
      </w:r>
      <w:r>
        <w:rPr>
          <w:b/>
          <w:bCs/>
        </w:rPr>
        <w:t>zy</w:t>
      </w:r>
      <w:r w:rsidR="00FC15C1">
        <w:t xml:space="preserve"> </w:t>
      </w:r>
      <w:r w:rsidR="00FC15C1" w:rsidRPr="00E224B5">
        <w:rPr>
          <w:b/>
          <w:bCs/>
        </w:rPr>
        <w:t>systemów dystrybucyjnych</w:t>
      </w:r>
      <w:r w:rsidR="00FC15C1">
        <w:t xml:space="preserve"> będą wykonywać plany w perspektywie 5-letniej</w:t>
      </w:r>
      <w:r w:rsidR="00B61305">
        <w:t>, a ich nadrzędnym celem jest z</w:t>
      </w:r>
      <w:r w:rsidR="00B61305" w:rsidRPr="00B61305">
        <w:t>aspokojeni</w:t>
      </w:r>
      <w:r w:rsidR="00B61305">
        <w:t>e</w:t>
      </w:r>
      <w:r w:rsidR="00B61305" w:rsidRPr="00B61305">
        <w:t xml:space="preserve"> obecnego i przyszłego zapotrzebowania na energię elektryczną</w:t>
      </w:r>
      <w:r w:rsidR="00FC15C1" w:rsidRPr="00FD5859">
        <w:t>.</w:t>
      </w:r>
      <w:r>
        <w:t xml:space="preserve"> </w:t>
      </w:r>
      <w:r w:rsidR="00E05EA5">
        <w:t xml:space="preserve">Plany rozwoju </w:t>
      </w:r>
      <w:r w:rsidR="001B7D14">
        <w:t xml:space="preserve">OSDe </w:t>
      </w:r>
      <w:r w:rsidR="00E05EA5">
        <w:t>powinny</w:t>
      </w:r>
      <w:r w:rsidR="00175E85">
        <w:t xml:space="preserve"> w sposób szczególny</w:t>
      </w:r>
      <w:r w:rsidR="00E05EA5">
        <w:t xml:space="preserve"> koncentrować się na</w:t>
      </w:r>
      <w:r w:rsidR="0062080A">
        <w:t>:</w:t>
      </w:r>
      <w:r w:rsidR="00E05EA5">
        <w:t xml:space="preserve"> </w:t>
      </w:r>
    </w:p>
    <w:p w14:paraId="44CD5CDB" w14:textId="7FA50B45" w:rsidR="00E05EA5" w:rsidRPr="00E05EA5" w:rsidRDefault="00296419" w:rsidP="000625AC">
      <w:pPr>
        <w:pStyle w:val="Akapitzlist"/>
        <w:numPr>
          <w:ilvl w:val="0"/>
          <w:numId w:val="68"/>
        </w:numPr>
      </w:pPr>
      <w:r>
        <w:t xml:space="preserve">dążeniu do </w:t>
      </w:r>
      <w:r w:rsidRPr="00296419">
        <w:rPr>
          <w:b/>
          <w:bCs/>
        </w:rPr>
        <w:t xml:space="preserve">elastyczności </w:t>
      </w:r>
      <w:r w:rsidRPr="00296419">
        <w:t>s</w:t>
      </w:r>
      <w:r>
        <w:t xml:space="preserve">ystemu, </w:t>
      </w:r>
      <w:r w:rsidR="00E05EA5">
        <w:t>r</w:t>
      </w:r>
      <w:r w:rsidR="00E05EA5" w:rsidRPr="00E05EA5">
        <w:t>ozw</w:t>
      </w:r>
      <w:r w:rsidR="00E05EA5">
        <w:t>oju</w:t>
      </w:r>
      <w:r w:rsidR="00E05EA5" w:rsidRPr="00E05EA5">
        <w:t xml:space="preserve"> sieci niezbędn</w:t>
      </w:r>
      <w:r w:rsidR="00E05EA5">
        <w:t>ego</w:t>
      </w:r>
      <w:r w:rsidR="00E05EA5" w:rsidRPr="00E05EA5">
        <w:t xml:space="preserve"> dla </w:t>
      </w:r>
      <w:r w:rsidR="00E05EA5" w:rsidRPr="001B7D14">
        <w:rPr>
          <w:b/>
          <w:bCs/>
        </w:rPr>
        <w:t>przyłącz</w:t>
      </w:r>
      <w:r w:rsidR="00756D43">
        <w:rPr>
          <w:b/>
          <w:bCs/>
        </w:rPr>
        <w:t>a</w:t>
      </w:r>
      <w:r w:rsidR="00E05EA5" w:rsidRPr="001B7D14">
        <w:rPr>
          <w:b/>
          <w:bCs/>
        </w:rPr>
        <w:t>nia OZE i magazynów energii elektrycznej</w:t>
      </w:r>
      <w:r w:rsidR="00E05EA5">
        <w:t xml:space="preserve"> </w:t>
      </w:r>
      <w:r w:rsidR="00E05EA5" w:rsidRPr="001B7D14">
        <w:rPr>
          <w:b/>
          <w:bCs/>
        </w:rPr>
        <w:t>oraz ich efektywnego wykorzystania</w:t>
      </w:r>
      <w:r w:rsidR="00E05EA5" w:rsidRPr="00E05EA5">
        <w:t>,</w:t>
      </w:r>
      <w:r w:rsidR="00E05EA5">
        <w:t xml:space="preserve"> a także na potrzeby elektromobilności i elektryfikacji </w:t>
      </w:r>
      <w:r w:rsidR="0062080A">
        <w:t>innych sektorów gospodarki,</w:t>
      </w:r>
    </w:p>
    <w:p w14:paraId="15700FD5" w14:textId="5B48354D" w:rsidR="00E05EA5" w:rsidRPr="00E05EA5" w:rsidRDefault="00E05EA5" w:rsidP="000625AC">
      <w:pPr>
        <w:pStyle w:val="Akapitzlist"/>
        <w:numPr>
          <w:ilvl w:val="0"/>
          <w:numId w:val="68"/>
        </w:numPr>
      </w:pPr>
      <w:r>
        <w:t>dążeniu do stopniowej z</w:t>
      </w:r>
      <w:r w:rsidRPr="00E05EA5">
        <w:t>mian</w:t>
      </w:r>
      <w:r>
        <w:t>y</w:t>
      </w:r>
      <w:r w:rsidRPr="00E05EA5">
        <w:t xml:space="preserve"> struktury </w:t>
      </w:r>
      <w:r w:rsidRPr="0062080A">
        <w:rPr>
          <w:b/>
          <w:bCs/>
        </w:rPr>
        <w:t>sieci średnich napięć z napowietrznej na kablową</w:t>
      </w:r>
      <w:r w:rsidRPr="00E05EA5">
        <w:t>,</w:t>
      </w:r>
    </w:p>
    <w:p w14:paraId="071C22CB" w14:textId="18A3CECC" w:rsidR="00E05EA5" w:rsidRPr="00E05EA5" w:rsidRDefault="00E05EA5" w:rsidP="000625AC">
      <w:pPr>
        <w:pStyle w:val="Akapitzlist"/>
        <w:numPr>
          <w:ilvl w:val="0"/>
          <w:numId w:val="68"/>
        </w:numPr>
      </w:pPr>
      <w:r>
        <w:t>c</w:t>
      </w:r>
      <w:r w:rsidRPr="00E05EA5">
        <w:t>yfryzacj</w:t>
      </w:r>
      <w:r w:rsidR="0062080A">
        <w:t>i</w:t>
      </w:r>
      <w:r>
        <w:t>,</w:t>
      </w:r>
      <w:r w:rsidRPr="00E05EA5">
        <w:t xml:space="preserve"> automatyzacj</w:t>
      </w:r>
      <w:r>
        <w:t>i i budowie inteligentnej sieci elektroenergetycznej</w:t>
      </w:r>
      <w:r w:rsidR="007E3918">
        <w:t>, szczególnie przez montaż inteligentnych liczników</w:t>
      </w:r>
      <w:r w:rsidR="0062080A">
        <w:t xml:space="preserve">, </w:t>
      </w:r>
    </w:p>
    <w:p w14:paraId="2A3F5092" w14:textId="5E234451" w:rsidR="00175E85" w:rsidRDefault="00175E85" w:rsidP="000625AC">
      <w:pPr>
        <w:pStyle w:val="Akapitzlist"/>
        <w:numPr>
          <w:ilvl w:val="0"/>
          <w:numId w:val="68"/>
        </w:numPr>
      </w:pPr>
      <w:r>
        <w:t>zapewnianiu wysokiej jakości dostaw energii elektrycznej</w:t>
      </w:r>
      <w:r w:rsidR="00296419">
        <w:t xml:space="preserve">, </w:t>
      </w:r>
    </w:p>
    <w:p w14:paraId="179BBC1E" w14:textId="2A3C949B" w:rsidR="00E05EA5" w:rsidRPr="00E05EA5" w:rsidRDefault="00E05EA5" w:rsidP="000625AC">
      <w:pPr>
        <w:pStyle w:val="Akapitzlist"/>
        <w:numPr>
          <w:ilvl w:val="0"/>
          <w:numId w:val="68"/>
        </w:numPr>
      </w:pPr>
      <w:r>
        <w:t>p</w:t>
      </w:r>
      <w:r w:rsidRPr="00E05EA5">
        <w:t>rzyłącz</w:t>
      </w:r>
      <w:r w:rsidR="00756D43">
        <w:t>a</w:t>
      </w:r>
      <w:r w:rsidRPr="00E05EA5">
        <w:t>ni</w:t>
      </w:r>
      <w:r>
        <w:t>u nowych</w:t>
      </w:r>
      <w:r w:rsidRPr="00E05EA5">
        <w:t xml:space="preserve"> </w:t>
      </w:r>
      <w:r>
        <w:t>k</w:t>
      </w:r>
      <w:r w:rsidRPr="00E05EA5">
        <w:t xml:space="preserve">lientów. </w:t>
      </w:r>
    </w:p>
    <w:p w14:paraId="3D371F96" w14:textId="12031D5F" w:rsidR="00B30F5E" w:rsidRDefault="001B7D14" w:rsidP="00175E85">
      <w:pPr>
        <w:spacing w:before="240"/>
      </w:pPr>
      <w:r>
        <w:t xml:space="preserve">Nowy model funkcjonowania rynku energii wymaga </w:t>
      </w:r>
      <w:r w:rsidRPr="00296419">
        <w:rPr>
          <w:b/>
          <w:bCs/>
        </w:rPr>
        <w:t>efektywnego zarządzania i elastyczności</w:t>
      </w:r>
      <w:r w:rsidR="00763CD7" w:rsidRPr="00296419">
        <w:rPr>
          <w:b/>
          <w:bCs/>
        </w:rPr>
        <w:t>ą systemu</w:t>
      </w:r>
      <w:r>
        <w:t xml:space="preserve">. </w:t>
      </w:r>
      <w:r w:rsidR="0062080A">
        <w:t xml:space="preserve">Działania i inwestycje podejmowane </w:t>
      </w:r>
      <w:r w:rsidR="00763CD7">
        <w:t xml:space="preserve">właśnie </w:t>
      </w:r>
      <w:r w:rsidR="0062080A">
        <w:t xml:space="preserve">w obszarze modernizacji i zagęszczania sieci i urządzeń </w:t>
      </w:r>
      <w:r>
        <w:lastRenderedPageBreak/>
        <w:t xml:space="preserve">infrastruktury dystrybucyjnej </w:t>
      </w:r>
      <w:r w:rsidR="00763CD7">
        <w:t xml:space="preserve">mają niezwykłe znaczenie. Z tego względu </w:t>
      </w:r>
      <w:r>
        <w:t xml:space="preserve">powinny być prowadzone w taki sposób, aby </w:t>
      </w:r>
      <w:r w:rsidR="00763CD7">
        <w:t xml:space="preserve">optymalizować </w:t>
      </w:r>
      <w:r w:rsidR="00175E85">
        <w:t xml:space="preserve">koszty </w:t>
      </w:r>
      <w:r w:rsidR="00296419">
        <w:t>bilansowania systemu.</w:t>
      </w:r>
    </w:p>
    <w:p w14:paraId="2A4E9C41" w14:textId="36197E3A" w:rsidR="007E3918" w:rsidRDefault="007E3918" w:rsidP="00C842AB">
      <w:r>
        <w:t xml:space="preserve">Waga i rola rozwoju systemów dystrybucyjnych w procesie transformacji została podkreślona poprzez podpisanie w 2021 r. </w:t>
      </w:r>
      <w:r w:rsidR="00903B70" w:rsidRPr="007E3918">
        <w:rPr>
          <w:i/>
          <w:iCs/>
        </w:rPr>
        <w:t>Karty Efektywnej Transformacji Sieci Dystrybucyjnych Polskiej Energetyki</w:t>
      </w:r>
      <w:r w:rsidR="00903B70">
        <w:rPr>
          <w:i/>
          <w:iCs/>
        </w:rPr>
        <w:t xml:space="preserve"> </w:t>
      </w:r>
      <w:r w:rsidR="00903B70" w:rsidRPr="007E3918">
        <w:t>(</w:t>
      </w:r>
      <w:hyperlink r:id="rId91" w:history="1">
        <w:r w:rsidR="00903B70" w:rsidRPr="007E3918">
          <w:rPr>
            <w:rStyle w:val="Hipercze"/>
          </w:rPr>
          <w:t>link</w:t>
        </w:r>
      </w:hyperlink>
      <w:r w:rsidR="00903B70" w:rsidRPr="007E3918">
        <w:t>)</w:t>
      </w:r>
      <w:r w:rsidR="00CD6840">
        <w:t xml:space="preserve"> </w:t>
      </w:r>
      <w:r>
        <w:t xml:space="preserve">przez </w:t>
      </w:r>
      <w:r w:rsidRPr="007E3918">
        <w:t>Prezes</w:t>
      </w:r>
      <w:r>
        <w:t>a</w:t>
      </w:r>
      <w:r w:rsidRPr="007E3918">
        <w:t xml:space="preserve"> URE oraz pięciu największych </w:t>
      </w:r>
      <w:r w:rsidR="00756D43">
        <w:t>OSDe</w:t>
      </w:r>
      <w:r>
        <w:t xml:space="preserve">. </w:t>
      </w:r>
      <w:r w:rsidR="00C842AB">
        <w:t xml:space="preserve">Projekt ma na celu połączenie sił w zakresie </w:t>
      </w:r>
      <w:r w:rsidR="00C842AB" w:rsidRPr="00C842AB">
        <w:t>identyfikacj</w:t>
      </w:r>
      <w:r w:rsidR="00756D43">
        <w:t>i</w:t>
      </w:r>
      <w:r w:rsidR="00C842AB" w:rsidRPr="00C842AB">
        <w:t xml:space="preserve"> narzędzi, które pozwolą zaspokoić</w:t>
      </w:r>
      <w:r w:rsidR="00C842AB">
        <w:t xml:space="preserve"> </w:t>
      </w:r>
      <w:r w:rsidR="00C842AB" w:rsidRPr="00C842AB">
        <w:t>potrzeb</w:t>
      </w:r>
      <w:r w:rsidR="00C842AB">
        <w:t>y</w:t>
      </w:r>
      <w:r w:rsidR="00C842AB" w:rsidRPr="00C842AB">
        <w:t xml:space="preserve"> związan</w:t>
      </w:r>
      <w:r w:rsidR="00C842AB">
        <w:t xml:space="preserve">e </w:t>
      </w:r>
      <w:r w:rsidR="00C842AB" w:rsidRPr="00C842AB">
        <w:t>z pracą sieci</w:t>
      </w:r>
      <w:r w:rsidR="00C842AB">
        <w:t xml:space="preserve"> w nowym modelu</w:t>
      </w:r>
      <w:r w:rsidR="00C842AB" w:rsidRPr="00C842AB">
        <w:t>,</w:t>
      </w:r>
      <w:r w:rsidR="00C842AB">
        <w:t xml:space="preserve"> </w:t>
      </w:r>
      <w:r w:rsidR="00C842AB" w:rsidRPr="00C842AB">
        <w:t>określenie sposobu i źródeł finansowania oraz ocena ich wpływu na taryfę</w:t>
      </w:r>
      <w:r w:rsidR="00C842AB">
        <w:t xml:space="preserve"> oraz modyfikację modelu regulacyjnego OSD.</w:t>
      </w:r>
    </w:p>
    <w:p w14:paraId="7F0F7FC4" w14:textId="77777777" w:rsidR="00AD31FC" w:rsidRPr="00C46DAA" w:rsidRDefault="00AD31FC" w:rsidP="00AD31FC">
      <w:pPr>
        <w:pStyle w:val="PaMs"/>
      </w:pPr>
      <w:r w:rsidRPr="00C46DAA">
        <w:t>DZIAŁANIA</w:t>
      </w:r>
    </w:p>
    <w:p w14:paraId="1F4C8541" w14:textId="1670606A" w:rsidR="00FE5EDE" w:rsidRDefault="00FE5EDE" w:rsidP="003530A9">
      <w:pPr>
        <w:pStyle w:val="Akapitzlist"/>
        <w:numPr>
          <w:ilvl w:val="0"/>
          <w:numId w:val="3"/>
        </w:numPr>
      </w:pPr>
      <w:r w:rsidRPr="00973419">
        <w:fldChar w:fldCharType="begin"/>
      </w:r>
      <w:r w:rsidRPr="00973419">
        <w:instrText xml:space="preserve"> REF _Ref195893839 \h </w:instrText>
      </w:r>
      <w:r w:rsidR="00973419">
        <w:instrText xml:space="preserve"> \* MERGEFORMAT </w:instrText>
      </w:r>
      <w:r w:rsidRPr="00973419">
        <w:fldChar w:fldCharType="separate"/>
      </w:r>
      <w:r w:rsidR="00871DD5">
        <w:t xml:space="preserve">Działanie </w:t>
      </w:r>
      <w:r w:rsidR="00871DD5">
        <w:rPr>
          <w:noProof/>
        </w:rPr>
        <w:t>23</w:t>
      </w:r>
      <w:r w:rsidR="00871DD5">
        <w:t xml:space="preserve">. </w:t>
      </w:r>
      <w:r w:rsidR="00871DD5" w:rsidRPr="002259C9">
        <w:t xml:space="preserve">Działania w zakresie zwiększenia elastyczności systemu </w:t>
      </w:r>
      <w:r w:rsidR="00871DD5">
        <w:t>elektro</w:t>
      </w:r>
      <w:r w:rsidR="00871DD5" w:rsidRPr="002259C9">
        <w:t>energetycznego w</w:t>
      </w:r>
      <w:r w:rsidR="00871DD5">
        <w:t xml:space="preserve"> </w:t>
      </w:r>
      <w:r w:rsidR="00871DD5" w:rsidRPr="002259C9">
        <w:t xml:space="preserve">odniesieniu do wytwarzania energii </w:t>
      </w:r>
      <w:r w:rsidR="00871DD5">
        <w:t>z OZE</w:t>
      </w:r>
      <w:r w:rsidR="00871DD5" w:rsidRPr="002259C9">
        <w:t xml:space="preserve"> i dostosowania się do przewidywanych zmian KSE</w:t>
      </w:r>
      <w:r w:rsidRPr="00973419">
        <w:fldChar w:fldCharType="end"/>
      </w:r>
    </w:p>
    <w:p w14:paraId="06608005" w14:textId="277F6B8B" w:rsidR="00973419" w:rsidRPr="00973419" w:rsidRDefault="00973419" w:rsidP="003530A9">
      <w:pPr>
        <w:pStyle w:val="Akapitzlist"/>
        <w:numPr>
          <w:ilvl w:val="0"/>
          <w:numId w:val="3"/>
        </w:numPr>
      </w:pPr>
      <w:r>
        <w:fldChar w:fldCharType="begin"/>
      </w:r>
      <w:r>
        <w:instrText xml:space="preserve"> REF _Ref195893975 \h </w:instrText>
      </w:r>
      <w:r>
        <w:fldChar w:fldCharType="separate"/>
      </w:r>
      <w:r w:rsidR="00871DD5">
        <w:t xml:space="preserve">Działanie </w:t>
      </w:r>
      <w:r w:rsidR="00871DD5">
        <w:rPr>
          <w:noProof/>
        </w:rPr>
        <w:t>25</w:t>
      </w:r>
      <w:r w:rsidR="00871DD5">
        <w:t xml:space="preserve">. </w:t>
      </w:r>
      <w:r w:rsidR="00871DD5" w:rsidRPr="007E6338">
        <w:t>Rozwój i modernizacja elektroenergetycznych sieci przesyłowych i</w:t>
      </w:r>
      <w:r w:rsidR="00871DD5" w:rsidRPr="007E6338">
        <w:rPr>
          <w:rFonts w:ascii="Arial" w:hAnsi="Arial" w:cs="Arial"/>
        </w:rPr>
        <w:t> </w:t>
      </w:r>
      <w:r w:rsidR="00871DD5" w:rsidRPr="007E6338">
        <w:t>dystrybucyjnych</w:t>
      </w:r>
      <w:r>
        <w:fldChar w:fldCharType="end"/>
      </w:r>
    </w:p>
    <w:p w14:paraId="551460E3" w14:textId="16AD4B1E" w:rsidR="00FE5EDE" w:rsidRPr="00973419" w:rsidRDefault="00FE5EDE" w:rsidP="003530A9">
      <w:pPr>
        <w:pStyle w:val="Akapitzlist"/>
        <w:numPr>
          <w:ilvl w:val="0"/>
          <w:numId w:val="3"/>
        </w:numPr>
      </w:pPr>
      <w:r w:rsidRPr="00973419">
        <w:fldChar w:fldCharType="begin"/>
      </w:r>
      <w:r w:rsidRPr="00973419">
        <w:instrText xml:space="preserve"> REF _Ref195893853 \h </w:instrText>
      </w:r>
      <w:r w:rsidR="00973419">
        <w:instrText xml:space="preserve"> \* MERGEFORMAT </w:instrText>
      </w:r>
      <w:r w:rsidRPr="00973419">
        <w:fldChar w:fldCharType="separate"/>
      </w:r>
      <w:r w:rsidR="00871DD5" w:rsidRPr="00871DD5">
        <w:rPr>
          <w:rStyle w:val="Nagwek6Znak"/>
          <w:rFonts w:ascii="Lato" w:hAnsi="Lato"/>
          <w:b w:val="0"/>
        </w:rPr>
        <w:t xml:space="preserve">Działanie </w:t>
      </w:r>
      <w:r w:rsidR="00871DD5" w:rsidRPr="00871DD5">
        <w:rPr>
          <w:lang w:eastAsia="pl-PL"/>
        </w:rPr>
        <w:t xml:space="preserve">131. </w:t>
      </w:r>
      <w:r w:rsidR="00871DD5" w:rsidRPr="007811A4">
        <w:rPr>
          <w:lang w:eastAsia="pl-PL"/>
        </w:rPr>
        <w:t>Modernizacja i rozbudowa linii przesyłowych wewnątrz KSE w celu umożliwienia zwiększania przepływów transgranicznych</w:t>
      </w:r>
      <w:r w:rsidRPr="00973419">
        <w:fldChar w:fldCharType="end"/>
      </w:r>
    </w:p>
    <w:p w14:paraId="5655B10D" w14:textId="4EC2C805" w:rsidR="00AD31FC" w:rsidRPr="00973419" w:rsidRDefault="00907DD5" w:rsidP="003530A9">
      <w:pPr>
        <w:pStyle w:val="Akapitzlist"/>
        <w:numPr>
          <w:ilvl w:val="0"/>
          <w:numId w:val="3"/>
        </w:numPr>
      </w:pPr>
      <w:r w:rsidRPr="00973419">
        <w:fldChar w:fldCharType="begin"/>
      </w:r>
      <w:r w:rsidRPr="00973419">
        <w:instrText xml:space="preserve"> REF _Ref195893678 \h </w:instrText>
      </w:r>
      <w:r w:rsidR="00973419">
        <w:instrText xml:space="preserve"> \* MERGEFORMAT </w:instrText>
      </w:r>
      <w:r w:rsidRPr="00973419">
        <w:fldChar w:fldCharType="separate"/>
      </w:r>
      <w:r w:rsidR="00871DD5" w:rsidRPr="00871DD5">
        <w:rPr>
          <w:rStyle w:val="Nagwek6Znak"/>
          <w:rFonts w:ascii="Lato" w:hAnsi="Lato"/>
          <w:b w:val="0"/>
        </w:rPr>
        <w:t xml:space="preserve">Działanie </w:t>
      </w:r>
      <w:r w:rsidR="00871DD5" w:rsidRPr="00871DD5">
        <w:rPr>
          <w:lang w:eastAsia="pl-PL"/>
        </w:rPr>
        <w:t xml:space="preserve">138. </w:t>
      </w:r>
      <w:r w:rsidR="00871DD5" w:rsidRPr="008A5AE2">
        <w:rPr>
          <w:lang w:eastAsia="pl-PL"/>
        </w:rPr>
        <w:t>Wzmacnianie cyberbezpieczeństwa w sektorze energii</w:t>
      </w:r>
      <w:r w:rsidRPr="00973419">
        <w:fldChar w:fldCharType="end"/>
      </w:r>
    </w:p>
    <w:p w14:paraId="6E2C1F70" w14:textId="0612AAB4" w:rsidR="00FE0740" w:rsidRPr="00582122" w:rsidRDefault="00FE0740" w:rsidP="00582122">
      <w:pPr>
        <w:pStyle w:val="Nagwek4"/>
        <w:rPr>
          <w:color w:val="C00000"/>
        </w:rPr>
      </w:pPr>
      <w:bookmarkStart w:id="631" w:name="_Toc195897363"/>
      <w:bookmarkStart w:id="632" w:name="_Toc195899608"/>
      <w:bookmarkStart w:id="633" w:name="_Toc195897364"/>
      <w:bookmarkStart w:id="634" w:name="_Ref198036601"/>
      <w:bookmarkStart w:id="635" w:name="_Toc205203214"/>
      <w:bookmarkEnd w:id="631"/>
      <w:bookmarkEnd w:id="632"/>
      <w:r w:rsidRPr="00582122">
        <w:rPr>
          <w:color w:val="C00000"/>
        </w:rPr>
        <w:t>Zapewnienie gotowości do</w:t>
      </w:r>
      <w:r w:rsidR="00B92ECA" w:rsidRPr="00582122">
        <w:rPr>
          <w:color w:val="C00000"/>
        </w:rPr>
        <w:t xml:space="preserve"> zapobiegania i</w:t>
      </w:r>
      <w:r w:rsidRPr="00582122">
        <w:rPr>
          <w:color w:val="C00000"/>
        </w:rPr>
        <w:t xml:space="preserve"> radzenia sobie z ograniczeniami w dostawach energii elektrycznej</w:t>
      </w:r>
      <w:bookmarkEnd w:id="630"/>
      <w:bookmarkEnd w:id="633"/>
      <w:bookmarkEnd w:id="634"/>
      <w:bookmarkEnd w:id="635"/>
    </w:p>
    <w:p w14:paraId="406385C7" w14:textId="1B28A638" w:rsidR="00B92ECA" w:rsidRDefault="00B92ECA" w:rsidP="00B92ECA">
      <w:r>
        <w:t xml:space="preserve">Ryzyko wystąpienia sytuacji ograniczenia dostaw energii elektrycznej lub kryzysu elektroenergetycznego, skutkującego zakłóceniami lub przerwami w dostawie energii elektrycznej do odbiorców wymagają określenia stosowanych działań i procedur zapobiegawczych lub mitygujących w przypadku materializacji ryzyk. </w:t>
      </w:r>
    </w:p>
    <w:p w14:paraId="450FEEBF" w14:textId="23949BA1" w:rsidR="00B92ECA" w:rsidRDefault="00B92ECA" w:rsidP="00B92ECA">
      <w:r>
        <w:t>Obszar ten został częściowo uregulowany w r</w:t>
      </w:r>
      <w:r w:rsidRPr="00647401">
        <w:t>ozporządzeni</w:t>
      </w:r>
      <w:r>
        <w:t>u</w:t>
      </w:r>
      <w:r w:rsidRPr="00647401">
        <w:t xml:space="preserve"> </w:t>
      </w:r>
      <w:r>
        <w:t xml:space="preserve">UE </w:t>
      </w:r>
      <w:r w:rsidRPr="00647401">
        <w:t>201</w:t>
      </w:r>
      <w:r>
        <w:t>9</w:t>
      </w:r>
      <w:r w:rsidRPr="00647401">
        <w:t>/</w:t>
      </w:r>
      <w:r>
        <w:t>941</w:t>
      </w:r>
      <w:r w:rsidRPr="00647401">
        <w:t xml:space="preserve"> </w:t>
      </w:r>
      <w:r w:rsidRPr="006B7445">
        <w:t>w sprawie gotowości na</w:t>
      </w:r>
      <w:r>
        <w:t> </w:t>
      </w:r>
      <w:r w:rsidRPr="006B7445">
        <w:t>wypadek zagrożeń w sektorze energii elektrycznej</w:t>
      </w:r>
      <w:r>
        <w:t xml:space="preserve">, w którym określono m.in. kwestie odpowiedzialności organu, procedury ustalania krajowych i regionalnych scenariuszy kryzysu elektroenergetycznego oraz współpracy, a przede wszystkim zobowiązano państwa członkowskie do opracowania krajowych planów gotowości na wypadek zagrożeń. Polska posiada </w:t>
      </w:r>
      <w:r w:rsidRPr="00FC0FE0">
        <w:rPr>
          <w:i/>
          <w:iCs/>
        </w:rPr>
        <w:t>Plan gotowości na wypadek zagrożeń</w:t>
      </w:r>
      <w:r>
        <w:rPr>
          <w:b/>
          <w:bCs/>
        </w:rPr>
        <w:t>,</w:t>
      </w:r>
      <w:r w:rsidRPr="00750E6E">
        <w:t xml:space="preserve"> który zgodnie z rozporządzeniem został przyjęty w 2022 r. </w:t>
      </w:r>
    </w:p>
    <w:p w14:paraId="0F46EBDB" w14:textId="62B101DE" w:rsidR="00B92ECA" w:rsidRDefault="00B92ECA" w:rsidP="00B92ECA">
      <w:r>
        <w:t xml:space="preserve">Ponadto kwestię ograniczeń w dostawach energii elektrycznej i </w:t>
      </w:r>
      <w:r w:rsidRPr="00B91E2D">
        <w:t>działa</w:t>
      </w:r>
      <w:r>
        <w:t xml:space="preserve">ń podejmowanych przez </w:t>
      </w:r>
      <w:r w:rsidRPr="00B91E2D">
        <w:t>operator</w:t>
      </w:r>
      <w:r>
        <w:t>a</w:t>
      </w:r>
      <w:r w:rsidRPr="00B91E2D">
        <w:t xml:space="preserve"> systemu przesyłowego elektroenergetycznego</w:t>
      </w:r>
      <w:r>
        <w:t xml:space="preserve"> w</w:t>
      </w:r>
      <w:r w:rsidRPr="00B91E2D">
        <w:t xml:space="preserve"> sytuacji wystąpienia zagrożenia bezpieczeństwa dostaw energii elektrycznej </w:t>
      </w:r>
      <w:r>
        <w:t xml:space="preserve">kompleksowo regulują, nakładając stosowne zobowiązania na uczestników rynku energii elektryczne, przepisy ustawy </w:t>
      </w:r>
      <w:r w:rsidRPr="00750E6E">
        <w:t>z dnia 10 kwietnia 1997 r.</w:t>
      </w:r>
      <w:r>
        <w:t xml:space="preserve"> </w:t>
      </w:r>
      <w:r w:rsidR="007824B3">
        <w:t xml:space="preserve">– </w:t>
      </w:r>
      <w:r w:rsidRPr="00FC0FE0">
        <w:rPr>
          <w:i/>
          <w:iCs/>
        </w:rPr>
        <w:t>Prawo energetyczne</w:t>
      </w:r>
      <w:r>
        <w:t xml:space="preserve"> wraz z rozporządzeniem </w:t>
      </w:r>
      <w:r w:rsidRPr="00750E6E">
        <w:t>w sprawie szczegółowych zasad i trybu wprowadzania ograniczeń w sprzedaży i</w:t>
      </w:r>
      <w:r w:rsidR="007824B3">
        <w:t> </w:t>
      </w:r>
      <w:r w:rsidRPr="00750E6E">
        <w:t>poborze energii elektrycznej</w:t>
      </w:r>
      <w:r>
        <w:t>.</w:t>
      </w:r>
    </w:p>
    <w:p w14:paraId="2ED2FB90" w14:textId="2FA9C575" w:rsidR="00B92ECA" w:rsidRDefault="00B92ECA" w:rsidP="00B92ECA">
      <w:r>
        <w:t xml:space="preserve">Dodatkowo operator systemu przesyłowego elektroenergetycznego opracowuje plany działania na wypadek zagrożenia wystąpienia awarii o znacznych rozmiarach w systemie elektroenergetycznym oraz odbudowy tego systemu po wystąpieniu awarii. Stosowne przepisy </w:t>
      </w:r>
      <w:r w:rsidR="00F509D4">
        <w:t>zawiera</w:t>
      </w:r>
      <w:r>
        <w:t xml:space="preserve"> również rozporządzenie UE 2017/2196 </w:t>
      </w:r>
      <w:r w:rsidRPr="006370D4">
        <w:t>ustanawiające kodeks sieci dotyczący stanu zagrożenia i stanu odbudowy systemów elektroenergetycznych</w:t>
      </w:r>
      <w:r>
        <w:t xml:space="preserve">, w ramach którego OSPe zobowiązany jest do opracowania </w:t>
      </w:r>
      <w:r w:rsidRPr="006370D4">
        <w:t>i</w:t>
      </w:r>
      <w:r>
        <w:t xml:space="preserve"> stosowania </w:t>
      </w:r>
      <w:r w:rsidRPr="006370D4">
        <w:t>planu odbudowy</w:t>
      </w:r>
      <w:r>
        <w:t xml:space="preserve"> systemu.</w:t>
      </w:r>
    </w:p>
    <w:p w14:paraId="422E221D" w14:textId="7F2E572B" w:rsidR="007723A3" w:rsidRDefault="00B92ECA" w:rsidP="00B92ECA">
      <w:r>
        <w:t xml:space="preserve">Co dwa lata minister właściwy do spraw energii opracowuje sprawozdanie z wyników monitorowania bezpieczeństwa dostaw energii elektrycznej, w ramach którego </w:t>
      </w:r>
      <w:r w:rsidRPr="00221DEA">
        <w:t>kompleksow</w:t>
      </w:r>
      <w:r>
        <w:t xml:space="preserve">o przedstawiany jest stan sektora elektroenergetycznego, w tym </w:t>
      </w:r>
      <w:r w:rsidRPr="00221DEA">
        <w:t>prognoz</w:t>
      </w:r>
      <w:r>
        <w:t>a</w:t>
      </w:r>
      <w:r w:rsidRPr="00221DEA">
        <w:t xml:space="preserve"> równoważenia dostaw energii elektrycznej </w:t>
      </w:r>
      <w:r w:rsidRPr="00221DEA">
        <w:lastRenderedPageBreak/>
        <w:t>z</w:t>
      </w:r>
      <w:r>
        <w:t> </w:t>
      </w:r>
      <w:r w:rsidRPr="00221DEA">
        <w:t>zapotrzebowaniem na tę energię w kolejnych 5 latach oraz możliwości równoważenia dostaw w okresie od 5 lat do co najmniej 15 lat</w:t>
      </w:r>
      <w:r>
        <w:t>.</w:t>
      </w:r>
    </w:p>
    <w:p w14:paraId="63B9F1A8" w14:textId="1DDF14E4" w:rsidR="00B92ECA" w:rsidRDefault="00B92ECA" w:rsidP="00B92ECA">
      <w:pPr>
        <w:pStyle w:val="Cele"/>
        <w:rPr>
          <w:rStyle w:val="CeleZnak"/>
          <w:b/>
        </w:rPr>
      </w:pPr>
      <w:r w:rsidRPr="00DF1FDE">
        <w:rPr>
          <w:b/>
          <w:bCs/>
        </w:rPr>
        <w:t>Celem jest ograniczenie ryzyka wystąpienia sytuacji skutkującej ograniczeniami dostaw energii elektrycznej do odbiorców lub zapobieżenie zaistnienia kryzysu w</w:t>
      </w:r>
      <w:r w:rsidR="006B025B">
        <w:rPr>
          <w:b/>
          <w:bCs/>
        </w:rPr>
        <w:t> </w:t>
      </w:r>
      <w:r w:rsidRPr="00DF1FDE">
        <w:rPr>
          <w:b/>
          <w:bCs/>
        </w:rPr>
        <w:t xml:space="preserve">sektorze elektroenergetycznym, zwłaszcza na wypadek wystąpienia sytuacji nadzwyczajnej niezależnie od przyczyn jej powstania oraz skali oddziaływania </w:t>
      </w:r>
    </w:p>
    <w:p w14:paraId="53FE4C36" w14:textId="77777777" w:rsidR="000D74A4" w:rsidRDefault="000D74A4" w:rsidP="00A063C1">
      <w:pPr>
        <w:pStyle w:val="PaMs"/>
      </w:pPr>
      <w:r w:rsidRPr="00C46DAA">
        <w:t>POLITYKA</w:t>
      </w:r>
    </w:p>
    <w:p w14:paraId="41DF4553" w14:textId="2528C13C" w:rsidR="00B92ECA" w:rsidRDefault="00B92ECA" w:rsidP="00B92ECA">
      <w:r>
        <w:t>G</w:t>
      </w:r>
      <w:r w:rsidRPr="00ED0B20">
        <w:t xml:space="preserve">otowość do </w:t>
      </w:r>
      <w:r>
        <w:t xml:space="preserve">zapobiegania i </w:t>
      </w:r>
      <w:r w:rsidRPr="00ED0B20">
        <w:t xml:space="preserve">radzenia sobie z ograniczeniami w dostawach </w:t>
      </w:r>
      <w:r>
        <w:t>energii elektrycznej</w:t>
      </w:r>
      <w:r w:rsidRPr="00ED0B20">
        <w:t xml:space="preserve"> w</w:t>
      </w:r>
      <w:r>
        <w:t> </w:t>
      </w:r>
      <w:r w:rsidRPr="00ED0B20">
        <w:t xml:space="preserve">sytuacjach nadzwyczajnych </w:t>
      </w:r>
      <w:r>
        <w:t xml:space="preserve">i kryzysowych opiera się przede wszystkim na </w:t>
      </w:r>
      <w:r w:rsidRPr="00ED0B20">
        <w:t>posiadani</w:t>
      </w:r>
      <w:r>
        <w:t>u</w:t>
      </w:r>
      <w:r w:rsidRPr="00ED0B20">
        <w:t xml:space="preserve"> odpowiedni</w:t>
      </w:r>
      <w:r>
        <w:t>ch zasobów technicznych</w:t>
      </w:r>
      <w:r w:rsidR="00F509D4">
        <w:t>,</w:t>
      </w:r>
      <w:r w:rsidRPr="00ED0B20">
        <w:t xml:space="preserve"> </w:t>
      </w:r>
      <w:r>
        <w:t xml:space="preserve">pozwalających na zapewnienie wystarczających zdolności do wytwarzania, magazynowania, przesyłania i dystrybucji energii elektrycznej, realizowane przez wykwalifikowane kadry pracowników, a także zestawie </w:t>
      </w:r>
      <w:r w:rsidRPr="00ED0B20">
        <w:t>procedur oraz rozwiązań</w:t>
      </w:r>
      <w:r>
        <w:t xml:space="preserve"> pozwalających na podejmowanie właściwych działań, profesjonalne zarządzanie zasobami i uniknięcie sytuacji kryzysowych lub zarządzanie nimi oraz mitygowanie ich skutków w wypadku ich wystąpienia. </w:t>
      </w:r>
    </w:p>
    <w:p w14:paraId="2D736868" w14:textId="77777777" w:rsidR="00B92ECA" w:rsidRDefault="00B92ECA" w:rsidP="00A063C1">
      <w:pPr>
        <w:spacing w:after="80"/>
      </w:pPr>
      <w:r>
        <w:t>W tym celu, zgodnie z terminami określonymi przepisami prawa i potrzebami w zakresie zapewnienia bezpieczeństwa energetycznego państwa, aktualizowane będą:</w:t>
      </w:r>
    </w:p>
    <w:p w14:paraId="4F2A2CC4" w14:textId="2E96CCC6" w:rsidR="006A2F2E" w:rsidRPr="00F27800" w:rsidRDefault="006A2F2E" w:rsidP="003530A9">
      <w:pPr>
        <w:pStyle w:val="Akapitzlist"/>
        <w:numPr>
          <w:ilvl w:val="0"/>
          <w:numId w:val="20"/>
        </w:numPr>
        <w:rPr>
          <w:b/>
          <w:bCs/>
        </w:rPr>
      </w:pPr>
      <w:r w:rsidRPr="00C06454">
        <w:t>ustawa</w:t>
      </w:r>
      <w:r w:rsidR="00FC0FE0">
        <w:t xml:space="preserve"> –</w:t>
      </w:r>
      <w:r w:rsidRPr="00C06454">
        <w:t xml:space="preserve"> </w:t>
      </w:r>
      <w:r w:rsidRPr="00E76D93">
        <w:rPr>
          <w:i/>
        </w:rPr>
        <w:t>Prawo energetyczne</w:t>
      </w:r>
      <w:r w:rsidRPr="00C06454">
        <w:t xml:space="preserve">, </w:t>
      </w:r>
    </w:p>
    <w:p w14:paraId="20043B6A" w14:textId="77777777" w:rsidR="006A2F2E" w:rsidRPr="0037385E" w:rsidRDefault="006A2F2E" w:rsidP="003530A9">
      <w:pPr>
        <w:pStyle w:val="Akapitzlist"/>
        <w:numPr>
          <w:ilvl w:val="0"/>
          <w:numId w:val="20"/>
        </w:numPr>
        <w:rPr>
          <w:b/>
          <w:bCs/>
        </w:rPr>
      </w:pPr>
      <w:r>
        <w:t>p</w:t>
      </w:r>
      <w:r w:rsidRPr="00C06454">
        <w:t xml:space="preserve">lan gotowości na wypadek zagrożeń, </w:t>
      </w:r>
    </w:p>
    <w:p w14:paraId="5D680DAC" w14:textId="74D65EBB" w:rsidR="006A2F2E" w:rsidRPr="008B2AE8" w:rsidRDefault="006A2F2E" w:rsidP="003530A9">
      <w:pPr>
        <w:pStyle w:val="Akapitzlist"/>
        <w:numPr>
          <w:ilvl w:val="0"/>
          <w:numId w:val="20"/>
        </w:numPr>
        <w:rPr>
          <w:b/>
          <w:bCs/>
        </w:rPr>
      </w:pPr>
      <w:r>
        <w:t>r</w:t>
      </w:r>
      <w:r w:rsidRPr="00C06454">
        <w:t>ozporządzenie w sprawie szczegółowych zasad i trybu wprowadzania ograniczeń w sprzedaży i</w:t>
      </w:r>
      <w:r w:rsidR="0085067A">
        <w:t> </w:t>
      </w:r>
      <w:r w:rsidRPr="00C06454">
        <w:t xml:space="preserve">poborze energii elektrycznej, </w:t>
      </w:r>
    </w:p>
    <w:p w14:paraId="7BE17A37" w14:textId="77777777" w:rsidR="006A2F2E" w:rsidRPr="0037385E" w:rsidRDefault="006A2F2E" w:rsidP="003530A9">
      <w:pPr>
        <w:pStyle w:val="Akapitzlist"/>
        <w:numPr>
          <w:ilvl w:val="0"/>
          <w:numId w:val="20"/>
        </w:numPr>
        <w:rPr>
          <w:b/>
          <w:bCs/>
        </w:rPr>
      </w:pPr>
      <w:r>
        <w:t>r</w:t>
      </w:r>
      <w:r w:rsidRPr="00C06454">
        <w:t>ozporządzenie w</w:t>
      </w:r>
      <w:r>
        <w:t xml:space="preserve"> </w:t>
      </w:r>
      <w:r w:rsidRPr="00C06454">
        <w:t>s</w:t>
      </w:r>
      <w:r>
        <w:t>prawie</w:t>
      </w:r>
      <w:r w:rsidRPr="00C06454">
        <w:t xml:space="preserve"> szczegółowych zasad stwierdzania posiadania kwalifikacji przez osoby zajmujące się eksploatacją urządzeń, instalacji i sieci</w:t>
      </w:r>
      <w:r>
        <w:t xml:space="preserve">, </w:t>
      </w:r>
    </w:p>
    <w:p w14:paraId="713D1F12" w14:textId="6E07DB74" w:rsidR="000D74A4" w:rsidRPr="00583A8D" w:rsidRDefault="006A2F2E" w:rsidP="003530A9">
      <w:pPr>
        <w:pStyle w:val="Akapitzlist"/>
        <w:numPr>
          <w:ilvl w:val="0"/>
          <w:numId w:val="20"/>
        </w:numPr>
        <w:rPr>
          <w:b/>
          <w:bCs/>
        </w:rPr>
      </w:pPr>
      <w:r>
        <w:t>p</w:t>
      </w:r>
      <w:r w:rsidRPr="003D3F9D">
        <w:t>lany odbudowy systemu</w:t>
      </w:r>
      <w:r>
        <w:t xml:space="preserve"> </w:t>
      </w:r>
      <w:r w:rsidRPr="00C06454">
        <w:t xml:space="preserve">oraz przygotowywane </w:t>
      </w:r>
      <w:r>
        <w:t>s</w:t>
      </w:r>
      <w:r w:rsidRPr="00C06454">
        <w:t xml:space="preserve">prawozdanie z </w:t>
      </w:r>
      <w:r>
        <w:t>w</w:t>
      </w:r>
      <w:r w:rsidRPr="00C06454">
        <w:t xml:space="preserve">yników </w:t>
      </w:r>
      <w:r>
        <w:t>m</w:t>
      </w:r>
      <w:r w:rsidRPr="00C06454">
        <w:t xml:space="preserve">onitorowania </w:t>
      </w:r>
      <w:r>
        <w:t>b</w:t>
      </w:r>
      <w:r w:rsidRPr="00C06454">
        <w:t xml:space="preserve">ezpieczeństwa </w:t>
      </w:r>
      <w:r>
        <w:t>d</w:t>
      </w:r>
      <w:r w:rsidRPr="00C06454">
        <w:t xml:space="preserve">ostaw </w:t>
      </w:r>
      <w:r>
        <w:t>e</w:t>
      </w:r>
      <w:r w:rsidRPr="00C06454">
        <w:t xml:space="preserve">nergii </w:t>
      </w:r>
      <w:r>
        <w:t>e</w:t>
      </w:r>
      <w:r w:rsidRPr="00C06454">
        <w:t>lektrycznej.</w:t>
      </w:r>
    </w:p>
    <w:p w14:paraId="50DDF0CC" w14:textId="4FB65E19" w:rsidR="000D74A4" w:rsidRPr="00C46DAA" w:rsidRDefault="000D74A4" w:rsidP="00A063C1">
      <w:pPr>
        <w:pStyle w:val="PaMs"/>
      </w:pPr>
      <w:r w:rsidRPr="00C46DAA">
        <w:t>DZIAŁANIA</w:t>
      </w:r>
    </w:p>
    <w:p w14:paraId="3BCCA064" w14:textId="75BA62C7" w:rsidR="008A74E4" w:rsidRDefault="00EA6C8C" w:rsidP="003530A9">
      <w:pPr>
        <w:pStyle w:val="Akapitzlist"/>
        <w:numPr>
          <w:ilvl w:val="0"/>
          <w:numId w:val="3"/>
        </w:numPr>
      </w:pPr>
      <w:r w:rsidRPr="00EA6C8C">
        <w:fldChar w:fldCharType="begin"/>
      </w:r>
      <w:r w:rsidRPr="00EA6C8C">
        <w:instrText xml:space="preserve"> REF _Ref195893562 \h </w:instrText>
      </w:r>
      <w:r>
        <w:instrText xml:space="preserve"> \* MERGEFORMAT </w:instrText>
      </w:r>
      <w:r w:rsidRPr="00EA6C8C">
        <w:fldChar w:fldCharType="separate"/>
      </w:r>
      <w:r w:rsidR="00871DD5" w:rsidRPr="00871DD5">
        <w:rPr>
          <w:rStyle w:val="Nagwek6Znak"/>
          <w:rFonts w:ascii="Lato" w:hAnsi="Lato"/>
          <w:b w:val="0"/>
        </w:rPr>
        <w:t xml:space="preserve">Działanie </w:t>
      </w:r>
      <w:r w:rsidR="00871DD5" w:rsidRPr="00871DD5">
        <w:rPr>
          <w:lang w:eastAsia="pl-PL"/>
        </w:rPr>
        <w:t xml:space="preserve">129. </w:t>
      </w:r>
      <w:r w:rsidR="00871DD5" w:rsidRPr="00E03858">
        <w:rPr>
          <w:lang w:eastAsia="pl-PL"/>
        </w:rPr>
        <w:t>Zapobieganie i zarządzanie ograniczeniami dostaw energii elektrycznej</w:t>
      </w:r>
      <w:r w:rsidRPr="00EA6C8C">
        <w:fldChar w:fldCharType="end"/>
      </w:r>
    </w:p>
    <w:p w14:paraId="1549C197" w14:textId="06FA248F" w:rsidR="00EA6C8C" w:rsidRPr="00EA6C8C" w:rsidRDefault="00EA6C8C" w:rsidP="003530A9">
      <w:pPr>
        <w:pStyle w:val="Akapitzlist"/>
        <w:numPr>
          <w:ilvl w:val="0"/>
          <w:numId w:val="3"/>
        </w:numPr>
      </w:pPr>
      <w:r w:rsidRPr="00EA6C8C">
        <w:fldChar w:fldCharType="begin"/>
      </w:r>
      <w:r w:rsidRPr="00EA6C8C">
        <w:instrText xml:space="preserve"> REF _Ref195893599 \h </w:instrText>
      </w:r>
      <w:r>
        <w:instrText xml:space="preserve"> \* MERGEFORMAT </w:instrText>
      </w:r>
      <w:r w:rsidRPr="00EA6C8C">
        <w:fldChar w:fldCharType="separate"/>
      </w:r>
      <w:r w:rsidR="00871DD5" w:rsidRPr="00871DD5">
        <w:rPr>
          <w:rStyle w:val="Nagwek6Znak"/>
          <w:rFonts w:ascii="Lato" w:hAnsi="Lato"/>
          <w:b w:val="0"/>
        </w:rPr>
        <w:t xml:space="preserve">Działanie </w:t>
      </w:r>
      <w:r w:rsidR="00871DD5" w:rsidRPr="00871DD5">
        <w:rPr>
          <w:lang w:eastAsia="pl-PL"/>
        </w:rPr>
        <w:t xml:space="preserve">138. </w:t>
      </w:r>
      <w:r w:rsidR="00871DD5" w:rsidRPr="008A5AE2">
        <w:rPr>
          <w:lang w:eastAsia="pl-PL"/>
        </w:rPr>
        <w:t>Wzmacnianie cyberbezpieczeństwa w sektorze energii</w:t>
      </w:r>
      <w:r w:rsidRPr="00EA6C8C">
        <w:fldChar w:fldCharType="end"/>
      </w:r>
    </w:p>
    <w:p w14:paraId="32F41E7B" w14:textId="4822516C" w:rsidR="000D74A4" w:rsidRDefault="00192A5A" w:rsidP="004811F6">
      <w:pPr>
        <w:pStyle w:val="Akapitzlist"/>
        <w:numPr>
          <w:ilvl w:val="0"/>
          <w:numId w:val="3"/>
        </w:numPr>
      </w:pPr>
      <w:r w:rsidRPr="00905102">
        <w:rPr>
          <w:i/>
          <w:iCs/>
        </w:rPr>
        <w:t>Wszystkie działania wskazane w częściach dotyczących zapewniania wystarczalności mocy</w:t>
      </w:r>
      <w:r w:rsidR="008C4717" w:rsidRPr="00905102">
        <w:rPr>
          <w:i/>
          <w:iCs/>
        </w:rPr>
        <w:t xml:space="preserve"> (</w:t>
      </w:r>
      <w:r w:rsidR="00603D6B" w:rsidRPr="00905102">
        <w:rPr>
          <w:i/>
          <w:iCs/>
        </w:rPr>
        <w:fldChar w:fldCharType="begin"/>
      </w:r>
      <w:r w:rsidR="00603D6B" w:rsidRPr="00905102">
        <w:rPr>
          <w:i/>
          <w:iCs/>
        </w:rPr>
        <w:instrText xml:space="preserve"> REF _Ref198288868 \r \h </w:instrText>
      </w:r>
      <w:r w:rsidR="00603D6B" w:rsidRPr="00905102">
        <w:rPr>
          <w:i/>
          <w:iCs/>
        </w:rPr>
      </w:r>
      <w:r w:rsidR="00603D6B" w:rsidRPr="00905102">
        <w:rPr>
          <w:i/>
          <w:iCs/>
        </w:rPr>
        <w:fldChar w:fldCharType="separate"/>
      </w:r>
      <w:r w:rsidR="00871DD5">
        <w:rPr>
          <w:i/>
          <w:iCs/>
        </w:rPr>
        <w:t>Cel 3.8.1</w:t>
      </w:r>
      <w:r w:rsidR="00603D6B" w:rsidRPr="00905102">
        <w:rPr>
          <w:i/>
          <w:iCs/>
        </w:rPr>
        <w:fldChar w:fldCharType="end"/>
      </w:r>
      <w:r w:rsidR="008C4717" w:rsidRPr="00905102">
        <w:rPr>
          <w:i/>
          <w:iCs/>
        </w:rPr>
        <w:t>), elastyczności (</w:t>
      </w:r>
      <w:r w:rsidR="008C4717" w:rsidRPr="00905102">
        <w:rPr>
          <w:i/>
          <w:iCs/>
        </w:rPr>
        <w:fldChar w:fldCharType="begin"/>
      </w:r>
      <w:r w:rsidR="008C4717" w:rsidRPr="00905102">
        <w:rPr>
          <w:i/>
          <w:iCs/>
        </w:rPr>
        <w:instrText xml:space="preserve"> REF _Ref195893816 \n \h  \* MERGEFORMAT </w:instrText>
      </w:r>
      <w:r w:rsidR="008C4717" w:rsidRPr="00905102">
        <w:rPr>
          <w:i/>
          <w:iCs/>
        </w:rPr>
      </w:r>
      <w:r w:rsidR="008C4717" w:rsidRPr="00905102">
        <w:rPr>
          <w:i/>
          <w:iCs/>
        </w:rPr>
        <w:fldChar w:fldCharType="separate"/>
      </w:r>
      <w:r w:rsidR="00871DD5">
        <w:rPr>
          <w:i/>
          <w:iCs/>
        </w:rPr>
        <w:t>Cel 3.8.2</w:t>
      </w:r>
      <w:r w:rsidR="008C4717" w:rsidRPr="00905102">
        <w:rPr>
          <w:i/>
          <w:iCs/>
        </w:rPr>
        <w:fldChar w:fldCharType="end"/>
      </w:r>
      <w:r w:rsidR="008C4717" w:rsidRPr="00905102">
        <w:rPr>
          <w:i/>
          <w:iCs/>
        </w:rPr>
        <w:t xml:space="preserve">) </w:t>
      </w:r>
      <w:r w:rsidRPr="00905102">
        <w:rPr>
          <w:i/>
          <w:iCs/>
        </w:rPr>
        <w:t xml:space="preserve">oraz </w:t>
      </w:r>
      <w:r w:rsidR="008C4717" w:rsidRPr="00905102">
        <w:rPr>
          <w:i/>
          <w:iCs/>
        </w:rPr>
        <w:t>rozwoju infrastruktury liniowej (</w:t>
      </w:r>
      <w:r w:rsidR="008C4717" w:rsidRPr="00905102">
        <w:rPr>
          <w:i/>
          <w:iCs/>
        </w:rPr>
        <w:fldChar w:fldCharType="begin"/>
      </w:r>
      <w:r w:rsidR="008C4717" w:rsidRPr="00905102">
        <w:rPr>
          <w:i/>
          <w:iCs/>
        </w:rPr>
        <w:instrText xml:space="preserve"> REF _Ref193873744 \n \h  \* MERGEFORMAT </w:instrText>
      </w:r>
      <w:r w:rsidR="008C4717" w:rsidRPr="00905102">
        <w:rPr>
          <w:i/>
          <w:iCs/>
        </w:rPr>
      </w:r>
      <w:r w:rsidR="008C4717" w:rsidRPr="00905102">
        <w:rPr>
          <w:i/>
          <w:iCs/>
        </w:rPr>
        <w:fldChar w:fldCharType="separate"/>
      </w:r>
      <w:r w:rsidR="00871DD5">
        <w:rPr>
          <w:i/>
          <w:iCs/>
        </w:rPr>
        <w:t>Cel 3.8.3</w:t>
      </w:r>
      <w:r w:rsidR="008C4717" w:rsidRPr="00905102">
        <w:rPr>
          <w:i/>
          <w:iCs/>
        </w:rPr>
        <w:fldChar w:fldCharType="end"/>
      </w:r>
      <w:r w:rsidR="008C4717" w:rsidRPr="00905102">
        <w:rPr>
          <w:i/>
          <w:iCs/>
        </w:rPr>
        <w:t>)</w:t>
      </w:r>
    </w:p>
    <w:p w14:paraId="352B77E6" w14:textId="1879CB2D" w:rsidR="00901681" w:rsidRDefault="00901681" w:rsidP="004961D1">
      <w:pPr>
        <w:pStyle w:val="tyturys"/>
        <w:jc w:val="both"/>
        <w:sectPr w:rsidR="00901681" w:rsidSect="005209BA">
          <w:pgSz w:w="11906" w:h="16838"/>
          <w:pgMar w:top="1417" w:right="1417" w:bottom="1417" w:left="1417" w:header="708" w:footer="708" w:gutter="0"/>
          <w:cols w:space="708"/>
          <w:docGrid w:linePitch="360"/>
        </w:sectPr>
      </w:pPr>
    </w:p>
    <w:p w14:paraId="441797A6" w14:textId="61BEAF0F" w:rsidR="00DC3D34" w:rsidRDefault="00AE5592" w:rsidP="007F22F4">
      <w:r w:rsidRPr="00B6117F">
        <w:rPr>
          <w:noProof/>
          <w:lang w:eastAsia="pl-PL"/>
        </w:rPr>
        <w:lastRenderedPageBreak/>
        <w:drawing>
          <wp:anchor distT="0" distB="0" distL="114300" distR="114300" simplePos="0" relativeHeight="251485696" behindDoc="0" locked="0" layoutInCell="1" allowOverlap="1" wp14:anchorId="01621C7D" wp14:editId="03541083">
            <wp:simplePos x="0" y="0"/>
            <wp:positionH relativeFrom="margin">
              <wp:align>center</wp:align>
            </wp:positionH>
            <wp:positionV relativeFrom="paragraph">
              <wp:posOffset>-592455</wp:posOffset>
            </wp:positionV>
            <wp:extent cx="6983730" cy="3933825"/>
            <wp:effectExtent l="0" t="0" r="7620" b="9525"/>
            <wp:wrapNone/>
            <wp:docPr id="3" name="Obraz 2" descr="Obraz zawierający niebo, na wolnym powietrzu, Napowietrzna linia energetyczna, elektryczność&#10;&#10;Opis wygenerowany automatycznie">
              <a:extLst xmlns:a="http://schemas.openxmlformats.org/drawingml/2006/main">
                <a:ext uri="{FF2B5EF4-FFF2-40B4-BE49-F238E27FC236}">
                  <a16:creationId xmlns:a16="http://schemas.microsoft.com/office/drawing/2014/main" id="{343002F4-2713-C5F5-D6F1-257379568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Obraz zawierający niebo, na wolnym powietrzu, Napowietrzna linia energetyczna, elektryczność&#10;&#10;Opis wygenerowany automatycznie">
                      <a:extLst>
                        <a:ext uri="{FF2B5EF4-FFF2-40B4-BE49-F238E27FC236}">
                          <a16:creationId xmlns:a16="http://schemas.microsoft.com/office/drawing/2014/main" id="{343002F4-2713-C5F5-D6F1-2573795687DE}"/>
                        </a:ext>
                      </a:extLst>
                    </pic:cNvPr>
                    <pic:cNvPicPr>
                      <a:picLocks noChangeAspect="1"/>
                    </pic:cNvPicPr>
                  </pic:nvPicPr>
                  <pic:blipFill rotWithShape="1">
                    <a:blip r:embed="rId92" cstate="print">
                      <a:extLst>
                        <a:ext uri="{28A0092B-C50C-407E-A947-70E740481C1C}">
                          <a14:useLocalDpi xmlns:a14="http://schemas.microsoft.com/office/drawing/2010/main" val="0"/>
                        </a:ext>
                      </a:extLst>
                    </a:blip>
                    <a:srcRect/>
                    <a:stretch/>
                  </pic:blipFill>
                  <pic:spPr bwMode="auto">
                    <a:xfrm>
                      <a:off x="0" y="0"/>
                      <a:ext cx="6983730" cy="3933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10E8">
        <w:rPr>
          <w:noProof/>
        </w:rPr>
        <w:t xml:space="preserve"> </w:t>
      </w:r>
    </w:p>
    <w:p w14:paraId="3D14210F" w14:textId="571E95DF" w:rsidR="00691EA7" w:rsidRDefault="00490E3D" w:rsidP="00B6117F">
      <w:pPr>
        <w:pStyle w:val="Nagwek2"/>
      </w:pPr>
      <w:bookmarkStart w:id="636" w:name="_Wewnątrzunijny_rynek_energii"/>
      <w:bookmarkEnd w:id="636"/>
      <w:r>
        <w:t xml:space="preserve"> </w:t>
      </w:r>
      <w:bookmarkStart w:id="637" w:name="_Toc159598335"/>
      <w:bookmarkStart w:id="638" w:name="_Toc195897365"/>
      <w:bookmarkStart w:id="639" w:name="_Toc205203215"/>
      <w:r w:rsidR="00880B30">
        <w:t>Wewnątrzunijny</w:t>
      </w:r>
      <w:r w:rsidR="00691EA7">
        <w:t xml:space="preserve"> rynek energii</w:t>
      </w:r>
      <w:r w:rsidR="00517CE9">
        <w:t xml:space="preserve"> oraz społeczny aspekt transformacji</w:t>
      </w:r>
      <w:bookmarkEnd w:id="637"/>
      <w:bookmarkEnd w:id="638"/>
      <w:bookmarkEnd w:id="639"/>
    </w:p>
    <w:p w14:paraId="2EF2691E" w14:textId="77777777" w:rsidR="00B6117F" w:rsidRDefault="00B6117F" w:rsidP="00B6117F"/>
    <w:p w14:paraId="06D21D0E" w14:textId="77777777" w:rsidR="00E23B70" w:rsidRDefault="00E23B70" w:rsidP="00B6117F"/>
    <w:p w14:paraId="40825798" w14:textId="5D74137D" w:rsidR="00E23B70" w:rsidRDefault="00E23B70" w:rsidP="00B6117F"/>
    <w:p w14:paraId="7CC7052E" w14:textId="77777777" w:rsidR="00E23B70" w:rsidRDefault="00E23B70" w:rsidP="00B6117F"/>
    <w:p w14:paraId="072FE404" w14:textId="77777777" w:rsidR="00E23B70" w:rsidRDefault="00E23B70" w:rsidP="00B6117F"/>
    <w:p w14:paraId="06744288" w14:textId="77777777" w:rsidR="00E23B70" w:rsidRDefault="00E23B70" w:rsidP="00B6117F"/>
    <w:p w14:paraId="018ED867" w14:textId="14BD2B56" w:rsidR="00E23B70" w:rsidRDefault="00E23B70" w:rsidP="00B6117F"/>
    <w:p w14:paraId="74F3F8D0" w14:textId="77777777" w:rsidR="00E23B70" w:rsidRDefault="00E23B70" w:rsidP="00B6117F"/>
    <w:p w14:paraId="44B0CE0B" w14:textId="2AC712A4" w:rsidR="00E23B70" w:rsidRDefault="00DE0CED" w:rsidP="00B6117F">
      <w:r>
        <w:rPr>
          <w:noProof/>
          <w:lang w:eastAsia="pl-PL"/>
        </w:rPr>
        <mc:AlternateContent>
          <mc:Choice Requires="wps">
            <w:drawing>
              <wp:anchor distT="0" distB="0" distL="114300" distR="114300" simplePos="0" relativeHeight="251419136" behindDoc="0" locked="0" layoutInCell="1" allowOverlap="1" wp14:anchorId="71DD43D7" wp14:editId="3D98AF18">
                <wp:simplePos x="0" y="0"/>
                <wp:positionH relativeFrom="margin">
                  <wp:align>center</wp:align>
                </wp:positionH>
                <wp:positionV relativeFrom="paragraph">
                  <wp:posOffset>125730</wp:posOffset>
                </wp:positionV>
                <wp:extent cx="7019925" cy="2242185"/>
                <wp:effectExtent l="0" t="0" r="0" b="0"/>
                <wp:wrapNone/>
                <wp:docPr id="1293805704"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2242185"/>
                        </a:xfrm>
                        <a:prstGeom prst="rect">
                          <a:avLst/>
                        </a:prstGeom>
                        <a:solidFill>
                          <a:srgbClr val="FFC000">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356235" w14:textId="4CA0CF92" w:rsidR="00C36C5C" w:rsidRPr="00B6117F" w:rsidRDefault="00C36C5C" w:rsidP="00FC190C">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 xml:space="preserve">Wymiar 4. </w:t>
                            </w:r>
                            <w:r>
                              <w:rPr>
                                <w:rFonts w:ascii="Bahnschrift" w:hAnsi="Bahnschrift"/>
                                <w:color w:val="FFFFFF" w:themeColor="light1"/>
                                <w:kern w:val="24"/>
                                <w:sz w:val="72"/>
                                <w:szCs w:val="72"/>
                              </w:rPr>
                              <w:br/>
                            </w:r>
                            <w:r w:rsidRPr="00B6117F">
                              <w:rPr>
                                <w:rFonts w:ascii="Bahnschrift" w:hAnsi="Bahnschrift"/>
                                <w:color w:val="FFFFFF" w:themeColor="light1"/>
                                <w:kern w:val="24"/>
                                <w:sz w:val="64"/>
                                <w:szCs w:val="64"/>
                              </w:rPr>
                              <w:t>Wewnątrz</w:t>
                            </w:r>
                            <w:r>
                              <w:rPr>
                                <w:rFonts w:ascii="Bahnschrift" w:hAnsi="Bahnschrift"/>
                                <w:color w:val="FFFFFF" w:themeColor="light1"/>
                                <w:kern w:val="24"/>
                                <w:sz w:val="64"/>
                                <w:szCs w:val="64"/>
                              </w:rPr>
                              <w:t>unijny</w:t>
                            </w:r>
                            <w:r w:rsidRPr="00B6117F">
                              <w:rPr>
                                <w:rFonts w:ascii="Bahnschrift" w:hAnsi="Bahnschrift"/>
                                <w:color w:val="FFFFFF" w:themeColor="light1"/>
                                <w:kern w:val="24"/>
                                <w:sz w:val="64"/>
                                <w:szCs w:val="64"/>
                              </w:rPr>
                              <w:t xml:space="preserve"> rynek energii</w:t>
                            </w:r>
                            <w:r>
                              <w:rPr>
                                <w:rFonts w:ascii="Bahnschrift" w:hAnsi="Bahnschrift"/>
                                <w:color w:val="FFFFFF" w:themeColor="light1"/>
                                <w:kern w:val="24"/>
                                <w:sz w:val="64"/>
                                <w:szCs w:val="64"/>
                              </w:rPr>
                              <w:t xml:space="preserve"> </w:t>
                            </w:r>
                            <w:r>
                              <w:rPr>
                                <w:rFonts w:ascii="Bahnschrift" w:hAnsi="Bahnschrift"/>
                                <w:color w:val="FFFFFF" w:themeColor="light1"/>
                                <w:kern w:val="24"/>
                                <w:sz w:val="64"/>
                                <w:szCs w:val="64"/>
                              </w:rPr>
                              <w:br/>
                            </w:r>
                            <w:r w:rsidRPr="00517CE9">
                              <w:rPr>
                                <w:rFonts w:ascii="Bahnschrift" w:hAnsi="Bahnschrift"/>
                                <w:color w:val="FFFFFF" w:themeColor="light1"/>
                                <w:kern w:val="24"/>
                                <w:sz w:val="54"/>
                                <w:szCs w:val="54"/>
                              </w:rPr>
                              <w:t>oraz społeczny aspekt transformacji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1DD43D7" id="Prostokąt 19" o:spid="_x0000_s1128" style="position:absolute;left:0;text-align:left;margin-left:0;margin-top:9.9pt;width:552.75pt;height:176.55pt;z-index:25141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" fillcolor="#ffc000" stroked="f" strokeweight="1pt">
                <v:fill opacity="52428f"/>
                <v:textbox>
                  <w:txbxContent>
                    <w:p w14:paraId="7D356235" w14:textId="4CA0CF92" w:rsidR="00C36C5C" w:rsidRPr="00B6117F" w:rsidRDefault="00C36C5C" w:rsidP="00FC190C">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 xml:space="preserve">Wymiar 4. </w:t>
                      </w:r>
                      <w:r>
                        <w:rPr>
                          <w:rFonts w:ascii="Bahnschrift" w:hAnsi="Bahnschrift"/>
                          <w:color w:val="FFFFFF" w:themeColor="light1"/>
                          <w:kern w:val="24"/>
                          <w:sz w:val="72"/>
                          <w:szCs w:val="72"/>
                        </w:rPr>
                        <w:br/>
                      </w:r>
                      <w:r w:rsidRPr="00B6117F">
                        <w:rPr>
                          <w:rFonts w:ascii="Bahnschrift" w:hAnsi="Bahnschrift"/>
                          <w:color w:val="FFFFFF" w:themeColor="light1"/>
                          <w:kern w:val="24"/>
                          <w:sz w:val="64"/>
                          <w:szCs w:val="64"/>
                        </w:rPr>
                        <w:t>Wewnątrz</w:t>
                      </w:r>
                      <w:r>
                        <w:rPr>
                          <w:rFonts w:ascii="Bahnschrift" w:hAnsi="Bahnschrift"/>
                          <w:color w:val="FFFFFF" w:themeColor="light1"/>
                          <w:kern w:val="24"/>
                          <w:sz w:val="64"/>
                          <w:szCs w:val="64"/>
                        </w:rPr>
                        <w:t>unijny</w:t>
                      </w:r>
                      <w:r w:rsidRPr="00B6117F">
                        <w:rPr>
                          <w:rFonts w:ascii="Bahnschrift" w:hAnsi="Bahnschrift"/>
                          <w:color w:val="FFFFFF" w:themeColor="light1"/>
                          <w:kern w:val="24"/>
                          <w:sz w:val="64"/>
                          <w:szCs w:val="64"/>
                        </w:rPr>
                        <w:t xml:space="preserve"> rynek energii</w:t>
                      </w:r>
                      <w:r>
                        <w:rPr>
                          <w:rFonts w:ascii="Bahnschrift" w:hAnsi="Bahnschrift"/>
                          <w:color w:val="FFFFFF" w:themeColor="light1"/>
                          <w:kern w:val="24"/>
                          <w:sz w:val="64"/>
                          <w:szCs w:val="64"/>
                        </w:rPr>
                        <w:t xml:space="preserve"> </w:t>
                      </w:r>
                      <w:r>
                        <w:rPr>
                          <w:rFonts w:ascii="Bahnschrift" w:hAnsi="Bahnschrift"/>
                          <w:color w:val="FFFFFF" w:themeColor="light1"/>
                          <w:kern w:val="24"/>
                          <w:sz w:val="64"/>
                          <w:szCs w:val="64"/>
                        </w:rPr>
                        <w:br/>
                      </w:r>
                      <w:r w:rsidRPr="00517CE9">
                        <w:rPr>
                          <w:rFonts w:ascii="Bahnschrift" w:hAnsi="Bahnschrift"/>
                          <w:color w:val="FFFFFF" w:themeColor="light1"/>
                          <w:kern w:val="24"/>
                          <w:sz w:val="54"/>
                          <w:szCs w:val="54"/>
                        </w:rPr>
                        <w:t>oraz społeczny aspekt transformacji</w:t>
                      </w:r>
                    </w:p>
                  </w:txbxContent>
                </v:textbox>
                <w10:wrap anchorx="margin"/>
              </v:rect>
            </w:pict>
          </mc:Fallback>
        </mc:AlternateContent>
      </w:r>
    </w:p>
    <w:p w14:paraId="4024398D" w14:textId="4BEE5E2B" w:rsidR="00E23B70" w:rsidRDefault="00E23B70" w:rsidP="00B6117F"/>
    <w:p w14:paraId="22FB69D0" w14:textId="2BA9CAA9" w:rsidR="00E23B70" w:rsidRDefault="00E23B70" w:rsidP="00B6117F"/>
    <w:p w14:paraId="266FE0D0" w14:textId="6D5C2563" w:rsidR="00B6117F" w:rsidRDefault="00B6117F" w:rsidP="00B6117F"/>
    <w:p w14:paraId="68489B03" w14:textId="77777777" w:rsidR="00B6117F" w:rsidRDefault="00B6117F" w:rsidP="00B6117F"/>
    <w:p w14:paraId="2F7370D1" w14:textId="77777777" w:rsidR="00B6117F" w:rsidRDefault="00B6117F" w:rsidP="00B6117F"/>
    <w:p w14:paraId="12D9AC2A" w14:textId="530D3DEA" w:rsidR="00B6117F" w:rsidRDefault="00B6117F" w:rsidP="00B6117F"/>
    <w:p w14:paraId="18C6C30A" w14:textId="77777777" w:rsidR="00B6117F" w:rsidRDefault="00B6117F" w:rsidP="00B6117F"/>
    <w:p w14:paraId="3B3BD58D" w14:textId="6E610A46" w:rsidR="00B6117F" w:rsidRDefault="00B6117F" w:rsidP="00B6117F"/>
    <w:p w14:paraId="17BFC7B3" w14:textId="48C0EE6F" w:rsidR="00B6117F" w:rsidRDefault="00B6117F" w:rsidP="00B6117F"/>
    <w:p w14:paraId="554B67CC" w14:textId="77777777" w:rsidR="008057F6" w:rsidRDefault="008057F6" w:rsidP="00B6117F"/>
    <w:p w14:paraId="4BF8CA25" w14:textId="123141C7" w:rsidR="00116706" w:rsidRDefault="007B74D2" w:rsidP="00116706">
      <w:r>
        <w:t xml:space="preserve">Jedną z cech funkcjonowania Unii Europejskiej jest istnienie wewnętrznego rynku, który z jednej strony zapewnia swobodny przepływ towarów, osób, usług i kapitału, z drugiej opiera się na wspólnych zasadach </w:t>
      </w:r>
      <w:r w:rsidR="00601E54">
        <w:t>funkcjonowania</w:t>
      </w:r>
      <w:r w:rsidR="00B07093">
        <w:t xml:space="preserve"> dla wszystkich uczestników</w:t>
      </w:r>
      <w:r w:rsidR="00601E54">
        <w:t xml:space="preserve">. Z tego względu również rynek energii jest komponentem </w:t>
      </w:r>
      <w:r w:rsidR="00DE0AC8">
        <w:t>wewnątrzunijnego</w:t>
      </w:r>
      <w:r w:rsidR="00601E54">
        <w:t xml:space="preserve"> rynku, tak</w:t>
      </w:r>
      <w:r w:rsidR="00E2153B">
        <w:t> </w:t>
      </w:r>
      <w:r w:rsidR="00601E54">
        <w:t xml:space="preserve">aby ograniczać </w:t>
      </w:r>
      <w:r w:rsidR="00601E54" w:rsidRPr="00601E54">
        <w:t>barier</w:t>
      </w:r>
      <w:r w:rsidR="00601E54">
        <w:t>y</w:t>
      </w:r>
      <w:r w:rsidR="00601E54" w:rsidRPr="00601E54">
        <w:t xml:space="preserve"> w handlu</w:t>
      </w:r>
      <w:r w:rsidR="008057F6">
        <w:t xml:space="preserve"> (techniczne, fizyczne i regulacyjne)</w:t>
      </w:r>
      <w:r w:rsidR="00601E54" w:rsidRPr="00601E54">
        <w:t>, zbliż</w:t>
      </w:r>
      <w:r w:rsidR="00601E54">
        <w:t>ać</w:t>
      </w:r>
      <w:r w:rsidR="00601E54" w:rsidRPr="00601E54">
        <w:t xml:space="preserve"> polityki podatkow</w:t>
      </w:r>
      <w:r w:rsidR="00601E54">
        <w:t xml:space="preserve">e </w:t>
      </w:r>
      <w:r w:rsidR="00601E54" w:rsidRPr="00601E54">
        <w:t>i cenowe</w:t>
      </w:r>
      <w:r w:rsidR="00601E54">
        <w:t xml:space="preserve">, a jednocześnie zapewniać jednolite normy i standardy. Dotyczą one nie tylko kwestii technicznych </w:t>
      </w:r>
      <w:r w:rsidR="00116706">
        <w:t>i</w:t>
      </w:r>
      <w:r w:rsidR="008057F6">
        <w:t> </w:t>
      </w:r>
      <w:r w:rsidR="00116706">
        <w:t>wspólnych planów gotowości na zagrożenia</w:t>
      </w:r>
      <w:r w:rsidR="00601E54">
        <w:t xml:space="preserve">, ale również </w:t>
      </w:r>
      <w:r w:rsidR="00116706">
        <w:t>określonego poziomu ochrony konsumentów, a</w:t>
      </w:r>
      <w:r w:rsidR="008057F6">
        <w:t> </w:t>
      </w:r>
      <w:r w:rsidR="00116706">
        <w:t xml:space="preserve">w pewnych wymiarach również sprawiedliwego wymiaru transformacji. Z tych względów kwestie </w:t>
      </w:r>
      <w:r w:rsidR="00116706" w:rsidRPr="008057F6">
        <w:rPr>
          <w:b/>
          <w:bCs/>
        </w:rPr>
        <w:t>wewnątrzunijnego rynku energii</w:t>
      </w:r>
      <w:r w:rsidR="00116706" w:rsidRPr="00116706">
        <w:t xml:space="preserve"> </w:t>
      </w:r>
      <w:r w:rsidR="00116706">
        <w:t xml:space="preserve">zostały określone </w:t>
      </w:r>
      <w:r w:rsidR="00116706" w:rsidRPr="008057F6">
        <w:rPr>
          <w:b/>
          <w:bCs/>
        </w:rPr>
        <w:t>czwartym wymiarem unii energetycznej</w:t>
      </w:r>
      <w:r w:rsidR="00116706">
        <w:t xml:space="preserve">, </w:t>
      </w:r>
      <w:r w:rsidR="008057F6">
        <w:t>zapewniając oparcie na podstawowych zasadach funkcjonowania Unii Europejskiej.</w:t>
      </w:r>
    </w:p>
    <w:p w14:paraId="51D8AB64" w14:textId="03F7C893" w:rsidR="00B6117F" w:rsidRDefault="008057F6" w:rsidP="00B6117F">
      <w:r>
        <w:t xml:space="preserve">W tej części KPEiK </w:t>
      </w:r>
      <w:r w:rsidRPr="003772B3">
        <w:t xml:space="preserve">ujęto </w:t>
      </w:r>
      <w:r>
        <w:t xml:space="preserve">założenia i cele </w:t>
      </w:r>
      <w:r w:rsidRPr="003772B3">
        <w:t xml:space="preserve">związane </w:t>
      </w:r>
      <w:r>
        <w:t>z infrastrukturą przesyłową gazu ziemnego i energii elektrycznej, jak również w obszarach dotyczących społecznych aspektów – ubóstwa energetycznego, ochrony konsumentów i sprawiedliwego wymiaru transformacji.</w:t>
      </w:r>
      <w:r w:rsidR="00D442B9">
        <w:t xml:space="preserve"> </w:t>
      </w:r>
    </w:p>
    <w:p w14:paraId="63BA5B1E" w14:textId="462912A2" w:rsidR="00925327" w:rsidRDefault="00925327" w:rsidP="00B6117F">
      <w:r>
        <w:br w:type="page"/>
      </w:r>
    </w:p>
    <w:p w14:paraId="32192F5C" w14:textId="5D839DBE" w:rsidR="00DC5F68" w:rsidRDefault="000A65EB" w:rsidP="00DC5F68">
      <w:pPr>
        <w:pStyle w:val="Nagwek3"/>
        <w:rPr>
          <w:color w:val="FFC000" w:themeColor="accent4"/>
          <w:sz w:val="36"/>
          <w:szCs w:val="36"/>
        </w:rPr>
      </w:pPr>
      <w:bookmarkStart w:id="640" w:name="_Toc195897366"/>
      <w:bookmarkStart w:id="641" w:name="_Toc205203216"/>
      <w:bookmarkStart w:id="642" w:name="_Toc159598336"/>
      <w:bookmarkStart w:id="643" w:name="_Ref173842061"/>
      <w:r>
        <w:rPr>
          <w:color w:val="FFC000" w:themeColor="accent4"/>
          <w:sz w:val="36"/>
          <w:szCs w:val="36"/>
        </w:rPr>
        <w:lastRenderedPageBreak/>
        <w:t>M</w:t>
      </w:r>
      <w:r w:rsidR="00DC5F68">
        <w:rPr>
          <w:color w:val="FFC000" w:themeColor="accent4"/>
          <w:sz w:val="36"/>
          <w:szCs w:val="36"/>
        </w:rPr>
        <w:t>iędzysystemow</w:t>
      </w:r>
      <w:r>
        <w:rPr>
          <w:color w:val="FFC000" w:themeColor="accent4"/>
          <w:sz w:val="36"/>
          <w:szCs w:val="36"/>
        </w:rPr>
        <w:t xml:space="preserve">a </w:t>
      </w:r>
      <w:r w:rsidR="00445D0D">
        <w:rPr>
          <w:color w:val="FFC000" w:themeColor="accent4"/>
          <w:sz w:val="36"/>
          <w:szCs w:val="36"/>
        </w:rPr>
        <w:t>wymiana</w:t>
      </w:r>
      <w:r w:rsidR="00A505C4">
        <w:rPr>
          <w:color w:val="FFC000" w:themeColor="accent4"/>
          <w:sz w:val="36"/>
          <w:szCs w:val="36"/>
        </w:rPr>
        <w:t xml:space="preserve"> energii</w:t>
      </w:r>
      <w:bookmarkEnd w:id="640"/>
      <w:bookmarkEnd w:id="641"/>
    </w:p>
    <w:p w14:paraId="4AF18723" w14:textId="2CB61CCF" w:rsidR="008A009B" w:rsidRDefault="001207CB" w:rsidP="007A6BBC">
      <w:r>
        <w:t xml:space="preserve">Wewnątrzunijny przepływ </w:t>
      </w:r>
      <w:r w:rsidR="00641095">
        <w:t>paliw i nośników dotyczy przede wszystkim gazu ziemnego i energii elektrycznej</w:t>
      </w:r>
      <w:r w:rsidR="001621FB">
        <w:t>, co znalazło odzwierciedlenie w dwóch celach poniżej. Kwesti</w:t>
      </w:r>
      <w:r w:rsidR="00C515D2">
        <w:t>a</w:t>
      </w:r>
      <w:r w:rsidR="001621FB">
        <w:t xml:space="preserve"> wymiany systemowej </w:t>
      </w:r>
      <w:r w:rsidR="00C515D2">
        <w:t xml:space="preserve">ropy i paliw </w:t>
      </w:r>
      <w:r w:rsidR="00A061A0">
        <w:t xml:space="preserve">została potraktowana łącznie w </w:t>
      </w:r>
      <w:r w:rsidR="00641980">
        <w:fldChar w:fldCharType="begin"/>
      </w:r>
      <w:r w:rsidR="00641980">
        <w:instrText xml:space="preserve"> REF _Ref191392702 \r \h </w:instrText>
      </w:r>
      <w:r w:rsidR="00641980">
        <w:fldChar w:fldCharType="separate"/>
      </w:r>
      <w:r w:rsidR="00871DD5">
        <w:t>Obszar 3.5</w:t>
      </w:r>
      <w:r w:rsidR="00641980">
        <w:fldChar w:fldCharType="end"/>
      </w:r>
      <w:r w:rsidR="00641980">
        <w:t>, u</w:t>
      </w:r>
      <w:r w:rsidR="00787D42">
        <w:t>miejscowionym</w:t>
      </w:r>
      <w:r w:rsidR="00641980">
        <w:t xml:space="preserve"> </w:t>
      </w:r>
      <w:r w:rsidR="00277433">
        <w:t>w</w:t>
      </w:r>
      <w:r w:rsidR="00641980">
        <w:t xml:space="preserve"> </w:t>
      </w:r>
      <w:r w:rsidR="00841233">
        <w:t xml:space="preserve">wymiarze dotyczącym </w:t>
      </w:r>
      <w:r w:rsidR="00641980">
        <w:t xml:space="preserve">bezpieczeństwa </w:t>
      </w:r>
      <w:r w:rsidR="00841233">
        <w:t>energetycznego.</w:t>
      </w:r>
    </w:p>
    <w:p w14:paraId="45E3F037" w14:textId="6A39E46C" w:rsidR="00841233" w:rsidRPr="008A009B" w:rsidRDefault="00CC0AFE" w:rsidP="007A6BBC">
      <w:r>
        <w:t>Wymiana transgra</w:t>
      </w:r>
      <w:r w:rsidR="00F651C3">
        <w:t xml:space="preserve">niczna węgla kamiennego </w:t>
      </w:r>
      <w:r w:rsidR="00B94B5E">
        <w:t>nie został</w:t>
      </w:r>
      <w:r w:rsidR="000545E1">
        <w:t>a</w:t>
      </w:r>
      <w:r w:rsidR="00B94B5E">
        <w:t xml:space="preserve"> uwzględnion</w:t>
      </w:r>
      <w:r w:rsidR="000545E1">
        <w:t>a</w:t>
      </w:r>
      <w:r w:rsidR="00B94B5E">
        <w:t xml:space="preserve"> w tym </w:t>
      </w:r>
      <w:r w:rsidR="00334B34">
        <w:t>obszarze</w:t>
      </w:r>
      <w:r w:rsidR="004961D1">
        <w:t>,</w:t>
      </w:r>
      <w:r w:rsidR="006F279C">
        <w:t xml:space="preserve"> ponieważ</w:t>
      </w:r>
      <w:r w:rsidR="00B94B5E">
        <w:t xml:space="preserve"> </w:t>
      </w:r>
      <w:r w:rsidR="000545E1">
        <w:t>ni</w:t>
      </w:r>
      <w:r w:rsidR="00F651C3">
        <w:t xml:space="preserve">e </w:t>
      </w:r>
      <w:r w:rsidR="00334B34">
        <w:t xml:space="preserve">jest </w:t>
      </w:r>
      <w:r w:rsidR="00F651C3">
        <w:t>wymaga</w:t>
      </w:r>
      <w:r w:rsidR="00334B34">
        <w:t>n</w:t>
      </w:r>
      <w:r w:rsidR="002C0B1F">
        <w:t xml:space="preserve">y </w:t>
      </w:r>
      <w:r w:rsidR="0053386F">
        <w:t xml:space="preserve">znaczący </w:t>
      </w:r>
      <w:r w:rsidR="002C0B1F">
        <w:t>rozwój specjalnej infrastruktury</w:t>
      </w:r>
      <w:r w:rsidR="00B94B5E">
        <w:t xml:space="preserve">, </w:t>
      </w:r>
      <w:r w:rsidR="006F279C">
        <w:t xml:space="preserve">a </w:t>
      </w:r>
      <w:r w:rsidR="0030293F">
        <w:t xml:space="preserve">wykorzystanie </w:t>
      </w:r>
      <w:r w:rsidR="007B686A">
        <w:t>węgla</w:t>
      </w:r>
      <w:r w:rsidR="0030293F">
        <w:t xml:space="preserve"> będzie spadać</w:t>
      </w:r>
      <w:r w:rsidR="006F279C">
        <w:t xml:space="preserve">. Również </w:t>
      </w:r>
      <w:r w:rsidR="0030293F">
        <w:t xml:space="preserve">biomasa </w:t>
      </w:r>
      <w:r w:rsidR="009926C3">
        <w:t xml:space="preserve">nie została uwzględniona w tej części, ponieważ ten nośnik energii powinien być wykorzystywany najbliżej wytworzenia. Kwestia importu wewnątrzwspólnotowego wodoru została </w:t>
      </w:r>
      <w:r w:rsidR="00685120">
        <w:t>omówiona także wyłącznie w </w:t>
      </w:r>
      <w:r w:rsidR="00277433">
        <w:t xml:space="preserve">ramach </w:t>
      </w:r>
      <w:r w:rsidR="00277433">
        <w:fldChar w:fldCharType="begin"/>
      </w:r>
      <w:r w:rsidR="00277433">
        <w:instrText xml:space="preserve"> REF _Ref193897905 \r \h </w:instrText>
      </w:r>
      <w:r w:rsidR="00277433">
        <w:fldChar w:fldCharType="separate"/>
      </w:r>
      <w:r w:rsidR="00871DD5">
        <w:t>Cel 3.4.3</w:t>
      </w:r>
      <w:r w:rsidR="00277433">
        <w:fldChar w:fldCharType="end"/>
      </w:r>
      <w:r w:rsidR="00685120">
        <w:t>.</w:t>
      </w:r>
    </w:p>
    <w:p w14:paraId="33F15D4E" w14:textId="4E8853A5" w:rsidR="00175CB4" w:rsidRDefault="00175CB4" w:rsidP="00175CB4">
      <w:pPr>
        <w:pStyle w:val="Nagwek4"/>
        <w:rPr>
          <w:color w:val="FFC000" w:themeColor="accent4"/>
        </w:rPr>
      </w:pPr>
      <w:bookmarkStart w:id="644" w:name="_Ref191988639"/>
      <w:bookmarkStart w:id="645" w:name="_Toc195897367"/>
      <w:bookmarkStart w:id="646" w:name="_Toc205203217"/>
      <w:r>
        <w:rPr>
          <w:color w:val="FFC000" w:themeColor="accent4"/>
        </w:rPr>
        <w:t xml:space="preserve">Zapewnienie </w:t>
      </w:r>
      <w:r w:rsidR="00FC6DE0">
        <w:rPr>
          <w:color w:val="FFC000" w:themeColor="accent4"/>
        </w:rPr>
        <w:t xml:space="preserve">warunków wymiany </w:t>
      </w:r>
      <w:r w:rsidR="00707368">
        <w:rPr>
          <w:color w:val="FFC000" w:themeColor="accent4"/>
        </w:rPr>
        <w:t>międzysystemow</w:t>
      </w:r>
      <w:r w:rsidR="00FC6DE0">
        <w:rPr>
          <w:color w:val="FFC000" w:themeColor="accent4"/>
        </w:rPr>
        <w:t>ej</w:t>
      </w:r>
      <w:r w:rsidR="00A5639E">
        <w:rPr>
          <w:color w:val="FFC000" w:themeColor="accent4"/>
        </w:rPr>
        <w:t xml:space="preserve"> </w:t>
      </w:r>
      <w:r w:rsidR="00A5639E" w:rsidRPr="00615DF5">
        <w:rPr>
          <w:color w:val="FFC000" w:themeColor="accent4"/>
        </w:rPr>
        <w:t>energii elektrycznej</w:t>
      </w:r>
      <w:bookmarkEnd w:id="644"/>
      <w:bookmarkEnd w:id="645"/>
      <w:bookmarkEnd w:id="646"/>
    </w:p>
    <w:p w14:paraId="75C22DB0" w14:textId="05FE1738" w:rsidR="00DB5FAD" w:rsidRDefault="0087322E" w:rsidP="00AF337B">
      <w:r>
        <w:t xml:space="preserve">Wymiana międzysystemowa </w:t>
      </w:r>
      <w:r w:rsidR="00AF337B">
        <w:rPr>
          <w:noProof/>
          <w:lang w:eastAsia="pl-PL"/>
        </w:rPr>
        <mc:AlternateContent>
          <mc:Choice Requires="wps">
            <w:drawing>
              <wp:anchor distT="0" distB="0" distL="114300" distR="114300" simplePos="0" relativeHeight="251586048" behindDoc="1" locked="0" layoutInCell="1" allowOverlap="1" wp14:anchorId="6A998C4A" wp14:editId="2A03C8B5">
                <wp:simplePos x="0" y="0"/>
                <wp:positionH relativeFrom="margin">
                  <wp:posOffset>3155324</wp:posOffset>
                </wp:positionH>
                <wp:positionV relativeFrom="paragraph">
                  <wp:posOffset>71048</wp:posOffset>
                </wp:positionV>
                <wp:extent cx="2620010" cy="1963420"/>
                <wp:effectExtent l="0" t="0" r="27940" b="26670"/>
                <wp:wrapSquare wrapText="bothSides"/>
                <wp:docPr id="216044139"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ln>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wps:spPr>
                      <wps:style>
                        <a:lnRef idx="2">
                          <a:schemeClr val="accent4"/>
                        </a:lnRef>
                        <a:fillRef idx="1">
                          <a:schemeClr val="lt1"/>
                        </a:fillRef>
                        <a:effectRef idx="0">
                          <a:schemeClr val="accent4"/>
                        </a:effectRef>
                        <a:fontRef idx="minor">
                          <a:schemeClr val="dk1"/>
                        </a:fontRef>
                      </wps:style>
                      <wps:txbx>
                        <w:txbxContent>
                          <w:p w14:paraId="387E2259" w14:textId="25DB2CD6" w:rsidR="00C36C5C" w:rsidRPr="004E21CF" w:rsidRDefault="00C36C5C" w:rsidP="00AF337B">
                            <w:pPr>
                              <w:pStyle w:val="Ramka"/>
                            </w:pPr>
                            <w:r>
                              <w:t>Polski KSE sąsiaduje z systemami obszaru synchronicznego Europy kontynentalnej – niemieckim, czeskim, słowackim, ukraińskim i litewskim, a także z systemem, szwedzkim</w:t>
                            </w:r>
                            <w:r w:rsidRPr="006314C9">
                              <w:t xml:space="preserve"> </w:t>
                            </w:r>
                            <w:r>
                              <w:t>połączonym asynchronicznie.  Polska nie ma funkcjonujących połączeń transgranicznych z systemem białoruskim i rosyjskim.</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A998C4A" id="_x0000_s1129" style="position:absolute;left:0;text-align:left;margin-left:248.45pt;margin-top:5.6pt;width:206.3pt;height:154.6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" fillcolor="white [3201]" strokecolor="#ffc000 [3207]" strokeweight="1pt">
                <v:stroke joinstyle="miter"/>
                <v:textbox style="mso-fit-shape-to-text:t" inset="2mm,2.5mm,2mm,0">
                  <w:txbxContent>
                    <w:p w14:paraId="387E2259" w14:textId="25DB2CD6" w:rsidR="00C36C5C" w:rsidRPr="004E21CF" w:rsidRDefault="00C36C5C" w:rsidP="00AF337B">
                      <w:pPr>
                        <w:pStyle w:val="Ramka"/>
                      </w:pPr>
                      <w:r>
                        <w:t>Polski KSE sąsiaduje z systemami obszaru synchronicznego Europy kontynentalnej – niemieckim, czeskim, słowackim, ukraińskim i litewskim, a także z systemem, szwedzkim</w:t>
                      </w:r>
                      <w:r w:rsidRPr="006314C9">
                        <w:t xml:space="preserve"> </w:t>
                      </w:r>
                      <w:r>
                        <w:t>połączonym asynchronicznie.  Polska nie ma funkcjonujących połączeń transgranicznych z systemem białoruskim i rosyjskim.</w:t>
                      </w:r>
                    </w:p>
                  </w:txbxContent>
                </v:textbox>
                <w10:wrap type="square" anchorx="margin"/>
              </v:roundrect>
            </w:pict>
          </mc:Fallback>
        </mc:AlternateContent>
      </w:r>
      <w:r>
        <w:t>energii elektrycznej zależna jest od dwóch czynników – sprawnej i</w:t>
      </w:r>
      <w:r w:rsidR="0085067A">
        <w:t> </w:t>
      </w:r>
      <w:r>
        <w:t xml:space="preserve">odpowiednio rozwiniętej wewnętrznej </w:t>
      </w:r>
      <w:r w:rsidR="004B30B2">
        <w:t xml:space="preserve">infrastruktury liniowej </w:t>
      </w:r>
      <w:r>
        <w:t xml:space="preserve">oraz </w:t>
      </w:r>
      <w:r w:rsidR="00642635">
        <w:t xml:space="preserve">odpowiednio rozbudowanych </w:t>
      </w:r>
      <w:r>
        <w:t>połączeń międzysystemowych (</w:t>
      </w:r>
      <w:r w:rsidRPr="00D37171">
        <w:t xml:space="preserve">transgranicznych punktów wejścia i wyjścia do systemu przesyłowego </w:t>
      </w:r>
      <w:r w:rsidR="00DB5FAD">
        <w:t>elektroenergetycznego</w:t>
      </w:r>
      <w:r>
        <w:t xml:space="preserve">). </w:t>
      </w:r>
      <w:r w:rsidR="00554680">
        <w:t xml:space="preserve">Z tego względu </w:t>
      </w:r>
      <w:r w:rsidR="00722E9F">
        <w:t xml:space="preserve">treść zawarta w </w:t>
      </w:r>
      <w:r w:rsidR="004961D1">
        <w:t xml:space="preserve">części </w:t>
      </w:r>
      <w:r w:rsidR="00C4538D" w:rsidRPr="00346929">
        <w:rPr>
          <w:color w:val="000000" w:themeColor="text1"/>
        </w:rPr>
        <w:fldChar w:fldCharType="begin"/>
      </w:r>
      <w:r w:rsidR="00C4538D" w:rsidRPr="00346929">
        <w:rPr>
          <w:color w:val="000000" w:themeColor="text1"/>
        </w:rPr>
        <w:instrText xml:space="preserve"> REF _Ref191391308 \n \h </w:instrText>
      </w:r>
      <w:r w:rsidR="00C4538D" w:rsidRPr="00346929">
        <w:rPr>
          <w:color w:val="000000" w:themeColor="text1"/>
        </w:rPr>
      </w:r>
      <w:r w:rsidR="00C4538D" w:rsidRPr="00346929">
        <w:rPr>
          <w:color w:val="000000" w:themeColor="text1"/>
        </w:rPr>
        <w:fldChar w:fldCharType="separate"/>
      </w:r>
      <w:r w:rsidR="00871DD5">
        <w:rPr>
          <w:color w:val="000000" w:themeColor="text1"/>
        </w:rPr>
        <w:t>Obszar 3.8</w:t>
      </w:r>
      <w:r w:rsidR="00C4538D" w:rsidRPr="00346929">
        <w:rPr>
          <w:color w:val="000000" w:themeColor="text1"/>
        </w:rPr>
        <w:fldChar w:fldCharType="end"/>
      </w:r>
      <w:r w:rsidR="00C4538D" w:rsidRPr="00346929">
        <w:rPr>
          <w:color w:val="000000" w:themeColor="text1"/>
        </w:rPr>
        <w:t xml:space="preserve">. </w:t>
      </w:r>
      <w:r w:rsidR="00C4538D" w:rsidRPr="00346929">
        <w:rPr>
          <w:color w:val="000000" w:themeColor="text1"/>
        </w:rPr>
        <w:fldChar w:fldCharType="begin"/>
      </w:r>
      <w:r w:rsidR="00C4538D" w:rsidRPr="00346929">
        <w:rPr>
          <w:color w:val="000000" w:themeColor="text1"/>
        </w:rPr>
        <w:instrText xml:space="preserve"> REF _Ref191391295 \h </w:instrText>
      </w:r>
      <w:r w:rsidR="00C4538D" w:rsidRPr="00346929">
        <w:rPr>
          <w:color w:val="000000" w:themeColor="text1"/>
        </w:rPr>
      </w:r>
      <w:r w:rsidR="00C4538D" w:rsidRPr="00346929">
        <w:rPr>
          <w:color w:val="000000" w:themeColor="text1"/>
        </w:rPr>
        <w:fldChar w:fldCharType="separate"/>
      </w:r>
      <w:r w:rsidR="00871DD5">
        <w:rPr>
          <w:color w:val="C00000"/>
        </w:rPr>
        <w:t>Pokrycie zapotrzebowania na energię </w:t>
      </w:r>
      <w:r w:rsidR="00871DD5" w:rsidRPr="00925327">
        <w:rPr>
          <w:color w:val="C00000"/>
        </w:rPr>
        <w:t>elektr</w:t>
      </w:r>
      <w:r w:rsidR="00871DD5">
        <w:rPr>
          <w:color w:val="C00000"/>
        </w:rPr>
        <w:t>yczną</w:t>
      </w:r>
      <w:r w:rsidR="00C4538D" w:rsidRPr="00346929">
        <w:rPr>
          <w:color w:val="000000" w:themeColor="text1"/>
        </w:rPr>
        <w:fldChar w:fldCharType="end"/>
      </w:r>
      <w:r w:rsidR="00766BA7" w:rsidRPr="00346929">
        <w:rPr>
          <w:color w:val="000000" w:themeColor="text1"/>
        </w:rPr>
        <w:t>,</w:t>
      </w:r>
      <w:r w:rsidR="00B143B8" w:rsidRPr="00346929">
        <w:rPr>
          <w:color w:val="000000" w:themeColor="text1"/>
        </w:rPr>
        <w:t xml:space="preserve"> </w:t>
      </w:r>
      <w:r w:rsidR="005813FA" w:rsidRPr="00346929">
        <w:rPr>
          <w:color w:val="000000" w:themeColor="text1"/>
        </w:rPr>
        <w:t xml:space="preserve">zwłaszcza </w:t>
      </w:r>
      <w:r w:rsidR="005813FA" w:rsidRPr="00346929">
        <w:rPr>
          <w:color w:val="000000" w:themeColor="text1"/>
        </w:rPr>
        <w:fldChar w:fldCharType="begin"/>
      </w:r>
      <w:r w:rsidR="005813FA" w:rsidRPr="00346929">
        <w:rPr>
          <w:color w:val="000000" w:themeColor="text1"/>
        </w:rPr>
        <w:instrText xml:space="preserve"> REF _Ref193873744 \n \h </w:instrText>
      </w:r>
      <w:r w:rsidR="005813FA" w:rsidRPr="00346929">
        <w:rPr>
          <w:color w:val="000000" w:themeColor="text1"/>
        </w:rPr>
      </w:r>
      <w:r w:rsidR="005813FA" w:rsidRPr="00346929">
        <w:rPr>
          <w:color w:val="000000" w:themeColor="text1"/>
        </w:rPr>
        <w:fldChar w:fldCharType="separate"/>
      </w:r>
      <w:r w:rsidR="00871DD5">
        <w:rPr>
          <w:color w:val="000000" w:themeColor="text1"/>
        </w:rPr>
        <w:t>Cel 3.8.3</w:t>
      </w:r>
      <w:r w:rsidR="005813FA" w:rsidRPr="00346929">
        <w:rPr>
          <w:color w:val="000000" w:themeColor="text1"/>
        </w:rPr>
        <w:fldChar w:fldCharType="end"/>
      </w:r>
      <w:r w:rsidR="005813FA" w:rsidRPr="00346929">
        <w:rPr>
          <w:color w:val="000000" w:themeColor="text1"/>
        </w:rPr>
        <w:t xml:space="preserve"> i </w:t>
      </w:r>
      <w:r w:rsidR="005813FA" w:rsidRPr="00346929">
        <w:rPr>
          <w:color w:val="000000" w:themeColor="text1"/>
        </w:rPr>
        <w:fldChar w:fldCharType="begin"/>
      </w:r>
      <w:r w:rsidR="005813FA" w:rsidRPr="00346929">
        <w:rPr>
          <w:color w:val="000000" w:themeColor="text1"/>
        </w:rPr>
        <w:instrText xml:space="preserve"> REF _Ref198036601 \n \h </w:instrText>
      </w:r>
      <w:r w:rsidR="005813FA" w:rsidRPr="00346929">
        <w:rPr>
          <w:color w:val="000000" w:themeColor="text1"/>
        </w:rPr>
      </w:r>
      <w:r w:rsidR="005813FA" w:rsidRPr="00346929">
        <w:rPr>
          <w:color w:val="000000" w:themeColor="text1"/>
        </w:rPr>
        <w:fldChar w:fldCharType="separate"/>
      </w:r>
      <w:r w:rsidR="00871DD5">
        <w:rPr>
          <w:color w:val="000000" w:themeColor="text1"/>
        </w:rPr>
        <w:t>Cel 3.8.4</w:t>
      </w:r>
      <w:r w:rsidR="005813FA" w:rsidRPr="00346929">
        <w:rPr>
          <w:color w:val="000000" w:themeColor="text1"/>
        </w:rPr>
        <w:fldChar w:fldCharType="end"/>
      </w:r>
      <w:r w:rsidR="00766BA7" w:rsidRPr="00346929">
        <w:rPr>
          <w:color w:val="000000" w:themeColor="text1"/>
        </w:rPr>
        <w:t xml:space="preserve">, </w:t>
      </w:r>
      <w:r w:rsidR="00B143B8" w:rsidRPr="00346929">
        <w:rPr>
          <w:color w:val="000000" w:themeColor="text1"/>
        </w:rPr>
        <w:t xml:space="preserve">koresponduje z </w:t>
      </w:r>
      <w:r w:rsidR="00D32039" w:rsidRPr="00346929">
        <w:rPr>
          <w:color w:val="000000" w:themeColor="text1"/>
        </w:rPr>
        <w:t>niniejs</w:t>
      </w:r>
      <w:r w:rsidR="00D32039">
        <w:t>zymi zagadnieniami</w:t>
      </w:r>
      <w:r w:rsidR="00C4538D">
        <w:t>.</w:t>
      </w:r>
    </w:p>
    <w:p w14:paraId="59F87377" w14:textId="3AE5A52D" w:rsidR="00AF337B" w:rsidRDefault="00AF337B" w:rsidP="00AF337B">
      <w:r>
        <w:t>Polski krajowy system elektroenergetyczny (KSE) funkcjonuje w ramach obszaru synchronicznego Europy kontynentalnej. Polski operator systemu przesyłowego elektroenergetycznego PSE S</w:t>
      </w:r>
      <w:r w:rsidR="00FE45B0">
        <w:t>.</w:t>
      </w:r>
      <w:r>
        <w:t>A</w:t>
      </w:r>
      <w:r w:rsidR="00FE45B0">
        <w:t>.</w:t>
      </w:r>
      <w:r>
        <w:t xml:space="preserve"> jest członkiem stowarzyszenia ENTSO-E zrzeszającego europejskich operatorów systemów elektroenergetycznych. Obszar synchroniczny Europy kontynentalnej jest koordynowany przez grupę regionalną Europa kontynentalna (R</w:t>
      </w:r>
      <w:r w:rsidR="00AD0FB0">
        <w:t>G</w:t>
      </w:r>
      <w:r w:rsidR="00DD051A">
        <w:t>C</w:t>
      </w:r>
      <w:r>
        <w:t xml:space="preserve">E) ENTSO-E. </w:t>
      </w:r>
    </w:p>
    <w:p w14:paraId="325E0CF5" w14:textId="16FE957A" w:rsidR="00F60225" w:rsidRDefault="00BC36BE" w:rsidP="00AF337B">
      <w:r>
        <w:rPr>
          <w:b/>
          <w:bCs/>
        </w:rPr>
        <w:t xml:space="preserve">Potrzeba integracji rynków </w:t>
      </w:r>
      <w:r w:rsidR="00AF337B">
        <w:t xml:space="preserve">jest bezpośrednią przyczyną stopniowego zwiększania przepustowości na połączeniach transgranicznych (międzysystemowych, międzyobszarowych), przez redukowanie ograniczeń systemowych i zwiększanie wykorzystania </w:t>
      </w:r>
      <w:r w:rsidR="00DD051A">
        <w:t>zdolności</w:t>
      </w:r>
      <w:r w:rsidR="00AF337B">
        <w:t xml:space="preserve"> połączeń transgranicznych. </w:t>
      </w:r>
      <w:r w:rsidR="00DA0805">
        <w:t>Aby wymiana transgraniczna była możliwa niezbędna jest dobrze rozwinięta infrastruktura wewnątrz kraju</w:t>
      </w:r>
      <w:r w:rsidR="00981635">
        <w:t xml:space="preserve">, dlatego niektóre inwestycje, wpływające na </w:t>
      </w:r>
      <w:r w:rsidR="00DA0805">
        <w:t>wzmacnianie sieci krajowej i likwidacj</w:t>
      </w:r>
      <w:r w:rsidR="00981635">
        <w:t>ę</w:t>
      </w:r>
      <w:r w:rsidR="00DA0805">
        <w:t xml:space="preserve"> wąskich gardeł </w:t>
      </w:r>
      <w:r w:rsidR="00A244EF">
        <w:t xml:space="preserve">mają status inwestycji </w:t>
      </w:r>
      <w:r w:rsidR="00F60225">
        <w:t>wspólnego</w:t>
      </w:r>
      <w:r w:rsidR="00A244EF">
        <w:t xml:space="preserve"> zainteresowania (PCI, ang. </w:t>
      </w:r>
      <w:r w:rsidR="000D6000" w:rsidRPr="000D6000">
        <w:rPr>
          <w:i/>
          <w:iCs/>
        </w:rPr>
        <w:t>Project of Common Interest</w:t>
      </w:r>
      <w:r w:rsidR="00A244EF">
        <w:t>)</w:t>
      </w:r>
      <w:r w:rsidR="00F60225">
        <w:t>.</w:t>
      </w:r>
      <w:r w:rsidR="00A244EF">
        <w:t xml:space="preserve"> </w:t>
      </w:r>
    </w:p>
    <w:p w14:paraId="56C58500" w14:textId="21F18605" w:rsidR="00BA138A" w:rsidRPr="007C41A3" w:rsidRDefault="00BA138A" w:rsidP="00BA138A">
      <w:pPr>
        <w:rPr>
          <w:szCs w:val="20"/>
        </w:rPr>
      </w:pPr>
      <w:r>
        <w:t>Zgodnie z przepisami prawa UE,</w:t>
      </w:r>
      <w:r w:rsidRPr="006F679E">
        <w:t xml:space="preserve"> </w:t>
      </w:r>
      <w:r>
        <w:t xml:space="preserve">OSPe powinni maksymalizować </w:t>
      </w:r>
      <w:r w:rsidRPr="006F679E">
        <w:t>zdolności</w:t>
      </w:r>
      <w:r>
        <w:t xml:space="preserve"> przesyłowe</w:t>
      </w:r>
      <w:r w:rsidRPr="006F679E">
        <w:t xml:space="preserve"> połączeń wzajemnych</w:t>
      </w:r>
      <w:r>
        <w:t xml:space="preserve"> oferowane </w:t>
      </w:r>
      <w:r w:rsidRPr="006339CB">
        <w:rPr>
          <w:b/>
          <w:bCs/>
        </w:rPr>
        <w:t>na potrzeby handlu transgranicznego</w:t>
      </w:r>
      <w:r>
        <w:t xml:space="preserve">. </w:t>
      </w:r>
      <w:bookmarkStart w:id="647" w:name="_Hlk173318545"/>
      <w:r>
        <w:t xml:space="preserve">Przepisy rozporządzenia (UE) 2019/943 nałożyły na </w:t>
      </w:r>
      <w:r w:rsidRPr="00DD30BC">
        <w:t>OSP</w:t>
      </w:r>
      <w:r>
        <w:t xml:space="preserve">e </w:t>
      </w:r>
      <w:r w:rsidRPr="00BA22EF">
        <w:t>obowiązek udostępniania uczestnikom rynku transgranicznych zdolności przesyłowych na poziomie nie niższym niż 70% zdolności przesyłowych dla danej granicy lub dla krytycznych elementów sieci</w:t>
      </w:r>
      <w:r w:rsidRPr="009D629B">
        <w:t xml:space="preserve"> (CNEC</w:t>
      </w:r>
      <w:r>
        <w:t xml:space="preserve">, ang. </w:t>
      </w:r>
      <w:r w:rsidRPr="003B4135">
        <w:rPr>
          <w:i/>
          <w:iCs/>
        </w:rPr>
        <w:t>critical network element with contingency</w:t>
      </w:r>
      <w:r w:rsidRPr="009D629B">
        <w:t>),</w:t>
      </w:r>
      <w:r w:rsidRPr="00DD30BC">
        <w:t xml:space="preserve"> wyznaczonych z uwzględnieniem granic bezpieczeństwa pracy systemu</w:t>
      </w:r>
      <w:r>
        <w:t xml:space="preserve"> (tzw. </w:t>
      </w:r>
      <w:r w:rsidRPr="003B4135">
        <w:rPr>
          <w:iCs/>
        </w:rPr>
        <w:t>cel CEP 70%</w:t>
      </w:r>
      <w:r>
        <w:t>)</w:t>
      </w:r>
      <w:bookmarkEnd w:id="647"/>
      <w:r>
        <w:t xml:space="preserve">. </w:t>
      </w:r>
      <w:r w:rsidRPr="00A27715">
        <w:rPr>
          <w:rFonts w:cs="Cambria"/>
          <w:color w:val="000000"/>
          <w:kern w:val="0"/>
          <w:szCs w:val="20"/>
        </w:rPr>
        <w:t>Polska przyjęła w 2019</w:t>
      </w:r>
      <w:r>
        <w:rPr>
          <w:rFonts w:cs="Cambria"/>
          <w:color w:val="000000"/>
          <w:kern w:val="0"/>
          <w:szCs w:val="20"/>
        </w:rPr>
        <w:t xml:space="preserve"> r.</w:t>
      </w:r>
      <w:r w:rsidRPr="00A27715">
        <w:rPr>
          <w:rFonts w:cs="Cambria"/>
          <w:color w:val="000000"/>
          <w:kern w:val="0"/>
          <w:szCs w:val="20"/>
        </w:rPr>
        <w:t xml:space="preserve"> </w:t>
      </w:r>
      <w:r w:rsidRPr="00FB2643">
        <w:rPr>
          <w:rFonts w:cs="Cambria"/>
          <w:bCs/>
          <w:i/>
          <w:iCs/>
          <w:color w:val="000000"/>
          <w:kern w:val="0"/>
          <w:szCs w:val="20"/>
        </w:rPr>
        <w:t>Plan działania</w:t>
      </w:r>
      <w:r>
        <w:rPr>
          <w:rFonts w:cs="Cambria"/>
          <w:bCs/>
          <w:color w:val="000000"/>
          <w:kern w:val="0"/>
          <w:szCs w:val="20"/>
        </w:rPr>
        <w:t>, mający na celu</w:t>
      </w:r>
      <w:r w:rsidRPr="002C3732">
        <w:rPr>
          <w:szCs w:val="20"/>
        </w:rPr>
        <w:t xml:space="preserve"> </w:t>
      </w:r>
      <w:r>
        <w:rPr>
          <w:szCs w:val="20"/>
        </w:rPr>
        <w:t>realizuję tego obowiązku</w:t>
      </w:r>
      <w:r>
        <w:rPr>
          <w:rFonts w:cs="Cambria"/>
          <w:bCs/>
          <w:color w:val="000000"/>
          <w:kern w:val="0"/>
          <w:szCs w:val="20"/>
        </w:rPr>
        <w:t xml:space="preserve"> i w jego ramach zrealizowano </w:t>
      </w:r>
      <w:r>
        <w:rPr>
          <w:rFonts w:cs="Cambria"/>
          <w:color w:val="000000"/>
          <w:kern w:val="0"/>
          <w:szCs w:val="20"/>
        </w:rPr>
        <w:t xml:space="preserve">m.in. inwestycje sieciowe mające służyć zwiększaniu transgranicznych zdolności przesyłowych. </w:t>
      </w:r>
      <w:r w:rsidRPr="00A27715">
        <w:rPr>
          <w:rFonts w:cs="Cambria"/>
          <w:color w:val="000000"/>
          <w:kern w:val="0"/>
          <w:szCs w:val="20"/>
        </w:rPr>
        <w:t xml:space="preserve">Przyrost mocy udostępnionych dla handlu międzysystemowego przebiega zgodnie z zaprojektowanym harmonogramem tj. liniowo (tzw. trajektoria liniowa), stopniowo redukując ograniczenia strukturalne. </w:t>
      </w:r>
      <w:r w:rsidRPr="004B38F5">
        <w:rPr>
          <w:rFonts w:cs="Cambria"/>
          <w:bCs/>
          <w:color w:val="000000"/>
          <w:kern w:val="0"/>
          <w:szCs w:val="20"/>
        </w:rPr>
        <w:t xml:space="preserve">Zgodnie z </w:t>
      </w:r>
      <w:r w:rsidRPr="00792A4A">
        <w:rPr>
          <w:rFonts w:cs="Cambria"/>
          <w:bCs/>
          <w:i/>
          <w:iCs/>
          <w:color w:val="000000"/>
          <w:kern w:val="0"/>
          <w:szCs w:val="20"/>
        </w:rPr>
        <w:t>Planem działania</w:t>
      </w:r>
      <w:r w:rsidRPr="00BA22EF">
        <w:rPr>
          <w:rFonts w:cs="Cambria"/>
          <w:b/>
          <w:color w:val="000000"/>
          <w:kern w:val="0"/>
          <w:szCs w:val="20"/>
        </w:rPr>
        <w:t xml:space="preserve"> ostatecznym terminem na osiągnięcie </w:t>
      </w:r>
      <w:r>
        <w:rPr>
          <w:rFonts w:cs="Cambria"/>
          <w:b/>
          <w:color w:val="000000"/>
          <w:kern w:val="0"/>
          <w:szCs w:val="20"/>
        </w:rPr>
        <w:t>celu CEP</w:t>
      </w:r>
      <w:r w:rsidRPr="00BA22EF">
        <w:rPr>
          <w:rFonts w:cs="Cambria"/>
          <w:b/>
          <w:color w:val="000000"/>
          <w:kern w:val="0"/>
          <w:szCs w:val="20"/>
        </w:rPr>
        <w:t xml:space="preserve"> 70% na wszystkich granicach Polski (synchronicznych i</w:t>
      </w:r>
      <w:r>
        <w:rPr>
          <w:rFonts w:cs="Cambria"/>
          <w:b/>
          <w:color w:val="000000"/>
          <w:kern w:val="0"/>
          <w:szCs w:val="20"/>
        </w:rPr>
        <w:t> </w:t>
      </w:r>
      <w:r w:rsidRPr="00BA22EF">
        <w:rPr>
          <w:rFonts w:cs="Cambria"/>
          <w:b/>
          <w:color w:val="000000"/>
          <w:kern w:val="0"/>
          <w:szCs w:val="20"/>
        </w:rPr>
        <w:t xml:space="preserve">asynchronicznych) jest 31 grudnia 2025 r. </w:t>
      </w:r>
      <w:r w:rsidRPr="007C41A3">
        <w:rPr>
          <w:szCs w:val="20"/>
        </w:rPr>
        <w:t xml:space="preserve">Osiągnięcie tego celu oprócz zwiększania wolumenu handlu </w:t>
      </w:r>
      <w:r w:rsidRPr="007C41A3">
        <w:rPr>
          <w:szCs w:val="20"/>
        </w:rPr>
        <w:lastRenderedPageBreak/>
        <w:t xml:space="preserve">międzyobszarowego, co jest już wyraźnie </w:t>
      </w:r>
      <w:r>
        <w:rPr>
          <w:szCs w:val="20"/>
        </w:rPr>
        <w:t>odnotowywane</w:t>
      </w:r>
      <w:r w:rsidRPr="007C41A3">
        <w:rPr>
          <w:szCs w:val="20"/>
        </w:rPr>
        <w:t>, przyczyni się do wyrównywania hurtowych cen energii elektrycznej w regionie oraz złagodzi wpływ czynników zewnętrznych (np. cen uprawnień do emisji CO</w:t>
      </w:r>
      <w:r w:rsidRPr="007C41A3">
        <w:rPr>
          <w:szCs w:val="20"/>
          <w:vertAlign w:val="subscript"/>
        </w:rPr>
        <w:t>2</w:t>
      </w:r>
      <w:r w:rsidRPr="007C41A3">
        <w:rPr>
          <w:szCs w:val="20"/>
        </w:rPr>
        <w:t>) na cenę energii elektrycznej w</w:t>
      </w:r>
      <w:r>
        <w:rPr>
          <w:szCs w:val="20"/>
        </w:rPr>
        <w:t> </w:t>
      </w:r>
      <w:r w:rsidRPr="007C41A3">
        <w:rPr>
          <w:szCs w:val="20"/>
        </w:rPr>
        <w:t>Polsce.</w:t>
      </w:r>
    </w:p>
    <w:p w14:paraId="2F4613C9" w14:textId="682B3CE9" w:rsidR="00AF337B" w:rsidRPr="00BA22EF" w:rsidRDefault="00AF337B" w:rsidP="00AF337B">
      <w:pPr>
        <w:rPr>
          <w:b/>
          <w:szCs w:val="20"/>
        </w:rPr>
      </w:pPr>
    </w:p>
    <w:p w14:paraId="5EE86C26" w14:textId="30BB7616" w:rsidR="00AF337B" w:rsidRDefault="00AF337B" w:rsidP="00AF337B">
      <w:pPr>
        <w:pStyle w:val="Cele"/>
      </w:pPr>
      <w:r>
        <w:rPr>
          <w:rStyle w:val="CeleZnak"/>
          <w:b/>
        </w:rPr>
        <w:t>Celem jest zwiększanie wykorzystania transgranicznych zdolności przesyłowych</w:t>
      </w:r>
      <w:r w:rsidR="00C9368B">
        <w:rPr>
          <w:rStyle w:val="CeleZnak"/>
          <w:b/>
        </w:rPr>
        <w:t xml:space="preserve"> oraz</w:t>
      </w:r>
      <w:r w:rsidR="0085067A">
        <w:rPr>
          <w:rStyle w:val="CeleZnak"/>
          <w:b/>
        </w:rPr>
        <w:t> </w:t>
      </w:r>
      <w:r>
        <w:rPr>
          <w:rStyle w:val="CeleZnak"/>
          <w:b/>
        </w:rPr>
        <w:t>integracji systemów elektroenergetycznych.</w:t>
      </w:r>
    </w:p>
    <w:p w14:paraId="17080698" w14:textId="69837C27" w:rsidR="004975D8" w:rsidRDefault="004975D8" w:rsidP="004975D8">
      <w:r w:rsidRPr="1D1393D4">
        <w:rPr>
          <w:rFonts w:cs="Cambria"/>
          <w:color w:val="000000"/>
          <w:kern w:val="0"/>
        </w:rPr>
        <w:t xml:space="preserve">Dzięki </w:t>
      </w:r>
      <w:r w:rsidR="006314C9" w:rsidRPr="1D1393D4">
        <w:rPr>
          <w:rFonts w:cs="Cambria"/>
          <w:color w:val="000000"/>
          <w:kern w:val="0"/>
        </w:rPr>
        <w:t>prowadzonym</w:t>
      </w:r>
      <w:r w:rsidRPr="1D1393D4">
        <w:rPr>
          <w:rFonts w:cs="Cambria"/>
          <w:color w:val="000000"/>
          <w:kern w:val="0"/>
        </w:rPr>
        <w:t xml:space="preserve"> w </w:t>
      </w:r>
      <w:r w:rsidR="00DD051A" w:rsidRPr="1D1393D4">
        <w:rPr>
          <w:rFonts w:cs="Cambria"/>
          <w:color w:val="000000"/>
          <w:kern w:val="0"/>
        </w:rPr>
        <w:t>ostatnich latach</w:t>
      </w:r>
      <w:r w:rsidRPr="1D1393D4">
        <w:rPr>
          <w:rFonts w:cs="Cambria"/>
          <w:color w:val="000000"/>
          <w:kern w:val="0"/>
        </w:rPr>
        <w:t xml:space="preserve"> działaniom</w:t>
      </w:r>
      <w:r w:rsidR="00615E98" w:rsidRPr="1D1393D4">
        <w:rPr>
          <w:rFonts w:cs="Cambria"/>
          <w:color w:val="000000"/>
          <w:kern w:val="0"/>
        </w:rPr>
        <w:t>,</w:t>
      </w:r>
      <w:r w:rsidRPr="1D1393D4">
        <w:rPr>
          <w:rFonts w:cs="Cambria"/>
          <w:color w:val="000000"/>
          <w:kern w:val="0"/>
        </w:rPr>
        <w:t xml:space="preserve"> </w:t>
      </w:r>
      <w:r w:rsidRPr="0069688D">
        <w:t>w</w:t>
      </w:r>
      <w:r>
        <w:t xml:space="preserve"> 2022 r.</w:t>
      </w:r>
      <w:r w:rsidR="00DD051A">
        <w:t xml:space="preserve"> </w:t>
      </w:r>
      <w:r w:rsidR="00615E98">
        <w:t>(</w:t>
      </w:r>
      <w:r w:rsidR="00DD051A">
        <w:t>w trybie awaryjnym</w:t>
      </w:r>
      <w:r w:rsidR="00615E98">
        <w:t>)</w:t>
      </w:r>
      <w:r>
        <w:t xml:space="preserve"> doszło do przyłączenia do obszaru synchronicznego Europy kontynentalnej systemu ukraińskiego</w:t>
      </w:r>
      <w:r>
        <w:rPr>
          <w:rStyle w:val="Odwoanieprzypisudolnego"/>
        </w:rPr>
        <w:footnoteReference w:id="127"/>
      </w:r>
      <w:r>
        <w:t xml:space="preserve"> (i mołdawskiego). </w:t>
      </w:r>
      <w:r>
        <w:rPr>
          <w:b/>
          <w:bCs/>
        </w:rPr>
        <w:t xml:space="preserve">W lutym 2025 r. poprzez polski system </w:t>
      </w:r>
      <w:r w:rsidRPr="00BA22EF">
        <w:rPr>
          <w:b/>
          <w:bCs/>
        </w:rPr>
        <w:t>przyłącz</w:t>
      </w:r>
      <w:r>
        <w:rPr>
          <w:b/>
          <w:bCs/>
        </w:rPr>
        <w:t>ono</w:t>
      </w:r>
      <w:r w:rsidRPr="00BA22EF">
        <w:rPr>
          <w:b/>
          <w:bCs/>
        </w:rPr>
        <w:t xml:space="preserve"> </w:t>
      </w:r>
      <w:r w:rsidR="00135E40" w:rsidRPr="00BA22EF">
        <w:rPr>
          <w:b/>
          <w:bCs/>
        </w:rPr>
        <w:t>system</w:t>
      </w:r>
      <w:r w:rsidR="00135E40">
        <w:rPr>
          <w:b/>
          <w:bCs/>
        </w:rPr>
        <w:t>y</w:t>
      </w:r>
      <w:r w:rsidR="00135E40" w:rsidRPr="00BA22EF">
        <w:rPr>
          <w:b/>
          <w:bCs/>
        </w:rPr>
        <w:t xml:space="preserve"> elektroenergetyczn</w:t>
      </w:r>
      <w:r w:rsidR="00135E40">
        <w:rPr>
          <w:b/>
          <w:bCs/>
        </w:rPr>
        <w:t>e</w:t>
      </w:r>
      <w:r w:rsidR="00135E40" w:rsidRPr="00BA22EF">
        <w:rPr>
          <w:b/>
          <w:bCs/>
        </w:rPr>
        <w:t xml:space="preserve"> </w:t>
      </w:r>
      <w:r w:rsidR="00E25B4A">
        <w:rPr>
          <w:b/>
          <w:bCs/>
        </w:rPr>
        <w:t xml:space="preserve">krajów </w:t>
      </w:r>
      <w:r w:rsidR="00135E40">
        <w:rPr>
          <w:b/>
          <w:bCs/>
        </w:rPr>
        <w:t>b</w:t>
      </w:r>
      <w:r w:rsidR="00135E40" w:rsidRPr="00BA22EF">
        <w:rPr>
          <w:b/>
          <w:bCs/>
        </w:rPr>
        <w:t>ałtyckich (Litwy, Łotwy i Estonii)</w:t>
      </w:r>
      <w:r w:rsidR="00135E40">
        <w:rPr>
          <w:b/>
          <w:bCs/>
        </w:rPr>
        <w:t xml:space="preserve"> </w:t>
      </w:r>
      <w:r w:rsidRPr="00BA22EF">
        <w:rPr>
          <w:b/>
          <w:bCs/>
        </w:rPr>
        <w:t xml:space="preserve">do pracy synchronicznej </w:t>
      </w:r>
      <w:r w:rsidR="00DD051A">
        <w:rPr>
          <w:b/>
          <w:bCs/>
        </w:rPr>
        <w:t>z obszarem Europy kontynentalnej</w:t>
      </w:r>
      <w:r>
        <w:rPr>
          <w:b/>
          <w:bCs/>
        </w:rPr>
        <w:t>.</w:t>
      </w:r>
      <w:r w:rsidRPr="00BA22EF">
        <w:rPr>
          <w:b/>
          <w:bCs/>
        </w:rPr>
        <w:t xml:space="preserve"> </w:t>
      </w:r>
      <w:r>
        <w:t>Z</w:t>
      </w:r>
      <w:r w:rsidR="0085067A">
        <w:t> </w:t>
      </w:r>
      <w:r>
        <w:t>systemem litewskim KSE posiada jedno połączenie</w:t>
      </w:r>
      <w:r w:rsidR="001776A5">
        <w:t xml:space="preserve">, </w:t>
      </w:r>
      <w:r w:rsidR="00B85CAB">
        <w:t xml:space="preserve">które od 2015 r. do 2025 r. pracowało </w:t>
      </w:r>
      <w:r>
        <w:t xml:space="preserve">jako linia asynchronicznie łącząca systemy Polski i Litwy. Przygotowywana jest realizacja </w:t>
      </w:r>
      <w:r w:rsidR="00DD051A">
        <w:t xml:space="preserve">do końca 2030 r. </w:t>
      </w:r>
      <w:r>
        <w:t xml:space="preserve">drugiego połączenia, które zapewni bezpieczeństwo i efektywność pracy synchronicznej krajów bałtyckich w obszarze synchronicznym w ramach Europy kontynentalnej. Realizowane </w:t>
      </w:r>
      <w:r w:rsidR="004B0E0F">
        <w:t>były</w:t>
      </w:r>
      <w:r>
        <w:t xml:space="preserve"> tak</w:t>
      </w:r>
      <w:r w:rsidR="00090963">
        <w:t>że</w:t>
      </w:r>
      <w:r>
        <w:t xml:space="preserve"> prace </w:t>
      </w:r>
      <w:r w:rsidR="004B0E0F">
        <w:t>usprawniające połączenia na profilu synchronicznym.</w:t>
      </w:r>
    </w:p>
    <w:p w14:paraId="1589CF4A" w14:textId="6FC5EC52" w:rsidR="00AF337B" w:rsidRDefault="00AF337B" w:rsidP="00DE577F">
      <w:pPr>
        <w:pStyle w:val="PaMs"/>
      </w:pPr>
      <w:r w:rsidRPr="00C46DAA">
        <w:t>POLITYKA</w:t>
      </w:r>
    </w:p>
    <w:p w14:paraId="1C937444" w14:textId="31BFB54D" w:rsidR="001443C9" w:rsidRDefault="008A5090" w:rsidP="008A5090">
      <w:r>
        <w:t xml:space="preserve">Polska dąży do </w:t>
      </w:r>
      <w:r w:rsidRPr="000E3A22">
        <w:rPr>
          <w:b/>
          <w:bCs/>
        </w:rPr>
        <w:t xml:space="preserve">zwiększenia przepustowości </w:t>
      </w:r>
      <w:r>
        <w:t>transgranicznych połączeń elektroenergetycznych celem zwiększenia możliwości handlu energią elektryczną</w:t>
      </w:r>
      <w:r w:rsidR="004975D8">
        <w:t xml:space="preserve">, a także </w:t>
      </w:r>
      <w:r w:rsidR="004975D8" w:rsidRPr="000E3A22">
        <w:rPr>
          <w:b/>
          <w:bCs/>
        </w:rPr>
        <w:t xml:space="preserve">wzmacniania </w:t>
      </w:r>
      <w:r w:rsidR="004B0E0F" w:rsidRPr="000E3A22">
        <w:rPr>
          <w:b/>
          <w:bCs/>
        </w:rPr>
        <w:t>bezpiecznej</w:t>
      </w:r>
      <w:r w:rsidR="004975D8" w:rsidRPr="000E3A22">
        <w:rPr>
          <w:b/>
          <w:bCs/>
        </w:rPr>
        <w:t xml:space="preserve"> </w:t>
      </w:r>
      <w:r w:rsidR="004B0E0F" w:rsidRPr="000E3A22">
        <w:rPr>
          <w:b/>
          <w:bCs/>
        </w:rPr>
        <w:t xml:space="preserve">pracy systemów elektroenergetycznych </w:t>
      </w:r>
      <w:r w:rsidR="00960516">
        <w:rPr>
          <w:b/>
          <w:bCs/>
        </w:rPr>
        <w:t>krajów</w:t>
      </w:r>
      <w:r w:rsidR="004B0E0F" w:rsidRPr="000E3A22">
        <w:rPr>
          <w:b/>
          <w:bCs/>
        </w:rPr>
        <w:t xml:space="preserve"> bałtyckich z systemami Europy kontynentalnej</w:t>
      </w:r>
      <w:r>
        <w:t>. Cel będzie realizowany</w:t>
      </w:r>
      <w:r w:rsidR="00F55E14">
        <w:t xml:space="preserve"> przede wszystkim </w:t>
      </w:r>
      <w:r w:rsidR="00D55FBC">
        <w:t xml:space="preserve">przez optymalne wykorzystanie </w:t>
      </w:r>
      <w:r w:rsidR="00F55E14">
        <w:t>istniejących połączeń i likwidacje wąskich</w:t>
      </w:r>
      <w:r w:rsidR="00574CF3">
        <w:t xml:space="preserve"> garde</w:t>
      </w:r>
      <w:r w:rsidR="001443C9">
        <w:t xml:space="preserve">ł. </w:t>
      </w:r>
    </w:p>
    <w:p w14:paraId="43443566" w14:textId="229B1C1F" w:rsidR="00D55FBC" w:rsidRDefault="00006E5B" w:rsidP="008A5090">
      <w:r>
        <w:t>Realizacja powyższego celu opierać się będzie w szczególności na poniższy</w:t>
      </w:r>
      <w:r w:rsidR="00B26E82">
        <w:t>ch</w:t>
      </w:r>
      <w:r w:rsidR="00DD051A">
        <w:t xml:space="preserve"> założeniach</w:t>
      </w:r>
      <w:r w:rsidR="00D27541">
        <w:t>:</w:t>
      </w:r>
    </w:p>
    <w:p w14:paraId="4EEADED0" w14:textId="4446461C" w:rsidR="00D27541" w:rsidRDefault="00A02195" w:rsidP="000625AC">
      <w:pPr>
        <w:pStyle w:val="Akapitzlist"/>
        <w:numPr>
          <w:ilvl w:val="0"/>
          <w:numId w:val="61"/>
        </w:numPr>
        <w:ind w:left="426"/>
      </w:pPr>
      <w:r>
        <w:t>D</w:t>
      </w:r>
      <w:r w:rsidR="00D27541">
        <w:t>alsz</w:t>
      </w:r>
      <w:r>
        <w:t>e</w:t>
      </w:r>
      <w:r w:rsidR="00D27541">
        <w:t xml:space="preserve"> </w:t>
      </w:r>
      <w:r w:rsidR="004854E1">
        <w:t>redukowani</w:t>
      </w:r>
      <w:r>
        <w:t>e</w:t>
      </w:r>
      <w:r w:rsidR="004854E1">
        <w:t xml:space="preserve"> ograniczeń sieciowych w KSE</w:t>
      </w:r>
      <w:r w:rsidR="001E3AEE">
        <w:t xml:space="preserve"> i wąskich gardeł</w:t>
      </w:r>
      <w:r w:rsidR="004854E1">
        <w:t xml:space="preserve"> </w:t>
      </w:r>
      <w:r w:rsidR="00D7320E">
        <w:t>wpływających</w:t>
      </w:r>
      <w:r w:rsidR="004854E1">
        <w:t xml:space="preserve"> na </w:t>
      </w:r>
      <w:r w:rsidR="00926881">
        <w:t>usprawnianie wykorzystania</w:t>
      </w:r>
      <w:r w:rsidR="00D27541">
        <w:t xml:space="preserve"> istniejących elektroenergetycznych połączeń transgranicznych</w:t>
      </w:r>
      <w:r w:rsidR="00926881">
        <w:t xml:space="preserve"> </w:t>
      </w:r>
      <w:r w:rsidR="0095666C" w:rsidRPr="00B26E82">
        <w:rPr>
          <w:b/>
          <w:bCs/>
        </w:rPr>
        <w:t xml:space="preserve">poprzez modernizację i rozbudowę brakujących linii </w:t>
      </w:r>
      <w:r w:rsidR="00C91506" w:rsidRPr="00B26E82">
        <w:rPr>
          <w:b/>
          <w:bCs/>
        </w:rPr>
        <w:t xml:space="preserve">i stacji </w:t>
      </w:r>
      <w:r w:rsidR="0095666C" w:rsidRPr="00B26E82">
        <w:rPr>
          <w:b/>
          <w:bCs/>
        </w:rPr>
        <w:t>przesyłowych w KSE</w:t>
      </w:r>
      <w:r w:rsidR="0034693C">
        <w:t xml:space="preserve">. Ważne w tym obszarze będą </w:t>
      </w:r>
      <w:r w:rsidR="001E3AEE">
        <w:t>inwesty</w:t>
      </w:r>
      <w:r w:rsidR="002E2C0F">
        <w:t>c</w:t>
      </w:r>
      <w:r w:rsidR="001E3AEE">
        <w:t>j</w:t>
      </w:r>
      <w:r w:rsidR="002E2C0F">
        <w:t>e</w:t>
      </w:r>
      <w:r w:rsidR="00926881">
        <w:t xml:space="preserve"> uwzględnion</w:t>
      </w:r>
      <w:r w:rsidR="002E2C0F">
        <w:t>e</w:t>
      </w:r>
      <w:r w:rsidR="00926881">
        <w:t xml:space="preserve"> w europejskim </w:t>
      </w:r>
      <w:r w:rsidR="00926881" w:rsidRPr="00C91506">
        <w:rPr>
          <w:i/>
          <w:iCs/>
        </w:rPr>
        <w:t>Dziesięcioletnim planie rozwoju sieci elektroenergetycznych</w:t>
      </w:r>
      <w:r w:rsidR="00926881">
        <w:t xml:space="preserve"> (</w:t>
      </w:r>
      <w:r w:rsidR="00320B01">
        <w:t>TYNDYP, a</w:t>
      </w:r>
      <w:r w:rsidR="00926881">
        <w:t xml:space="preserve">ng. </w:t>
      </w:r>
      <w:r w:rsidR="00926881" w:rsidRPr="00C91506">
        <w:rPr>
          <w:i/>
          <w:iCs/>
        </w:rPr>
        <w:t>Ten-Year Network Development Plan</w:t>
      </w:r>
      <w:r w:rsidR="00320B01">
        <w:t>)</w:t>
      </w:r>
      <w:r w:rsidR="002E2C0F">
        <w:t>, które obejmują:</w:t>
      </w:r>
    </w:p>
    <w:p w14:paraId="034F8100" w14:textId="50D31C24" w:rsidR="002E2C0F" w:rsidRDefault="00CB2BBB" w:rsidP="000625AC">
      <w:pPr>
        <w:pStyle w:val="Akapitzlist"/>
        <w:numPr>
          <w:ilvl w:val="1"/>
          <w:numId w:val="61"/>
        </w:numPr>
        <w:ind w:left="993"/>
      </w:pPr>
      <w:r>
        <w:t xml:space="preserve">dla </w:t>
      </w:r>
      <w:r w:rsidR="008156BB">
        <w:t xml:space="preserve">profilu </w:t>
      </w:r>
      <w:r>
        <w:t xml:space="preserve">synchronicznego </w:t>
      </w:r>
      <w:r w:rsidR="00403FCA">
        <w:t>(</w:t>
      </w:r>
      <w:r w:rsidR="00267725">
        <w:t xml:space="preserve">Niemcy, Czechy, Słowacja) </w:t>
      </w:r>
      <w:r w:rsidR="00403FCA">
        <w:t xml:space="preserve">w ramach regionu CORE – </w:t>
      </w:r>
      <w:r>
        <w:t xml:space="preserve">północną </w:t>
      </w:r>
      <w:r w:rsidR="00267725">
        <w:t xml:space="preserve">i zachodnią </w:t>
      </w:r>
      <w:r>
        <w:t>część KSE</w:t>
      </w:r>
      <w:r w:rsidR="00277433">
        <w:t>, m.in.</w:t>
      </w:r>
      <w:r w:rsidR="006D445F">
        <w:t xml:space="preserve"> infrastruktura związana ze stacjami Baczyna, Mikuło</w:t>
      </w:r>
      <w:r w:rsidR="006314C9">
        <w:t>w</w:t>
      </w:r>
      <w:r w:rsidR="006D445F">
        <w:t>a, Świebodzice, Krajnik, Plewiska</w:t>
      </w:r>
      <w:r w:rsidR="00267725">
        <w:t>,</w:t>
      </w:r>
      <w:r>
        <w:t xml:space="preserve"> </w:t>
      </w:r>
    </w:p>
    <w:p w14:paraId="468D442B" w14:textId="0AE44AB1" w:rsidR="00267725" w:rsidRDefault="00267725" w:rsidP="000625AC">
      <w:pPr>
        <w:pStyle w:val="Akapitzlist"/>
        <w:numPr>
          <w:ilvl w:val="1"/>
          <w:numId w:val="61"/>
        </w:numPr>
        <w:ind w:left="993"/>
      </w:pPr>
      <w:r>
        <w:t xml:space="preserve">dla </w:t>
      </w:r>
      <w:r w:rsidR="00253ACD">
        <w:t xml:space="preserve">wzmocnienia efektów synchronizacji połączenia z </w:t>
      </w:r>
      <w:r w:rsidR="002573F4">
        <w:t>krajami bałtyckimi – północną i</w:t>
      </w:r>
      <w:r w:rsidR="00277433">
        <w:t> </w:t>
      </w:r>
      <w:r w:rsidR="006D4856">
        <w:t xml:space="preserve">północno-wschodnią część </w:t>
      </w:r>
      <w:r w:rsidR="00986ED7">
        <w:t>KSE</w:t>
      </w:r>
      <w:r w:rsidR="006D445F">
        <w:t xml:space="preserve">, m.in. infrastruktura </w:t>
      </w:r>
      <w:r w:rsidR="00DD051A">
        <w:t xml:space="preserve">w </w:t>
      </w:r>
      <w:r w:rsidR="006D445F">
        <w:t xml:space="preserve">okolicach Koszalina i Słupska, związana ze stacjami Żydowo, Kierzkowo, Dunowo, oraz w okolicach Szczecina </w:t>
      </w:r>
      <w:r w:rsidR="00DD051A">
        <w:t xml:space="preserve">od stacji </w:t>
      </w:r>
      <w:r w:rsidR="006D445F">
        <w:t>Krajnik w kierunku wschodnim</w:t>
      </w:r>
      <w:r w:rsidR="00986ED7">
        <w:t>.</w:t>
      </w:r>
    </w:p>
    <w:p w14:paraId="0AEC171A" w14:textId="25042B5D" w:rsidR="00624881" w:rsidRPr="00320B01" w:rsidRDefault="00624881" w:rsidP="00B951DB">
      <w:pPr>
        <w:pStyle w:val="Akapitzlist"/>
        <w:spacing w:after="80"/>
        <w:contextualSpacing w:val="0"/>
      </w:pPr>
      <w:r>
        <w:t xml:space="preserve">Część z inwestycji </w:t>
      </w:r>
      <w:r w:rsidR="00F071F8">
        <w:t xml:space="preserve">liniowych w północnej </w:t>
      </w:r>
      <w:r w:rsidR="00320B01">
        <w:t xml:space="preserve">i północno-wschodniej </w:t>
      </w:r>
      <w:r w:rsidR="00F071F8">
        <w:t xml:space="preserve">części KSE </w:t>
      </w:r>
      <w:r w:rsidR="00320B01">
        <w:t xml:space="preserve">uzyskała status </w:t>
      </w:r>
      <w:r w:rsidR="00320B01">
        <w:rPr>
          <w:i/>
          <w:iCs/>
        </w:rPr>
        <w:t xml:space="preserve">projektów wspólnego zainteresowania </w:t>
      </w:r>
      <w:r w:rsidR="00320B01">
        <w:t xml:space="preserve">(PCI, ang. </w:t>
      </w:r>
      <w:r w:rsidR="008E40B9" w:rsidRPr="008E40B9">
        <w:rPr>
          <w:i/>
          <w:iCs/>
        </w:rPr>
        <w:t>Project of Common Interest</w:t>
      </w:r>
      <w:r w:rsidR="008E40B9">
        <w:t>)</w:t>
      </w:r>
      <w:r w:rsidR="002B651E">
        <w:t>.</w:t>
      </w:r>
    </w:p>
    <w:p w14:paraId="73D07119" w14:textId="415E117B" w:rsidR="00D27541" w:rsidRDefault="005D52AD" w:rsidP="000625AC">
      <w:pPr>
        <w:pStyle w:val="Akapitzlist"/>
        <w:numPr>
          <w:ilvl w:val="0"/>
          <w:numId w:val="61"/>
        </w:numPr>
        <w:spacing w:after="80"/>
        <w:ind w:left="426"/>
        <w:contextualSpacing w:val="0"/>
      </w:pPr>
      <w:r>
        <w:t>B</w:t>
      </w:r>
      <w:r w:rsidR="00D27541">
        <w:t>ieżąc</w:t>
      </w:r>
      <w:r>
        <w:t>e</w:t>
      </w:r>
      <w:r w:rsidR="00D27541">
        <w:t xml:space="preserve"> monitorowanie stosowania przepisów dotyczących alokacji zdolności przesyłowych</w:t>
      </w:r>
      <w:r w:rsidR="00680D2F">
        <w:t>.</w:t>
      </w:r>
    </w:p>
    <w:p w14:paraId="0497FDE5" w14:textId="0194F940" w:rsidR="00680D2F" w:rsidRDefault="00680D2F" w:rsidP="000625AC">
      <w:pPr>
        <w:pStyle w:val="Akapitzlist"/>
        <w:numPr>
          <w:ilvl w:val="0"/>
          <w:numId w:val="61"/>
        </w:numPr>
        <w:spacing w:after="80"/>
        <w:ind w:left="426"/>
        <w:contextualSpacing w:val="0"/>
      </w:pPr>
      <w:r>
        <w:t>Budowa nowego połączenia transgranicznego Polska–Litwa (Harmony Link) mającego na celu wzmocnienie synchronizacji systemów elektroenergetycznych krajów bałtyckich z</w:t>
      </w:r>
      <w:r w:rsidR="00B63722">
        <w:t xml:space="preserve"> </w:t>
      </w:r>
      <w:r>
        <w:t>Europą kontynentalną</w:t>
      </w:r>
      <w:r w:rsidR="00842337">
        <w:t>.</w:t>
      </w:r>
    </w:p>
    <w:p w14:paraId="252C72F1" w14:textId="60F8656B" w:rsidR="00680D2F" w:rsidRDefault="00B951DB" w:rsidP="000625AC">
      <w:pPr>
        <w:pStyle w:val="Akapitzlist"/>
        <w:numPr>
          <w:ilvl w:val="0"/>
          <w:numId w:val="61"/>
        </w:numPr>
        <w:ind w:left="426"/>
        <w:contextualSpacing w:val="0"/>
      </w:pPr>
      <w:r>
        <w:t>Kontynuowanie działań w zakresie współpracy systemów elektroenergetycznych Polski i Ukrainy w</w:t>
      </w:r>
      <w:r w:rsidR="00B63722">
        <w:t> </w:t>
      </w:r>
      <w:r>
        <w:t>ramach obszaru synchronicznego Europy kontynentalnej.</w:t>
      </w:r>
    </w:p>
    <w:p w14:paraId="48203A66" w14:textId="743ECFE9" w:rsidR="003617B1" w:rsidRDefault="00FC1FA4" w:rsidP="003617B1">
      <w:r>
        <w:lastRenderedPageBreak/>
        <w:t xml:space="preserve">Inwestycje i podejmowane działania będą </w:t>
      </w:r>
      <w:r w:rsidR="007B49BD">
        <w:t>realizowane w oparciu o wytyczn</w:t>
      </w:r>
      <w:r w:rsidR="00AF069E">
        <w:t>e</w:t>
      </w:r>
      <w:r w:rsidR="007B49BD">
        <w:t xml:space="preserve"> i regulacj</w:t>
      </w:r>
      <w:r w:rsidR="00AF069E">
        <w:t>e</w:t>
      </w:r>
      <w:r w:rsidR="007B49BD">
        <w:t xml:space="preserve"> UE</w:t>
      </w:r>
      <w:r w:rsidR="007B49BD" w:rsidRPr="003C4A98">
        <w:t xml:space="preserve"> </w:t>
      </w:r>
      <w:r w:rsidR="007B49BD">
        <w:t>dotycząc</w:t>
      </w:r>
      <w:r w:rsidR="00AF069E">
        <w:t>e</w:t>
      </w:r>
      <w:r w:rsidR="007B49BD">
        <w:t xml:space="preserve"> technicznych aspektów integracji systemów energetycznych oraz ich bezpiecznego funkcjonowania, a</w:t>
      </w:r>
      <w:r w:rsidR="0085067A">
        <w:t> </w:t>
      </w:r>
      <w:r w:rsidR="00D958EF">
        <w:t xml:space="preserve">PSE S.A. będzie na bieżąco uczestniczyć w </w:t>
      </w:r>
      <w:r w:rsidR="00522EB2">
        <w:t>pracach nad aktualizacjam</w:t>
      </w:r>
      <w:r w:rsidR="00AF069E">
        <w:t>i tych wytycznych oraz prowadzić aktywną współpracę z innymi operatorami</w:t>
      </w:r>
      <w:r w:rsidR="003C4A98">
        <w:t>.</w:t>
      </w:r>
    </w:p>
    <w:p w14:paraId="022EB03C" w14:textId="72A48429" w:rsidR="00EA2BB8" w:rsidRDefault="00C4538D" w:rsidP="00DE577F">
      <w:r>
        <w:t xml:space="preserve">Operator systemu przesyłowego będzie także </w:t>
      </w:r>
      <w:r w:rsidR="00CC65F5">
        <w:t xml:space="preserve">monitorował </w:t>
      </w:r>
      <w:r w:rsidR="003040B2">
        <w:t xml:space="preserve">wpływ inwestycji na </w:t>
      </w:r>
      <w:r w:rsidR="00C30870">
        <w:t xml:space="preserve">realizację </w:t>
      </w:r>
      <w:r w:rsidR="004C5827">
        <w:t xml:space="preserve">powyższego </w:t>
      </w:r>
      <w:r w:rsidR="00C30870">
        <w:t>cel</w:t>
      </w:r>
      <w:r w:rsidR="008F5068">
        <w:t>u</w:t>
      </w:r>
      <w:r w:rsidR="00F17EDC">
        <w:t xml:space="preserve">, </w:t>
      </w:r>
      <w:r w:rsidR="00D32575">
        <w:t>dostosowywał swój plan rozw</w:t>
      </w:r>
      <w:r w:rsidR="00033566">
        <w:t>o</w:t>
      </w:r>
      <w:r w:rsidR="00D32575">
        <w:t>ju</w:t>
      </w:r>
      <w:r w:rsidR="00EB2875">
        <w:t xml:space="preserve"> oraz</w:t>
      </w:r>
      <w:r w:rsidR="008F5068">
        <w:t xml:space="preserve"> </w:t>
      </w:r>
      <w:r w:rsidR="0059599C">
        <w:t xml:space="preserve">weryfikował potrzebę i możliwości </w:t>
      </w:r>
      <w:r w:rsidR="00CC65F5">
        <w:t xml:space="preserve">wprowadzania </w:t>
      </w:r>
      <w:r w:rsidR="00EB2875">
        <w:t xml:space="preserve">projektów </w:t>
      </w:r>
      <w:r w:rsidR="00CC65F5">
        <w:t xml:space="preserve">na </w:t>
      </w:r>
      <w:r w:rsidR="00EB2875">
        <w:t>listę PCI.</w:t>
      </w:r>
    </w:p>
    <w:p w14:paraId="6C6B9D4A" w14:textId="1EF74B53" w:rsidR="00AF337B" w:rsidRPr="00B376DE" w:rsidRDefault="00EA2BB8" w:rsidP="00EA2BB8">
      <w:pPr>
        <w:pStyle w:val="odesaniedoza"/>
        <w:rPr>
          <w:i w:val="0"/>
        </w:rPr>
      </w:pPr>
      <w:r w:rsidRPr="00B376DE">
        <w:t>Szczegółowe dane dotyczące krajowej infrastruktury elektroenergetycznej oraz zdolności przesyłowych poszczególnych połączeń międzysystemowych znajdują się w rozdziale 4.1.1 i 4.2.1 załącznika 2</w:t>
      </w:r>
      <w:r w:rsidR="00B376DE">
        <w:t xml:space="preserve"> do KPEiK</w:t>
      </w:r>
      <w:r w:rsidRPr="00B376DE">
        <w:t>.</w:t>
      </w:r>
    </w:p>
    <w:p w14:paraId="777E06FB" w14:textId="3D321309" w:rsidR="00AF337B" w:rsidRPr="00C46DAA" w:rsidRDefault="00AF337B" w:rsidP="00DE577F">
      <w:pPr>
        <w:pStyle w:val="PaMs"/>
      </w:pPr>
      <w:r w:rsidRPr="00C46DAA">
        <w:t>DZIAŁANIA</w:t>
      </w:r>
    </w:p>
    <w:p w14:paraId="17F3CF61" w14:textId="56891275" w:rsidR="009B558B" w:rsidRPr="009B558B" w:rsidRDefault="009B558B" w:rsidP="003530A9">
      <w:pPr>
        <w:pStyle w:val="Akapitzlist"/>
        <w:numPr>
          <w:ilvl w:val="0"/>
          <w:numId w:val="3"/>
        </w:numPr>
      </w:pPr>
      <w:r w:rsidRPr="009B558B">
        <w:fldChar w:fldCharType="begin"/>
      </w:r>
      <w:r w:rsidRPr="009B558B">
        <w:instrText xml:space="preserve"> REF _Ref195887616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lang w:eastAsia="pl-PL"/>
        </w:rPr>
        <w:t xml:space="preserve">131. </w:t>
      </w:r>
      <w:r w:rsidR="00871DD5" w:rsidRPr="007811A4">
        <w:rPr>
          <w:lang w:eastAsia="pl-PL"/>
        </w:rPr>
        <w:t>Modernizacja i rozbudowa linii przesyłowych wewnątrz KSE w celu umożliwienia zwiększania przepływów transgranicznych</w:t>
      </w:r>
      <w:r w:rsidRPr="009B558B">
        <w:fldChar w:fldCharType="end"/>
      </w:r>
      <w:r w:rsidRPr="009B558B">
        <w:t xml:space="preserve"> </w:t>
      </w:r>
    </w:p>
    <w:p w14:paraId="6D87E580" w14:textId="17927A0A" w:rsidR="00707368" w:rsidRPr="00707368" w:rsidRDefault="009B558B" w:rsidP="003530A9">
      <w:pPr>
        <w:pStyle w:val="Akapitzlist"/>
        <w:numPr>
          <w:ilvl w:val="0"/>
          <w:numId w:val="3"/>
        </w:numPr>
      </w:pPr>
      <w:r w:rsidRPr="009B558B">
        <w:fldChar w:fldCharType="begin"/>
      </w:r>
      <w:r w:rsidRPr="009B558B">
        <w:instrText xml:space="preserve"> REF _Ref195887631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lang w:eastAsia="pl-PL"/>
        </w:rPr>
        <w:t xml:space="preserve">132. </w:t>
      </w:r>
      <w:r w:rsidR="00871DD5" w:rsidRPr="007811A4">
        <w:rPr>
          <w:lang w:eastAsia="pl-PL"/>
        </w:rPr>
        <w:t>Optymalizacja sposobu alokowania dostępnych transgranicznych zdolności przesyłowych</w:t>
      </w:r>
      <w:r w:rsidRPr="009B558B">
        <w:fldChar w:fldCharType="end"/>
      </w:r>
      <w:r w:rsidRPr="009B558B">
        <w:t xml:space="preserve"> </w:t>
      </w:r>
    </w:p>
    <w:p w14:paraId="3909AD14" w14:textId="6AA56897" w:rsidR="009B558B" w:rsidRPr="009B558B" w:rsidRDefault="009B558B" w:rsidP="003530A9">
      <w:pPr>
        <w:pStyle w:val="Akapitzlist"/>
        <w:numPr>
          <w:ilvl w:val="0"/>
          <w:numId w:val="3"/>
        </w:numPr>
      </w:pPr>
      <w:r w:rsidRPr="009B558B">
        <w:fldChar w:fldCharType="begin"/>
      </w:r>
      <w:r w:rsidRPr="009B558B">
        <w:instrText xml:space="preserve"> REF _Ref195887655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lang w:eastAsia="pl-PL"/>
        </w:rPr>
        <w:t xml:space="preserve">133. </w:t>
      </w:r>
      <w:r w:rsidR="00871DD5" w:rsidRPr="007811A4">
        <w:rPr>
          <w:lang w:eastAsia="pl-PL"/>
        </w:rPr>
        <w:t>Działania w ramach współpracy regionalnej grupy BEMIP dotyczącej wdrożenia projektów związanych z synchronizacją systemów elektroenergetycznych krajów bałtyckich z systemem Europy kontynentalnej</w:t>
      </w:r>
      <w:r w:rsidRPr="009B558B">
        <w:fldChar w:fldCharType="end"/>
      </w:r>
    </w:p>
    <w:p w14:paraId="0F377B1D" w14:textId="60AD1903" w:rsidR="009B558B" w:rsidRPr="009B558B" w:rsidRDefault="009B558B" w:rsidP="003530A9">
      <w:pPr>
        <w:pStyle w:val="Akapitzlist"/>
        <w:numPr>
          <w:ilvl w:val="0"/>
          <w:numId w:val="3"/>
        </w:numPr>
      </w:pPr>
      <w:r w:rsidRPr="009B558B">
        <w:fldChar w:fldCharType="begin"/>
      </w:r>
      <w:r w:rsidRPr="009B558B">
        <w:instrText xml:space="preserve"> REF _Ref195887667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rStyle w:val="Nagwek6Znak"/>
          <w:rFonts w:ascii="Lato" w:hAnsi="Lato"/>
          <w:b w:val="0"/>
          <w:noProof/>
        </w:rPr>
        <w:t>100</w:t>
      </w:r>
      <w:r w:rsidR="00871DD5" w:rsidRPr="00871DD5">
        <w:rPr>
          <w:rStyle w:val="Nagwek6Znak"/>
          <w:rFonts w:ascii="Lato" w:hAnsi="Lato"/>
          <w:b w:val="0"/>
        </w:rPr>
        <w:t xml:space="preserve">. </w:t>
      </w:r>
      <w:r w:rsidR="00871DD5" w:rsidRPr="00FB68C2">
        <w:rPr>
          <w:lang w:eastAsia="pl-PL"/>
        </w:rPr>
        <w:t xml:space="preserve">Gospodarka </w:t>
      </w:r>
      <w:r w:rsidR="00871DD5">
        <w:rPr>
          <w:lang w:eastAsia="pl-PL"/>
        </w:rPr>
        <w:t>o o</w:t>
      </w:r>
      <w:r w:rsidR="00871DD5" w:rsidRPr="00FB68C2">
        <w:rPr>
          <w:lang w:eastAsia="pl-PL"/>
        </w:rPr>
        <w:t xml:space="preserve">biegu </w:t>
      </w:r>
      <w:r w:rsidR="00871DD5">
        <w:rPr>
          <w:lang w:eastAsia="pl-PL"/>
        </w:rPr>
        <w:t>z</w:t>
      </w:r>
      <w:r w:rsidR="00871DD5" w:rsidRPr="00FB68C2">
        <w:rPr>
          <w:lang w:eastAsia="pl-PL"/>
        </w:rPr>
        <w:t>amknięt</w:t>
      </w:r>
      <w:r w:rsidR="00871DD5">
        <w:rPr>
          <w:lang w:eastAsia="pl-PL"/>
        </w:rPr>
        <w:t>ym</w:t>
      </w:r>
      <w:r w:rsidRPr="009B558B">
        <w:fldChar w:fldCharType="end"/>
      </w:r>
    </w:p>
    <w:p w14:paraId="0F907C7E" w14:textId="0EEBC903" w:rsidR="009B558B" w:rsidRPr="009B558B" w:rsidRDefault="009B558B" w:rsidP="003530A9">
      <w:pPr>
        <w:pStyle w:val="Akapitzlist"/>
        <w:numPr>
          <w:ilvl w:val="0"/>
          <w:numId w:val="3"/>
        </w:numPr>
      </w:pPr>
      <w:r w:rsidRPr="009B558B">
        <w:fldChar w:fldCharType="begin"/>
      </w:r>
      <w:r w:rsidRPr="009B558B">
        <w:instrText xml:space="preserve"> REF _Ref195887674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lang w:eastAsia="pl-PL"/>
        </w:rPr>
        <w:t xml:space="preserve">135. </w:t>
      </w:r>
      <w:r w:rsidR="00871DD5" w:rsidRPr="007811A4">
        <w:rPr>
          <w:lang w:eastAsia="pl-PL"/>
        </w:rPr>
        <w:t>Monitorowanie wykorzystania przez OSPe przychodów wynikających z</w:t>
      </w:r>
      <w:r w:rsidR="00871DD5">
        <w:rPr>
          <w:lang w:eastAsia="pl-PL"/>
        </w:rPr>
        <w:t> </w:t>
      </w:r>
      <w:r w:rsidR="00871DD5" w:rsidRPr="007811A4">
        <w:rPr>
          <w:lang w:eastAsia="pl-PL"/>
        </w:rPr>
        <w:t>alokacji zdolności przesyłowych połączeń wzajemnych</w:t>
      </w:r>
      <w:r w:rsidRPr="009B558B">
        <w:fldChar w:fldCharType="end"/>
      </w:r>
    </w:p>
    <w:p w14:paraId="49CBE0BB" w14:textId="66C66481" w:rsidR="009B558B" w:rsidRPr="009B558B" w:rsidRDefault="009B558B" w:rsidP="003530A9">
      <w:pPr>
        <w:pStyle w:val="Akapitzlist"/>
        <w:numPr>
          <w:ilvl w:val="0"/>
          <w:numId w:val="3"/>
        </w:numPr>
      </w:pPr>
      <w:r w:rsidRPr="009B558B">
        <w:fldChar w:fldCharType="begin"/>
      </w:r>
      <w:r w:rsidRPr="009B558B">
        <w:instrText xml:space="preserve"> REF _Ref195887684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lang w:eastAsia="pl-PL"/>
        </w:rPr>
        <w:t xml:space="preserve">136. </w:t>
      </w:r>
      <w:r w:rsidR="00871DD5" w:rsidRPr="007811A4">
        <w:rPr>
          <w:lang w:eastAsia="pl-PL"/>
        </w:rPr>
        <w:t>Monitorowanie realizacji projektów PCI</w:t>
      </w:r>
      <w:r w:rsidR="00871DD5" w:rsidRPr="00871DD5">
        <w:rPr>
          <w:rFonts w:ascii="Arial" w:hAnsi="Arial" w:cs="Arial"/>
          <w:lang w:eastAsia="pl-PL"/>
        </w:rPr>
        <w:t xml:space="preserve"> w obszarze elektroenergetycznym i</w:t>
      </w:r>
      <w:r w:rsidR="00871DD5" w:rsidRPr="007811A4">
        <w:rPr>
          <w:rFonts w:ascii="Arial" w:hAnsi="Arial" w:cs="Arial"/>
          <w:lang w:eastAsia="pl-PL"/>
        </w:rPr>
        <w:t> </w:t>
      </w:r>
      <w:r w:rsidR="00871DD5" w:rsidRPr="007811A4">
        <w:rPr>
          <w:lang w:eastAsia="pl-PL"/>
        </w:rPr>
        <w:t>pozyskanie wsparcia dla strategicznych projekt</w:t>
      </w:r>
      <w:r w:rsidR="00871DD5" w:rsidRPr="00871DD5">
        <w:rPr>
          <w:lang w:eastAsia="pl-PL"/>
        </w:rPr>
        <w:t>ó</w:t>
      </w:r>
      <w:r w:rsidR="00871DD5" w:rsidRPr="007811A4">
        <w:rPr>
          <w:lang w:eastAsia="pl-PL"/>
        </w:rPr>
        <w:t>w przez wprowadzanie ich na kolejne listy PCI</w:t>
      </w:r>
      <w:r w:rsidRPr="009B558B">
        <w:fldChar w:fldCharType="end"/>
      </w:r>
    </w:p>
    <w:p w14:paraId="16384DC1" w14:textId="27B23681" w:rsidR="009B558B" w:rsidRPr="009B558B" w:rsidRDefault="009B558B" w:rsidP="003530A9">
      <w:pPr>
        <w:pStyle w:val="Akapitzlist"/>
        <w:numPr>
          <w:ilvl w:val="0"/>
          <w:numId w:val="3"/>
        </w:numPr>
      </w:pPr>
      <w:r w:rsidRPr="009B558B">
        <w:fldChar w:fldCharType="begin"/>
      </w:r>
      <w:r w:rsidRPr="009B558B">
        <w:instrText xml:space="preserve"> REF _Ref195887704 \h </w:instrText>
      </w:r>
      <w:r>
        <w:instrText xml:space="preserve"> \* MERGEFORMAT </w:instrText>
      </w:r>
      <w:r w:rsidRPr="009B558B">
        <w:fldChar w:fldCharType="separate"/>
      </w:r>
      <w:r w:rsidR="00871DD5" w:rsidRPr="00871DD5">
        <w:rPr>
          <w:rStyle w:val="Nagwek6Znak"/>
          <w:rFonts w:ascii="Lato" w:hAnsi="Lato"/>
          <w:b w:val="0"/>
        </w:rPr>
        <w:t xml:space="preserve">Działanie </w:t>
      </w:r>
      <w:r w:rsidR="00871DD5" w:rsidRPr="00871DD5">
        <w:rPr>
          <w:lang w:eastAsia="pl-PL"/>
        </w:rPr>
        <w:t xml:space="preserve">138. </w:t>
      </w:r>
      <w:r w:rsidR="00871DD5" w:rsidRPr="008A5AE2">
        <w:rPr>
          <w:lang w:eastAsia="pl-PL"/>
        </w:rPr>
        <w:t>Wzmacnianie cyberbezpieczeństwa w sektorze energii</w:t>
      </w:r>
      <w:r w:rsidRPr="009B558B">
        <w:fldChar w:fldCharType="end"/>
      </w:r>
    </w:p>
    <w:p w14:paraId="3C164ECE" w14:textId="16A86C0A" w:rsidR="00A5639E" w:rsidRDefault="00A5639E" w:rsidP="00A5639E">
      <w:pPr>
        <w:pStyle w:val="Nagwek4"/>
        <w:rPr>
          <w:color w:val="FFC000" w:themeColor="accent4"/>
        </w:rPr>
      </w:pPr>
      <w:bookmarkStart w:id="648" w:name="_Toc195897368"/>
      <w:bookmarkStart w:id="649" w:name="_Toc205203218"/>
      <w:r>
        <w:rPr>
          <w:color w:val="FFC000" w:themeColor="accent4"/>
        </w:rPr>
        <w:t xml:space="preserve">Zapewnienie </w:t>
      </w:r>
      <w:r w:rsidR="00E915B5">
        <w:rPr>
          <w:color w:val="FFC000" w:themeColor="accent4"/>
        </w:rPr>
        <w:t>warunków wymiany</w:t>
      </w:r>
      <w:r>
        <w:rPr>
          <w:color w:val="FFC000" w:themeColor="accent4"/>
        </w:rPr>
        <w:t xml:space="preserve"> międzysystemow</w:t>
      </w:r>
      <w:r w:rsidR="00E47CF6">
        <w:rPr>
          <w:color w:val="FFC000" w:themeColor="accent4"/>
        </w:rPr>
        <w:t>ej</w:t>
      </w:r>
      <w:r>
        <w:rPr>
          <w:color w:val="FFC000" w:themeColor="accent4"/>
        </w:rPr>
        <w:t xml:space="preserve"> </w:t>
      </w:r>
      <w:r w:rsidR="00BD0828">
        <w:rPr>
          <w:color w:val="FFC000" w:themeColor="accent4"/>
        </w:rPr>
        <w:t>gaz</w:t>
      </w:r>
      <w:r w:rsidR="00E47CF6">
        <w:rPr>
          <w:color w:val="FFC000" w:themeColor="accent4"/>
        </w:rPr>
        <w:t>u ziemnego</w:t>
      </w:r>
      <w:bookmarkEnd w:id="648"/>
      <w:bookmarkEnd w:id="649"/>
    </w:p>
    <w:p w14:paraId="04B92785" w14:textId="2FE87D38" w:rsidR="009A4DDA" w:rsidRDefault="00B24C6C" w:rsidP="00F90CCE">
      <w:r>
        <w:t>Wymiana międzysystemowa gazu ziemnego zależna jest od dwóch czynników – sprawnej i odpowiednio rozwiniętej infrastruktury wewnętrznej (przesył i magazyny) oraz</w:t>
      </w:r>
      <w:r w:rsidR="00C229B5">
        <w:t xml:space="preserve"> </w:t>
      </w:r>
      <w:r w:rsidR="00D908A5">
        <w:t>połączeń</w:t>
      </w:r>
      <w:r w:rsidR="00C229B5">
        <w:t xml:space="preserve"> </w:t>
      </w:r>
      <w:r w:rsidR="00D37171">
        <w:t>międzysystemow</w:t>
      </w:r>
      <w:r w:rsidR="00D908A5">
        <w:t>ych</w:t>
      </w:r>
      <w:r w:rsidR="00D37171">
        <w:t xml:space="preserve"> (</w:t>
      </w:r>
      <w:r w:rsidR="00D37171" w:rsidRPr="00D37171">
        <w:t>transgranicznych punktów wejścia i wyjścia do systemu przesyłowego gazowego</w:t>
      </w:r>
      <w:r w:rsidR="00D37171">
        <w:t xml:space="preserve">). </w:t>
      </w:r>
      <w:r w:rsidR="00114992">
        <w:t xml:space="preserve">W </w:t>
      </w:r>
      <w:r w:rsidR="00100BB5">
        <w:t xml:space="preserve">sytuacji, gdy większość </w:t>
      </w:r>
      <w:r w:rsidR="000A4BFC">
        <w:t>zapotrzebowania</w:t>
      </w:r>
      <w:r w:rsidR="00100BB5">
        <w:t xml:space="preserve"> na gaz ziemny pokrywana jest surowcem spoza kraju</w:t>
      </w:r>
      <w:r w:rsidR="00EA1967">
        <w:t>,</w:t>
      </w:r>
      <w:r w:rsidR="00114992">
        <w:t xml:space="preserve"> trudno </w:t>
      </w:r>
      <w:r w:rsidR="0002690B">
        <w:t>oddzielić</w:t>
      </w:r>
      <w:r w:rsidR="00114992">
        <w:t xml:space="preserve"> od siebie kwestie </w:t>
      </w:r>
      <w:r w:rsidR="0002690B">
        <w:t xml:space="preserve">połączeń międzysystemowych </w:t>
      </w:r>
      <w:r w:rsidR="000A4BFC">
        <w:t xml:space="preserve">i krajowej </w:t>
      </w:r>
      <w:r w:rsidR="000A4BFC" w:rsidRPr="00A07F5E">
        <w:rPr>
          <w:color w:val="000000" w:themeColor="text1"/>
        </w:rPr>
        <w:t>infrastruktury także w kontekście bezpieczeństwa energetycznego</w:t>
      </w:r>
      <w:r w:rsidR="009A4DDA" w:rsidRPr="00A07F5E">
        <w:rPr>
          <w:color w:val="000000" w:themeColor="text1"/>
        </w:rPr>
        <w:t xml:space="preserve">. Z tego względu treść zawarta w </w:t>
      </w:r>
      <w:r w:rsidR="009A4DDA" w:rsidRPr="00A07F5E">
        <w:rPr>
          <w:color w:val="000000" w:themeColor="text1"/>
        </w:rPr>
        <w:fldChar w:fldCharType="begin"/>
      </w:r>
      <w:r w:rsidR="009A4DDA" w:rsidRPr="00A07F5E">
        <w:rPr>
          <w:color w:val="000000" w:themeColor="text1"/>
        </w:rPr>
        <w:instrText xml:space="preserve"> REF _Ref189120932 \n \h </w:instrText>
      </w:r>
      <w:r w:rsidR="009A4DDA" w:rsidRPr="00A07F5E">
        <w:rPr>
          <w:color w:val="000000" w:themeColor="text1"/>
        </w:rPr>
      </w:r>
      <w:r w:rsidR="009A4DDA" w:rsidRPr="00A07F5E">
        <w:rPr>
          <w:color w:val="000000" w:themeColor="text1"/>
        </w:rPr>
        <w:fldChar w:fldCharType="separate"/>
      </w:r>
      <w:r w:rsidR="00871DD5">
        <w:rPr>
          <w:color w:val="000000" w:themeColor="text1"/>
        </w:rPr>
        <w:t>Obszar 3.3</w:t>
      </w:r>
      <w:r w:rsidR="009A4DDA" w:rsidRPr="00A07F5E">
        <w:rPr>
          <w:color w:val="000000" w:themeColor="text1"/>
        </w:rPr>
        <w:fldChar w:fldCharType="end"/>
      </w:r>
      <w:r w:rsidR="006E477B" w:rsidRPr="00A07F5E">
        <w:rPr>
          <w:color w:val="000000" w:themeColor="text1"/>
        </w:rPr>
        <w:t xml:space="preserve">. </w:t>
      </w:r>
      <w:r w:rsidR="006E477B" w:rsidRPr="00A07F5E">
        <w:rPr>
          <w:i/>
          <w:color w:val="000000" w:themeColor="text1"/>
        </w:rPr>
        <w:fldChar w:fldCharType="begin"/>
      </w:r>
      <w:r w:rsidR="006E477B" w:rsidRPr="00A07F5E">
        <w:rPr>
          <w:i/>
          <w:color w:val="000000" w:themeColor="text1"/>
        </w:rPr>
        <w:instrText xml:space="preserve"> REF _Ref189120952 \h </w:instrText>
      </w:r>
      <w:r w:rsidR="002C6A6B" w:rsidRPr="00A07F5E">
        <w:rPr>
          <w:i/>
          <w:color w:val="000000" w:themeColor="text1"/>
        </w:rPr>
        <w:instrText xml:space="preserve"> \* MERGEFORMAT </w:instrText>
      </w:r>
      <w:r w:rsidR="006E477B" w:rsidRPr="00A07F5E">
        <w:rPr>
          <w:i/>
          <w:color w:val="000000" w:themeColor="text1"/>
        </w:rPr>
      </w:r>
      <w:r w:rsidR="006E477B" w:rsidRPr="00A07F5E">
        <w:rPr>
          <w:i/>
          <w:color w:val="000000" w:themeColor="text1"/>
        </w:rPr>
        <w:fldChar w:fldCharType="separate"/>
      </w:r>
      <w:r w:rsidR="00871DD5" w:rsidRPr="00871DD5">
        <w:rPr>
          <w:i/>
          <w:color w:val="000000" w:themeColor="text1"/>
        </w:rPr>
        <w:t>Pokrycie zapotrzebowania na gaz ziemny</w:t>
      </w:r>
      <w:r w:rsidR="006E477B" w:rsidRPr="00A07F5E">
        <w:rPr>
          <w:i/>
          <w:color w:val="000000" w:themeColor="text1"/>
        </w:rPr>
        <w:fldChar w:fldCharType="end"/>
      </w:r>
      <w:r w:rsidR="00D908A5" w:rsidRPr="00A07F5E">
        <w:rPr>
          <w:color w:val="000000" w:themeColor="text1"/>
        </w:rPr>
        <w:t xml:space="preserve"> </w:t>
      </w:r>
      <w:r w:rsidR="00800C32" w:rsidRPr="00A07F5E">
        <w:rPr>
          <w:color w:val="000000" w:themeColor="text1"/>
        </w:rPr>
        <w:t xml:space="preserve">wpływa bezpośrednio również na </w:t>
      </w:r>
      <w:r w:rsidR="006C7781" w:rsidRPr="00A07F5E">
        <w:rPr>
          <w:color w:val="000000" w:themeColor="text1"/>
        </w:rPr>
        <w:t>cel dotyczący wymiany międzysystemowej</w:t>
      </w:r>
      <w:r w:rsidR="006E477B">
        <w:t>.</w:t>
      </w:r>
    </w:p>
    <w:p w14:paraId="779A0745" w14:textId="66466CF9" w:rsidR="00685E9E" w:rsidRPr="009815E7" w:rsidRDefault="00685E9E" w:rsidP="00685E9E">
      <w:pPr>
        <w:pStyle w:val="Cele"/>
        <w:rPr>
          <w:b/>
          <w:bCs/>
        </w:rPr>
      </w:pPr>
      <w:r w:rsidRPr="003B0BAF">
        <w:rPr>
          <w:b/>
          <w:bCs/>
        </w:rPr>
        <w:t>Cel</w:t>
      </w:r>
      <w:r>
        <w:rPr>
          <w:b/>
          <w:bCs/>
        </w:rPr>
        <w:t xml:space="preserve">em </w:t>
      </w:r>
      <w:r w:rsidRPr="002053FB">
        <w:rPr>
          <w:b/>
          <w:bCs/>
        </w:rPr>
        <w:t xml:space="preserve">jest utrzymanie odpowiednio rozwiniętej i sprawnej </w:t>
      </w:r>
      <w:r>
        <w:rPr>
          <w:b/>
          <w:bCs/>
        </w:rPr>
        <w:t xml:space="preserve">krajowej </w:t>
      </w:r>
      <w:r w:rsidRPr="002053FB">
        <w:rPr>
          <w:b/>
          <w:bCs/>
        </w:rPr>
        <w:t>infrastruktury</w:t>
      </w:r>
      <w:r>
        <w:rPr>
          <w:b/>
          <w:bCs/>
        </w:rPr>
        <w:t xml:space="preserve"> gazowej</w:t>
      </w:r>
      <w:r w:rsidR="008F0C5D">
        <w:rPr>
          <w:b/>
          <w:bCs/>
        </w:rPr>
        <w:t xml:space="preserve"> oraz sprawnych połączeń międzysystemowych</w:t>
      </w:r>
      <w:r w:rsidRPr="002053FB">
        <w:rPr>
          <w:b/>
          <w:bCs/>
        </w:rPr>
        <w:t>, któr</w:t>
      </w:r>
      <w:r w:rsidR="009246D8">
        <w:rPr>
          <w:b/>
          <w:bCs/>
        </w:rPr>
        <w:t>e</w:t>
      </w:r>
      <w:r>
        <w:rPr>
          <w:b/>
          <w:bCs/>
        </w:rPr>
        <w:t> zapewni</w:t>
      </w:r>
      <w:r w:rsidR="009246D8">
        <w:rPr>
          <w:b/>
          <w:bCs/>
        </w:rPr>
        <w:t>ą</w:t>
      </w:r>
      <w:r w:rsidRPr="002053FB">
        <w:rPr>
          <w:b/>
          <w:bCs/>
        </w:rPr>
        <w:t xml:space="preserve"> odbiorcom </w:t>
      </w:r>
      <w:r>
        <w:rPr>
          <w:b/>
          <w:bCs/>
        </w:rPr>
        <w:t xml:space="preserve">krajowym </w:t>
      </w:r>
      <w:r w:rsidRPr="002053FB">
        <w:rPr>
          <w:b/>
          <w:bCs/>
        </w:rPr>
        <w:t>dostęp do surowca</w:t>
      </w:r>
      <w:r>
        <w:rPr>
          <w:b/>
          <w:bCs/>
        </w:rPr>
        <w:t>, zwiększ</w:t>
      </w:r>
      <w:r w:rsidR="009246D8">
        <w:rPr>
          <w:b/>
          <w:bCs/>
        </w:rPr>
        <w:t>ą</w:t>
      </w:r>
      <w:r>
        <w:rPr>
          <w:b/>
          <w:bCs/>
        </w:rPr>
        <w:t xml:space="preserve"> możliwości handlowe</w:t>
      </w:r>
      <w:r w:rsidRPr="0016741D">
        <w:rPr>
          <w:b/>
          <w:bCs/>
        </w:rPr>
        <w:t xml:space="preserve"> </w:t>
      </w:r>
      <w:r>
        <w:rPr>
          <w:b/>
          <w:bCs/>
        </w:rPr>
        <w:t>podmiotom krajowym, a podmiotom zagranicznym stworz</w:t>
      </w:r>
      <w:r w:rsidR="00AA507B">
        <w:rPr>
          <w:b/>
          <w:bCs/>
        </w:rPr>
        <w:t>ą</w:t>
      </w:r>
      <w:r>
        <w:rPr>
          <w:b/>
          <w:bCs/>
        </w:rPr>
        <w:t xml:space="preserve"> możliwości dywersyfikacyjne.</w:t>
      </w:r>
    </w:p>
    <w:p w14:paraId="6B15EA6F" w14:textId="77777777" w:rsidR="00685E9E" w:rsidRDefault="00685E9E" w:rsidP="00685E9E">
      <w:pPr>
        <w:spacing w:before="240" w:after="80"/>
        <w:rPr>
          <w:rFonts w:ascii="Bahnschrift" w:hAnsi="Bahnschrift"/>
        </w:rPr>
      </w:pPr>
      <w:r w:rsidRPr="00C46DAA">
        <w:rPr>
          <w:rFonts w:ascii="Bahnschrift" w:hAnsi="Bahnschrift"/>
          <w:b/>
          <w:bCs/>
          <w:sz w:val="32"/>
          <w:szCs w:val="32"/>
        </w:rPr>
        <w:t>POLITYKA</w:t>
      </w:r>
    </w:p>
    <w:p w14:paraId="494C5E40" w14:textId="36CF7FC6" w:rsidR="006F23D0" w:rsidRDefault="00A05389" w:rsidP="006F23D0">
      <w:r>
        <w:t xml:space="preserve">Istotna </w:t>
      </w:r>
      <w:r w:rsidR="00195BB5">
        <w:t>rol</w:t>
      </w:r>
      <w:r w:rsidR="003B293F">
        <w:t>a</w:t>
      </w:r>
      <w:r w:rsidR="00195BB5">
        <w:t xml:space="preserve"> gazu ziemnego </w:t>
      </w:r>
      <w:r>
        <w:t>jako paliwa przejściowego</w:t>
      </w:r>
      <w:r w:rsidR="00814E10">
        <w:t xml:space="preserve"> i wspierającego </w:t>
      </w:r>
      <w:r w:rsidR="00195BB5">
        <w:t xml:space="preserve">proces transformacji </w:t>
      </w:r>
      <w:r w:rsidR="00C85B27">
        <w:t xml:space="preserve">wymaga </w:t>
      </w:r>
      <w:r w:rsidR="002441E6">
        <w:t>zapewnieni</w:t>
      </w:r>
      <w:r w:rsidR="00C85B27">
        <w:t>a</w:t>
      </w:r>
      <w:r w:rsidR="002441E6">
        <w:t xml:space="preserve"> </w:t>
      </w:r>
      <w:r w:rsidR="00F758B9">
        <w:t xml:space="preserve">odpowiednio rozbudowanej i sprawnej </w:t>
      </w:r>
      <w:r w:rsidR="006B2814">
        <w:t>infrastruktury</w:t>
      </w:r>
      <w:r w:rsidR="00F758B9">
        <w:t xml:space="preserve"> wewnętrz</w:t>
      </w:r>
      <w:r w:rsidR="006B2814">
        <w:t>n</w:t>
      </w:r>
      <w:r w:rsidR="00F758B9">
        <w:t xml:space="preserve">ej i </w:t>
      </w:r>
      <w:r w:rsidR="006B2814">
        <w:t>międzysystemowej</w:t>
      </w:r>
      <w:r w:rsidR="00F758B9">
        <w:t xml:space="preserve"> </w:t>
      </w:r>
      <w:r w:rsidR="006B2814">
        <w:t>przesyłu gazu ziemnego</w:t>
      </w:r>
      <w:r w:rsidR="00F758B9">
        <w:t xml:space="preserve">. </w:t>
      </w:r>
      <w:r w:rsidR="000E6F34">
        <w:t>D</w:t>
      </w:r>
      <w:r w:rsidR="006F23D0">
        <w:t xml:space="preserve">ziałania </w:t>
      </w:r>
      <w:r w:rsidR="000E6F34">
        <w:t xml:space="preserve">podejmowane w tym obszarze </w:t>
      </w:r>
      <w:r w:rsidR="006F23D0">
        <w:t>m</w:t>
      </w:r>
      <w:r w:rsidR="007B4216">
        <w:t>uszą</w:t>
      </w:r>
      <w:r w:rsidR="006F23D0">
        <w:t xml:space="preserve"> </w:t>
      </w:r>
      <w:r w:rsidR="006F23D0" w:rsidRPr="0011798F">
        <w:t>zapewni</w:t>
      </w:r>
      <w:r w:rsidR="006F23D0">
        <w:t>ć</w:t>
      </w:r>
      <w:r w:rsidR="006F23D0" w:rsidRPr="0011798F">
        <w:t xml:space="preserve"> odbiorcom krajowym </w:t>
      </w:r>
      <w:r w:rsidR="006F23D0" w:rsidRPr="0011798F">
        <w:lastRenderedPageBreak/>
        <w:t xml:space="preserve">dostęp do surowca, </w:t>
      </w:r>
      <w:r w:rsidR="007B4216">
        <w:t xml:space="preserve">powinny zabezpieczać </w:t>
      </w:r>
      <w:r w:rsidR="002C6F32">
        <w:t>i ew</w:t>
      </w:r>
      <w:r w:rsidR="00FE59DB">
        <w:t>entualnie</w:t>
      </w:r>
      <w:r w:rsidR="002C6F32">
        <w:t xml:space="preserve"> </w:t>
      </w:r>
      <w:r w:rsidR="006F23D0" w:rsidRPr="0011798F">
        <w:t>zwiększ</w:t>
      </w:r>
      <w:r w:rsidR="002C6F32">
        <w:t>ać</w:t>
      </w:r>
      <w:r w:rsidR="006F23D0" w:rsidRPr="0011798F">
        <w:t xml:space="preserve"> możliwości handlowe podmiotom krajowym, a</w:t>
      </w:r>
      <w:r w:rsidR="002C6F32">
        <w:t> </w:t>
      </w:r>
      <w:r w:rsidR="006F23D0" w:rsidRPr="0011798F">
        <w:t xml:space="preserve">podmiotom zagranicznym </w:t>
      </w:r>
      <w:r w:rsidR="002C6F32">
        <w:t>umożliwiać</w:t>
      </w:r>
      <w:r w:rsidR="006F23D0" w:rsidRPr="0011798F">
        <w:t xml:space="preserve"> możliwości dywersyfikacyjne</w:t>
      </w:r>
      <w:r w:rsidR="002C6F32">
        <w:t>.</w:t>
      </w:r>
    </w:p>
    <w:p w14:paraId="34337C2A" w14:textId="19887927" w:rsidR="00A05389" w:rsidRDefault="00612738" w:rsidP="00685E9E">
      <w:r>
        <w:t xml:space="preserve">Podobnie jak w przypadku </w:t>
      </w:r>
      <w:r w:rsidR="00137955">
        <w:t>celu związanego z dywersyfikacją dostaw gazu ziemnego (</w:t>
      </w:r>
      <w:r w:rsidR="00137955">
        <w:fldChar w:fldCharType="begin"/>
      </w:r>
      <w:r w:rsidR="00137955">
        <w:instrText xml:space="preserve"> REF _Ref189122149 \r \h </w:instrText>
      </w:r>
      <w:r w:rsidR="00137955">
        <w:fldChar w:fldCharType="separate"/>
      </w:r>
      <w:r w:rsidR="00871DD5">
        <w:t>Cel 3.3.1</w:t>
      </w:r>
      <w:r w:rsidR="00137955">
        <w:fldChar w:fldCharType="end"/>
      </w:r>
      <w:r w:rsidR="00137955">
        <w:t xml:space="preserve">), </w:t>
      </w:r>
      <w:r w:rsidR="00F27D18">
        <w:t>do</w:t>
      </w:r>
      <w:r w:rsidR="0085067A">
        <w:t> </w:t>
      </w:r>
      <w:r w:rsidR="00F27D18">
        <w:t xml:space="preserve">zapewnienia odpowiednich warunków </w:t>
      </w:r>
      <w:r w:rsidR="007212D0">
        <w:t>wymiany międzysystemowej kluczowe są:</w:t>
      </w:r>
    </w:p>
    <w:p w14:paraId="31CC6198" w14:textId="4B4A0D44" w:rsidR="00014683" w:rsidRDefault="00014683" w:rsidP="003530A9">
      <w:pPr>
        <w:pStyle w:val="Akapitzlist"/>
        <w:numPr>
          <w:ilvl w:val="0"/>
          <w:numId w:val="4"/>
        </w:numPr>
      </w:pPr>
      <w:r>
        <w:t>zapewnienie odpowiednio rozwiniętej i sprawnej infrastruktury przesyłowej wewnątrz kraju</w:t>
      </w:r>
      <w:r w:rsidR="00184C80">
        <w:t>,</w:t>
      </w:r>
    </w:p>
    <w:p w14:paraId="683663A5" w14:textId="31C9F4C5" w:rsidR="00014683" w:rsidRDefault="00014683" w:rsidP="003530A9">
      <w:pPr>
        <w:pStyle w:val="Akapitzlist"/>
        <w:numPr>
          <w:ilvl w:val="0"/>
          <w:numId w:val="4"/>
        </w:numPr>
      </w:pPr>
      <w:r>
        <w:t xml:space="preserve">sprawne funkcjonowanie połączeń z systemami państw sąsiadujących – Niemcy, Litwa, Czechy, Słowacja, Ukraina, </w:t>
      </w:r>
    </w:p>
    <w:p w14:paraId="4E3732A4" w14:textId="52FABCE4" w:rsidR="007212D0" w:rsidRDefault="007212D0" w:rsidP="003530A9">
      <w:pPr>
        <w:pStyle w:val="Akapitzlist"/>
        <w:numPr>
          <w:ilvl w:val="0"/>
          <w:numId w:val="4"/>
        </w:numPr>
      </w:pPr>
      <w:r>
        <w:t>dalsze zapewnienie możliwości odbioru dostaw gazu ziemnego</w:t>
      </w:r>
      <w:r w:rsidR="00E87976">
        <w:t xml:space="preserve"> z wykorzystaniem</w:t>
      </w:r>
      <w:r>
        <w:t>:</w:t>
      </w:r>
    </w:p>
    <w:p w14:paraId="008D8E3B" w14:textId="77777777" w:rsidR="007212D0" w:rsidRDefault="007212D0" w:rsidP="003530A9">
      <w:pPr>
        <w:pStyle w:val="Akapitzlist"/>
        <w:numPr>
          <w:ilvl w:val="1"/>
          <w:numId w:val="4"/>
        </w:numPr>
      </w:pPr>
      <w:r>
        <w:t>gazociągu Baltic Pipe, umożliwiającego import z szelfu norweskiego i duńskiego,</w:t>
      </w:r>
    </w:p>
    <w:p w14:paraId="51962DA5" w14:textId="3886242D" w:rsidR="007212D0" w:rsidRDefault="007212D0" w:rsidP="003530A9">
      <w:pPr>
        <w:pStyle w:val="Akapitzlist"/>
        <w:numPr>
          <w:ilvl w:val="1"/>
          <w:numId w:val="4"/>
        </w:numPr>
      </w:pPr>
      <w:r>
        <w:t>terminalu regazyfikacyjnego LNG w Świnoujściu</w:t>
      </w:r>
      <w:r w:rsidR="001C103B">
        <w:t>,</w:t>
      </w:r>
    </w:p>
    <w:p w14:paraId="3127B6C3" w14:textId="49B67EDE" w:rsidR="00014683" w:rsidRDefault="00014683" w:rsidP="003530A9">
      <w:pPr>
        <w:pStyle w:val="Akapitzlist"/>
        <w:numPr>
          <w:ilvl w:val="0"/>
          <w:numId w:val="4"/>
        </w:numPr>
      </w:pPr>
      <w:r>
        <w:t xml:space="preserve">budowa </w:t>
      </w:r>
      <w:r w:rsidRPr="007E4C7D">
        <w:t>terminal</w:t>
      </w:r>
      <w:r>
        <w:t>u</w:t>
      </w:r>
      <w:r w:rsidRPr="007E4C7D">
        <w:t xml:space="preserve"> </w:t>
      </w:r>
      <w:r>
        <w:t xml:space="preserve">LNG typu </w:t>
      </w:r>
      <w:r w:rsidRPr="007E4C7D">
        <w:t>FSRU w Zatoce Gdańskiej</w:t>
      </w:r>
      <w:r w:rsidR="00E36CEE">
        <w:t xml:space="preserve"> w perspektywie do 20</w:t>
      </w:r>
      <w:r w:rsidR="00184C80">
        <w:t>27/2028 r</w:t>
      </w:r>
      <w:r w:rsidR="001C103B">
        <w:t>.</w:t>
      </w:r>
      <w:r w:rsidR="00651AFC">
        <w:t xml:space="preserve"> </w:t>
      </w:r>
    </w:p>
    <w:p w14:paraId="42CF94A4" w14:textId="2E9A1264" w:rsidR="00685E9E" w:rsidRDefault="00E36CEE" w:rsidP="00685E9E">
      <w:r w:rsidRPr="002C6F32">
        <w:rPr>
          <w:b/>
          <w:bCs/>
        </w:rPr>
        <w:t xml:space="preserve">Po zakończeniu rozbudowy zdolności </w:t>
      </w:r>
      <w:r w:rsidR="000869F2" w:rsidRPr="002C6F32">
        <w:rPr>
          <w:b/>
          <w:bCs/>
        </w:rPr>
        <w:t>regazyfikacyjnych</w:t>
      </w:r>
      <w:r w:rsidR="001877D5" w:rsidRPr="002C6F32">
        <w:rPr>
          <w:b/>
          <w:bCs/>
        </w:rPr>
        <w:t xml:space="preserve"> </w:t>
      </w:r>
      <w:r w:rsidR="00710559" w:rsidRPr="002C6F32">
        <w:rPr>
          <w:b/>
          <w:bCs/>
        </w:rPr>
        <w:t>terminalu LNG w Świnoujściu w 2025</w:t>
      </w:r>
      <w:r w:rsidR="000869F2" w:rsidRPr="002C6F32">
        <w:rPr>
          <w:b/>
          <w:bCs/>
        </w:rPr>
        <w:t> </w:t>
      </w:r>
      <w:r w:rsidR="00710559" w:rsidRPr="002C6F32">
        <w:rPr>
          <w:b/>
          <w:bCs/>
        </w:rPr>
        <w:t xml:space="preserve">r. </w:t>
      </w:r>
      <w:r w:rsidR="00EA2BB8" w:rsidRPr="00EA2BB8">
        <w:t>(do</w:t>
      </w:r>
      <w:r w:rsidR="0074042F">
        <w:t> </w:t>
      </w:r>
      <w:r w:rsidR="00EA2BB8" w:rsidRPr="00EA2BB8">
        <w:t>pojemności</w:t>
      </w:r>
      <w:r w:rsidR="00EA2BB8">
        <w:t xml:space="preserve"> 8,3 mld m</w:t>
      </w:r>
      <w:r w:rsidR="00EA2BB8" w:rsidRPr="00EA2BB8">
        <w:rPr>
          <w:vertAlign w:val="superscript"/>
        </w:rPr>
        <w:t>3</w:t>
      </w:r>
      <w:r w:rsidR="00EA2BB8">
        <w:t>)</w:t>
      </w:r>
      <w:r w:rsidR="00EA2BB8">
        <w:rPr>
          <w:b/>
          <w:bCs/>
        </w:rPr>
        <w:t xml:space="preserve"> </w:t>
      </w:r>
      <w:r w:rsidR="00710559" w:rsidRPr="002C6F32">
        <w:rPr>
          <w:b/>
          <w:bCs/>
        </w:rPr>
        <w:t>i</w:t>
      </w:r>
      <w:r w:rsidR="005B2215" w:rsidRPr="002C6F32">
        <w:rPr>
          <w:b/>
          <w:bCs/>
        </w:rPr>
        <w:t> </w:t>
      </w:r>
      <w:r w:rsidR="00710559" w:rsidRPr="002C6F32">
        <w:rPr>
          <w:b/>
          <w:bCs/>
        </w:rPr>
        <w:t xml:space="preserve">uruchomieniu </w:t>
      </w:r>
      <w:r w:rsidR="005B2215" w:rsidRPr="002C6F32">
        <w:rPr>
          <w:b/>
          <w:bCs/>
        </w:rPr>
        <w:t>t</w:t>
      </w:r>
      <w:r w:rsidR="00A856BE" w:rsidRPr="002C6F32">
        <w:rPr>
          <w:b/>
          <w:bCs/>
        </w:rPr>
        <w:t>erminal FSRU w Zatoce Gdańskiej na przełomie 2027 i</w:t>
      </w:r>
      <w:r w:rsidR="0085067A">
        <w:rPr>
          <w:b/>
          <w:bCs/>
        </w:rPr>
        <w:t> </w:t>
      </w:r>
      <w:r w:rsidR="00A856BE" w:rsidRPr="002C6F32">
        <w:rPr>
          <w:b/>
          <w:bCs/>
        </w:rPr>
        <w:t>2028</w:t>
      </w:r>
      <w:r w:rsidR="0074042F">
        <w:rPr>
          <w:b/>
          <w:bCs/>
        </w:rPr>
        <w:t> </w:t>
      </w:r>
      <w:r w:rsidR="00A856BE" w:rsidRPr="002C6F32">
        <w:rPr>
          <w:b/>
          <w:bCs/>
        </w:rPr>
        <w:t xml:space="preserve">r. </w:t>
      </w:r>
      <w:r w:rsidR="00EA2BB8" w:rsidRPr="00EA2BB8">
        <w:t>(</w:t>
      </w:r>
      <w:r w:rsidR="00EA2BB8">
        <w:t>o pojemności 6,1 mld m</w:t>
      </w:r>
      <w:r w:rsidR="00EA2BB8" w:rsidRPr="00EA2BB8">
        <w:rPr>
          <w:vertAlign w:val="superscript"/>
        </w:rPr>
        <w:t>3</w:t>
      </w:r>
      <w:r w:rsidR="00EA2BB8" w:rsidRPr="00EA2BB8">
        <w:t>)</w:t>
      </w:r>
      <w:r w:rsidR="00EA2BB8">
        <w:rPr>
          <w:b/>
          <w:bCs/>
        </w:rPr>
        <w:t xml:space="preserve"> </w:t>
      </w:r>
      <w:r w:rsidR="00A856BE" w:rsidRPr="002C6F32">
        <w:rPr>
          <w:b/>
          <w:bCs/>
        </w:rPr>
        <w:t>n</w:t>
      </w:r>
      <w:r w:rsidR="00D238B1" w:rsidRPr="002C6F32">
        <w:rPr>
          <w:b/>
          <w:bCs/>
        </w:rPr>
        <w:t xml:space="preserve">ie przewiduje się innych inwestycji </w:t>
      </w:r>
      <w:r w:rsidR="0017709F" w:rsidRPr="002C6F32">
        <w:rPr>
          <w:b/>
          <w:bCs/>
        </w:rPr>
        <w:t>skutkujących zwiększeniem możliwości importowych i eksportowych w Polsce.</w:t>
      </w:r>
      <w:r w:rsidR="0017709F">
        <w:t xml:space="preserve"> Wciąż niezbędne są </w:t>
      </w:r>
      <w:r w:rsidR="005B2215">
        <w:t>inwestycje w krajową infrastrukturę gazową</w:t>
      </w:r>
      <w:r w:rsidR="000869F2">
        <w:t xml:space="preserve">, </w:t>
      </w:r>
      <w:r w:rsidR="0029055F">
        <w:t xml:space="preserve">w celu zapewnienia sprawności dostaw do obiorców krajowych, </w:t>
      </w:r>
      <w:r w:rsidR="003224A5">
        <w:t xml:space="preserve">wymiany międzysystemowej, ale także na potrzeby perspektywicznego wykorzystania </w:t>
      </w:r>
      <w:r w:rsidR="00923820">
        <w:t xml:space="preserve">dla transportu gazów innych niż gaz ziemny pochodzenia kopalnego. </w:t>
      </w:r>
    </w:p>
    <w:p w14:paraId="1D074C93" w14:textId="4017F94E" w:rsidR="009A127E" w:rsidRDefault="00D26182" w:rsidP="00685E9E">
      <w:pPr>
        <w:rPr>
          <w:b/>
          <w:bCs/>
        </w:rPr>
      </w:pPr>
      <w:r w:rsidRPr="00D9287C">
        <w:rPr>
          <w:b/>
          <w:bCs/>
        </w:rPr>
        <w:t>Łączne</w:t>
      </w:r>
      <w:r w:rsidR="009A127E" w:rsidRPr="00D9287C">
        <w:rPr>
          <w:b/>
          <w:bCs/>
        </w:rPr>
        <w:t xml:space="preserve"> zdolności </w:t>
      </w:r>
      <w:r w:rsidR="00082A29">
        <w:rPr>
          <w:b/>
          <w:bCs/>
        </w:rPr>
        <w:t>importowe wynosić będą 41,7</w:t>
      </w:r>
      <w:r w:rsidRPr="00D9287C">
        <w:rPr>
          <w:b/>
          <w:bCs/>
        </w:rPr>
        <w:t xml:space="preserve"> mld m</w:t>
      </w:r>
      <w:r w:rsidRPr="00D9287C">
        <w:rPr>
          <w:b/>
          <w:bCs/>
          <w:vertAlign w:val="superscript"/>
        </w:rPr>
        <w:t>3</w:t>
      </w:r>
      <w:r w:rsidRPr="00D9287C">
        <w:rPr>
          <w:b/>
          <w:bCs/>
        </w:rPr>
        <w:t xml:space="preserve">, natomiast eksportowe </w:t>
      </w:r>
      <w:r w:rsidR="00082A29">
        <w:rPr>
          <w:b/>
          <w:bCs/>
        </w:rPr>
        <w:t>11,85</w:t>
      </w:r>
      <w:r w:rsidRPr="00D9287C">
        <w:rPr>
          <w:b/>
          <w:bCs/>
        </w:rPr>
        <w:t xml:space="preserve"> mld m</w:t>
      </w:r>
      <w:r w:rsidRPr="00D9287C">
        <w:rPr>
          <w:b/>
          <w:bCs/>
          <w:vertAlign w:val="superscript"/>
        </w:rPr>
        <w:t>3</w:t>
      </w:r>
      <w:r w:rsidR="00082A29">
        <w:rPr>
          <w:b/>
          <w:bCs/>
        </w:rPr>
        <w:t xml:space="preserve"> zdolności ciągłej.</w:t>
      </w:r>
    </w:p>
    <w:p w14:paraId="10DE797D" w14:textId="0EEE6D21" w:rsidR="002C6F32" w:rsidRPr="008C16A4" w:rsidRDefault="002C6F32" w:rsidP="00EA2BB8">
      <w:pPr>
        <w:pStyle w:val="odesaniedoza"/>
        <w:rPr>
          <w:b/>
          <w:i w:val="0"/>
        </w:rPr>
      </w:pPr>
      <w:r w:rsidRPr="008C16A4">
        <w:t xml:space="preserve">Szczegółowe dane dotyczące krajowej infrastruktury gazowej oraz zdolności przesyłowych poszczególnych połączeń międzysystemowych znajdują się w rozdziale 4.1.2 i 4.2.2 załącznika 2. </w:t>
      </w:r>
    </w:p>
    <w:p w14:paraId="30863C35" w14:textId="1A27AFC9" w:rsidR="00685E9E" w:rsidRPr="00C46DAA" w:rsidRDefault="00685E9E" w:rsidP="00E66601">
      <w:pPr>
        <w:pStyle w:val="PaMs"/>
      </w:pPr>
      <w:r w:rsidRPr="00C46DAA">
        <w:t>DZIAŁANIA</w:t>
      </w:r>
    </w:p>
    <w:bookmarkStart w:id="650" w:name="_Toc159598344"/>
    <w:bookmarkEnd w:id="642"/>
    <w:bookmarkEnd w:id="643"/>
    <w:p w14:paraId="68A5949C" w14:textId="7DA95CA2" w:rsidR="006F00CF" w:rsidRPr="006F00CF" w:rsidRDefault="006F00CF" w:rsidP="000625AC">
      <w:pPr>
        <w:pStyle w:val="Akapitzlist"/>
        <w:numPr>
          <w:ilvl w:val="0"/>
          <w:numId w:val="114"/>
        </w:numPr>
      </w:pPr>
      <w:r w:rsidRPr="006F00CF">
        <w:fldChar w:fldCharType="begin"/>
      </w:r>
      <w:r w:rsidRPr="006F00CF">
        <w:instrText xml:space="preserve"> REF _Ref195887973 \h </w:instrText>
      </w:r>
      <w:r>
        <w:instrText xml:space="preserve"> \* MERGEFORMAT </w:instrText>
      </w:r>
      <w:r w:rsidRPr="006F00CF">
        <w:fldChar w:fldCharType="separate"/>
      </w:r>
      <w:r w:rsidR="00871DD5" w:rsidRPr="00871DD5">
        <w:rPr>
          <w:rStyle w:val="Nagwek6Znak"/>
          <w:rFonts w:ascii="Lato" w:hAnsi="Lato"/>
          <w:b w:val="0"/>
        </w:rPr>
        <w:t xml:space="preserve">Działanie </w:t>
      </w:r>
      <w:r w:rsidR="00871DD5" w:rsidRPr="00871DD5">
        <w:rPr>
          <w:lang w:eastAsia="pl-PL"/>
        </w:rPr>
        <w:t xml:space="preserve">120. </w:t>
      </w:r>
      <w:r w:rsidR="00871DD5" w:rsidRPr="008A5AE2">
        <w:rPr>
          <w:lang w:eastAsia="pl-PL"/>
        </w:rPr>
        <w:t>Utrzymanie sprawnych połączeń międzysystemowych i terminalu LNG w</w:t>
      </w:r>
      <w:r w:rsidR="00871DD5">
        <w:rPr>
          <w:lang w:eastAsia="pl-PL"/>
        </w:rPr>
        <w:t> </w:t>
      </w:r>
      <w:r w:rsidR="00871DD5" w:rsidRPr="008A5AE2">
        <w:rPr>
          <w:lang w:eastAsia="pl-PL"/>
        </w:rPr>
        <w:t>Świnoujściu</w:t>
      </w:r>
      <w:r w:rsidRPr="006F00CF">
        <w:fldChar w:fldCharType="end"/>
      </w:r>
    </w:p>
    <w:p w14:paraId="7DE4A6F4" w14:textId="0C590161" w:rsidR="006F00CF" w:rsidRDefault="006F00CF" w:rsidP="000625AC">
      <w:pPr>
        <w:pStyle w:val="Akapitzlist"/>
        <w:numPr>
          <w:ilvl w:val="0"/>
          <w:numId w:val="114"/>
        </w:numPr>
      </w:pPr>
      <w:r w:rsidRPr="006F00CF">
        <w:fldChar w:fldCharType="begin"/>
      </w:r>
      <w:r w:rsidRPr="006F00CF">
        <w:instrText xml:space="preserve"> REF _Ref195887988 \h </w:instrText>
      </w:r>
      <w:r>
        <w:instrText xml:space="preserve"> \* MERGEFORMAT </w:instrText>
      </w:r>
      <w:r w:rsidRPr="006F00CF">
        <w:fldChar w:fldCharType="separate"/>
      </w:r>
      <w:r w:rsidR="00871DD5" w:rsidRPr="00871DD5">
        <w:rPr>
          <w:rStyle w:val="Nagwek6Znak"/>
          <w:rFonts w:ascii="Lato" w:hAnsi="Lato"/>
          <w:b w:val="0"/>
        </w:rPr>
        <w:t xml:space="preserve">Działanie </w:t>
      </w:r>
      <w:r w:rsidR="00871DD5" w:rsidRPr="00871DD5">
        <w:rPr>
          <w:lang w:eastAsia="pl-PL"/>
        </w:rPr>
        <w:t xml:space="preserve">122. </w:t>
      </w:r>
      <w:r w:rsidR="00871DD5" w:rsidRPr="008A5AE2">
        <w:rPr>
          <w:lang w:eastAsia="pl-PL"/>
        </w:rPr>
        <w:t>Zwiększanie pojemności i mocy odbioru systemu magazynowania paliw gazowych</w:t>
      </w:r>
      <w:r w:rsidRPr="006F00CF">
        <w:fldChar w:fldCharType="end"/>
      </w:r>
    </w:p>
    <w:p w14:paraId="09A53051" w14:textId="0C7B3BF2" w:rsidR="006F00CF" w:rsidRPr="006F00CF" w:rsidRDefault="006F00CF" w:rsidP="000625AC">
      <w:pPr>
        <w:pStyle w:val="Akapitzlist"/>
        <w:numPr>
          <w:ilvl w:val="0"/>
          <w:numId w:val="114"/>
        </w:numPr>
      </w:pPr>
      <w:r w:rsidRPr="006F00CF">
        <w:fldChar w:fldCharType="begin"/>
      </w:r>
      <w:r w:rsidRPr="006F00CF">
        <w:instrText xml:space="preserve"> REF _Ref195887925 \h </w:instrText>
      </w:r>
      <w:r>
        <w:instrText xml:space="preserve"> \* MERGEFORMAT </w:instrText>
      </w:r>
      <w:r w:rsidRPr="006F00CF">
        <w:fldChar w:fldCharType="separate"/>
      </w:r>
      <w:r w:rsidR="00871DD5" w:rsidRPr="00871DD5">
        <w:rPr>
          <w:rStyle w:val="Nagwek6Znak"/>
          <w:rFonts w:ascii="Lato" w:hAnsi="Lato"/>
          <w:b w:val="0"/>
        </w:rPr>
        <w:t xml:space="preserve">Działanie </w:t>
      </w:r>
      <w:r w:rsidR="00871DD5" w:rsidRPr="00871DD5">
        <w:rPr>
          <w:lang w:eastAsia="pl-PL"/>
        </w:rPr>
        <w:t xml:space="preserve">138. </w:t>
      </w:r>
      <w:r w:rsidR="00871DD5" w:rsidRPr="008A5AE2">
        <w:rPr>
          <w:lang w:eastAsia="pl-PL"/>
        </w:rPr>
        <w:t>Wzmacnianie cyberbezpieczeństwa w sektorze energii</w:t>
      </w:r>
      <w:r w:rsidRPr="006F00CF">
        <w:fldChar w:fldCharType="end"/>
      </w:r>
    </w:p>
    <w:p w14:paraId="59B4E4D2" w14:textId="2C107D0D" w:rsidR="00691EA7" w:rsidRDefault="00DC1AB1" w:rsidP="00103318">
      <w:pPr>
        <w:pStyle w:val="Nagwek3"/>
        <w:spacing w:before="720"/>
        <w:rPr>
          <w:color w:val="FFC000" w:themeColor="accent4"/>
        </w:rPr>
      </w:pPr>
      <w:bookmarkStart w:id="651" w:name="_Toc189413461"/>
      <w:bookmarkStart w:id="652" w:name="_Toc189413581"/>
      <w:bookmarkStart w:id="653" w:name="_Toc190032598"/>
      <w:bookmarkStart w:id="654" w:name="_Toc193048474"/>
      <w:bookmarkStart w:id="655" w:name="_Toc194413525"/>
      <w:bookmarkStart w:id="656" w:name="_Toc195811755"/>
      <w:bookmarkStart w:id="657" w:name="_Toc195869268"/>
      <w:bookmarkStart w:id="658" w:name="_Toc195869384"/>
      <w:bookmarkStart w:id="659" w:name="_Toc195897369"/>
      <w:bookmarkStart w:id="660" w:name="_Toc195899614"/>
      <w:bookmarkStart w:id="661" w:name="_Toc189413462"/>
      <w:bookmarkStart w:id="662" w:name="_Toc189413582"/>
      <w:bookmarkStart w:id="663" w:name="_Toc190032599"/>
      <w:bookmarkStart w:id="664" w:name="_Toc193048475"/>
      <w:bookmarkStart w:id="665" w:name="_Toc194413526"/>
      <w:bookmarkStart w:id="666" w:name="_Toc195811756"/>
      <w:bookmarkStart w:id="667" w:name="_Toc195869269"/>
      <w:bookmarkStart w:id="668" w:name="_Toc195869385"/>
      <w:bookmarkStart w:id="669" w:name="_Toc195897370"/>
      <w:bookmarkStart w:id="670" w:name="_Toc195899615"/>
      <w:bookmarkStart w:id="671" w:name="_Toc189413463"/>
      <w:bookmarkStart w:id="672" w:name="_Toc189413583"/>
      <w:bookmarkStart w:id="673" w:name="_Toc190032600"/>
      <w:bookmarkStart w:id="674" w:name="_Toc193048476"/>
      <w:bookmarkStart w:id="675" w:name="_Toc194413527"/>
      <w:bookmarkStart w:id="676" w:name="_Toc195811757"/>
      <w:bookmarkStart w:id="677" w:name="_Toc195869270"/>
      <w:bookmarkStart w:id="678" w:name="_Toc195869386"/>
      <w:bookmarkStart w:id="679" w:name="_Toc195897371"/>
      <w:bookmarkStart w:id="680" w:name="_Toc195899616"/>
      <w:bookmarkStart w:id="681" w:name="_Toc189413464"/>
      <w:bookmarkStart w:id="682" w:name="_Toc189413584"/>
      <w:bookmarkStart w:id="683" w:name="_Toc190032601"/>
      <w:bookmarkStart w:id="684" w:name="_Toc193048477"/>
      <w:bookmarkStart w:id="685" w:name="_Toc194413528"/>
      <w:bookmarkStart w:id="686" w:name="_Toc195811758"/>
      <w:bookmarkStart w:id="687" w:name="_Toc195869271"/>
      <w:bookmarkStart w:id="688" w:name="_Toc195869387"/>
      <w:bookmarkStart w:id="689" w:name="_Toc195897372"/>
      <w:bookmarkStart w:id="690" w:name="_Toc195899617"/>
      <w:bookmarkStart w:id="691" w:name="_Toc189413465"/>
      <w:bookmarkStart w:id="692" w:name="_Toc189413585"/>
      <w:bookmarkStart w:id="693" w:name="_Toc190032602"/>
      <w:bookmarkStart w:id="694" w:name="_Toc193048478"/>
      <w:bookmarkStart w:id="695" w:name="_Toc194413529"/>
      <w:bookmarkStart w:id="696" w:name="_Toc195811759"/>
      <w:bookmarkStart w:id="697" w:name="_Toc195869272"/>
      <w:bookmarkStart w:id="698" w:name="_Toc195869388"/>
      <w:bookmarkStart w:id="699" w:name="_Toc195897373"/>
      <w:bookmarkStart w:id="700" w:name="_Toc195899618"/>
      <w:bookmarkStart w:id="701" w:name="_Toc189413466"/>
      <w:bookmarkStart w:id="702" w:name="_Toc189413586"/>
      <w:bookmarkStart w:id="703" w:name="_Toc190032603"/>
      <w:bookmarkStart w:id="704" w:name="_Toc193048479"/>
      <w:bookmarkStart w:id="705" w:name="_Toc194413530"/>
      <w:bookmarkStart w:id="706" w:name="_Toc195811760"/>
      <w:bookmarkStart w:id="707" w:name="_Toc195869273"/>
      <w:bookmarkStart w:id="708" w:name="_Toc195869389"/>
      <w:bookmarkStart w:id="709" w:name="_Toc195897374"/>
      <w:bookmarkStart w:id="710" w:name="_Toc195899619"/>
      <w:bookmarkStart w:id="711" w:name="_Toc189413467"/>
      <w:bookmarkStart w:id="712" w:name="_Toc189413587"/>
      <w:bookmarkStart w:id="713" w:name="_Toc190032604"/>
      <w:bookmarkStart w:id="714" w:name="_Toc193048480"/>
      <w:bookmarkStart w:id="715" w:name="_Toc194413531"/>
      <w:bookmarkStart w:id="716" w:name="_Toc195811761"/>
      <w:bookmarkStart w:id="717" w:name="_Toc195869274"/>
      <w:bookmarkStart w:id="718" w:name="_Toc195869390"/>
      <w:bookmarkStart w:id="719" w:name="_Toc195897375"/>
      <w:bookmarkStart w:id="720" w:name="_Toc195899620"/>
      <w:bookmarkStart w:id="721" w:name="_Toc189413468"/>
      <w:bookmarkStart w:id="722" w:name="_Toc189413588"/>
      <w:bookmarkStart w:id="723" w:name="_Toc190032605"/>
      <w:bookmarkStart w:id="724" w:name="_Toc193048481"/>
      <w:bookmarkStart w:id="725" w:name="_Toc194413532"/>
      <w:bookmarkStart w:id="726" w:name="_Toc195811762"/>
      <w:bookmarkStart w:id="727" w:name="_Toc195869275"/>
      <w:bookmarkStart w:id="728" w:name="_Toc195869391"/>
      <w:bookmarkStart w:id="729" w:name="_Toc195897376"/>
      <w:bookmarkStart w:id="730" w:name="_Toc195899621"/>
      <w:bookmarkStart w:id="731" w:name="_Toc189413469"/>
      <w:bookmarkStart w:id="732" w:name="_Toc189413589"/>
      <w:bookmarkStart w:id="733" w:name="_Toc190032606"/>
      <w:bookmarkStart w:id="734" w:name="_Toc193048482"/>
      <w:bookmarkStart w:id="735" w:name="_Toc194413533"/>
      <w:bookmarkStart w:id="736" w:name="_Toc195811763"/>
      <w:bookmarkStart w:id="737" w:name="_Toc195869276"/>
      <w:bookmarkStart w:id="738" w:name="_Toc195869392"/>
      <w:bookmarkStart w:id="739" w:name="_Toc195897377"/>
      <w:bookmarkStart w:id="740" w:name="_Toc195899622"/>
      <w:bookmarkStart w:id="741" w:name="_Toc189413470"/>
      <w:bookmarkStart w:id="742" w:name="_Toc189413590"/>
      <w:bookmarkStart w:id="743" w:name="_Toc190032607"/>
      <w:bookmarkStart w:id="744" w:name="_Toc193048483"/>
      <w:bookmarkStart w:id="745" w:name="_Toc194413534"/>
      <w:bookmarkStart w:id="746" w:name="_Toc195811764"/>
      <w:bookmarkStart w:id="747" w:name="_Toc195869277"/>
      <w:bookmarkStart w:id="748" w:name="_Toc195869393"/>
      <w:bookmarkStart w:id="749" w:name="_Toc195897378"/>
      <w:bookmarkStart w:id="750" w:name="_Toc195899623"/>
      <w:bookmarkStart w:id="751" w:name="_Toc189413471"/>
      <w:bookmarkStart w:id="752" w:name="_Toc189413591"/>
      <w:bookmarkStart w:id="753" w:name="_Toc190032608"/>
      <w:bookmarkStart w:id="754" w:name="_Toc193048484"/>
      <w:bookmarkStart w:id="755" w:name="_Toc194413535"/>
      <w:bookmarkStart w:id="756" w:name="_Toc195811765"/>
      <w:bookmarkStart w:id="757" w:name="_Toc195869278"/>
      <w:bookmarkStart w:id="758" w:name="_Toc195869394"/>
      <w:bookmarkStart w:id="759" w:name="_Toc195897379"/>
      <w:bookmarkStart w:id="760" w:name="_Toc195899624"/>
      <w:bookmarkStart w:id="761" w:name="_Toc189413472"/>
      <w:bookmarkStart w:id="762" w:name="_Toc189413592"/>
      <w:bookmarkStart w:id="763" w:name="_Toc190032609"/>
      <w:bookmarkStart w:id="764" w:name="_Toc193048485"/>
      <w:bookmarkStart w:id="765" w:name="_Toc194413536"/>
      <w:bookmarkStart w:id="766" w:name="_Toc195811766"/>
      <w:bookmarkStart w:id="767" w:name="_Toc195869279"/>
      <w:bookmarkStart w:id="768" w:name="_Toc195869395"/>
      <w:bookmarkStart w:id="769" w:name="_Toc195897380"/>
      <w:bookmarkStart w:id="770" w:name="_Toc195899625"/>
      <w:bookmarkStart w:id="771" w:name="_Toc189413473"/>
      <w:bookmarkStart w:id="772" w:name="_Toc189413593"/>
      <w:bookmarkStart w:id="773" w:name="_Toc190032610"/>
      <w:bookmarkStart w:id="774" w:name="_Toc193048486"/>
      <w:bookmarkStart w:id="775" w:name="_Toc194413537"/>
      <w:bookmarkStart w:id="776" w:name="_Toc195811767"/>
      <w:bookmarkStart w:id="777" w:name="_Toc195869280"/>
      <w:bookmarkStart w:id="778" w:name="_Toc195869396"/>
      <w:bookmarkStart w:id="779" w:name="_Toc195897381"/>
      <w:bookmarkStart w:id="780" w:name="_Toc195899626"/>
      <w:bookmarkStart w:id="781" w:name="_Toc189413474"/>
      <w:bookmarkStart w:id="782" w:name="_Toc189413594"/>
      <w:bookmarkStart w:id="783" w:name="_Toc190032611"/>
      <w:bookmarkStart w:id="784" w:name="_Toc193048487"/>
      <w:bookmarkStart w:id="785" w:name="_Toc194413538"/>
      <w:bookmarkStart w:id="786" w:name="_Toc195811768"/>
      <w:bookmarkStart w:id="787" w:name="_Toc195869281"/>
      <w:bookmarkStart w:id="788" w:name="_Toc195869397"/>
      <w:bookmarkStart w:id="789" w:name="_Toc195897382"/>
      <w:bookmarkStart w:id="790" w:name="_Toc195899627"/>
      <w:bookmarkStart w:id="791" w:name="_Toc189413475"/>
      <w:bookmarkStart w:id="792" w:name="_Toc189413595"/>
      <w:bookmarkStart w:id="793" w:name="_Toc190032612"/>
      <w:bookmarkStart w:id="794" w:name="_Toc193048488"/>
      <w:bookmarkStart w:id="795" w:name="_Toc194413539"/>
      <w:bookmarkStart w:id="796" w:name="_Toc195811769"/>
      <w:bookmarkStart w:id="797" w:name="_Toc195869282"/>
      <w:bookmarkStart w:id="798" w:name="_Toc195869398"/>
      <w:bookmarkStart w:id="799" w:name="_Toc195897383"/>
      <w:bookmarkStart w:id="800" w:name="_Toc195899628"/>
      <w:bookmarkStart w:id="801" w:name="_Toc189413476"/>
      <w:bookmarkStart w:id="802" w:name="_Toc189413596"/>
      <w:bookmarkStart w:id="803" w:name="_Toc190032613"/>
      <w:bookmarkStart w:id="804" w:name="_Toc193048489"/>
      <w:bookmarkStart w:id="805" w:name="_Toc194413540"/>
      <w:bookmarkStart w:id="806" w:name="_Toc195811770"/>
      <w:bookmarkStart w:id="807" w:name="_Toc195869283"/>
      <w:bookmarkStart w:id="808" w:name="_Toc195869399"/>
      <w:bookmarkStart w:id="809" w:name="_Toc195897384"/>
      <w:bookmarkStart w:id="810" w:name="_Toc195899629"/>
      <w:bookmarkStart w:id="811" w:name="_Toc195897385"/>
      <w:bookmarkStart w:id="812" w:name="_Toc205203219"/>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color w:val="FFC000" w:themeColor="accent4"/>
        </w:rPr>
        <w:t>Rozwój energetyki rozproszonej</w:t>
      </w:r>
      <w:bookmarkEnd w:id="650"/>
      <w:bookmarkEnd w:id="811"/>
      <w:bookmarkEnd w:id="812"/>
      <w:r>
        <w:rPr>
          <w:color w:val="FFC000" w:themeColor="accent4"/>
        </w:rPr>
        <w:t xml:space="preserve"> </w:t>
      </w:r>
    </w:p>
    <w:p w14:paraId="59A1BA4A" w14:textId="6963536D" w:rsidR="00925327" w:rsidRDefault="00DC1AB1" w:rsidP="00103318">
      <w:pPr>
        <w:pStyle w:val="Nagwek4"/>
        <w:spacing w:before="240"/>
        <w:rPr>
          <w:color w:val="FFC000" w:themeColor="accent4"/>
        </w:rPr>
      </w:pPr>
      <w:bookmarkStart w:id="813" w:name="_Toc159598345"/>
      <w:bookmarkStart w:id="814" w:name="_Toc195897386"/>
      <w:bookmarkStart w:id="815" w:name="_Toc205203220"/>
      <w:r w:rsidRPr="00DC1AB1">
        <w:rPr>
          <w:color w:val="FFC000" w:themeColor="accent4"/>
        </w:rPr>
        <w:t>Rozwój i integracja prosumentów</w:t>
      </w:r>
      <w:bookmarkEnd w:id="813"/>
      <w:bookmarkEnd w:id="814"/>
      <w:bookmarkEnd w:id="815"/>
    </w:p>
    <w:p w14:paraId="78E2A7B8" w14:textId="39EC29D7" w:rsidR="00857C13" w:rsidRDefault="006421E0" w:rsidP="00857C13">
      <w:r>
        <w:t xml:space="preserve">Definicja </w:t>
      </w:r>
      <w:r w:rsidRPr="00DC01D8">
        <w:rPr>
          <w:b/>
          <w:bCs/>
        </w:rPr>
        <w:t xml:space="preserve">prosumenta </w:t>
      </w:r>
      <w:r>
        <w:t xml:space="preserve">pojawiła się w polskim systemie prawnym po raz pierwszy w 2016 r. (ustawa o odnawialnych źródłach energii). </w:t>
      </w:r>
      <w:r w:rsidR="00857C13">
        <w:t xml:space="preserve">W dalszej kolejności wprowadzony został </w:t>
      </w:r>
      <w:r w:rsidR="00857C13" w:rsidRPr="00857C13">
        <w:rPr>
          <w:b/>
          <w:bCs/>
        </w:rPr>
        <w:t>prosument zbiorowy</w:t>
      </w:r>
      <w:r w:rsidR="00857C13">
        <w:t xml:space="preserve"> </w:t>
      </w:r>
      <w:r w:rsidR="00857C13" w:rsidRPr="00857C13">
        <w:rPr>
          <w:b/>
          <w:bCs/>
        </w:rPr>
        <w:t>i lokatorski</w:t>
      </w:r>
      <w:r w:rsidR="00857C13">
        <w:t xml:space="preserve">, co umożliwiło włączenie do systemu mieszkańców budynków wielorodzinnych. Poza </w:t>
      </w:r>
      <w:r w:rsidR="00651AAF">
        <w:t>nimi</w:t>
      </w:r>
      <w:r w:rsidR="00974007">
        <w:t xml:space="preserve"> </w:t>
      </w:r>
      <w:r w:rsidR="00B42B5B">
        <w:t>może funkcjonować także</w:t>
      </w:r>
      <w:r w:rsidR="00857C13">
        <w:t xml:space="preserve"> </w:t>
      </w:r>
      <w:r w:rsidR="00857C13" w:rsidRPr="00665822">
        <w:rPr>
          <w:b/>
          <w:bCs/>
        </w:rPr>
        <w:t>prosument wirtualny</w:t>
      </w:r>
      <w:r w:rsidR="00857C13">
        <w:t>,</w:t>
      </w:r>
      <w:r w:rsidR="00375272">
        <w:t xml:space="preserve"> </w:t>
      </w:r>
      <w:r w:rsidR="00DC5848">
        <w:t xml:space="preserve">czyli odbiorca </w:t>
      </w:r>
      <w:r w:rsidR="004C3365">
        <w:t>końcowy, który</w:t>
      </w:r>
      <w:r w:rsidR="00CE5898">
        <w:t xml:space="preserve"> </w:t>
      </w:r>
      <w:r w:rsidR="00DB0303">
        <w:t xml:space="preserve">posiada </w:t>
      </w:r>
      <w:r w:rsidR="00F84AFD">
        <w:t>mikroinstalację</w:t>
      </w:r>
      <w:r w:rsidR="00DB0303">
        <w:t xml:space="preserve"> lub udziały</w:t>
      </w:r>
      <w:r w:rsidR="00CE5898">
        <w:t xml:space="preserve"> </w:t>
      </w:r>
      <w:r w:rsidR="00085B3F">
        <w:t xml:space="preserve">w instalacji zlokalizowanej </w:t>
      </w:r>
      <w:r w:rsidR="002243CE" w:rsidRPr="002243CE">
        <w:t>w innym miejscu niż miejsce dostarczania energii elektrycznej do tego odbiorcy</w:t>
      </w:r>
      <w:r w:rsidR="00085B3F">
        <w:t>.</w:t>
      </w:r>
    </w:p>
    <w:p w14:paraId="777016A6" w14:textId="03FD9F8B" w:rsidR="0068127F" w:rsidRDefault="006421E0" w:rsidP="0068127F">
      <w:r>
        <w:t>Na koniec 202</w:t>
      </w:r>
      <w:r w:rsidR="00A55BA3">
        <w:t>4</w:t>
      </w:r>
      <w:r>
        <w:t xml:space="preserve"> r. w Polsce energię na własne potrzeby wytwarzało </w:t>
      </w:r>
      <w:r w:rsidR="00E30DFC">
        <w:t>blisko 1,</w:t>
      </w:r>
      <w:r w:rsidR="00A55BA3">
        <w:t>5</w:t>
      </w:r>
      <w:r>
        <w:t xml:space="preserve"> </w:t>
      </w:r>
      <w:r w:rsidR="004324FC">
        <w:t>mln</w:t>
      </w:r>
      <w:r>
        <w:t xml:space="preserve"> prosumentów</w:t>
      </w:r>
      <w:r w:rsidR="00E30DFC">
        <w:t xml:space="preserve"> energii odnawialnej, w oparciu o ok. </w:t>
      </w:r>
      <w:r w:rsidR="00A55BA3">
        <w:t>12</w:t>
      </w:r>
      <w:r w:rsidR="00E30DFC">
        <w:t xml:space="preserve"> GW za</w:t>
      </w:r>
      <w:r w:rsidR="004324FC">
        <w:t>i</w:t>
      </w:r>
      <w:r w:rsidR="00E30DFC">
        <w:t>nstalow</w:t>
      </w:r>
      <w:r w:rsidR="004324FC">
        <w:t>an</w:t>
      </w:r>
      <w:r w:rsidR="00E30DFC">
        <w:t xml:space="preserve">ych niemal wyłącznie w </w:t>
      </w:r>
      <w:r w:rsidR="004324FC">
        <w:t>mikroinstalacjach</w:t>
      </w:r>
      <w:r w:rsidR="00E30DFC">
        <w:t xml:space="preserve"> </w:t>
      </w:r>
      <w:r w:rsidR="004324FC">
        <w:lastRenderedPageBreak/>
        <w:t>fotowoltaicznych</w:t>
      </w:r>
      <w:r>
        <w:rPr>
          <w:rStyle w:val="Odwoanieprzypisudolnego"/>
        </w:rPr>
        <w:footnoteReference w:id="128"/>
      </w:r>
      <w:r>
        <w:t>.</w:t>
      </w:r>
      <w:r w:rsidR="004324FC" w:rsidRPr="004324FC">
        <w:t xml:space="preserve"> </w:t>
      </w:r>
      <w:r w:rsidR="004324FC">
        <w:t>Szczególnie dynamiczny rozwój miał miejsce w latach 2019–2022, kiedy na krajowym rynku energii działalność rozpoczęło ponad 1 mln nowych prosumentów.</w:t>
      </w:r>
      <w:r w:rsidR="00DC01D8">
        <w:t xml:space="preserve"> </w:t>
      </w:r>
    </w:p>
    <w:p w14:paraId="34F3A85B" w14:textId="2DD0A277" w:rsidR="004324FC" w:rsidRDefault="006402F1" w:rsidP="0068127F">
      <w:r>
        <w:t xml:space="preserve">Niezwykle dynamiczny rozwój energetyki prosumenckiej wymagał zmiany systemu rozliczania prosumentów, tak aby zapewnić </w:t>
      </w:r>
      <w:r w:rsidRPr="006402F1">
        <w:t xml:space="preserve">stabilny rozwój energetyki rozproszonej </w:t>
      </w:r>
      <w:r>
        <w:t xml:space="preserve">oraz sprawiedliwy podział kosztów </w:t>
      </w:r>
      <w:r w:rsidRPr="006402F1">
        <w:t xml:space="preserve">utrzymania przez wszystkich uczestników rynku energii oraz </w:t>
      </w:r>
      <w:r>
        <w:t xml:space="preserve">by zapewnić adekwatne </w:t>
      </w:r>
      <w:r w:rsidRPr="006402F1">
        <w:t>korzyści po stronie prosumentów</w:t>
      </w:r>
      <w:r>
        <w:t>.</w:t>
      </w:r>
      <w:r w:rsidRPr="006402F1">
        <w:t xml:space="preserve"> </w:t>
      </w:r>
      <w:r>
        <w:t>W związku z tym o</w:t>
      </w:r>
      <w:r w:rsidR="004324FC">
        <w:t xml:space="preserve">d </w:t>
      </w:r>
      <w:r w:rsidR="0021070C">
        <w:t xml:space="preserve">kwietnia </w:t>
      </w:r>
      <w:r w:rsidR="004324FC">
        <w:t xml:space="preserve">2022 r. energia wprowadzona przez prosumentów do sieci elektroenergetycznej i z niej pobrana jest rozliczana w </w:t>
      </w:r>
      <w:r w:rsidR="004324FC" w:rsidRPr="00735CB5">
        <w:rPr>
          <w:b/>
        </w:rPr>
        <w:t xml:space="preserve">ramach </w:t>
      </w:r>
      <w:r w:rsidR="004324FC" w:rsidRPr="004324FC">
        <w:rPr>
          <w:b/>
          <w:bCs/>
        </w:rPr>
        <w:t>wartościowego</w:t>
      </w:r>
      <w:r w:rsidR="004324FC">
        <w:t xml:space="preserve"> </w:t>
      </w:r>
      <w:r w:rsidR="004324FC" w:rsidRPr="004324FC">
        <w:rPr>
          <w:b/>
          <w:bCs/>
        </w:rPr>
        <w:t>systemu net-billing</w:t>
      </w:r>
      <w:r w:rsidR="004324FC">
        <w:t xml:space="preserve"> (wcześniej net-metering)</w:t>
      </w:r>
      <w:r>
        <w:t xml:space="preserve">. Potrzeba zmiany systemu wynikała także z konieczności implementacji tego rozwiązania do polskiego systemu prawnego zgodnie z dyrektywą </w:t>
      </w:r>
      <w:r w:rsidR="00E92839">
        <w:t xml:space="preserve">UE </w:t>
      </w:r>
      <w:r>
        <w:t>2019/944 w sprawie wspólnych zasad rynku wewnętrznego energii elektrycznej.</w:t>
      </w:r>
    </w:p>
    <w:p w14:paraId="4864C5DD" w14:textId="05721D6D" w:rsidR="005C5DF0" w:rsidRDefault="005C5DF0" w:rsidP="0068127F">
      <w:r w:rsidRPr="005C5DF0">
        <w:t xml:space="preserve">Tak jak w przypadku wielkoskalowych źródeł OZE, tak i dla mikroinstalacji wąskim gardłem </w:t>
      </w:r>
      <w:r w:rsidR="00B65DEF">
        <w:t>wpływającym na tempo ich</w:t>
      </w:r>
      <w:r w:rsidR="00B65DEF" w:rsidRPr="005C5DF0">
        <w:t xml:space="preserve"> </w:t>
      </w:r>
      <w:r w:rsidRPr="005C5DF0">
        <w:t>rozwoju są sieci elektroenergetyczne – kolejno dystrybucyjne</w:t>
      </w:r>
      <w:r w:rsidR="00B557E1" w:rsidRPr="00B557E1">
        <w:t xml:space="preserve"> </w:t>
      </w:r>
      <w:r w:rsidR="00B557E1">
        <w:t xml:space="preserve">i </w:t>
      </w:r>
      <w:r w:rsidR="00B557E1" w:rsidRPr="005C5DF0">
        <w:t>przesyłowe</w:t>
      </w:r>
      <w:r w:rsidRPr="005C5DF0">
        <w:t xml:space="preserve">. </w:t>
      </w:r>
      <w:r w:rsidR="00DC01D8">
        <w:t xml:space="preserve">Dlatego dalszy </w:t>
      </w:r>
      <w:r w:rsidRPr="005C5DF0">
        <w:t>rozw</w:t>
      </w:r>
      <w:r w:rsidR="00DC01D8">
        <w:t>ój</w:t>
      </w:r>
      <w:r w:rsidRPr="005C5DF0">
        <w:t xml:space="preserve"> tego segmentu rynku jest ściśle </w:t>
      </w:r>
      <w:r w:rsidR="00C01F58" w:rsidRPr="005C5DF0">
        <w:t>powiązan</w:t>
      </w:r>
      <w:r w:rsidR="00C01F58">
        <w:t>y</w:t>
      </w:r>
      <w:r w:rsidR="00C01F58" w:rsidRPr="005C5DF0">
        <w:t xml:space="preserve"> </w:t>
      </w:r>
      <w:r w:rsidRPr="005C5DF0">
        <w:t>z inwestycjami w sieci oraz zwiększeniem możliwości magazynowania energii</w:t>
      </w:r>
      <w:r w:rsidR="00DC01D8">
        <w:t xml:space="preserve">. </w:t>
      </w:r>
      <w:r w:rsidR="00ED63E6">
        <w:t>Sprzężenie m</w:t>
      </w:r>
      <w:r w:rsidR="00DC01D8">
        <w:t>agazyn</w:t>
      </w:r>
      <w:r w:rsidR="00ED63E6">
        <w:t>ów z instalacjami wytwórczymi pozwala na to, by możliwe było przyłączanie większej liczby prosumentów, ale bez istotnego negatywnego wpływu na zarządzenie pracą sieci – zarówno w okresach dużej produkcji energii z OZE, jak i w okresach niskiej generacji</w:t>
      </w:r>
      <w:r w:rsidR="00ED63E6">
        <w:rPr>
          <w:rStyle w:val="Odwoanieprzypisudolnego"/>
        </w:rPr>
        <w:footnoteReference w:id="129"/>
      </w:r>
      <w:r w:rsidR="00ED63E6">
        <w:t xml:space="preserve">. </w:t>
      </w:r>
    </w:p>
    <w:p w14:paraId="3AFF8723" w14:textId="4EB4EB7A" w:rsidR="00647F2A" w:rsidRPr="00B377B2" w:rsidRDefault="00E92839" w:rsidP="00647F2A">
      <w:pPr>
        <w:pStyle w:val="Cele"/>
      </w:pPr>
      <w:r>
        <w:rPr>
          <w:b/>
          <w:bCs/>
        </w:rPr>
        <w:t>Ocenia</w:t>
      </w:r>
      <w:r w:rsidR="0068127F">
        <w:rPr>
          <w:b/>
          <w:bCs/>
        </w:rPr>
        <w:t xml:space="preserve"> się, że</w:t>
      </w:r>
      <w:r w:rsidR="00647F2A" w:rsidRPr="0068127F">
        <w:rPr>
          <w:b/>
          <w:bCs/>
        </w:rPr>
        <w:t xml:space="preserve"> w 2030 r. </w:t>
      </w:r>
      <w:r w:rsidR="0068127F" w:rsidRPr="0068127F">
        <w:rPr>
          <w:b/>
          <w:bCs/>
        </w:rPr>
        <w:t>w Polsce może funkcjonować ok. 2 mln prosumentów</w:t>
      </w:r>
      <w:r w:rsidR="0068127F">
        <w:t xml:space="preserve">. </w:t>
      </w:r>
      <w:r w:rsidR="00647F2A" w:rsidRPr="00080BA7">
        <w:rPr>
          <w:i/>
          <w:iCs/>
        </w:rPr>
        <w:t>[szacunki nie mają charakteru celu]</w:t>
      </w:r>
    </w:p>
    <w:p w14:paraId="4F67075C" w14:textId="77777777" w:rsidR="00647F2A" w:rsidRDefault="00647F2A" w:rsidP="00DC01D8">
      <w:pPr>
        <w:pStyle w:val="PaMs"/>
      </w:pPr>
      <w:r w:rsidRPr="00C46DAA">
        <w:t>POLITYKA</w:t>
      </w:r>
    </w:p>
    <w:p w14:paraId="0C80A9ED" w14:textId="7116DC8A" w:rsidR="00647F2A" w:rsidRDefault="00DC01D8" w:rsidP="00647F2A">
      <w:r>
        <w:t xml:space="preserve">Nadal wspierany będzie rozwój energetyki prosumenckiej poprzez </w:t>
      </w:r>
      <w:r w:rsidRPr="00DC01D8">
        <w:t xml:space="preserve">rozwijanie programów dofinansowujących </w:t>
      </w:r>
      <w:r w:rsidRPr="00857C13">
        <w:rPr>
          <w:b/>
          <w:bCs/>
        </w:rPr>
        <w:t>mikroinstalacje fotowoltaiczne, ale wraz z magazynami energii</w:t>
      </w:r>
      <w:r w:rsidR="00857C13">
        <w:t>.</w:t>
      </w:r>
    </w:p>
    <w:p w14:paraId="4CC62CC1" w14:textId="497953BD" w:rsidR="00857C13" w:rsidRDefault="00857C13" w:rsidP="00647F2A">
      <w:r w:rsidRPr="00857C13">
        <w:t xml:space="preserve">Pożądanym kierunkiem zmian w rozwoju energetyki prosumenckiej jest uczynienie z prosumentów </w:t>
      </w:r>
      <w:r w:rsidRPr="002C5C76">
        <w:rPr>
          <w:b/>
          <w:bCs/>
        </w:rPr>
        <w:t>świadomych</w:t>
      </w:r>
      <w:r w:rsidRPr="00857C13">
        <w:t xml:space="preserve"> </w:t>
      </w:r>
      <w:r w:rsidRPr="00351422">
        <w:rPr>
          <w:b/>
        </w:rPr>
        <w:t>uczestników rynku</w:t>
      </w:r>
      <w:r>
        <w:t xml:space="preserve">, co jest warunkiem </w:t>
      </w:r>
      <w:r w:rsidRPr="00857C13">
        <w:t>dalsz</w:t>
      </w:r>
      <w:r>
        <w:t>ego</w:t>
      </w:r>
      <w:r w:rsidRPr="00857C13">
        <w:t xml:space="preserve"> dynamiczn</w:t>
      </w:r>
      <w:r>
        <w:t>ego</w:t>
      </w:r>
      <w:r w:rsidRPr="00857C13">
        <w:t xml:space="preserve"> rozw</w:t>
      </w:r>
      <w:r>
        <w:t>oju energetyki prosume</w:t>
      </w:r>
      <w:r w:rsidR="00527FE6">
        <w:t>n</w:t>
      </w:r>
      <w:r>
        <w:t>ckiej</w:t>
      </w:r>
      <w:r w:rsidRPr="00857C13">
        <w:t>. Z wykorzystaniem magazynów energii będą oni odpowiednio zarządzać swoim popytem (DSR), aby w jak największym stopniu konsumować energię z własnej instalacji</w:t>
      </w:r>
      <w:r>
        <w:t xml:space="preserve"> – </w:t>
      </w:r>
      <w:r w:rsidRPr="00857C13">
        <w:t>co w efekcie będzie odciążało sieci dystrybucyjne</w:t>
      </w:r>
      <w:r>
        <w:t xml:space="preserve">. </w:t>
      </w:r>
      <w:r w:rsidR="002C5C76">
        <w:t xml:space="preserve">Dużym wsparciem dla prosumentów w tym obszarze będzie rozwój </w:t>
      </w:r>
      <w:r w:rsidR="002C5C76" w:rsidRPr="002C5C76">
        <w:rPr>
          <w:b/>
          <w:bCs/>
        </w:rPr>
        <w:t>inteligentnych sieci</w:t>
      </w:r>
      <w:r w:rsidR="002C5C76">
        <w:t>. Ma to p</w:t>
      </w:r>
      <w:r>
        <w:t>ozwoli</w:t>
      </w:r>
      <w:r w:rsidR="002C5C76">
        <w:t>ć</w:t>
      </w:r>
      <w:r>
        <w:t xml:space="preserve"> także na zredukowanie potrzeb budowy dodatkowych mocy rezerwowych oraz wymuszania istotnego ograniczania pracy innych jednostek wytwórczych. </w:t>
      </w:r>
    </w:p>
    <w:p w14:paraId="31DEE70C" w14:textId="1508AF68" w:rsidR="00857C13" w:rsidRDefault="00857C13" w:rsidP="00647F2A">
      <w:r w:rsidRPr="00857C13">
        <w:t xml:space="preserve">Zachętą ekonomiczną do takich działań będzie </w:t>
      </w:r>
      <w:r w:rsidRPr="00857C13">
        <w:rPr>
          <w:b/>
          <w:bCs/>
        </w:rPr>
        <w:t>rozliczenie po cenach godzinowych</w:t>
      </w:r>
      <w:r w:rsidR="006D0033">
        <w:t>.</w:t>
      </w:r>
      <w:r w:rsidRPr="00857C13">
        <w:t xml:space="preserve"> </w:t>
      </w:r>
      <w:r w:rsidR="006D0033">
        <w:t>W</w:t>
      </w:r>
      <w:r w:rsidRPr="00857C13">
        <w:t xml:space="preserve"> naturalny sposób </w:t>
      </w:r>
      <w:r w:rsidR="006D0033">
        <w:t xml:space="preserve">będzie to </w:t>
      </w:r>
      <w:r w:rsidRPr="00857C13">
        <w:t xml:space="preserve">premiować możliwie najwyższy poziom </w:t>
      </w:r>
      <w:r w:rsidRPr="00857C13">
        <w:rPr>
          <w:b/>
          <w:bCs/>
        </w:rPr>
        <w:t>autokonsumpcji oraz wprowadzenie energii do sieci w</w:t>
      </w:r>
      <w:r w:rsidR="00F311C3">
        <w:rPr>
          <w:b/>
          <w:bCs/>
        </w:rPr>
        <w:t> </w:t>
      </w:r>
      <w:r w:rsidRPr="00857C13">
        <w:rPr>
          <w:b/>
          <w:bCs/>
        </w:rPr>
        <w:t>czasie, gdy jest na nią większe zapotrzebowanie</w:t>
      </w:r>
      <w:r w:rsidRPr="00857C13">
        <w:t>, wspomagając tym samym bilansowanie systemu elektroenergetycznego.</w:t>
      </w:r>
      <w:r w:rsidR="002C5C76">
        <w:t xml:space="preserve"> </w:t>
      </w:r>
    </w:p>
    <w:p w14:paraId="7E323508" w14:textId="093DD90A" w:rsidR="0099039E" w:rsidRDefault="0099039E" w:rsidP="00647F2A">
      <w:r>
        <w:t xml:space="preserve">Polityka regulacyjna i wsparcie finansowe będą ukierunkowane również </w:t>
      </w:r>
      <w:r w:rsidR="00B65DEF">
        <w:t xml:space="preserve">na </w:t>
      </w:r>
      <w:r w:rsidRPr="0099039E">
        <w:rPr>
          <w:b/>
          <w:bCs/>
        </w:rPr>
        <w:t>działania operatorów sieci dystrybucyjnych mające na celu rozbudowę i modernizację sieci</w:t>
      </w:r>
      <w:r>
        <w:t xml:space="preserve">, tak aby były lepiej przystosowane do rosnącego udziału prosumentów w rynku. Rosnąca moc zainstalowana i </w:t>
      </w:r>
      <w:r w:rsidR="005C553C">
        <w:t>liczba</w:t>
      </w:r>
      <w:r>
        <w:t xml:space="preserve"> mikroinstalacji zmienia charakterystykę pracy systemu na generację rozproszoną, co wymaga zastosowania nowych rozwiązań i pracy sieci w trybie dwukierunkowym. </w:t>
      </w:r>
    </w:p>
    <w:p w14:paraId="594CD3AB" w14:textId="3536E07A" w:rsidR="00B65DEF" w:rsidRDefault="00B65DEF" w:rsidP="00647F2A">
      <w:r w:rsidRPr="00FA3BDC">
        <w:t xml:space="preserve">Dużym wsparciem dla podmiotów zainteresowanych inwestycjami </w:t>
      </w:r>
      <w:r>
        <w:t xml:space="preserve">OZE </w:t>
      </w:r>
      <w:r w:rsidRPr="00FA3BDC">
        <w:t xml:space="preserve">będzie uruchomienie </w:t>
      </w:r>
      <w:r w:rsidRPr="00B65DEF">
        <w:rPr>
          <w:b/>
          <w:bCs/>
        </w:rPr>
        <w:t>Krajowego Punktu Kontaktowego ds. OZE</w:t>
      </w:r>
      <w:r w:rsidR="00755335">
        <w:t xml:space="preserve"> (KPK OZE)</w:t>
      </w:r>
      <w:r w:rsidR="00755335" w:rsidRPr="00FA3BDC">
        <w:t xml:space="preserve">. </w:t>
      </w:r>
      <w:r>
        <w:t xml:space="preserve">KPK OZE przeznaczony będzie </w:t>
      </w:r>
      <w:r w:rsidR="0804A7B5">
        <w:t>przede wszystkim</w:t>
      </w:r>
      <w:r>
        <w:t xml:space="preserve"> dla </w:t>
      </w:r>
      <w:r w:rsidR="7CCD62F4">
        <w:t>osób chcących zostać</w:t>
      </w:r>
      <w:r w:rsidR="619C561B">
        <w:t xml:space="preserve"> prosument</w:t>
      </w:r>
      <w:r w:rsidR="54CB8CFE">
        <w:t>ami</w:t>
      </w:r>
      <w:r w:rsidR="619C561B">
        <w:t xml:space="preserve"> </w:t>
      </w:r>
      <w:r w:rsidR="7A55C05C">
        <w:t xml:space="preserve">energii odnawialnej </w:t>
      </w:r>
      <w:r w:rsidR="719E64EB">
        <w:t>lub wytwórcami energii z OZE</w:t>
      </w:r>
      <w:r>
        <w:t>.</w:t>
      </w:r>
      <w:r w:rsidR="4C9EFCAA">
        <w:t xml:space="preserve"> KPK OZE może stanowić jednocześnie wsparcie</w:t>
      </w:r>
      <w:r w:rsidR="1D1C1D22">
        <w:t xml:space="preserve"> także</w:t>
      </w:r>
      <w:r w:rsidR="4C9EFCAA">
        <w:t xml:space="preserve"> dla profesjonalnych podmiotów uczestniczących już w rynku </w:t>
      </w:r>
      <w:r w:rsidR="4C9EFCAA">
        <w:lastRenderedPageBreak/>
        <w:t>energii odnawialnej.</w:t>
      </w:r>
      <w:r w:rsidR="006842D2">
        <w:t xml:space="preserve"> </w:t>
      </w:r>
      <w:r w:rsidR="00755335">
        <w:t xml:space="preserve">Punkt będzie </w:t>
      </w:r>
      <w:r w:rsidR="00755335" w:rsidRPr="00FA3BDC">
        <w:t>działa</w:t>
      </w:r>
      <w:r w:rsidR="00755335">
        <w:t>ł</w:t>
      </w:r>
      <w:r w:rsidR="00755335" w:rsidRPr="00FA3BDC">
        <w:t xml:space="preserve"> w</w:t>
      </w:r>
      <w:r w:rsidR="00755335">
        <w:t> </w:t>
      </w:r>
      <w:r w:rsidR="00755335" w:rsidRPr="00FA3BDC">
        <w:t xml:space="preserve">ramach strony internetowej, </w:t>
      </w:r>
      <w:r w:rsidR="00755335">
        <w:t xml:space="preserve">na której </w:t>
      </w:r>
      <w:r w:rsidR="00755335" w:rsidRPr="00FA3BDC">
        <w:t>udostępni</w:t>
      </w:r>
      <w:r w:rsidR="00755335">
        <w:t>ony zostanie</w:t>
      </w:r>
      <w:r w:rsidR="00755335" w:rsidRPr="00FA3BDC">
        <w:t xml:space="preserve"> podręcznik, który dostarczy inwestorom kompleksowej wiedzy na temat proces</w:t>
      </w:r>
      <w:r w:rsidR="00755335">
        <w:t>ów</w:t>
      </w:r>
      <w:r w:rsidR="00755335" w:rsidRPr="00FA3BDC">
        <w:t xml:space="preserve"> inwestycyjn</w:t>
      </w:r>
      <w:r w:rsidR="00755335">
        <w:t>ych w</w:t>
      </w:r>
      <w:r w:rsidR="006842D2">
        <w:t> </w:t>
      </w:r>
      <w:r w:rsidR="00755335">
        <w:t>instalacje OZE</w:t>
      </w:r>
      <w:r w:rsidRPr="00FA3BDC">
        <w:t>. Dodatkowo</w:t>
      </w:r>
      <w:r w:rsidR="619C561B">
        <w:t xml:space="preserve"> </w:t>
      </w:r>
      <w:r w:rsidR="2FEBA504">
        <w:t>strona</w:t>
      </w:r>
      <w:r w:rsidRPr="00FA3BDC">
        <w:t xml:space="preserve"> będzie </w:t>
      </w:r>
      <w:r>
        <w:t xml:space="preserve">umożliwiać </w:t>
      </w:r>
      <w:r w:rsidRPr="00FA3BDC">
        <w:t>zwróc</w:t>
      </w:r>
      <w:r>
        <w:t>enie</w:t>
      </w:r>
      <w:r w:rsidRPr="00FA3BDC">
        <w:t xml:space="preserve"> się o indywidualną pomoc </w:t>
      </w:r>
      <w:r>
        <w:t>za sprawą</w:t>
      </w:r>
      <w:r w:rsidRPr="00FA3BDC">
        <w:t xml:space="preserve"> formularza kontaktowego.</w:t>
      </w:r>
      <w:r>
        <w:t xml:space="preserve"> </w:t>
      </w:r>
      <w:r w:rsidR="00691CB3">
        <w:t xml:space="preserve">Ponadto </w:t>
      </w:r>
      <w:r w:rsidR="00543F4F">
        <w:t xml:space="preserve">planowane jest </w:t>
      </w:r>
      <w:r w:rsidR="00691CB3">
        <w:t>utworz</w:t>
      </w:r>
      <w:r w:rsidR="00543F4F">
        <w:t>enie</w:t>
      </w:r>
      <w:r w:rsidR="00691CB3">
        <w:t xml:space="preserve"> </w:t>
      </w:r>
      <w:r w:rsidR="00702211" w:rsidRPr="004D6F82">
        <w:rPr>
          <w:lang w:eastAsia="pl-PL"/>
        </w:rPr>
        <w:t>ogólnokrajow</w:t>
      </w:r>
      <w:r w:rsidR="00691CB3">
        <w:rPr>
          <w:lang w:eastAsia="pl-PL"/>
        </w:rPr>
        <w:t>e</w:t>
      </w:r>
      <w:r w:rsidR="00543F4F">
        <w:rPr>
          <w:lang w:eastAsia="pl-PL"/>
        </w:rPr>
        <w:t>go</w:t>
      </w:r>
      <w:r w:rsidR="00702211" w:rsidRPr="004D6F82">
        <w:rPr>
          <w:lang w:eastAsia="pl-PL"/>
        </w:rPr>
        <w:t xml:space="preserve"> C</w:t>
      </w:r>
      <w:r w:rsidR="00535D43">
        <w:rPr>
          <w:lang w:eastAsia="pl-PL"/>
        </w:rPr>
        <w:t xml:space="preserve">entrum </w:t>
      </w:r>
      <w:r w:rsidR="00702211" w:rsidRPr="004D6F82">
        <w:rPr>
          <w:lang w:eastAsia="pl-PL"/>
        </w:rPr>
        <w:t>W</w:t>
      </w:r>
      <w:r w:rsidR="00535D43">
        <w:rPr>
          <w:lang w:eastAsia="pl-PL"/>
        </w:rPr>
        <w:t xml:space="preserve">sparcia </w:t>
      </w:r>
      <w:r w:rsidR="00702211" w:rsidRPr="004D6F82">
        <w:rPr>
          <w:lang w:eastAsia="pl-PL"/>
        </w:rPr>
        <w:t>T</w:t>
      </w:r>
      <w:r w:rsidR="00193BEC">
        <w:rPr>
          <w:lang w:eastAsia="pl-PL"/>
        </w:rPr>
        <w:t xml:space="preserve">ransformacji </w:t>
      </w:r>
      <w:r w:rsidR="00702211" w:rsidRPr="004D6F82">
        <w:rPr>
          <w:lang w:eastAsia="pl-PL"/>
        </w:rPr>
        <w:t>E</w:t>
      </w:r>
      <w:r w:rsidR="00193BEC">
        <w:rPr>
          <w:lang w:eastAsia="pl-PL"/>
        </w:rPr>
        <w:t>nergetycznej</w:t>
      </w:r>
      <w:r w:rsidR="00702211" w:rsidRPr="004D6F82">
        <w:rPr>
          <w:lang w:eastAsia="pl-PL"/>
        </w:rPr>
        <w:t>. Będzie on</w:t>
      </w:r>
      <w:r w:rsidR="00193BEC">
        <w:rPr>
          <w:lang w:eastAsia="pl-PL"/>
        </w:rPr>
        <w:t>o</w:t>
      </w:r>
      <w:r w:rsidR="00702211" w:rsidRPr="004D6F82">
        <w:rPr>
          <w:lang w:eastAsia="pl-PL"/>
        </w:rPr>
        <w:t xml:space="preserve"> zapewniać informacje o procedurach administracyjnych, technologiach, dostępnych funduszach i partnerach inwestycyjnych. CWTE powinien mieć strukturę obejmującą doradztwo administracyjne oraz </w:t>
      </w:r>
      <w:r w:rsidR="001808B7">
        <w:rPr>
          <w:lang w:eastAsia="pl-PL"/>
        </w:rPr>
        <w:t xml:space="preserve">pomoc </w:t>
      </w:r>
      <w:r w:rsidR="00702211" w:rsidRPr="004D6F82">
        <w:rPr>
          <w:lang w:eastAsia="pl-PL"/>
        </w:rPr>
        <w:t>ekspercką w zakresie energetyki, transportu, ciepłownictwa, budownictwa, przemysłu i rolnictwa</w:t>
      </w:r>
    </w:p>
    <w:p w14:paraId="3F039096" w14:textId="77777777" w:rsidR="00647F2A" w:rsidRPr="00C46DAA" w:rsidRDefault="00647F2A" w:rsidP="00DC01D8">
      <w:pPr>
        <w:pStyle w:val="PaMs"/>
      </w:pPr>
      <w:r w:rsidRPr="00C46DAA">
        <w:t>DZIAŁANIA</w:t>
      </w:r>
    </w:p>
    <w:p w14:paraId="3CC985F4" w14:textId="61860248" w:rsidR="008C4717" w:rsidRDefault="008C4717" w:rsidP="000625AC">
      <w:pPr>
        <w:pStyle w:val="Akapitzlist"/>
        <w:numPr>
          <w:ilvl w:val="0"/>
          <w:numId w:val="120"/>
        </w:numPr>
      </w:pPr>
      <w:r>
        <w:fldChar w:fldCharType="begin"/>
      </w:r>
      <w:r>
        <w:instrText xml:space="preserve"> REF _Ref195893882 \h </w:instrText>
      </w:r>
      <w:r>
        <w:fldChar w:fldCharType="separate"/>
      </w:r>
      <w:r w:rsidR="00871DD5">
        <w:t xml:space="preserve">Działanie </w:t>
      </w:r>
      <w:r w:rsidR="00871DD5">
        <w:rPr>
          <w:noProof/>
        </w:rPr>
        <w:t>14</w:t>
      </w:r>
      <w:r w:rsidR="00871DD5">
        <w:t xml:space="preserve">. </w:t>
      </w:r>
      <w:r w:rsidR="00871DD5" w:rsidRPr="00FC0840">
        <w:t>Instrument finansowy – Program Priorytetowy NFOŚiGW – „Mój Prąd”</w:t>
      </w:r>
      <w:r>
        <w:fldChar w:fldCharType="end"/>
      </w:r>
    </w:p>
    <w:p w14:paraId="5E42A9FC" w14:textId="7C00FE58" w:rsidR="008B3EC8" w:rsidRDefault="008B3EC8" w:rsidP="008B3EC8">
      <w:pPr>
        <w:pStyle w:val="Akapitzlist"/>
        <w:numPr>
          <w:ilvl w:val="0"/>
          <w:numId w:val="120"/>
        </w:numPr>
      </w:pPr>
      <w:r>
        <w:fldChar w:fldCharType="begin"/>
      </w:r>
      <w:r>
        <w:instrText xml:space="preserve"> REF _Ref195893365 \h </w:instrText>
      </w:r>
      <w:r>
        <w:fldChar w:fldCharType="separate"/>
      </w:r>
      <w:r w:rsidR="00871DD5">
        <w:t xml:space="preserve">Działanie </w:t>
      </w:r>
      <w:r w:rsidR="00871DD5">
        <w:rPr>
          <w:noProof/>
        </w:rPr>
        <w:t>17</w:t>
      </w:r>
      <w:r w:rsidR="00871DD5">
        <w:t>.</w:t>
      </w:r>
      <w:r w:rsidR="00871DD5" w:rsidRPr="00077D7F">
        <w:rPr>
          <w:lang w:eastAsia="pl-PL"/>
        </w:rPr>
        <w:t xml:space="preserve"> Rozwój rynku </w:t>
      </w:r>
      <w:r w:rsidR="00871DD5" w:rsidRPr="00731E3F">
        <w:t>magazynów</w:t>
      </w:r>
      <w:r w:rsidR="00871DD5" w:rsidRPr="00077D7F">
        <w:rPr>
          <w:lang w:eastAsia="pl-PL"/>
        </w:rPr>
        <w:t xml:space="preserve"> energii elektrycznej oraz magazynów ciepła</w:t>
      </w:r>
      <w:r>
        <w:fldChar w:fldCharType="end"/>
      </w:r>
    </w:p>
    <w:p w14:paraId="13BC94A6" w14:textId="737B2375" w:rsidR="00CE3C25" w:rsidRPr="00CE3C25" w:rsidRDefault="00CE3C25" w:rsidP="00CE3C25">
      <w:pPr>
        <w:pStyle w:val="Akapitzlist"/>
        <w:numPr>
          <w:ilvl w:val="0"/>
          <w:numId w:val="120"/>
        </w:numPr>
        <w:rPr>
          <w:szCs w:val="20"/>
        </w:rPr>
      </w:pPr>
      <w:r>
        <w:rPr>
          <w:szCs w:val="20"/>
        </w:rPr>
        <w:fldChar w:fldCharType="begin"/>
      </w:r>
      <w:r w:rsidRPr="00CE3C25">
        <w:rPr>
          <w:szCs w:val="20"/>
        </w:rPr>
        <w:instrText xml:space="preserve"> REF _Ref203401018 \h </w:instrText>
      </w:r>
      <w:r>
        <w:rPr>
          <w:szCs w:val="20"/>
        </w:rPr>
      </w:r>
      <w:r>
        <w:rPr>
          <w:szCs w:val="20"/>
        </w:rPr>
        <w:fldChar w:fldCharType="separate"/>
      </w:r>
      <w:r w:rsidR="00871DD5" w:rsidRPr="00FB68C2">
        <w:rPr>
          <w:rStyle w:val="Nagwek6Znak"/>
        </w:rPr>
        <w:t xml:space="preserve">Działanie </w:t>
      </w:r>
      <w:r w:rsidR="00871DD5">
        <w:rPr>
          <w:noProof/>
        </w:rPr>
        <w:t>28</w:t>
      </w:r>
      <w:r w:rsidR="00871DD5" w:rsidRPr="00FB68C2">
        <w:rPr>
          <w:rStyle w:val="Nagwek6Znak"/>
        </w:rPr>
        <w:t xml:space="preserve">. </w:t>
      </w:r>
      <w:r w:rsidR="00871DD5" w:rsidRPr="00077D7F">
        <w:rPr>
          <w:rFonts w:eastAsia="Times New Roman" w:cs="Times New Roman"/>
          <w:bCs/>
          <w:color w:val="000000"/>
          <w:lang w:eastAsia="pl-PL"/>
        </w:rPr>
        <w:t>Rozwój rynku pomp ciepła w Polsce</w:t>
      </w:r>
      <w:r>
        <w:rPr>
          <w:szCs w:val="20"/>
        </w:rPr>
        <w:fldChar w:fldCharType="end"/>
      </w:r>
    </w:p>
    <w:p w14:paraId="7111FAAC" w14:textId="75E875AB" w:rsidR="008C16A4" w:rsidRPr="00C46DAA" w:rsidRDefault="002C0334" w:rsidP="000625AC">
      <w:pPr>
        <w:pStyle w:val="Akapitzlist"/>
        <w:numPr>
          <w:ilvl w:val="0"/>
          <w:numId w:val="120"/>
        </w:numPr>
      </w:pPr>
      <w:r w:rsidRPr="00054354">
        <w:fldChar w:fldCharType="begin"/>
      </w:r>
      <w:r w:rsidRPr="00054354">
        <w:instrText xml:space="preserve"> REF _Ref195888225 \h </w:instrText>
      </w:r>
      <w:r w:rsidR="00054354">
        <w:instrText xml:space="preserve"> \* MERGEFORMAT </w:instrText>
      </w:r>
      <w:r w:rsidRPr="00054354">
        <w:fldChar w:fldCharType="separate"/>
      </w:r>
      <w:r w:rsidR="00871DD5" w:rsidRPr="00871DD5">
        <w:rPr>
          <w:rStyle w:val="Nagwek6Znak"/>
          <w:rFonts w:ascii="Lato" w:hAnsi="Lato"/>
          <w:b w:val="0"/>
        </w:rPr>
        <w:t xml:space="preserve">Działanie </w:t>
      </w:r>
      <w:r w:rsidR="00871DD5" w:rsidRPr="00871DD5">
        <w:rPr>
          <w:rFonts w:eastAsia="Times New Roman" w:cs="Times New Roman"/>
          <w:bCs/>
          <w:color w:val="000000"/>
          <w:lang w:eastAsia="pl-PL"/>
        </w:rPr>
        <w:t xml:space="preserve">140. </w:t>
      </w:r>
      <w:r w:rsidR="00871DD5" w:rsidRPr="004D6F82">
        <w:rPr>
          <w:rFonts w:eastAsia="Times New Roman" w:cs="Times New Roman"/>
          <w:bCs/>
          <w:color w:val="000000"/>
          <w:lang w:eastAsia="pl-PL"/>
        </w:rPr>
        <w:t>Upowszechnienie umów z ceną dynamiczną</w:t>
      </w:r>
      <w:r w:rsidRPr="00054354">
        <w:fldChar w:fldCharType="end"/>
      </w:r>
    </w:p>
    <w:p w14:paraId="603955AB" w14:textId="4D3859E6" w:rsidR="002C0334" w:rsidRDefault="002C0334" w:rsidP="000625AC">
      <w:pPr>
        <w:pStyle w:val="Akapitzlist"/>
        <w:numPr>
          <w:ilvl w:val="0"/>
          <w:numId w:val="120"/>
        </w:numPr>
      </w:pPr>
      <w:r w:rsidRPr="00054354">
        <w:fldChar w:fldCharType="begin"/>
      </w:r>
      <w:r w:rsidRPr="00054354">
        <w:instrText xml:space="preserve"> REF _Ref195888233 \h </w:instrText>
      </w:r>
      <w:r w:rsidR="00054354">
        <w:instrText xml:space="preserve"> \* MERGEFORMAT </w:instrText>
      </w:r>
      <w:r w:rsidRPr="00054354">
        <w:fldChar w:fldCharType="separate"/>
      </w:r>
      <w:r w:rsidR="00871DD5" w:rsidRPr="00871DD5">
        <w:rPr>
          <w:rStyle w:val="Nagwek6Znak"/>
          <w:rFonts w:ascii="Lato" w:hAnsi="Lato"/>
          <w:b w:val="0"/>
        </w:rPr>
        <w:t xml:space="preserve">Działanie </w:t>
      </w:r>
      <w:r w:rsidR="00871DD5" w:rsidRPr="00871DD5">
        <w:rPr>
          <w:lang w:eastAsia="pl-PL"/>
        </w:rPr>
        <w:t xml:space="preserve">141. </w:t>
      </w:r>
      <w:r w:rsidR="00871DD5" w:rsidRPr="004D6F82">
        <w:rPr>
          <w:lang w:eastAsia="pl-PL"/>
        </w:rPr>
        <w:t>Krajowy Punkt Kontaktowy do spraw odnawialnych źródeł energii</w:t>
      </w:r>
      <w:r w:rsidRPr="00054354">
        <w:fldChar w:fldCharType="end"/>
      </w:r>
    </w:p>
    <w:p w14:paraId="3F3210B6" w14:textId="6F173292" w:rsidR="002C0334" w:rsidRDefault="002C0334" w:rsidP="000625AC">
      <w:pPr>
        <w:pStyle w:val="Akapitzlist"/>
        <w:numPr>
          <w:ilvl w:val="0"/>
          <w:numId w:val="120"/>
        </w:numPr>
      </w:pPr>
      <w:r w:rsidRPr="00054354">
        <w:fldChar w:fldCharType="begin"/>
      </w:r>
      <w:r w:rsidRPr="00054354">
        <w:instrText xml:space="preserve"> REF _Ref195888269 \h </w:instrText>
      </w:r>
      <w:r w:rsidR="00054354">
        <w:instrText xml:space="preserve"> \* MERGEFORMAT </w:instrText>
      </w:r>
      <w:r w:rsidRPr="00054354">
        <w:fldChar w:fldCharType="separate"/>
      </w:r>
      <w:r w:rsidR="00871DD5" w:rsidRPr="00871DD5">
        <w:rPr>
          <w:rStyle w:val="Nagwek6Znak"/>
          <w:rFonts w:ascii="Lato" w:hAnsi="Lato"/>
          <w:b w:val="0"/>
        </w:rPr>
        <w:t xml:space="preserve">Działanie </w:t>
      </w:r>
      <w:r w:rsidR="00871DD5" w:rsidRPr="00871DD5">
        <w:rPr>
          <w:lang w:eastAsia="pl-PL"/>
        </w:rPr>
        <w:t xml:space="preserve">143. </w:t>
      </w:r>
      <w:r w:rsidR="00871DD5" w:rsidRPr="004D6F82">
        <w:rPr>
          <w:lang w:eastAsia="pl-PL"/>
        </w:rPr>
        <w:t>Stworzenie Centrum Wsparcia Transformacji Energetycznej (CWTE)</w:t>
      </w:r>
      <w:r w:rsidRPr="00054354">
        <w:fldChar w:fldCharType="end"/>
      </w:r>
    </w:p>
    <w:p w14:paraId="539FF6AC" w14:textId="0D588982" w:rsidR="002C0334" w:rsidRDefault="00054354" w:rsidP="000625AC">
      <w:pPr>
        <w:pStyle w:val="Akapitzlist"/>
        <w:numPr>
          <w:ilvl w:val="0"/>
          <w:numId w:val="120"/>
        </w:numPr>
      </w:pPr>
      <w:r w:rsidRPr="00054354">
        <w:fldChar w:fldCharType="begin"/>
      </w:r>
      <w:r w:rsidRPr="00054354">
        <w:instrText xml:space="preserve"> REF _Ref195888300 \h </w:instrText>
      </w:r>
      <w:r>
        <w:instrText xml:space="preserve"> \* MERGEFORMAT </w:instrText>
      </w:r>
      <w:r w:rsidRPr="00054354">
        <w:fldChar w:fldCharType="separate"/>
      </w:r>
      <w:r w:rsidR="00871DD5" w:rsidRPr="00871DD5">
        <w:rPr>
          <w:rStyle w:val="Nagwek6Znak"/>
          <w:rFonts w:ascii="Lato" w:hAnsi="Lato"/>
          <w:b w:val="0"/>
        </w:rPr>
        <w:t xml:space="preserve">Działanie </w:t>
      </w:r>
      <w:r w:rsidR="00871DD5" w:rsidRPr="00871DD5">
        <w:rPr>
          <w:lang w:eastAsia="pl-PL"/>
        </w:rPr>
        <w:t xml:space="preserve">152. </w:t>
      </w:r>
      <w:r w:rsidR="00871DD5" w:rsidRPr="004D6F82">
        <w:rPr>
          <w:lang w:eastAsia="pl-PL"/>
        </w:rPr>
        <w:t>Budowanie świadomości w zakresie transformacji energetyczno-klimatycznej</w:t>
      </w:r>
      <w:r w:rsidRPr="00054354">
        <w:fldChar w:fldCharType="end"/>
      </w:r>
    </w:p>
    <w:p w14:paraId="4CEBB638" w14:textId="27D7F4CE" w:rsidR="00DC1AB1" w:rsidRDefault="00DC1AB1" w:rsidP="00DC1AB1">
      <w:pPr>
        <w:pStyle w:val="Nagwek4"/>
        <w:rPr>
          <w:color w:val="FFC000" w:themeColor="accent4"/>
        </w:rPr>
      </w:pPr>
      <w:bookmarkStart w:id="816" w:name="_Toc203403578"/>
      <w:bookmarkStart w:id="817" w:name="_Toc203474540"/>
      <w:bookmarkStart w:id="818" w:name="_Toc159598346"/>
      <w:bookmarkStart w:id="819" w:name="_Toc195897387"/>
      <w:bookmarkStart w:id="820" w:name="_Toc205203221"/>
      <w:bookmarkEnd w:id="816"/>
      <w:bookmarkEnd w:id="817"/>
      <w:r w:rsidRPr="00DC1AB1">
        <w:rPr>
          <w:color w:val="FFC000" w:themeColor="accent4"/>
        </w:rPr>
        <w:t>Rozwój i integracja energetycznych społeczności</w:t>
      </w:r>
      <w:r w:rsidR="005549F1">
        <w:rPr>
          <w:color w:val="FFC000" w:themeColor="accent4"/>
        </w:rPr>
        <w:t> </w:t>
      </w:r>
      <w:r w:rsidRPr="00DC1AB1">
        <w:rPr>
          <w:color w:val="FFC000" w:themeColor="accent4"/>
        </w:rPr>
        <w:t>lokalnych</w:t>
      </w:r>
      <w:bookmarkEnd w:id="818"/>
      <w:bookmarkEnd w:id="819"/>
      <w:bookmarkEnd w:id="820"/>
    </w:p>
    <w:p w14:paraId="0B915AD6" w14:textId="4D117EEE" w:rsidR="00647F2A" w:rsidRDefault="00E55079" w:rsidP="00E55079">
      <w:r w:rsidRPr="00E55079">
        <w:t>Rozwój energetyki obywatelskiej, opartej o wspólnoty lokalne jest jednym z głównych kierunków transformacji energetycznej</w:t>
      </w:r>
      <w:r>
        <w:t>,</w:t>
      </w:r>
      <w:r w:rsidRPr="00E55079">
        <w:t xml:space="preserve"> a odpowiedni dobór technologii wytwarzania energii z odnawialnych źródeł, bazujący na istniejącym lokalnie potencjale OZE może zapewnić społecznościom lokalnym samowystarczalność</w:t>
      </w:r>
      <w:r w:rsidR="005E7739">
        <w:t>, a na obszarach wiejskich istotnie poprawić pewność dostaw energii</w:t>
      </w:r>
      <w:r w:rsidRPr="00E55079">
        <w:t xml:space="preserve">. </w:t>
      </w:r>
      <w:r w:rsidR="004E4A1C">
        <w:t>Należy</w:t>
      </w:r>
      <w:r w:rsidR="00C07A2D">
        <w:t> </w:t>
      </w:r>
      <w:r w:rsidR="00A22876">
        <w:t>pamiętać również, że</w:t>
      </w:r>
      <w:r w:rsidR="004E4A1C">
        <w:t xml:space="preserve"> wiąże się to także z </w:t>
      </w:r>
      <w:r w:rsidR="004E4A1C" w:rsidRPr="004E4A1C">
        <w:t>obniżenie</w:t>
      </w:r>
      <w:r w:rsidR="004E4A1C">
        <w:t>m</w:t>
      </w:r>
      <w:r w:rsidR="004E4A1C" w:rsidRPr="004E4A1C">
        <w:t xml:space="preserve"> cen energii dla interesariuszy w sposób zintegrowany, przeciwdziałanie</w:t>
      </w:r>
      <w:r w:rsidR="004E4A1C">
        <w:t>m</w:t>
      </w:r>
      <w:r w:rsidR="004E4A1C" w:rsidRPr="004E4A1C">
        <w:t xml:space="preserve"> monopolizacji rynku i realizacj</w:t>
      </w:r>
      <w:r w:rsidR="004E4A1C">
        <w:t>i</w:t>
      </w:r>
      <w:r w:rsidR="004E4A1C" w:rsidRPr="004E4A1C">
        <w:t xml:space="preserve"> zasad </w:t>
      </w:r>
      <w:r w:rsidR="00EC2F7E">
        <w:t>pakiet</w:t>
      </w:r>
      <w:r w:rsidR="004E4A1C" w:rsidRPr="004E4A1C">
        <w:t>u</w:t>
      </w:r>
      <w:r w:rsidR="00327FE9" w:rsidRPr="00327FE9">
        <w:t xml:space="preserve"> </w:t>
      </w:r>
      <w:r w:rsidR="00327FE9">
        <w:t>„Fit for 55”</w:t>
      </w:r>
      <w:r w:rsidR="004E4A1C" w:rsidRPr="004E4A1C">
        <w:t>.</w:t>
      </w:r>
      <w:r w:rsidR="00B61F6D">
        <w:t xml:space="preserve"> </w:t>
      </w:r>
      <w:r w:rsidRPr="00E55079">
        <w:t>Kluczowe znaczenie w tym procesie ma rozproszenie jednostek wytwórczych oraz rozmieszczenie ich blisko odbiorców, co pozwala na racjonalne i efektywne wykorzystanie istniejącego lokalnie potencjału OZE, a</w:t>
      </w:r>
      <w:r w:rsidR="005E7739">
        <w:t> </w:t>
      </w:r>
      <w:r w:rsidRPr="00E55079">
        <w:t>także wpływa na ograniczenie strat w</w:t>
      </w:r>
      <w:r w:rsidR="009139E7">
        <w:t> </w:t>
      </w:r>
      <w:r w:rsidRPr="00E55079">
        <w:t>przesyle i dystrybucji energii elektrycznej.</w:t>
      </w:r>
      <w:r w:rsidR="008E10AC" w:rsidRPr="008E10AC">
        <w:t xml:space="preserve"> </w:t>
      </w:r>
      <w:r w:rsidR="008E10AC">
        <w:t>Zakres funkcjonowania inicjatyw lokalnych i prosumeryzmu określiła dyrektywa RED II</w:t>
      </w:r>
      <w:r w:rsidR="008E10AC">
        <w:rPr>
          <w:rStyle w:val="Odwoanieprzypisudolnego"/>
        </w:rPr>
        <w:footnoteReference w:id="130"/>
      </w:r>
      <w:r w:rsidR="008E10AC">
        <w:t xml:space="preserve">, a dyrektywa RED III określa dalsze zmiany mające przyczynić się do ich głębszej popularyzacji. </w:t>
      </w:r>
    </w:p>
    <w:p w14:paraId="3C2544B7" w14:textId="4084B876" w:rsidR="006C276E" w:rsidRDefault="00E55079" w:rsidP="00E55079">
      <w:r w:rsidRPr="00E55079">
        <w:t xml:space="preserve">Prekursorami takich działań na krajowym rynku mają być w szczególności </w:t>
      </w:r>
      <w:r w:rsidRPr="00E55079">
        <w:rPr>
          <w:b/>
          <w:bCs/>
        </w:rPr>
        <w:t>klastry energii i spółdzielnie energetyczne</w:t>
      </w:r>
      <w:r w:rsidRPr="00E55079">
        <w:t xml:space="preserve">, które organizują się, aby dla dobra członków swej społeczności wytwarzać, dystrybuować i magazynować energię elektryczną na własne potrzeby. </w:t>
      </w:r>
      <w:r w:rsidR="008E10AC">
        <w:t xml:space="preserve">W 2023 r. zdefiniowano także </w:t>
      </w:r>
      <w:r w:rsidR="009A2F5D" w:rsidRPr="009A2F5D">
        <w:rPr>
          <w:b/>
          <w:bCs/>
        </w:rPr>
        <w:t>obywatelskie</w:t>
      </w:r>
      <w:r w:rsidR="009A2F5D">
        <w:t xml:space="preserve"> </w:t>
      </w:r>
      <w:r w:rsidR="008E10AC" w:rsidRPr="008E10AC">
        <w:rPr>
          <w:b/>
          <w:bCs/>
        </w:rPr>
        <w:t>społeczności energetyczne</w:t>
      </w:r>
      <w:r w:rsidR="008E10AC" w:rsidRPr="008E10AC">
        <w:t xml:space="preserve">, </w:t>
      </w:r>
      <w:r w:rsidR="009A2F5D">
        <w:t>które mogą wytwarzać i sprzedawać energię elektryczną</w:t>
      </w:r>
      <w:r w:rsidR="00D86B46">
        <w:t xml:space="preserve"> z OZE</w:t>
      </w:r>
      <w:r w:rsidR="009A2F5D">
        <w:t xml:space="preserve">, ale </w:t>
      </w:r>
      <w:r w:rsidR="009A2F5D" w:rsidRPr="009A2F5D">
        <w:t>za główny cel ma</w:t>
      </w:r>
      <w:r w:rsidR="009A2F5D">
        <w:t>ją</w:t>
      </w:r>
      <w:r w:rsidR="009A2F5D" w:rsidRPr="009A2F5D">
        <w:t xml:space="preserve"> zapewnienie korzyści środowiskowych, gospodarczych lub społecznych dla swoich członków, udziałowców lub wspólników lub obszarów lokalnych, na których </w:t>
      </w:r>
      <w:r w:rsidR="00D86B46">
        <w:t>funkcjonują</w:t>
      </w:r>
      <w:r w:rsidR="009A2F5D">
        <w:t>.</w:t>
      </w:r>
    </w:p>
    <w:p w14:paraId="71E6E07E" w14:textId="33A54C74" w:rsidR="00E55079" w:rsidRDefault="00E55079" w:rsidP="00E55079">
      <w:r>
        <w:t xml:space="preserve">W rozwoju </w:t>
      </w:r>
      <w:r w:rsidR="008E10AC">
        <w:t xml:space="preserve">lokalnych </w:t>
      </w:r>
      <w:r w:rsidRPr="00E55079">
        <w:t xml:space="preserve">społeczności </w:t>
      </w:r>
      <w:r>
        <w:t xml:space="preserve">energetycznych niezwykle ważne jest dążenie do ich </w:t>
      </w:r>
      <w:r w:rsidRPr="00E92839">
        <w:rPr>
          <w:b/>
          <w:bCs/>
        </w:rPr>
        <w:t>samowystarczalności</w:t>
      </w:r>
      <w:r>
        <w:t xml:space="preserve">, </w:t>
      </w:r>
      <w:r w:rsidR="009A7D3E">
        <w:t>tak aby rezerwowanie dla nich mocy spoza ich „systemu” było ograniczone do minimum</w:t>
      </w:r>
      <w:r w:rsidR="009A2F5D">
        <w:t xml:space="preserve"> – powinny być wsparcie</w:t>
      </w:r>
      <w:r w:rsidR="00127CFA">
        <w:t>m</w:t>
      </w:r>
      <w:r w:rsidR="009A2F5D">
        <w:t xml:space="preserve">, a nie </w:t>
      </w:r>
      <w:r w:rsidR="009A7D3E">
        <w:t xml:space="preserve">dodatkowym obciążeniem </w:t>
      </w:r>
      <w:r w:rsidR="009A2F5D">
        <w:t>dla operatorów systemów dystrybucyjnych</w:t>
      </w:r>
      <w:r w:rsidRPr="00E55079">
        <w:t>.</w:t>
      </w:r>
      <w:r w:rsidR="009A2F5D">
        <w:t xml:space="preserve"> </w:t>
      </w:r>
      <w:r w:rsidR="008B1E24" w:rsidRPr="008B1E24">
        <w:t>Ich głównym celem powinno być pokrycie swoich potrzeb energetycznych w oparciu o</w:t>
      </w:r>
      <w:r w:rsidR="00A87B40">
        <w:t> </w:t>
      </w:r>
      <w:r w:rsidR="008B1E24" w:rsidRPr="008B1E24">
        <w:t>własne źródła wytwórcze</w:t>
      </w:r>
      <w:r w:rsidR="008B1E24">
        <w:t>.</w:t>
      </w:r>
    </w:p>
    <w:p w14:paraId="086F298C" w14:textId="32FAF34A" w:rsidR="009805EB" w:rsidRDefault="009805EB" w:rsidP="00B65DEF">
      <w:pPr>
        <w:spacing w:after="240"/>
      </w:pPr>
      <w:r>
        <w:t>Dyrektywa RED III (a</w:t>
      </w:r>
      <w:r w:rsidRPr="009805EB">
        <w:t>rt. 16–16e</w:t>
      </w:r>
      <w:r>
        <w:t xml:space="preserve">) określiła </w:t>
      </w:r>
      <w:r w:rsidRPr="00665822">
        <w:t>obowiązk</w:t>
      </w:r>
      <w:r>
        <w:t>i</w:t>
      </w:r>
      <w:r w:rsidRPr="00665822">
        <w:t xml:space="preserve"> utworzenia w </w:t>
      </w:r>
      <w:r>
        <w:t xml:space="preserve">państwach </w:t>
      </w:r>
      <w:r w:rsidRPr="00665822">
        <w:t xml:space="preserve">członkowskich </w:t>
      </w:r>
      <w:r w:rsidRPr="009805EB">
        <w:rPr>
          <w:b/>
          <w:bCs/>
        </w:rPr>
        <w:t>nowych możliwości dla przyspieszenia inwestycji w OZE poprzez usprawnienie procesu inwestycyjnego</w:t>
      </w:r>
      <w:r w:rsidRPr="00665822">
        <w:t xml:space="preserve"> </w:t>
      </w:r>
      <w:r w:rsidRPr="009805EB">
        <w:rPr>
          <w:b/>
          <w:bCs/>
        </w:rPr>
        <w:t>dla OZE</w:t>
      </w:r>
      <w:r w:rsidRPr="00665822">
        <w:t xml:space="preserve"> </w:t>
      </w:r>
      <w:r w:rsidRPr="00665822">
        <w:lastRenderedPageBreak/>
        <w:t>(procedury wydawania pozwoleń na nowe inwestycje)</w:t>
      </w:r>
      <w:r>
        <w:t>. Będzie to miało niezwykle istotne znaczenie dla rozwoju energetyki lokalnej, ale będzie wymagało bardzo dużego wysiłku po stronie administracyjnej.</w:t>
      </w:r>
    </w:p>
    <w:p w14:paraId="2CCED27F" w14:textId="4C12ACF0" w:rsidR="00647F2A" w:rsidRPr="00B377B2" w:rsidRDefault="00E92839" w:rsidP="00647F2A">
      <w:pPr>
        <w:pStyle w:val="Cele"/>
      </w:pPr>
      <w:r>
        <w:rPr>
          <w:rStyle w:val="CeleZnak"/>
          <w:b/>
        </w:rPr>
        <w:t xml:space="preserve">Szacuje się, że w 2030 r. w </w:t>
      </w:r>
      <w:r w:rsidR="009139E7">
        <w:rPr>
          <w:rStyle w:val="CeleZnak"/>
          <w:b/>
        </w:rPr>
        <w:t>Polsce</w:t>
      </w:r>
      <w:r>
        <w:rPr>
          <w:rStyle w:val="CeleZnak"/>
          <w:b/>
        </w:rPr>
        <w:t xml:space="preserve"> może </w:t>
      </w:r>
      <w:r w:rsidR="009139E7">
        <w:rPr>
          <w:rStyle w:val="CeleZnak"/>
          <w:b/>
        </w:rPr>
        <w:t>funkcjonować</w:t>
      </w:r>
      <w:r>
        <w:rPr>
          <w:rStyle w:val="CeleZnak"/>
          <w:b/>
        </w:rPr>
        <w:t xml:space="preserve"> ok. 300 społeczności energetycznych</w:t>
      </w:r>
      <w:r w:rsidR="00647F2A">
        <w:t xml:space="preserve"> </w:t>
      </w:r>
      <w:r w:rsidR="00647F2A" w:rsidRPr="00080BA7">
        <w:rPr>
          <w:i/>
          <w:iCs/>
        </w:rPr>
        <w:t>[szacunki nie mają charakteru celu]</w:t>
      </w:r>
    </w:p>
    <w:p w14:paraId="6E3FCB03" w14:textId="77777777" w:rsidR="00647F2A" w:rsidRDefault="00647F2A" w:rsidP="00E92839">
      <w:pPr>
        <w:pStyle w:val="PaMs"/>
      </w:pPr>
      <w:r w:rsidRPr="00C46DAA">
        <w:t>POLITYKA</w:t>
      </w:r>
    </w:p>
    <w:p w14:paraId="1E5C433A" w14:textId="43C055EE" w:rsidR="0093691A" w:rsidRDefault="0093691A" w:rsidP="00647F2A">
      <w:r w:rsidRPr="0093691A">
        <w:t xml:space="preserve">Rozwój </w:t>
      </w:r>
      <w:r w:rsidR="00CC2A13">
        <w:t>o</w:t>
      </w:r>
      <w:r w:rsidRPr="0093691A">
        <w:t xml:space="preserve">bywatelskich </w:t>
      </w:r>
      <w:r w:rsidR="00CC2A13">
        <w:t>s</w:t>
      </w:r>
      <w:r w:rsidRPr="0093691A">
        <w:t xml:space="preserve">połeczności </w:t>
      </w:r>
      <w:r w:rsidR="00CC2A13">
        <w:t>e</w:t>
      </w:r>
      <w:r w:rsidRPr="0093691A">
        <w:t xml:space="preserve">nergetycznych (OSE), klastrów energii oraz spółdzielni energetycznych </w:t>
      </w:r>
      <w:r w:rsidR="00CC2A13">
        <w:t xml:space="preserve">jest </w:t>
      </w:r>
      <w:r w:rsidRPr="0093691A">
        <w:t>jed</w:t>
      </w:r>
      <w:r w:rsidR="00CC2A13">
        <w:t>nym</w:t>
      </w:r>
      <w:r w:rsidRPr="0093691A">
        <w:t xml:space="preserve"> z kluczowych filarów nowoczesnej transformacji energetycznej. Te lokalne inicjatywy nie tylko zwiększają odporność sieci elektroenergetycznej, ale również umożliwiają aktywny udział obywateli i samorządów w produkcji i zarządzaniu energią. Dzięki lokalnemu bilansowaniu wytwarzania i zużycia</w:t>
      </w:r>
      <w:r w:rsidR="00077605">
        <w:t xml:space="preserve"> energii</w:t>
      </w:r>
      <w:r w:rsidRPr="0093691A">
        <w:t xml:space="preserve">, systemy te </w:t>
      </w:r>
      <w:r w:rsidR="00FE069D">
        <w:t xml:space="preserve">mogą </w:t>
      </w:r>
      <w:r w:rsidRPr="0093691A">
        <w:t>skutecznie obniża</w:t>
      </w:r>
      <w:r w:rsidR="00FE069D">
        <w:t>ć</w:t>
      </w:r>
      <w:r w:rsidRPr="0093691A">
        <w:t xml:space="preserve"> koszty energii, wzmacnia</w:t>
      </w:r>
      <w:r w:rsidR="00FE069D">
        <w:t>ć</w:t>
      </w:r>
      <w:r w:rsidRPr="0093691A">
        <w:t xml:space="preserve"> niezależność energetyczną i przyspieszają rozwój odnawialnych źródeł energii. Co istotne, są także realnym narzędziem obniżania cen energii dla przemysłu, wspiera</w:t>
      </w:r>
      <w:r w:rsidR="00FA727A">
        <w:t>nia</w:t>
      </w:r>
      <w:r w:rsidRPr="0093691A">
        <w:t xml:space="preserve"> jego konkurencyjnoś</w:t>
      </w:r>
      <w:r w:rsidR="00FA727A">
        <w:t>ci</w:t>
      </w:r>
      <w:r w:rsidRPr="0093691A">
        <w:t xml:space="preserve"> i stabilnoś</w:t>
      </w:r>
      <w:r w:rsidR="00FA727A">
        <w:t>ci</w:t>
      </w:r>
      <w:r w:rsidRPr="0093691A">
        <w:t xml:space="preserve"> w czasach dynamicznych zmian na rynku energetycznym. To najlepszy kierunek dla zrównoważonej, taniej i </w:t>
      </w:r>
      <w:r w:rsidR="00573F66">
        <w:t>„</w:t>
      </w:r>
      <w:r w:rsidRPr="0093691A">
        <w:t>demokratycznej energetyki</w:t>
      </w:r>
      <w:r w:rsidR="00573F66">
        <w:t>”</w:t>
      </w:r>
      <w:r w:rsidRPr="0093691A">
        <w:t xml:space="preserve"> przyszłości.</w:t>
      </w:r>
      <w:r w:rsidR="004F6EB3">
        <w:t xml:space="preserve"> Z tego względu </w:t>
      </w:r>
      <w:r w:rsidR="00971F22">
        <w:t xml:space="preserve">dążyć się będzie do </w:t>
      </w:r>
      <w:r w:rsidR="00FA727A">
        <w:t xml:space="preserve">wsparcia </w:t>
      </w:r>
      <w:r w:rsidR="004F4B53">
        <w:t>tych inicjatyw.</w:t>
      </w:r>
    </w:p>
    <w:p w14:paraId="205C27E1" w14:textId="333F4581" w:rsidR="00647F2A" w:rsidRDefault="00C824FD" w:rsidP="00647F2A">
      <w:r w:rsidRPr="00C824FD">
        <w:t xml:space="preserve">Wzmocnienie roli klastrów energii i spółdzielni energetycznych w krajowym systemie energetycznym zostanie zapewnione przez </w:t>
      </w:r>
      <w:r w:rsidR="0EE9D9A4">
        <w:t>dalsze</w:t>
      </w:r>
      <w:r>
        <w:t xml:space="preserve"> </w:t>
      </w:r>
      <w:r w:rsidRPr="00DC5627">
        <w:rPr>
          <w:b/>
          <w:bCs/>
        </w:rPr>
        <w:t xml:space="preserve">usprawnienia administracyjno-prawne i </w:t>
      </w:r>
      <w:r w:rsidRPr="3C1EAE86">
        <w:rPr>
          <w:b/>
          <w:bCs/>
        </w:rPr>
        <w:t>system</w:t>
      </w:r>
      <w:r w:rsidR="47733E92" w:rsidRPr="3C1EAE86">
        <w:rPr>
          <w:b/>
          <w:bCs/>
        </w:rPr>
        <w:t>y</w:t>
      </w:r>
      <w:r w:rsidRPr="00DC5627">
        <w:rPr>
          <w:b/>
          <w:bCs/>
        </w:rPr>
        <w:t xml:space="preserve"> wsparcia</w:t>
      </w:r>
      <w:r w:rsidRPr="00C824FD">
        <w:t xml:space="preserve">, </w:t>
      </w:r>
      <w:r w:rsidR="7E1DC849">
        <w:t>w tym</w:t>
      </w:r>
      <w:r w:rsidRPr="00C824FD">
        <w:t xml:space="preserve"> stymulowanie rozwoju spółdzielni energetycznych</w:t>
      </w:r>
      <w:r w:rsidR="00D86B46">
        <w:t>, wspierających rozwój energetyki rozproszonej</w:t>
      </w:r>
      <w:r w:rsidRPr="00C824FD">
        <w:t>.</w:t>
      </w:r>
      <w:r w:rsidR="000647DB">
        <w:t xml:space="preserve"> Dążyć się będzie do tego, aby społeczności energetyczne rozwijały się w kierunku </w:t>
      </w:r>
      <w:r w:rsidR="000647DB" w:rsidRPr="005E7739">
        <w:rPr>
          <w:b/>
          <w:bCs/>
        </w:rPr>
        <w:t>samowystarczaln</w:t>
      </w:r>
      <w:r w:rsidR="000647DB">
        <w:rPr>
          <w:b/>
          <w:bCs/>
        </w:rPr>
        <w:t>ości</w:t>
      </w:r>
      <w:r w:rsidR="000647DB" w:rsidRPr="005E7739">
        <w:t>.</w:t>
      </w:r>
    </w:p>
    <w:p w14:paraId="6A23EAC9" w14:textId="2EA162B1" w:rsidR="00B65DEF" w:rsidRDefault="1631086B" w:rsidP="00647F2A">
      <w:r>
        <w:t>Kluczow</w:t>
      </w:r>
      <w:r w:rsidR="66D677C7">
        <w:t>a</w:t>
      </w:r>
      <w:r w:rsidR="009139E7">
        <w:t xml:space="preserve"> dla rozwoju społeczności lokalnych </w:t>
      </w:r>
      <w:r w:rsidR="009139E7" w:rsidRPr="002C5C76">
        <w:rPr>
          <w:b/>
          <w:bCs/>
        </w:rPr>
        <w:t>będzie ich promocja</w:t>
      </w:r>
      <w:r w:rsidR="009139E7">
        <w:t xml:space="preserve"> </w:t>
      </w:r>
      <w:r w:rsidR="009139E7" w:rsidRPr="002C5C76">
        <w:rPr>
          <w:b/>
          <w:bCs/>
        </w:rPr>
        <w:t>w jednostkach samorządu terytorialnego</w:t>
      </w:r>
      <w:r w:rsidR="005E7739">
        <w:rPr>
          <w:b/>
          <w:bCs/>
        </w:rPr>
        <w:t xml:space="preserve"> </w:t>
      </w:r>
      <w:r w:rsidR="009139E7" w:rsidRPr="002C5C76">
        <w:rPr>
          <w:b/>
          <w:bCs/>
        </w:rPr>
        <w:t>oraz usprawnienie procesu inwestycyjnego</w:t>
      </w:r>
      <w:r w:rsidR="002C5C76">
        <w:t xml:space="preserve">. </w:t>
      </w:r>
      <w:r w:rsidR="006C276E">
        <w:t>Dążyć się będzie do przyspieszenia ścieżki wydawania pozwoleń dla nowych inwestycji, ale realn</w:t>
      </w:r>
      <w:r w:rsidR="009A2F5D">
        <w:t>a</w:t>
      </w:r>
      <w:r w:rsidR="006C276E">
        <w:t xml:space="preserve"> implementacja do polskiego prawa przepisów dyrektywy RED III będzie wymagać wprowadzenia wielu głębokich zmian organizacyjno-administracyjnych.</w:t>
      </w:r>
      <w:r w:rsidR="00B65DEF">
        <w:t xml:space="preserve"> </w:t>
      </w:r>
      <w:r w:rsidR="00B65DEF" w:rsidRPr="00FA3BDC">
        <w:t xml:space="preserve">Dużym wsparciem dla podmiotów zainteresowanych inwestycjami będzie uruchomienie </w:t>
      </w:r>
      <w:r w:rsidR="00B65DEF" w:rsidRPr="002E10E1">
        <w:rPr>
          <w:b/>
        </w:rPr>
        <w:t>Krajowego Punktu Kontaktowego ds. OZE.</w:t>
      </w:r>
      <w:r w:rsidR="00B65DEF" w:rsidRPr="00FA3BDC">
        <w:t xml:space="preserve"> </w:t>
      </w:r>
      <w:r w:rsidR="00583DF1">
        <w:t xml:space="preserve">Istotnym ułatwieniem będzie także wdrożenie </w:t>
      </w:r>
      <w:r w:rsidR="002E10E1" w:rsidRPr="002E10E1">
        <w:rPr>
          <w:b/>
          <w:bCs/>
        </w:rPr>
        <w:t>Symulatora</w:t>
      </w:r>
      <w:r w:rsidR="00583DF1" w:rsidRPr="002E10E1">
        <w:rPr>
          <w:b/>
        </w:rPr>
        <w:t xml:space="preserve"> Systemu Energetycznego dla Samorządu</w:t>
      </w:r>
      <w:r w:rsidR="006D1C28">
        <w:t xml:space="preserve"> –</w:t>
      </w:r>
      <w:r w:rsidR="00A95A36">
        <w:t xml:space="preserve"> </w:t>
      </w:r>
      <w:r w:rsidR="006D1C28">
        <w:t>samorządy</w:t>
      </w:r>
      <w:r w:rsidR="00583DF1">
        <w:t xml:space="preserve"> będą mogły na bieżąco analizować lok</w:t>
      </w:r>
      <w:r w:rsidR="002E10E1">
        <w:t>a</w:t>
      </w:r>
      <w:r w:rsidR="00583DF1">
        <w:t>lne potrzeby energ</w:t>
      </w:r>
      <w:r w:rsidR="002E10E1">
        <w:t>e</w:t>
      </w:r>
      <w:r w:rsidR="00583DF1">
        <w:t>ty</w:t>
      </w:r>
      <w:r w:rsidR="002E10E1">
        <w:t>c</w:t>
      </w:r>
      <w:r w:rsidR="00583DF1">
        <w:t>zne i możliwe rozwiązania</w:t>
      </w:r>
      <w:r w:rsidR="002E10E1">
        <w:t>.</w:t>
      </w:r>
      <w:r w:rsidR="00583DF1">
        <w:t xml:space="preserve"> </w:t>
      </w:r>
      <w:r w:rsidR="00671372">
        <w:t>Bardzo ważną inicjatywą jest</w:t>
      </w:r>
      <w:r w:rsidR="00563746">
        <w:t xml:space="preserve"> </w:t>
      </w:r>
      <w:r w:rsidR="00E424C1">
        <w:t xml:space="preserve">wdrożenie </w:t>
      </w:r>
      <w:r w:rsidR="00E424C1" w:rsidRPr="002E10E1">
        <w:rPr>
          <w:b/>
        </w:rPr>
        <w:t>Centrum Wsparcia Transformacji Energetycznej</w:t>
      </w:r>
      <w:r w:rsidR="00E424C1">
        <w:t xml:space="preserve">, które zapewni </w:t>
      </w:r>
      <w:r w:rsidR="006D1C28">
        <w:t xml:space="preserve">pomoc </w:t>
      </w:r>
      <w:r w:rsidR="00E424C1">
        <w:t xml:space="preserve">w jeszcze szerszym zakresie niż KPK OZE </w:t>
      </w:r>
      <w:r w:rsidR="00583DF1">
        <w:t>i</w:t>
      </w:r>
      <w:r w:rsidR="006D1C28">
        <w:t> </w:t>
      </w:r>
      <w:r w:rsidR="00583DF1">
        <w:t xml:space="preserve">Symulator </w:t>
      </w:r>
      <w:r w:rsidR="005657F3">
        <w:t>– które chciałby zachęcić inne podmioty do powoływania takich podmiotów społecznych, ale</w:t>
      </w:r>
      <w:r w:rsidR="00C07A2D">
        <w:t> </w:t>
      </w:r>
      <w:r w:rsidR="005657F3">
        <w:t xml:space="preserve">także do inwestowania na </w:t>
      </w:r>
      <w:r w:rsidR="00497A7A">
        <w:t xml:space="preserve">danym obszarze. </w:t>
      </w:r>
    </w:p>
    <w:p w14:paraId="1D7A74C0" w14:textId="4DD0557B" w:rsidR="00575574" w:rsidRDefault="00575574" w:rsidP="00647F2A">
      <w:r>
        <w:t>Bez wątpienia rozwojowi energetycznych społeczności lokalnych służyć będą także działania ukierunkowanie na rozwój poszczególnych technologii OZE</w:t>
      </w:r>
      <w:r w:rsidR="00DF2B73">
        <w:t xml:space="preserve"> – energetyki wiatrowej, słonecznej, biogazu i biometanu</w:t>
      </w:r>
      <w:r>
        <w:t xml:space="preserve">, opisanych w </w:t>
      </w:r>
      <w:r w:rsidR="00D666ED">
        <w:t>części</w:t>
      </w:r>
      <w:r>
        <w:t xml:space="preserve"> </w:t>
      </w:r>
      <w:r w:rsidR="00DF2B73">
        <w:fldChar w:fldCharType="begin"/>
      </w:r>
      <w:r w:rsidR="00DF2B73">
        <w:instrText xml:space="preserve"> REF _Ref195881117 \r \h </w:instrText>
      </w:r>
      <w:r w:rsidR="00DF2B73">
        <w:fldChar w:fldCharType="separate"/>
      </w:r>
      <w:r w:rsidR="00871DD5">
        <w:t>Cel 1.2.1</w:t>
      </w:r>
      <w:r w:rsidR="00DF2B73">
        <w:fldChar w:fldCharType="end"/>
      </w:r>
      <w:r w:rsidR="00DF2B73">
        <w:t xml:space="preserve">. </w:t>
      </w:r>
    </w:p>
    <w:p w14:paraId="76C12B8C" w14:textId="6DEEDAED" w:rsidR="009A2F5D" w:rsidRDefault="005E7739" w:rsidP="00647F2A">
      <w:r>
        <w:t xml:space="preserve">Kontynuowane będą działania w zakresie </w:t>
      </w:r>
      <w:r w:rsidRPr="005E7739">
        <w:rPr>
          <w:b/>
          <w:bCs/>
        </w:rPr>
        <w:t>inteligentnych rozwiązań</w:t>
      </w:r>
      <w:r>
        <w:t>, które pozwolą na sprawne i świadome zarządzanie w obszarze bilansowania potrzeb i produkcji energii przez te podmioty</w:t>
      </w:r>
      <w:r w:rsidR="009A7D3E">
        <w:t>.</w:t>
      </w:r>
      <w:r>
        <w:t xml:space="preserve"> </w:t>
      </w:r>
      <w:r w:rsidR="009A7D3E">
        <w:t xml:space="preserve">Dodatkowo, na rozwój tego segmentu rynku pozytywnie wpłynie </w:t>
      </w:r>
      <w:r w:rsidR="009A2F5D">
        <w:t>modernizacja systemów zarządzania systemami dystrybucyjnymi, jak również rozwój w kierunku inteligentnych sieci.</w:t>
      </w:r>
      <w:r w:rsidR="00E424C1">
        <w:t xml:space="preserve"> </w:t>
      </w:r>
      <w:r w:rsidR="002E10E1">
        <w:t>Niemniejsze znaczenie będzie mieć r</w:t>
      </w:r>
      <w:r w:rsidR="001E25A0">
        <w:t>ozwój sieci dystrybucyjn</w:t>
      </w:r>
      <w:r w:rsidR="00310F35">
        <w:t>ych</w:t>
      </w:r>
      <w:r w:rsidR="001E25A0">
        <w:t xml:space="preserve"> energii elektrycznej</w:t>
      </w:r>
      <w:r w:rsidR="00310F35">
        <w:t xml:space="preserve"> oraz różnych form magazynowania energii</w:t>
      </w:r>
      <w:r w:rsidR="001E25A0">
        <w:t xml:space="preserve">, </w:t>
      </w:r>
      <w:r w:rsidR="00310F35">
        <w:t xml:space="preserve">co </w:t>
      </w:r>
      <w:r w:rsidR="001E25A0">
        <w:t>opisan</w:t>
      </w:r>
      <w:r w:rsidR="00310F35">
        <w:t>o</w:t>
      </w:r>
      <w:r w:rsidR="001E25A0">
        <w:t xml:space="preserve"> w </w:t>
      </w:r>
      <w:r w:rsidR="002A5AA4">
        <w:t xml:space="preserve">części </w:t>
      </w:r>
      <w:r w:rsidR="00FC26E9">
        <w:fldChar w:fldCharType="begin"/>
      </w:r>
      <w:r w:rsidR="00FC26E9">
        <w:instrText xml:space="preserve"> REF _Ref193873744 \n \h </w:instrText>
      </w:r>
      <w:r w:rsidR="00FC26E9">
        <w:fldChar w:fldCharType="separate"/>
      </w:r>
      <w:r w:rsidR="00871DD5">
        <w:t>Cel 3.8.3</w:t>
      </w:r>
      <w:r w:rsidR="00FC26E9">
        <w:fldChar w:fldCharType="end"/>
      </w:r>
      <w:r w:rsidR="001E25A0">
        <w:t xml:space="preserve">. Inwestycje czynione </w:t>
      </w:r>
      <w:r w:rsidR="00EA39BB">
        <w:t>w</w:t>
      </w:r>
      <w:r w:rsidR="00525F8C">
        <w:t> </w:t>
      </w:r>
      <w:r w:rsidR="00EA39BB">
        <w:t>systemach dystrybucyjnych są i</w:t>
      </w:r>
      <w:r w:rsidR="001E25A0">
        <w:t xml:space="preserve"> </w:t>
      </w:r>
      <w:r w:rsidR="00FC26E9">
        <w:t xml:space="preserve">będą </w:t>
      </w:r>
      <w:r w:rsidR="00EA39BB">
        <w:t>ukierunkowane na poprawę dostaw energii do odbiorców, z</w:t>
      </w:r>
      <w:r w:rsidR="00525F8C">
        <w:t> uwzględnieniem kierunku rozwoju sieci, co</w:t>
      </w:r>
      <w:r w:rsidR="00C07A2D">
        <w:t> </w:t>
      </w:r>
      <w:r w:rsidR="00525F8C">
        <w:t>ma również korzystny wpływ na rozwój społeczno</w:t>
      </w:r>
      <w:r w:rsidR="00E063AA">
        <w:t xml:space="preserve">ści energetycznych. </w:t>
      </w:r>
    </w:p>
    <w:p w14:paraId="4981EB1F" w14:textId="480F8EF3" w:rsidR="00575574" w:rsidRDefault="00647F2A" w:rsidP="00DF2B73">
      <w:pPr>
        <w:pStyle w:val="PaMs"/>
      </w:pPr>
      <w:bookmarkStart w:id="821" w:name="_Hlk157435730"/>
      <w:r w:rsidRPr="00C46DAA">
        <w:t>DZIAŁANIA</w:t>
      </w:r>
    </w:p>
    <w:p w14:paraId="2D69C8D7" w14:textId="66F972B9" w:rsidR="008C4717" w:rsidRDefault="008C4717" w:rsidP="000625AC">
      <w:pPr>
        <w:pStyle w:val="Akapitzlist"/>
        <w:numPr>
          <w:ilvl w:val="0"/>
          <w:numId w:val="113"/>
        </w:numPr>
        <w:jc w:val="left"/>
      </w:pPr>
      <w:r>
        <w:fldChar w:fldCharType="begin"/>
      </w:r>
      <w:r>
        <w:instrText xml:space="preserve"> REF _Ref195893942 \h </w:instrText>
      </w:r>
      <w:r>
        <w:fldChar w:fldCharType="separate"/>
      </w:r>
      <w:r w:rsidR="00871DD5">
        <w:t xml:space="preserve">Działanie </w:t>
      </w:r>
      <w:r w:rsidR="00871DD5">
        <w:rPr>
          <w:noProof/>
        </w:rPr>
        <w:t>11</w:t>
      </w:r>
      <w:r w:rsidR="00871DD5">
        <w:t xml:space="preserve">. </w:t>
      </w:r>
      <w:r w:rsidR="00871DD5" w:rsidRPr="009D065B">
        <w:t>Instrument finansowy – system taryf gwarantowanych i dopłat do cen rynkowych</w:t>
      </w:r>
      <w:r>
        <w:fldChar w:fldCharType="end"/>
      </w:r>
    </w:p>
    <w:p w14:paraId="0E3E64BB" w14:textId="013E9C79" w:rsidR="008C4717" w:rsidRDefault="008C4717" w:rsidP="000625AC">
      <w:pPr>
        <w:pStyle w:val="Akapitzlist"/>
        <w:numPr>
          <w:ilvl w:val="0"/>
          <w:numId w:val="113"/>
        </w:numPr>
        <w:jc w:val="left"/>
      </w:pPr>
      <w:r>
        <w:fldChar w:fldCharType="begin"/>
      </w:r>
      <w:r>
        <w:instrText xml:space="preserve"> REF _Ref195893956 \h </w:instrText>
      </w:r>
      <w:r>
        <w:fldChar w:fldCharType="separate"/>
      </w:r>
      <w:r w:rsidR="00871DD5">
        <w:t xml:space="preserve">Działanie </w:t>
      </w:r>
      <w:r w:rsidR="00871DD5">
        <w:rPr>
          <w:noProof/>
        </w:rPr>
        <w:t>15</w:t>
      </w:r>
      <w:r w:rsidR="00871DD5">
        <w:t xml:space="preserve">. </w:t>
      </w:r>
      <w:r w:rsidR="00871DD5" w:rsidRPr="00FD671B">
        <w:t>Instrument finansowy – Program Priorytetowy NFOŚiGW – „Energia Plus”</w:t>
      </w:r>
      <w:r>
        <w:fldChar w:fldCharType="end"/>
      </w:r>
    </w:p>
    <w:p w14:paraId="4348DD20" w14:textId="0D05BEFE" w:rsidR="00310F35" w:rsidRDefault="00310F35" w:rsidP="000625AC">
      <w:pPr>
        <w:pStyle w:val="Akapitzlist"/>
        <w:numPr>
          <w:ilvl w:val="0"/>
          <w:numId w:val="113"/>
        </w:numPr>
        <w:jc w:val="left"/>
      </w:pPr>
      <w:r w:rsidRPr="00060FF0">
        <w:fldChar w:fldCharType="begin"/>
      </w:r>
      <w:r w:rsidRPr="00060FF0">
        <w:instrText xml:space="preserve"> REF _Ref195881603 \h </w:instrText>
      </w:r>
      <w:r w:rsidR="00060FF0" w:rsidRPr="00060FF0">
        <w:instrText xml:space="preserve"> \* MERGEFORMAT </w:instrText>
      </w:r>
      <w:r w:rsidRPr="00060FF0">
        <w:fldChar w:fldCharType="separate"/>
      </w:r>
      <w:r w:rsidR="00871DD5">
        <w:t xml:space="preserve">Działanie </w:t>
      </w:r>
      <w:r w:rsidR="00871DD5">
        <w:rPr>
          <w:noProof/>
        </w:rPr>
        <w:t>18</w:t>
      </w:r>
      <w:r w:rsidR="00871DD5">
        <w:t xml:space="preserve">. </w:t>
      </w:r>
      <w:r w:rsidR="00871DD5" w:rsidRPr="002123E7">
        <w:t>Rozw</w:t>
      </w:r>
      <w:r w:rsidR="00871DD5">
        <w:t>ó</w:t>
      </w:r>
      <w:r w:rsidR="00871DD5" w:rsidRPr="002123E7">
        <w:t xml:space="preserve">j </w:t>
      </w:r>
      <w:r w:rsidR="00871DD5">
        <w:t>o</w:t>
      </w:r>
      <w:r w:rsidR="00871DD5" w:rsidRPr="002123E7">
        <w:t xml:space="preserve">bywatelskich </w:t>
      </w:r>
      <w:r w:rsidR="00871DD5">
        <w:t>s</w:t>
      </w:r>
      <w:r w:rsidR="00871DD5" w:rsidRPr="002123E7">
        <w:t xml:space="preserve">połeczności </w:t>
      </w:r>
      <w:r w:rsidR="00871DD5">
        <w:t>e</w:t>
      </w:r>
      <w:r w:rsidR="00871DD5" w:rsidRPr="002123E7">
        <w:t>nergetycznych (OSE)</w:t>
      </w:r>
      <w:r w:rsidRPr="00060FF0">
        <w:fldChar w:fldCharType="end"/>
      </w:r>
    </w:p>
    <w:p w14:paraId="08CF317A" w14:textId="2FFF2A8D" w:rsidR="00310F35" w:rsidRDefault="00310F35" w:rsidP="000625AC">
      <w:pPr>
        <w:pStyle w:val="Akapitzlist"/>
        <w:numPr>
          <w:ilvl w:val="0"/>
          <w:numId w:val="113"/>
        </w:numPr>
        <w:jc w:val="left"/>
      </w:pPr>
      <w:r>
        <w:lastRenderedPageBreak/>
        <w:fldChar w:fldCharType="begin"/>
      </w:r>
      <w:r>
        <w:instrText xml:space="preserve"> REF _Ref195881367 \h  \* MERGEFORMAT </w:instrText>
      </w:r>
      <w:r>
        <w:fldChar w:fldCharType="separate"/>
      </w:r>
      <w:r w:rsidR="00871DD5">
        <w:t xml:space="preserve">Działanie </w:t>
      </w:r>
      <w:r w:rsidR="00871DD5">
        <w:rPr>
          <w:noProof/>
        </w:rPr>
        <w:t>20</w:t>
      </w:r>
      <w:r w:rsidR="00871DD5">
        <w:t xml:space="preserve">. </w:t>
      </w:r>
      <w:r w:rsidR="00871DD5">
        <w:rPr>
          <w:rFonts w:eastAsia="Times New Roman" w:cs="Times New Roman"/>
          <w:bCs/>
          <w:lang w:eastAsia="pl-PL"/>
        </w:rPr>
        <w:t>Rozwój k</w:t>
      </w:r>
      <w:r w:rsidR="00871DD5" w:rsidRPr="0096716D">
        <w:rPr>
          <w:rFonts w:eastAsia="Times New Roman" w:cs="Times New Roman"/>
          <w:bCs/>
          <w:lang w:eastAsia="pl-PL"/>
        </w:rPr>
        <w:t>lastr</w:t>
      </w:r>
      <w:r w:rsidR="00871DD5">
        <w:rPr>
          <w:rFonts w:eastAsia="Times New Roman" w:cs="Times New Roman"/>
          <w:bCs/>
          <w:lang w:eastAsia="pl-PL"/>
        </w:rPr>
        <w:t>ów</w:t>
      </w:r>
      <w:r w:rsidR="00871DD5" w:rsidRPr="0096716D">
        <w:rPr>
          <w:rFonts w:eastAsia="Times New Roman" w:cs="Times New Roman"/>
          <w:bCs/>
          <w:lang w:eastAsia="pl-PL"/>
        </w:rPr>
        <w:t xml:space="preserve"> energii</w:t>
      </w:r>
      <w:r>
        <w:fldChar w:fldCharType="end"/>
      </w:r>
    </w:p>
    <w:p w14:paraId="6A7F1B6C" w14:textId="2C9E80AF" w:rsidR="00310F35" w:rsidRDefault="00C27863" w:rsidP="000625AC">
      <w:pPr>
        <w:pStyle w:val="Akapitzlist"/>
        <w:numPr>
          <w:ilvl w:val="0"/>
          <w:numId w:val="113"/>
        </w:numPr>
        <w:jc w:val="left"/>
      </w:pPr>
      <w:r w:rsidRPr="00060FF0">
        <w:fldChar w:fldCharType="begin"/>
      </w:r>
      <w:r w:rsidRPr="00060FF0">
        <w:instrText xml:space="preserve"> REF _Ref195882132 \h </w:instrText>
      </w:r>
      <w:r w:rsidR="00060FF0" w:rsidRPr="00060FF0">
        <w:instrText xml:space="preserve"> \* MERGEFORMAT </w:instrText>
      </w:r>
      <w:r w:rsidRPr="00060FF0">
        <w:fldChar w:fldCharType="separate"/>
      </w:r>
      <w:r w:rsidR="00871DD5">
        <w:t xml:space="preserve">Działanie </w:t>
      </w:r>
      <w:r w:rsidR="00871DD5">
        <w:rPr>
          <w:noProof/>
        </w:rPr>
        <w:t>19</w:t>
      </w:r>
      <w:r w:rsidR="00871DD5">
        <w:t xml:space="preserve">. </w:t>
      </w:r>
      <w:r w:rsidR="00871DD5" w:rsidRPr="00ED04BA">
        <w:t>Rozwój i usprawniania w zakresie funkcjonowania spółdzielni energetycznych</w:t>
      </w:r>
      <w:r w:rsidRPr="00060FF0">
        <w:fldChar w:fldCharType="end"/>
      </w:r>
    </w:p>
    <w:p w14:paraId="44B8070D" w14:textId="525C5D9F" w:rsidR="00223C1B" w:rsidRDefault="00223C1B" w:rsidP="000625AC">
      <w:pPr>
        <w:pStyle w:val="Akapitzlist"/>
        <w:numPr>
          <w:ilvl w:val="0"/>
          <w:numId w:val="113"/>
        </w:numPr>
        <w:jc w:val="left"/>
      </w:pPr>
      <w:r>
        <w:fldChar w:fldCharType="begin"/>
      </w:r>
      <w:r>
        <w:instrText xml:space="preserve"> REF _Ref195894230 \h </w:instrText>
      </w:r>
      <w:r>
        <w:fldChar w:fldCharType="separate"/>
      </w:r>
      <w:r w:rsidR="00871DD5">
        <w:t xml:space="preserve">Działanie </w:t>
      </w:r>
      <w:r w:rsidR="00871DD5">
        <w:rPr>
          <w:noProof/>
        </w:rPr>
        <w:t>68</w:t>
      </w:r>
      <w:r w:rsidR="00871DD5">
        <w:t xml:space="preserve">. </w:t>
      </w:r>
      <w:r w:rsidR="00871DD5" w:rsidRPr="006E75AF">
        <w:t>Wsparcie rozwoju biogazowni rolniczych</w:t>
      </w:r>
      <w:r>
        <w:fldChar w:fldCharType="end"/>
      </w:r>
    </w:p>
    <w:p w14:paraId="114AFD6A" w14:textId="16C7F64B" w:rsidR="00446A93" w:rsidRDefault="00223C1B" w:rsidP="000625AC">
      <w:pPr>
        <w:pStyle w:val="Akapitzlist"/>
        <w:numPr>
          <w:ilvl w:val="0"/>
          <w:numId w:val="113"/>
        </w:numPr>
        <w:jc w:val="left"/>
      </w:pPr>
      <w:r>
        <w:fldChar w:fldCharType="begin"/>
      </w:r>
      <w:r>
        <w:instrText xml:space="preserve"> REF _Ref195894213 \h </w:instrText>
      </w:r>
      <w:r>
        <w:fldChar w:fldCharType="separate"/>
      </w:r>
      <w:r w:rsidR="00871DD5">
        <w:t xml:space="preserve">Działanie </w:t>
      </w:r>
      <w:r w:rsidR="00871DD5">
        <w:rPr>
          <w:noProof/>
        </w:rPr>
        <w:t>69</w:t>
      </w:r>
      <w:r w:rsidR="00871DD5">
        <w:t xml:space="preserve">. </w:t>
      </w:r>
      <w:r w:rsidR="00871DD5" w:rsidRPr="00A47125">
        <w:t>Instrument finansowy – Program NFOŚiGW „Energia dla wsi”</w:t>
      </w:r>
      <w:r>
        <w:fldChar w:fldCharType="end"/>
      </w:r>
    </w:p>
    <w:p w14:paraId="3016BD23" w14:textId="156A60AA" w:rsidR="00F76756" w:rsidRDefault="008B6B54" w:rsidP="000625AC">
      <w:pPr>
        <w:pStyle w:val="Akapitzlist"/>
        <w:numPr>
          <w:ilvl w:val="0"/>
          <w:numId w:val="113"/>
        </w:numPr>
        <w:jc w:val="left"/>
      </w:pPr>
      <w:r>
        <w:fldChar w:fldCharType="begin"/>
      </w:r>
      <w:r>
        <w:instrText xml:space="preserve"> REF _Ref195881216 \h </w:instrText>
      </w:r>
      <w:r w:rsidR="00310F35">
        <w:instrText xml:space="preserve"> \* MERGEFORMAT </w:instrText>
      </w:r>
      <w:r>
        <w:fldChar w:fldCharType="separate"/>
      </w:r>
      <w:r w:rsidR="00871DD5" w:rsidRPr="00871DD5">
        <w:rPr>
          <w:rStyle w:val="Nagwek6Znak"/>
          <w:rFonts w:ascii="Lato" w:hAnsi="Lato"/>
          <w:b w:val="0"/>
        </w:rPr>
        <w:t xml:space="preserve">Działanie </w:t>
      </w:r>
      <w:r w:rsidR="00871DD5" w:rsidRPr="00871DD5">
        <w:rPr>
          <w:lang w:eastAsia="pl-PL"/>
        </w:rPr>
        <w:t xml:space="preserve">141. </w:t>
      </w:r>
      <w:r w:rsidR="00871DD5" w:rsidRPr="004D6F82">
        <w:rPr>
          <w:lang w:eastAsia="pl-PL"/>
        </w:rPr>
        <w:t>Krajowy Punkt Kontaktowy do spraw odnawialnych źródeł energii</w:t>
      </w:r>
      <w:r>
        <w:fldChar w:fldCharType="end"/>
      </w:r>
      <w:r w:rsidR="00F76756">
        <w:t xml:space="preserve"> </w:t>
      </w:r>
    </w:p>
    <w:p w14:paraId="4325A618" w14:textId="36BFBE8C" w:rsidR="00F76756" w:rsidRDefault="008B6B54" w:rsidP="000625AC">
      <w:pPr>
        <w:pStyle w:val="Akapitzlist"/>
        <w:numPr>
          <w:ilvl w:val="0"/>
          <w:numId w:val="113"/>
        </w:numPr>
        <w:jc w:val="left"/>
      </w:pPr>
      <w:r>
        <w:fldChar w:fldCharType="begin"/>
      </w:r>
      <w:r>
        <w:instrText xml:space="preserve"> REF _Ref195881227 \h </w:instrText>
      </w:r>
      <w:r w:rsidR="00310F35">
        <w:instrText xml:space="preserve"> \* MERGEFORMAT </w:instrText>
      </w:r>
      <w:r>
        <w:fldChar w:fldCharType="separate"/>
      </w:r>
      <w:r w:rsidR="00871DD5" w:rsidRPr="00871DD5">
        <w:rPr>
          <w:rStyle w:val="Nagwek6Znak"/>
          <w:rFonts w:ascii="Lato" w:hAnsi="Lato"/>
          <w:b w:val="0"/>
        </w:rPr>
        <w:t xml:space="preserve">Działanie </w:t>
      </w:r>
      <w:r w:rsidR="00871DD5" w:rsidRPr="00871DD5">
        <w:rPr>
          <w:lang w:eastAsia="pl-PL"/>
        </w:rPr>
        <w:t xml:space="preserve">142. </w:t>
      </w:r>
      <w:r w:rsidR="00871DD5" w:rsidRPr="004D6F82">
        <w:rPr>
          <w:lang w:eastAsia="pl-PL"/>
        </w:rPr>
        <w:t>Digitalizacja i standaryzacja procesów inwestycyjnych dla transformacji energetyczno-klimatycznej</w:t>
      </w:r>
      <w:r>
        <w:fldChar w:fldCharType="end"/>
      </w:r>
      <w:r w:rsidR="00F76756">
        <w:t xml:space="preserve"> </w:t>
      </w:r>
    </w:p>
    <w:p w14:paraId="4ACE3A39" w14:textId="0377EA12" w:rsidR="00F76756" w:rsidRDefault="008B6B54" w:rsidP="000625AC">
      <w:pPr>
        <w:pStyle w:val="Akapitzlist"/>
        <w:numPr>
          <w:ilvl w:val="0"/>
          <w:numId w:val="113"/>
        </w:numPr>
        <w:jc w:val="left"/>
      </w:pPr>
      <w:r>
        <w:fldChar w:fldCharType="begin"/>
      </w:r>
      <w:r>
        <w:instrText xml:space="preserve"> REF _Ref195881229 \h </w:instrText>
      </w:r>
      <w:r w:rsidR="00310F35">
        <w:instrText xml:space="preserve"> \* MERGEFORMAT </w:instrText>
      </w:r>
      <w:r>
        <w:fldChar w:fldCharType="separate"/>
      </w:r>
      <w:r w:rsidR="00871DD5" w:rsidRPr="00871DD5">
        <w:rPr>
          <w:rStyle w:val="Nagwek6Znak"/>
          <w:rFonts w:ascii="Lato" w:hAnsi="Lato"/>
          <w:b w:val="0"/>
        </w:rPr>
        <w:t xml:space="preserve">Działanie </w:t>
      </w:r>
      <w:r w:rsidR="00871DD5" w:rsidRPr="00871DD5">
        <w:rPr>
          <w:lang w:eastAsia="pl-PL"/>
        </w:rPr>
        <w:t xml:space="preserve">143. </w:t>
      </w:r>
      <w:r w:rsidR="00871DD5" w:rsidRPr="004D6F82">
        <w:rPr>
          <w:lang w:eastAsia="pl-PL"/>
        </w:rPr>
        <w:t>Stworzenie Centrum Wsparcia Transformacji Energetycznej (CWTE)</w:t>
      </w:r>
      <w:r>
        <w:fldChar w:fldCharType="end"/>
      </w:r>
    </w:p>
    <w:p w14:paraId="526B83E0" w14:textId="29FF3CB4" w:rsidR="00F76756" w:rsidRDefault="008B6B54" w:rsidP="000625AC">
      <w:pPr>
        <w:pStyle w:val="Akapitzlist"/>
        <w:numPr>
          <w:ilvl w:val="0"/>
          <w:numId w:val="113"/>
        </w:numPr>
        <w:jc w:val="left"/>
      </w:pPr>
      <w:r>
        <w:fldChar w:fldCharType="begin"/>
      </w:r>
      <w:r>
        <w:instrText xml:space="preserve"> REF _Ref195881232 \h </w:instrText>
      </w:r>
      <w:r w:rsidR="00310F35">
        <w:instrText xml:space="preserve"> \* MERGEFORMAT </w:instrText>
      </w:r>
      <w:r>
        <w:fldChar w:fldCharType="separate"/>
      </w:r>
      <w:r w:rsidR="00871DD5" w:rsidRPr="00871DD5">
        <w:rPr>
          <w:rStyle w:val="Nagwek6Znak"/>
          <w:rFonts w:ascii="Lato" w:hAnsi="Lato"/>
          <w:b w:val="0"/>
        </w:rPr>
        <w:t xml:space="preserve">Działanie </w:t>
      </w:r>
      <w:r w:rsidR="00871DD5" w:rsidRPr="00871DD5">
        <w:rPr>
          <w:lang w:eastAsia="pl-PL"/>
        </w:rPr>
        <w:t xml:space="preserve">144. </w:t>
      </w:r>
      <w:r w:rsidR="00871DD5" w:rsidRPr="004D6F82">
        <w:rPr>
          <w:lang w:eastAsia="pl-PL"/>
        </w:rPr>
        <w:t>Symulator Systemu Energetycznego dla Samorządu</w:t>
      </w:r>
      <w:r>
        <w:fldChar w:fldCharType="end"/>
      </w:r>
    </w:p>
    <w:p w14:paraId="5688ADAE" w14:textId="36A0AB4E" w:rsidR="00310F35" w:rsidRDefault="008B6B54" w:rsidP="000625AC">
      <w:pPr>
        <w:pStyle w:val="Akapitzlist"/>
        <w:numPr>
          <w:ilvl w:val="0"/>
          <w:numId w:val="113"/>
        </w:numPr>
        <w:jc w:val="left"/>
      </w:pPr>
      <w:r>
        <w:fldChar w:fldCharType="begin"/>
      </w:r>
      <w:r>
        <w:instrText xml:space="preserve"> REF _Ref195881235 \h </w:instrText>
      </w:r>
      <w:r w:rsidR="00310F35">
        <w:instrText xml:space="preserve"> \* MERGEFORMAT </w:instrText>
      </w:r>
      <w:r>
        <w:fldChar w:fldCharType="separate"/>
      </w:r>
      <w:r w:rsidR="00871DD5" w:rsidRPr="00871DD5">
        <w:rPr>
          <w:rStyle w:val="Nagwek6Znak"/>
          <w:rFonts w:ascii="Lato" w:hAnsi="Lato"/>
          <w:b w:val="0"/>
        </w:rPr>
        <w:t xml:space="preserve">Działanie </w:t>
      </w:r>
      <w:r w:rsidR="00871DD5" w:rsidRPr="00871DD5">
        <w:rPr>
          <w:lang w:eastAsia="pl-PL"/>
        </w:rPr>
        <w:t>145.</w:t>
      </w:r>
      <w:r w:rsidR="00871DD5" w:rsidRPr="004D6F82">
        <w:rPr>
          <w:lang w:eastAsia="pl-PL"/>
        </w:rPr>
        <w:t xml:space="preserve"> Rozwój ośrodków i systemów modelowania</w:t>
      </w:r>
      <w:r w:rsidR="00871DD5">
        <w:rPr>
          <w:lang w:eastAsia="pl-PL"/>
        </w:rPr>
        <w:t xml:space="preserve"> </w:t>
      </w:r>
      <w:r>
        <w:fldChar w:fldCharType="end"/>
      </w:r>
      <w:r w:rsidR="00823A2A">
        <w:t xml:space="preserve"> </w:t>
      </w:r>
    </w:p>
    <w:p w14:paraId="5E01D533" w14:textId="758D4571" w:rsidR="00691EA7" w:rsidRDefault="009714FB" w:rsidP="00DC1AB1">
      <w:pPr>
        <w:pStyle w:val="Nagwek3"/>
        <w:rPr>
          <w:color w:val="FFC000" w:themeColor="accent4"/>
        </w:rPr>
      </w:pPr>
      <w:bookmarkStart w:id="822" w:name="_Toc195897388"/>
      <w:bookmarkStart w:id="823" w:name="_Toc195899633"/>
      <w:bookmarkStart w:id="824" w:name="_Toc159598347"/>
      <w:bookmarkStart w:id="825" w:name="_Toc195897389"/>
      <w:bookmarkStart w:id="826" w:name="_Toc205203222"/>
      <w:bookmarkEnd w:id="821"/>
      <w:bookmarkEnd w:id="822"/>
      <w:bookmarkEnd w:id="823"/>
      <w:r>
        <w:rPr>
          <w:color w:val="FFC000" w:themeColor="accent4"/>
        </w:rPr>
        <w:t>Sprawiedliwa transformacja i ochrona konsumentów</w:t>
      </w:r>
      <w:bookmarkEnd w:id="824"/>
      <w:bookmarkEnd w:id="825"/>
      <w:bookmarkEnd w:id="826"/>
    </w:p>
    <w:p w14:paraId="35F74817" w14:textId="7F8017CF" w:rsidR="00982E9E" w:rsidRDefault="00982E9E" w:rsidP="00982E9E">
      <w:r>
        <w:t>Transformacja do gospodarki niskoemisyjnej przyniesie wiele korzyści</w:t>
      </w:r>
      <w:r w:rsidR="00527FE6">
        <w:t xml:space="preserve"> (jak np. zmniejszenie negatywnego wpływu sektorów na środowisko, redukcja kosztów wytwarzania energii</w:t>
      </w:r>
      <w:r>
        <w:t>,</w:t>
      </w:r>
      <w:r w:rsidR="00527FE6">
        <w:t xml:space="preserve"> unowocześnienie gospodarki, poprawa jakości życia, i in.), </w:t>
      </w:r>
      <w:r>
        <w:t xml:space="preserve">ale jak każda zmiana wymaga uważnego przeprowadzenia, tak aby zniwelować potencjalne negatywne skutki zmian. Z tego względu silnie podkreślana jest konieczność zapewnienia </w:t>
      </w:r>
      <w:r w:rsidRPr="00A152B7">
        <w:rPr>
          <w:b/>
          <w:bCs/>
        </w:rPr>
        <w:t>sprawiedliwego wymiaru</w:t>
      </w:r>
      <w:r>
        <w:t xml:space="preserve"> transformacji, który powinien uwzględniać dwa aspekty – oba zostały ujęte w tym obszarze.</w:t>
      </w:r>
    </w:p>
    <w:p w14:paraId="6A95631C" w14:textId="2B394354" w:rsidR="00982E9E" w:rsidRDefault="00982E9E" w:rsidP="00982E9E">
      <w:r>
        <w:t>W pierwszej kolejności na uwagę zasługuje to, że</w:t>
      </w:r>
      <w:r w:rsidR="00CE6C29">
        <w:t xml:space="preserve"> wbrew obawom</w:t>
      </w:r>
      <w:r w:rsidR="00A2613E">
        <w:t>,</w:t>
      </w:r>
      <w:r>
        <w:t xml:space="preserve"> transformacja </w:t>
      </w:r>
      <w:r w:rsidR="00CE6C29">
        <w:t>nie musi</w:t>
      </w:r>
      <w:r>
        <w:t xml:space="preserve"> skutkować wzrostem cen energii. </w:t>
      </w:r>
      <w:r w:rsidR="00CE6C29">
        <w:t xml:space="preserve">Wręcz przeciwnie, oba scenariusze WEM i WAM pokazują konsekwentny spadek kosztów wytwarzania energii </w:t>
      </w:r>
      <w:r w:rsidR="00A2613E">
        <w:t xml:space="preserve">elektrycznej </w:t>
      </w:r>
      <w:r w:rsidR="00CE6C29">
        <w:t>nawet o 1</w:t>
      </w:r>
      <w:r w:rsidR="005453C8">
        <w:t>1</w:t>
      </w:r>
      <w:r w:rsidR="00CE6C29">
        <w:t>% do 2030</w:t>
      </w:r>
      <w:r w:rsidR="00A2613E">
        <w:t xml:space="preserve"> r.</w:t>
      </w:r>
      <w:r w:rsidR="00CE6C29">
        <w:t xml:space="preserve"> i o 3</w:t>
      </w:r>
      <w:r w:rsidR="005453C8">
        <w:t>1</w:t>
      </w:r>
      <w:r w:rsidR="00CE6C29">
        <w:t>% do 2040</w:t>
      </w:r>
      <w:r w:rsidR="00A2613E">
        <w:t xml:space="preserve"> r.</w:t>
      </w:r>
      <w:r w:rsidR="00CE6C29">
        <w:t xml:space="preserve"> (</w:t>
      </w:r>
      <w:r w:rsidR="00A2613E">
        <w:t>w </w:t>
      </w:r>
      <w:r w:rsidR="00CE6C29">
        <w:t>scenariusz</w:t>
      </w:r>
      <w:r w:rsidR="00A2613E">
        <w:t>u</w:t>
      </w:r>
      <w:r w:rsidR="00CE6C29">
        <w:t xml:space="preserve"> WAM)</w:t>
      </w:r>
      <w:r w:rsidR="00A2613E">
        <w:t xml:space="preserve"> w porównaniu z prognozami na 2025 r</w:t>
      </w:r>
      <w:r w:rsidR="00CE6C29">
        <w:t>. Ten efekt, przy jednocześnie istotnym wsparciu inwestycyjnym ze środków publicznych (krajowych i unijnych) dostępnych w perspektywie 2024-2030, może i powi</w:t>
      </w:r>
      <w:r w:rsidR="00A2613E">
        <w:t>nien</w:t>
      </w:r>
      <w:r w:rsidR="00CE6C29">
        <w:t xml:space="preserve"> przełożyć się na </w:t>
      </w:r>
      <w:r w:rsidR="00E90BB3">
        <w:t xml:space="preserve">realną stabilizację i docelowy </w:t>
      </w:r>
      <w:r w:rsidR="00CE6C29">
        <w:t xml:space="preserve">spadek cen energii. </w:t>
      </w:r>
      <w:r w:rsidR="00E90BB3">
        <w:t>Niemniej jednak w</w:t>
      </w:r>
      <w:r w:rsidR="00C07A2D">
        <w:t> </w:t>
      </w:r>
      <w:r w:rsidR="00E90BB3">
        <w:t>procesie transformacji szczególnie</w:t>
      </w:r>
      <w:r>
        <w:t xml:space="preserve"> konieczne jest zabezpieczenie grup społecznych najbardziej narażonych na </w:t>
      </w:r>
      <w:r w:rsidRPr="00FE77FE">
        <w:rPr>
          <w:b/>
          <w:bCs/>
        </w:rPr>
        <w:t>ubóstwo energ</w:t>
      </w:r>
      <w:r>
        <w:rPr>
          <w:b/>
          <w:bCs/>
        </w:rPr>
        <w:t>e</w:t>
      </w:r>
      <w:r w:rsidRPr="00FE77FE">
        <w:rPr>
          <w:b/>
          <w:bCs/>
        </w:rPr>
        <w:t>tyczne</w:t>
      </w:r>
      <w:r>
        <w:t>.</w:t>
      </w:r>
    </w:p>
    <w:p w14:paraId="00081154" w14:textId="65CC1F70" w:rsidR="00982E9E" w:rsidRDefault="00982E9E" w:rsidP="00982E9E">
      <w:r>
        <w:t xml:space="preserve">Drugim aspektem w kontekście sprawiedliwej transformacji jest </w:t>
      </w:r>
      <w:r w:rsidRPr="00FE77FE">
        <w:rPr>
          <w:b/>
          <w:bCs/>
        </w:rPr>
        <w:t>zapewnieni</w:t>
      </w:r>
      <w:r w:rsidR="00415AD5">
        <w:rPr>
          <w:b/>
          <w:bCs/>
        </w:rPr>
        <w:t>e</w:t>
      </w:r>
      <w:r w:rsidRPr="00FE77FE">
        <w:rPr>
          <w:b/>
          <w:bCs/>
        </w:rPr>
        <w:t xml:space="preserve"> wsparcia regionom</w:t>
      </w:r>
      <w:r>
        <w:t xml:space="preserve"> </w:t>
      </w:r>
      <w:r w:rsidRPr="00FE77FE">
        <w:rPr>
          <w:b/>
          <w:bCs/>
        </w:rPr>
        <w:t>węglowym</w:t>
      </w:r>
      <w:r w:rsidR="00EB6EC3">
        <w:t xml:space="preserve"> oraz innym </w:t>
      </w:r>
      <w:r w:rsidR="00EB6EC3" w:rsidRPr="00310F10">
        <w:rPr>
          <w:b/>
          <w:bCs/>
        </w:rPr>
        <w:t>regionom przemysłowym</w:t>
      </w:r>
      <w:r w:rsidR="00EB6EC3">
        <w:rPr>
          <w:b/>
          <w:bCs/>
        </w:rPr>
        <w:t xml:space="preserve"> o wysokiej intensywności emisji CO</w:t>
      </w:r>
      <w:r w:rsidR="00EB6EC3" w:rsidRPr="00310F10">
        <w:rPr>
          <w:b/>
          <w:bCs/>
          <w:vertAlign w:val="subscript"/>
        </w:rPr>
        <w:t>2</w:t>
      </w:r>
      <w:r>
        <w:t>, tak aby negatywnym skutkiem nie stały się problemy społeczno-gospodarcze tych regionów.</w:t>
      </w:r>
    </w:p>
    <w:p w14:paraId="3F84BCB1" w14:textId="338352CA" w:rsidR="00A12397" w:rsidRDefault="00A12397" w:rsidP="00A12397">
      <w:pPr>
        <w:pStyle w:val="odesaniedoza"/>
      </w:pPr>
      <w:r>
        <w:t xml:space="preserve">Szerszy kontekst </w:t>
      </w:r>
      <w:r w:rsidR="008A50FF">
        <w:t>skutków społecznych i makroekonomicznych został opisany w załączniki 1 do aKPEiK w</w:t>
      </w:r>
      <w:r w:rsidR="006635D1">
        <w:t> rozdziale 5.</w:t>
      </w:r>
    </w:p>
    <w:p w14:paraId="508D630F" w14:textId="77777777" w:rsidR="00982E9E" w:rsidRDefault="00982E9E" w:rsidP="00982E9E">
      <w:pPr>
        <w:pStyle w:val="Nagwek4"/>
        <w:rPr>
          <w:color w:val="FFC000" w:themeColor="accent4"/>
        </w:rPr>
      </w:pPr>
      <w:bookmarkStart w:id="827" w:name="_Toc159598348"/>
      <w:bookmarkStart w:id="828" w:name="_Ref174547848"/>
      <w:bookmarkStart w:id="829" w:name="_Ref174547854"/>
      <w:bookmarkStart w:id="830" w:name="_Ref174547858"/>
      <w:bookmarkStart w:id="831" w:name="_Toc195897390"/>
      <w:bookmarkStart w:id="832" w:name="_Toc205203223"/>
      <w:r>
        <w:rPr>
          <w:color w:val="FFC000" w:themeColor="accent4"/>
        </w:rPr>
        <w:t>Redukcja ubóstwa energetycznego</w:t>
      </w:r>
      <w:bookmarkEnd w:id="827"/>
      <w:bookmarkEnd w:id="828"/>
      <w:bookmarkEnd w:id="829"/>
      <w:bookmarkEnd w:id="830"/>
      <w:bookmarkEnd w:id="831"/>
      <w:bookmarkEnd w:id="832"/>
    </w:p>
    <w:p w14:paraId="1937B058" w14:textId="03F903A9" w:rsidR="00114D74" w:rsidRDefault="00114D74" w:rsidP="00114D74">
      <w:r>
        <w:t xml:space="preserve">Ubóstwo energetyczne rozumiane </w:t>
      </w:r>
      <w:r w:rsidR="00415AD5">
        <w:t xml:space="preserve">jest </w:t>
      </w:r>
      <w:r>
        <w:t>jako sytuacja, w której gospodarstwo domowe nie jest w stanie zapewnić sobie wystarczającego poziomu ciepła, chłodu, oświetlania oraz energii elektrycznej do zasilania urządzeń elektrycznych. Zjawisko to jest złożonym zagadnieniem łączącym kwestie społeczne, techniczne i ekonomiczne. Ubóstwo energetyczne dotyka zarówno obszary wiejskie, jak i</w:t>
      </w:r>
      <w:r w:rsidR="00C07A2D">
        <w:t> </w:t>
      </w:r>
      <w:r>
        <w:t>miejskie, domy jednorodzinne i budynki wielomieszkaniowe. Z racji swej złożoności, skuteczne zwalczanie tego negatywnego zjawiska wymaga dokładnej identyfikacji jego przyczyn i proponowania rozwiązań dopasowanych do indywidualnej sytuacji gospodarstwa domowego.</w:t>
      </w:r>
    </w:p>
    <w:p w14:paraId="0C6F6656" w14:textId="77777777" w:rsidR="00994922" w:rsidRPr="00994922" w:rsidRDefault="00994922" w:rsidP="00994922">
      <w:pPr>
        <w:rPr>
          <w:b/>
          <w:bCs/>
        </w:rPr>
      </w:pPr>
      <w:r w:rsidRPr="00994922">
        <w:rPr>
          <w:b/>
          <w:bCs/>
        </w:rPr>
        <w:t>Możemy wyróżnić trzy kluczowe przyczyny ubóstwa energetycznego:</w:t>
      </w:r>
    </w:p>
    <w:p w14:paraId="28B59B47" w14:textId="73522866" w:rsidR="00994922" w:rsidRPr="00994922" w:rsidRDefault="00705105" w:rsidP="000625AC">
      <w:pPr>
        <w:numPr>
          <w:ilvl w:val="0"/>
          <w:numId w:val="35"/>
        </w:numPr>
      </w:pPr>
      <w:r w:rsidRPr="00A81ACF">
        <w:rPr>
          <w:b/>
        </w:rPr>
        <w:lastRenderedPageBreak/>
        <w:t>w</w:t>
      </w:r>
      <w:r w:rsidR="00994922" w:rsidRPr="00DD5F88">
        <w:rPr>
          <w:b/>
          <w:bCs/>
        </w:rPr>
        <w:t>ysokie koszty energii</w:t>
      </w:r>
      <w:r w:rsidR="00994922" w:rsidRPr="00994922">
        <w:t xml:space="preserve"> –</w:t>
      </w:r>
      <w:r w:rsidR="00A56AEB">
        <w:t xml:space="preserve"> m</w:t>
      </w:r>
      <w:r w:rsidR="00DD5F88">
        <w:t>ogą wynikać zarówno z niskiej jakości tkanki mieszkaniowej (niskiej efektywności energetycznej budynków</w:t>
      </w:r>
      <w:r w:rsidR="00A56AEB">
        <w:t xml:space="preserve"> i urządzeń</w:t>
      </w:r>
      <w:r w:rsidR="00DD5F88">
        <w:t xml:space="preserve">), dostępności </w:t>
      </w:r>
      <w:r w:rsidR="00A56AEB">
        <w:t xml:space="preserve">i cen </w:t>
      </w:r>
      <w:r w:rsidR="00DD5F88">
        <w:t>nośników energii, ale także czynników behawioralnych (złe nawyki i przyzwyczajenia odbiorców energii)</w:t>
      </w:r>
      <w:r w:rsidR="00A56AEB">
        <w:t>;</w:t>
      </w:r>
    </w:p>
    <w:p w14:paraId="3AAE5E8F" w14:textId="2CD6908C" w:rsidR="00685B5D" w:rsidRDefault="00705105" w:rsidP="000625AC">
      <w:pPr>
        <w:numPr>
          <w:ilvl w:val="0"/>
          <w:numId w:val="35"/>
        </w:numPr>
      </w:pPr>
      <w:r w:rsidRPr="00EF547F">
        <w:rPr>
          <w:b/>
          <w:bCs/>
        </w:rPr>
        <w:t>n</w:t>
      </w:r>
      <w:r w:rsidR="00994922" w:rsidRPr="00EF547F">
        <w:rPr>
          <w:b/>
          <w:bCs/>
        </w:rPr>
        <w:t>iskie dochody</w:t>
      </w:r>
      <w:r w:rsidR="00994922" w:rsidRPr="00994922">
        <w:t xml:space="preserve"> </w:t>
      </w:r>
      <w:r w:rsidR="00EF547F">
        <w:t xml:space="preserve">– </w:t>
      </w:r>
      <w:r w:rsidR="00994922" w:rsidRPr="00994922">
        <w:t xml:space="preserve">ubóstwo energetyczne często dotyka gospodarstwa domowe o niskich dochodach. Przyjmuje się, że </w:t>
      </w:r>
      <w:r w:rsidR="00685B5D">
        <w:t>dotyczy to gospodarstw domowych, których dochody po odliczeniu wydatków mieszkaniowych (</w:t>
      </w:r>
      <w:r w:rsidR="003A7F45">
        <w:t xml:space="preserve">AHC, </w:t>
      </w:r>
      <w:r w:rsidR="00685B5D">
        <w:t xml:space="preserve">ang. </w:t>
      </w:r>
      <w:r w:rsidR="00685B5D" w:rsidRPr="00685B5D">
        <w:rPr>
          <w:i/>
          <w:iCs/>
        </w:rPr>
        <w:t>After Housing Cost</w:t>
      </w:r>
      <w:r w:rsidR="00685B5D">
        <w:t>) wynoszą mniej niż 60% mediany dochodów AHC w populacji;</w:t>
      </w:r>
    </w:p>
    <w:p w14:paraId="62A8293B" w14:textId="463582EB" w:rsidR="00994922" w:rsidRDefault="00705105" w:rsidP="000625AC">
      <w:pPr>
        <w:numPr>
          <w:ilvl w:val="0"/>
          <w:numId w:val="35"/>
        </w:numPr>
      </w:pPr>
      <w:r w:rsidRPr="00685B5D">
        <w:rPr>
          <w:b/>
          <w:bCs/>
        </w:rPr>
        <w:t>z</w:t>
      </w:r>
      <w:r w:rsidR="00994922" w:rsidRPr="00685B5D">
        <w:rPr>
          <w:b/>
          <w:bCs/>
        </w:rPr>
        <w:t>ły stan techniczny budynku</w:t>
      </w:r>
      <w:r w:rsidR="00994922" w:rsidRPr="00994922">
        <w:t xml:space="preserve"> –</w:t>
      </w:r>
      <w:r w:rsidR="007E5E1D">
        <w:t xml:space="preserve"> </w:t>
      </w:r>
      <w:r w:rsidR="00994922" w:rsidRPr="00994922">
        <w:t xml:space="preserve">przeciekające dachy, wilgoć, pleśń oraz brak odpowiedniej izolacji, </w:t>
      </w:r>
      <w:r w:rsidR="00685B5D">
        <w:t>skutkują</w:t>
      </w:r>
      <w:r w:rsidR="00994922" w:rsidRPr="00994922">
        <w:t xml:space="preserve"> </w:t>
      </w:r>
      <w:r w:rsidR="00685B5D">
        <w:t>niską</w:t>
      </w:r>
      <w:r w:rsidR="00994922" w:rsidRPr="00994922">
        <w:t xml:space="preserve"> </w:t>
      </w:r>
      <w:r w:rsidR="00D171B9">
        <w:t xml:space="preserve">klasą </w:t>
      </w:r>
      <w:r w:rsidR="00994922" w:rsidRPr="00994922">
        <w:t>efektywności energetycznej</w:t>
      </w:r>
      <w:r w:rsidR="007E5E1D">
        <w:t xml:space="preserve"> budynku</w:t>
      </w:r>
      <w:r w:rsidR="00D171B9">
        <w:t>. Są</w:t>
      </w:r>
      <w:r w:rsidR="007E5E1D">
        <w:t xml:space="preserve"> </w:t>
      </w:r>
      <w:r w:rsidR="00E90BB3">
        <w:t xml:space="preserve">to </w:t>
      </w:r>
      <w:r w:rsidR="00994922" w:rsidRPr="00994922">
        <w:t>problemy strukturalne powodują</w:t>
      </w:r>
      <w:r w:rsidR="007E5E1D">
        <w:t>ce</w:t>
      </w:r>
      <w:r w:rsidR="00994922" w:rsidRPr="00994922">
        <w:t>, że więcej energii jest potrzebne do ogrzania budynku, co zwiększa koszty i pogłębia ubóstwo energetyczne.</w:t>
      </w:r>
    </w:p>
    <w:p w14:paraId="34219796" w14:textId="47999E96" w:rsidR="00B635E6" w:rsidRDefault="004A26F2" w:rsidP="00C8596B">
      <w:pPr>
        <w:spacing w:before="240"/>
      </w:pPr>
      <w:r>
        <w:t>Zgodnie z danymi GUS (</w:t>
      </w:r>
      <w:hyperlink r:id="rId93" w:history="1">
        <w:r w:rsidRPr="00B635E6">
          <w:rPr>
            <w:rStyle w:val="Hipercze"/>
            <w:i/>
            <w:iCs/>
          </w:rPr>
          <w:t>link</w:t>
        </w:r>
      </w:hyperlink>
      <w:r>
        <w:t>)</w:t>
      </w:r>
      <w:r w:rsidR="00B635E6">
        <w:t xml:space="preserve"> </w:t>
      </w:r>
      <w:r w:rsidR="00744930">
        <w:t>w latach 2019</w:t>
      </w:r>
      <w:r w:rsidR="00511341">
        <w:t>–</w:t>
      </w:r>
      <w:r w:rsidR="00744930">
        <w:t xml:space="preserve">2022 </w:t>
      </w:r>
      <w:r w:rsidR="00B635E6">
        <w:t xml:space="preserve">wskaźniki ubóstwa energetycznego w Polsce plasowały się na </w:t>
      </w:r>
      <w:r w:rsidR="003626DF">
        <w:t>niżej wskazanym</w:t>
      </w:r>
      <w:r w:rsidR="00B635E6">
        <w:t xml:space="preserve"> poziomie</w:t>
      </w:r>
      <w:r w:rsidR="003626DF">
        <w:t xml:space="preserve">. </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4"/>
        <w:gridCol w:w="891"/>
        <w:gridCol w:w="892"/>
        <w:gridCol w:w="891"/>
        <w:gridCol w:w="892"/>
      </w:tblGrid>
      <w:tr w:rsidR="006100A7" w:rsidRPr="00737559" w14:paraId="70D7EED5" w14:textId="77777777" w:rsidTr="00D206EA">
        <w:trPr>
          <w:trHeight w:val="290"/>
          <w:jc w:val="center"/>
        </w:trPr>
        <w:tc>
          <w:tcPr>
            <w:tcW w:w="5524" w:type="dxa"/>
            <w:noWrap/>
            <w:vAlign w:val="center"/>
            <w:hideMark/>
          </w:tcPr>
          <w:p w14:paraId="2B7800C6" w14:textId="1A0DF418" w:rsidR="006100A7" w:rsidRPr="00737559" w:rsidRDefault="006100A7" w:rsidP="00737559">
            <w:pPr>
              <w:spacing w:after="0" w:line="240" w:lineRule="auto"/>
              <w:jc w:val="left"/>
              <w:rPr>
                <w:i/>
                <w:color w:val="2F5496" w:themeColor="accent1" w:themeShade="BF"/>
                <w:sz w:val="18"/>
                <w:szCs w:val="18"/>
                <w:lang w:eastAsia="pl-PL"/>
              </w:rPr>
            </w:pPr>
            <w:r w:rsidRPr="00737559">
              <w:rPr>
                <w:i/>
                <w:sz w:val="18"/>
                <w:szCs w:val="18"/>
                <w:lang w:eastAsia="pl-PL"/>
              </w:rPr>
              <w:t>(% gospodarstw domowych)</w:t>
            </w:r>
          </w:p>
        </w:tc>
        <w:tc>
          <w:tcPr>
            <w:tcW w:w="891" w:type="dxa"/>
            <w:noWrap/>
            <w:vAlign w:val="center"/>
            <w:hideMark/>
          </w:tcPr>
          <w:p w14:paraId="7EAA553D" w14:textId="77777777" w:rsidR="006100A7" w:rsidRPr="00737559" w:rsidRDefault="006100A7" w:rsidP="00737559">
            <w:pPr>
              <w:spacing w:after="0" w:line="240" w:lineRule="auto"/>
              <w:jc w:val="center"/>
              <w:rPr>
                <w:b/>
                <w:bCs/>
                <w:color w:val="2F5496" w:themeColor="accent1" w:themeShade="BF"/>
                <w:sz w:val="18"/>
                <w:szCs w:val="18"/>
              </w:rPr>
            </w:pPr>
            <w:r w:rsidRPr="00737559">
              <w:rPr>
                <w:b/>
                <w:bCs/>
                <w:color w:val="2F5496" w:themeColor="accent1" w:themeShade="BF"/>
                <w:sz w:val="18"/>
                <w:szCs w:val="18"/>
              </w:rPr>
              <w:t>2019</w:t>
            </w:r>
          </w:p>
        </w:tc>
        <w:tc>
          <w:tcPr>
            <w:tcW w:w="892" w:type="dxa"/>
            <w:noWrap/>
            <w:vAlign w:val="center"/>
            <w:hideMark/>
          </w:tcPr>
          <w:p w14:paraId="67951399" w14:textId="77777777" w:rsidR="006100A7" w:rsidRPr="00737559" w:rsidRDefault="006100A7" w:rsidP="00737559">
            <w:pPr>
              <w:spacing w:after="0" w:line="240" w:lineRule="auto"/>
              <w:jc w:val="center"/>
              <w:rPr>
                <w:b/>
                <w:bCs/>
                <w:color w:val="2F5496" w:themeColor="accent1" w:themeShade="BF"/>
                <w:sz w:val="18"/>
                <w:szCs w:val="18"/>
              </w:rPr>
            </w:pPr>
            <w:r w:rsidRPr="00737559">
              <w:rPr>
                <w:b/>
                <w:bCs/>
                <w:color w:val="2F5496" w:themeColor="accent1" w:themeShade="BF"/>
                <w:sz w:val="18"/>
                <w:szCs w:val="18"/>
              </w:rPr>
              <w:t>2020</w:t>
            </w:r>
          </w:p>
        </w:tc>
        <w:tc>
          <w:tcPr>
            <w:tcW w:w="891" w:type="dxa"/>
            <w:noWrap/>
            <w:vAlign w:val="center"/>
            <w:hideMark/>
          </w:tcPr>
          <w:p w14:paraId="5D1DB9F5" w14:textId="77777777" w:rsidR="006100A7" w:rsidRPr="00737559" w:rsidRDefault="006100A7" w:rsidP="00737559">
            <w:pPr>
              <w:spacing w:after="0" w:line="240" w:lineRule="auto"/>
              <w:jc w:val="center"/>
              <w:rPr>
                <w:b/>
                <w:bCs/>
                <w:color w:val="2F5496" w:themeColor="accent1" w:themeShade="BF"/>
                <w:sz w:val="18"/>
                <w:szCs w:val="18"/>
              </w:rPr>
            </w:pPr>
            <w:r w:rsidRPr="00737559">
              <w:rPr>
                <w:b/>
                <w:bCs/>
                <w:color w:val="2F5496" w:themeColor="accent1" w:themeShade="BF"/>
                <w:sz w:val="18"/>
                <w:szCs w:val="18"/>
              </w:rPr>
              <w:t>2021</w:t>
            </w:r>
          </w:p>
        </w:tc>
        <w:tc>
          <w:tcPr>
            <w:tcW w:w="892" w:type="dxa"/>
            <w:noWrap/>
            <w:vAlign w:val="center"/>
            <w:hideMark/>
          </w:tcPr>
          <w:p w14:paraId="5873E2FD" w14:textId="77777777" w:rsidR="006100A7" w:rsidRPr="00737559" w:rsidRDefault="006100A7" w:rsidP="00737559">
            <w:pPr>
              <w:spacing w:after="0" w:line="240" w:lineRule="auto"/>
              <w:jc w:val="center"/>
              <w:rPr>
                <w:b/>
                <w:bCs/>
                <w:color w:val="2F5496" w:themeColor="accent1" w:themeShade="BF"/>
                <w:sz w:val="18"/>
                <w:szCs w:val="18"/>
              </w:rPr>
            </w:pPr>
            <w:r w:rsidRPr="00737559">
              <w:rPr>
                <w:b/>
                <w:bCs/>
                <w:color w:val="2F5496" w:themeColor="accent1" w:themeShade="BF"/>
                <w:sz w:val="18"/>
                <w:szCs w:val="18"/>
              </w:rPr>
              <w:t>2022</w:t>
            </w:r>
          </w:p>
        </w:tc>
      </w:tr>
      <w:tr w:rsidR="006100A7" w:rsidRPr="00737559" w14:paraId="43D62670" w14:textId="77777777" w:rsidTr="00D206EA">
        <w:trPr>
          <w:trHeight w:val="290"/>
          <w:jc w:val="center"/>
        </w:trPr>
        <w:tc>
          <w:tcPr>
            <w:tcW w:w="5524" w:type="dxa"/>
            <w:noWrap/>
            <w:vAlign w:val="center"/>
            <w:hideMark/>
          </w:tcPr>
          <w:p w14:paraId="26F242F0" w14:textId="3A0C0BC7" w:rsidR="006100A7" w:rsidRPr="00737559" w:rsidRDefault="00D62723" w:rsidP="00737559">
            <w:pPr>
              <w:spacing w:after="0" w:line="240" w:lineRule="auto"/>
              <w:jc w:val="left"/>
              <w:rPr>
                <w:b/>
                <w:bCs/>
                <w:color w:val="2F5496" w:themeColor="accent1" w:themeShade="BF"/>
                <w:sz w:val="18"/>
                <w:szCs w:val="18"/>
                <w:lang w:eastAsia="pl-PL"/>
              </w:rPr>
            </w:pPr>
            <w:r>
              <w:rPr>
                <w:b/>
                <w:bCs/>
                <w:color w:val="2F5496" w:themeColor="accent1" w:themeShade="BF"/>
                <w:sz w:val="18"/>
                <w:szCs w:val="18"/>
                <w:lang w:eastAsia="pl-PL"/>
              </w:rPr>
              <w:t>w</w:t>
            </w:r>
            <w:r w:rsidR="006100A7" w:rsidRPr="00737559">
              <w:rPr>
                <w:b/>
                <w:bCs/>
                <w:color w:val="2F5496" w:themeColor="accent1" w:themeShade="BF"/>
                <w:sz w:val="18"/>
                <w:szCs w:val="18"/>
                <w:lang w:eastAsia="pl-PL"/>
              </w:rPr>
              <w:t xml:space="preserve">ysokie </w:t>
            </w:r>
            <w:r>
              <w:rPr>
                <w:b/>
                <w:bCs/>
                <w:color w:val="2F5496" w:themeColor="accent1" w:themeShade="BF"/>
                <w:sz w:val="18"/>
                <w:szCs w:val="18"/>
                <w:lang w:eastAsia="pl-PL"/>
              </w:rPr>
              <w:t>k</w:t>
            </w:r>
            <w:r w:rsidR="006100A7" w:rsidRPr="00737559">
              <w:rPr>
                <w:b/>
                <w:bCs/>
                <w:color w:val="2F5496" w:themeColor="accent1" w:themeShade="BF"/>
                <w:sz w:val="18"/>
                <w:szCs w:val="18"/>
                <w:lang w:eastAsia="pl-PL"/>
              </w:rPr>
              <w:t xml:space="preserve">oszty, </w:t>
            </w:r>
            <w:r>
              <w:rPr>
                <w:b/>
                <w:bCs/>
                <w:color w:val="2F5496" w:themeColor="accent1" w:themeShade="BF"/>
                <w:sz w:val="18"/>
                <w:szCs w:val="18"/>
                <w:lang w:eastAsia="pl-PL"/>
              </w:rPr>
              <w:t>n</w:t>
            </w:r>
            <w:r w:rsidR="006100A7" w:rsidRPr="00737559">
              <w:rPr>
                <w:b/>
                <w:bCs/>
                <w:color w:val="2F5496" w:themeColor="accent1" w:themeShade="BF"/>
                <w:sz w:val="18"/>
                <w:szCs w:val="18"/>
                <w:lang w:eastAsia="pl-PL"/>
              </w:rPr>
              <w:t xml:space="preserve">iskie </w:t>
            </w:r>
            <w:r>
              <w:rPr>
                <w:b/>
                <w:bCs/>
                <w:color w:val="2F5496" w:themeColor="accent1" w:themeShade="BF"/>
                <w:sz w:val="18"/>
                <w:szCs w:val="18"/>
                <w:lang w:eastAsia="pl-PL"/>
              </w:rPr>
              <w:t>d</w:t>
            </w:r>
            <w:r w:rsidR="006100A7" w:rsidRPr="00737559">
              <w:rPr>
                <w:b/>
                <w:bCs/>
                <w:color w:val="2F5496" w:themeColor="accent1" w:themeShade="BF"/>
                <w:sz w:val="18"/>
                <w:szCs w:val="18"/>
                <w:lang w:eastAsia="pl-PL"/>
              </w:rPr>
              <w:t>ochody (LIHC</w:t>
            </w:r>
            <w:r w:rsidR="00147ADD">
              <w:rPr>
                <w:b/>
                <w:bCs/>
                <w:color w:val="2F5496" w:themeColor="accent1" w:themeShade="BF"/>
                <w:sz w:val="18"/>
                <w:szCs w:val="18"/>
                <w:lang w:eastAsia="pl-PL"/>
              </w:rPr>
              <w:t>, ang.</w:t>
            </w:r>
            <w:r w:rsidR="00147ADD" w:rsidRPr="00D206EA">
              <w:rPr>
                <w:b/>
                <w:bCs/>
                <w:i/>
                <w:iCs/>
                <w:color w:val="2F5496" w:themeColor="accent1" w:themeShade="BF"/>
                <w:sz w:val="18"/>
                <w:szCs w:val="18"/>
                <w:lang w:eastAsia="pl-PL"/>
              </w:rPr>
              <w:t xml:space="preserve"> </w:t>
            </w:r>
            <w:r w:rsidR="00D206EA" w:rsidRPr="00D206EA">
              <w:rPr>
                <w:b/>
                <w:bCs/>
                <w:i/>
                <w:iCs/>
                <w:color w:val="2F5496" w:themeColor="accent1" w:themeShade="BF"/>
                <w:sz w:val="18"/>
                <w:szCs w:val="18"/>
                <w:lang w:eastAsia="pl-PL"/>
              </w:rPr>
              <w:t>L</w:t>
            </w:r>
            <w:r w:rsidR="00147ADD" w:rsidRPr="00D206EA">
              <w:rPr>
                <w:b/>
                <w:bCs/>
                <w:i/>
                <w:iCs/>
                <w:color w:val="2F5496" w:themeColor="accent1" w:themeShade="BF"/>
                <w:sz w:val="18"/>
                <w:szCs w:val="18"/>
                <w:lang w:eastAsia="pl-PL"/>
              </w:rPr>
              <w:t>ow</w:t>
            </w:r>
            <w:r w:rsidR="00147ADD" w:rsidRPr="00147ADD">
              <w:rPr>
                <w:b/>
                <w:bCs/>
                <w:i/>
                <w:iCs/>
                <w:color w:val="2F5496" w:themeColor="accent1" w:themeShade="BF"/>
                <w:sz w:val="18"/>
                <w:szCs w:val="18"/>
                <w:lang w:eastAsia="pl-PL"/>
              </w:rPr>
              <w:t xml:space="preserve"> </w:t>
            </w:r>
            <w:r w:rsidR="00D206EA">
              <w:rPr>
                <w:b/>
                <w:bCs/>
                <w:i/>
                <w:iCs/>
                <w:color w:val="2F5496" w:themeColor="accent1" w:themeShade="BF"/>
                <w:sz w:val="18"/>
                <w:szCs w:val="18"/>
                <w:lang w:eastAsia="pl-PL"/>
              </w:rPr>
              <w:t>I</w:t>
            </w:r>
            <w:r w:rsidR="00147ADD" w:rsidRPr="00147ADD">
              <w:rPr>
                <w:b/>
                <w:bCs/>
                <w:i/>
                <w:iCs/>
                <w:color w:val="2F5496" w:themeColor="accent1" w:themeShade="BF"/>
                <w:sz w:val="18"/>
                <w:szCs w:val="18"/>
                <w:lang w:eastAsia="pl-PL"/>
              </w:rPr>
              <w:t>ncom</w:t>
            </w:r>
            <w:r w:rsidR="00F05DC8">
              <w:rPr>
                <w:b/>
                <w:bCs/>
                <w:i/>
                <w:iCs/>
                <w:color w:val="2F5496" w:themeColor="accent1" w:themeShade="BF"/>
                <w:sz w:val="18"/>
                <w:szCs w:val="18"/>
                <w:lang w:eastAsia="pl-PL"/>
              </w:rPr>
              <w:t>e</w:t>
            </w:r>
            <w:r w:rsidR="00147ADD" w:rsidRPr="00147ADD">
              <w:rPr>
                <w:b/>
                <w:bCs/>
                <w:i/>
                <w:iCs/>
                <w:color w:val="2F5496" w:themeColor="accent1" w:themeShade="BF"/>
                <w:sz w:val="18"/>
                <w:szCs w:val="18"/>
                <w:lang w:eastAsia="pl-PL"/>
              </w:rPr>
              <w:t>,</w:t>
            </w:r>
            <w:r w:rsidR="00D206EA">
              <w:rPr>
                <w:b/>
                <w:bCs/>
                <w:i/>
                <w:iCs/>
                <w:color w:val="2F5496" w:themeColor="accent1" w:themeShade="BF"/>
                <w:sz w:val="18"/>
                <w:szCs w:val="18"/>
                <w:lang w:eastAsia="pl-PL"/>
              </w:rPr>
              <w:t>H</w:t>
            </w:r>
            <w:r w:rsidR="00147ADD" w:rsidRPr="00147ADD">
              <w:rPr>
                <w:b/>
                <w:bCs/>
                <w:i/>
                <w:iCs/>
                <w:color w:val="2F5496" w:themeColor="accent1" w:themeShade="BF"/>
                <w:sz w:val="18"/>
                <w:szCs w:val="18"/>
                <w:lang w:eastAsia="pl-PL"/>
              </w:rPr>
              <w:t xml:space="preserve">igh </w:t>
            </w:r>
            <w:r w:rsidR="00D206EA">
              <w:rPr>
                <w:b/>
                <w:bCs/>
                <w:i/>
                <w:iCs/>
                <w:color w:val="2F5496" w:themeColor="accent1" w:themeShade="BF"/>
                <w:sz w:val="18"/>
                <w:szCs w:val="18"/>
                <w:lang w:eastAsia="pl-PL"/>
              </w:rPr>
              <w:t>C</w:t>
            </w:r>
            <w:r w:rsidR="00147ADD" w:rsidRPr="00147ADD">
              <w:rPr>
                <w:b/>
                <w:bCs/>
                <w:i/>
                <w:iCs/>
                <w:color w:val="2F5496" w:themeColor="accent1" w:themeShade="BF"/>
                <w:sz w:val="18"/>
                <w:szCs w:val="18"/>
                <w:lang w:eastAsia="pl-PL"/>
              </w:rPr>
              <w:t>osts</w:t>
            </w:r>
            <w:r w:rsidR="006100A7" w:rsidRPr="00737559">
              <w:rPr>
                <w:b/>
                <w:bCs/>
                <w:color w:val="2F5496" w:themeColor="accent1" w:themeShade="BF"/>
                <w:sz w:val="18"/>
                <w:szCs w:val="18"/>
                <w:lang w:eastAsia="pl-PL"/>
              </w:rPr>
              <w:t>)</w:t>
            </w:r>
          </w:p>
        </w:tc>
        <w:tc>
          <w:tcPr>
            <w:tcW w:w="891" w:type="dxa"/>
            <w:noWrap/>
            <w:vAlign w:val="center"/>
            <w:hideMark/>
          </w:tcPr>
          <w:p w14:paraId="64DFBE52" w14:textId="77777777"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9,3</w:t>
            </w:r>
          </w:p>
        </w:tc>
        <w:tc>
          <w:tcPr>
            <w:tcW w:w="892" w:type="dxa"/>
            <w:noWrap/>
            <w:vAlign w:val="center"/>
            <w:hideMark/>
          </w:tcPr>
          <w:p w14:paraId="76953C5B" w14:textId="77777777"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10,3</w:t>
            </w:r>
          </w:p>
        </w:tc>
        <w:tc>
          <w:tcPr>
            <w:tcW w:w="891" w:type="dxa"/>
            <w:noWrap/>
            <w:vAlign w:val="center"/>
            <w:hideMark/>
          </w:tcPr>
          <w:p w14:paraId="563976D4" w14:textId="5EE74242"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10,5</w:t>
            </w:r>
          </w:p>
        </w:tc>
        <w:tc>
          <w:tcPr>
            <w:tcW w:w="892" w:type="dxa"/>
            <w:noWrap/>
            <w:vAlign w:val="center"/>
            <w:hideMark/>
          </w:tcPr>
          <w:p w14:paraId="759081F2" w14:textId="7C81216F"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10,</w:t>
            </w:r>
            <w:r w:rsidR="00EB576F" w:rsidRPr="00D206EA">
              <w:rPr>
                <w:rFonts w:eastAsia="Times New Roman" w:cs="Times New Roman"/>
                <w:b/>
                <w:bCs/>
                <w:color w:val="000000"/>
                <w:sz w:val="18"/>
                <w:szCs w:val="18"/>
                <w:lang w:eastAsia="pl-PL"/>
              </w:rPr>
              <w:t>5</w:t>
            </w:r>
          </w:p>
        </w:tc>
      </w:tr>
      <w:tr w:rsidR="006100A7" w:rsidRPr="00737559" w14:paraId="233B9CB8" w14:textId="77777777" w:rsidTr="00D206EA">
        <w:trPr>
          <w:trHeight w:val="290"/>
          <w:jc w:val="center"/>
        </w:trPr>
        <w:tc>
          <w:tcPr>
            <w:tcW w:w="5524" w:type="dxa"/>
            <w:noWrap/>
            <w:vAlign w:val="center"/>
            <w:hideMark/>
          </w:tcPr>
          <w:p w14:paraId="098D648B" w14:textId="3ACDC739" w:rsidR="006100A7" w:rsidRPr="00737559" w:rsidRDefault="00D62723" w:rsidP="00737559">
            <w:pPr>
              <w:spacing w:after="0" w:line="240" w:lineRule="auto"/>
              <w:jc w:val="left"/>
              <w:rPr>
                <w:b/>
                <w:bCs/>
                <w:color w:val="2F5496" w:themeColor="accent1" w:themeShade="BF"/>
                <w:sz w:val="18"/>
                <w:szCs w:val="18"/>
                <w:lang w:eastAsia="pl-PL"/>
              </w:rPr>
            </w:pPr>
            <w:r>
              <w:rPr>
                <w:b/>
                <w:bCs/>
                <w:color w:val="2F5496" w:themeColor="accent1" w:themeShade="BF"/>
                <w:sz w:val="18"/>
                <w:szCs w:val="18"/>
                <w:lang w:eastAsia="pl-PL"/>
              </w:rPr>
              <w:t>p</w:t>
            </w:r>
            <w:r w:rsidR="006100A7" w:rsidRPr="00737559">
              <w:rPr>
                <w:b/>
                <w:bCs/>
                <w:color w:val="2F5496" w:themeColor="accent1" w:themeShade="BF"/>
                <w:sz w:val="18"/>
                <w:szCs w:val="18"/>
                <w:lang w:eastAsia="pl-PL"/>
              </w:rPr>
              <w:t>odwójna mediana wydatków na energię (2M)</w:t>
            </w:r>
          </w:p>
        </w:tc>
        <w:tc>
          <w:tcPr>
            <w:tcW w:w="891" w:type="dxa"/>
            <w:noWrap/>
            <w:vAlign w:val="center"/>
            <w:hideMark/>
          </w:tcPr>
          <w:p w14:paraId="6DAC635D" w14:textId="77777777"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17,7</w:t>
            </w:r>
          </w:p>
        </w:tc>
        <w:tc>
          <w:tcPr>
            <w:tcW w:w="892" w:type="dxa"/>
            <w:noWrap/>
            <w:vAlign w:val="center"/>
            <w:hideMark/>
          </w:tcPr>
          <w:p w14:paraId="096CC5CC" w14:textId="77777777"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17,2</w:t>
            </w:r>
          </w:p>
        </w:tc>
        <w:tc>
          <w:tcPr>
            <w:tcW w:w="891" w:type="dxa"/>
            <w:noWrap/>
            <w:vAlign w:val="center"/>
            <w:hideMark/>
          </w:tcPr>
          <w:p w14:paraId="2CECE2E0" w14:textId="3628399A"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18,</w:t>
            </w:r>
            <w:r w:rsidR="00D266EA" w:rsidRPr="00D206EA">
              <w:rPr>
                <w:rFonts w:eastAsia="Times New Roman" w:cs="Times New Roman"/>
                <w:b/>
                <w:bCs/>
                <w:color w:val="000000"/>
                <w:sz w:val="18"/>
                <w:szCs w:val="18"/>
                <w:lang w:eastAsia="pl-PL"/>
              </w:rPr>
              <w:t>8</w:t>
            </w:r>
          </w:p>
        </w:tc>
        <w:tc>
          <w:tcPr>
            <w:tcW w:w="892" w:type="dxa"/>
            <w:noWrap/>
            <w:vAlign w:val="center"/>
            <w:hideMark/>
          </w:tcPr>
          <w:p w14:paraId="16C874F5" w14:textId="7BB8BBAD" w:rsidR="006100A7" w:rsidRPr="00D206EA" w:rsidRDefault="006100A7" w:rsidP="00D206EA">
            <w:pPr>
              <w:spacing w:after="0" w:line="240" w:lineRule="auto"/>
              <w:jc w:val="center"/>
              <w:rPr>
                <w:rFonts w:eastAsia="Times New Roman" w:cs="Times New Roman"/>
                <w:b/>
                <w:bCs/>
                <w:color w:val="000000"/>
                <w:sz w:val="18"/>
                <w:szCs w:val="18"/>
                <w:lang w:eastAsia="pl-PL"/>
              </w:rPr>
            </w:pPr>
            <w:r w:rsidRPr="00D206EA">
              <w:rPr>
                <w:rFonts w:eastAsia="Times New Roman" w:cs="Times New Roman"/>
                <w:b/>
                <w:bCs/>
                <w:color w:val="000000"/>
                <w:sz w:val="18"/>
                <w:szCs w:val="18"/>
                <w:lang w:eastAsia="pl-PL"/>
              </w:rPr>
              <w:t>19,3</w:t>
            </w:r>
          </w:p>
        </w:tc>
      </w:tr>
    </w:tbl>
    <w:tbl>
      <w:tblPr>
        <w:tblpPr w:leftFromText="141" w:rightFromText="141" w:vertAnchor="text" w:horzAnchor="margin" w:tblpXSpec="right" w:tblpY="1397"/>
        <w:tblW w:w="3291" w:type="pct"/>
        <w:tblBorders>
          <w:top w:val="single" w:sz="4" w:space="0" w:color="auto"/>
          <w:left w:val="single" w:sz="4" w:space="0" w:color="auto"/>
          <w:bottom w:val="single" w:sz="4" w:space="0" w:color="auto"/>
          <w:right w:val="single" w:sz="4" w:space="0" w:color="auto"/>
        </w:tblBorders>
        <w:tblCellMar>
          <w:top w:w="57" w:type="dxa"/>
          <w:left w:w="70" w:type="dxa"/>
          <w:bottom w:w="57" w:type="dxa"/>
          <w:right w:w="70" w:type="dxa"/>
        </w:tblCellMar>
        <w:tblLook w:val="04A0" w:firstRow="1" w:lastRow="0" w:firstColumn="1" w:lastColumn="0" w:noHBand="0" w:noVBand="1"/>
      </w:tblPr>
      <w:tblGrid>
        <w:gridCol w:w="3794"/>
        <w:gridCol w:w="987"/>
        <w:gridCol w:w="1187"/>
      </w:tblGrid>
      <w:tr w:rsidR="00C8596B" w:rsidRPr="00860A2E" w14:paraId="2694374B" w14:textId="77777777" w:rsidTr="00786BA2">
        <w:trPr>
          <w:trHeight w:val="217"/>
        </w:trPr>
        <w:tc>
          <w:tcPr>
            <w:tcW w:w="3794" w:type="dxa"/>
            <w:tcBorders>
              <w:top w:val="nil"/>
              <w:left w:val="nil"/>
              <w:bottom w:val="single" w:sz="4" w:space="0" w:color="auto"/>
              <w:right w:val="single" w:sz="4" w:space="0" w:color="auto"/>
            </w:tcBorders>
            <w:vAlign w:val="center"/>
          </w:tcPr>
          <w:p w14:paraId="5B5489EA" w14:textId="3D1B5E5E" w:rsidR="00C8596B" w:rsidRPr="00D15495" w:rsidRDefault="00C2234E" w:rsidP="00786BA2">
            <w:pPr>
              <w:spacing w:after="0" w:line="240" w:lineRule="auto"/>
              <w:jc w:val="left"/>
              <w:rPr>
                <w:b/>
                <w:bCs/>
                <w:color w:val="2F5496" w:themeColor="accent1" w:themeShade="BF"/>
                <w:szCs w:val="20"/>
                <w:lang w:eastAsia="pl-PL"/>
              </w:rPr>
            </w:pPr>
            <w:r>
              <w:rPr>
                <w:b/>
                <w:bCs/>
                <w:color w:val="2F5496" w:themeColor="accent1" w:themeShade="BF"/>
                <w:szCs w:val="20"/>
                <w:lang w:eastAsia="pl-PL"/>
              </w:rPr>
              <w:t xml:space="preserve">Wskaźniki </w:t>
            </w:r>
          </w:p>
        </w:tc>
        <w:tc>
          <w:tcPr>
            <w:tcW w:w="987" w:type="dxa"/>
            <w:tcBorders>
              <w:top w:val="single" w:sz="4" w:space="0" w:color="auto"/>
              <w:left w:val="single" w:sz="4" w:space="0" w:color="auto"/>
              <w:bottom w:val="single" w:sz="4" w:space="0" w:color="auto"/>
              <w:right w:val="dotted" w:sz="4" w:space="0" w:color="auto"/>
            </w:tcBorders>
            <w:vAlign w:val="center"/>
          </w:tcPr>
          <w:p w14:paraId="553BBAC9" w14:textId="77777777" w:rsidR="00C8596B" w:rsidRPr="00B170EA" w:rsidRDefault="00C8596B" w:rsidP="00786BA2">
            <w:pPr>
              <w:spacing w:after="0" w:line="240" w:lineRule="auto"/>
              <w:jc w:val="center"/>
              <w:rPr>
                <w:b/>
                <w:bCs/>
                <w:color w:val="2F5496" w:themeColor="accent1" w:themeShade="BF"/>
                <w:sz w:val="18"/>
                <w:szCs w:val="18"/>
              </w:rPr>
            </w:pPr>
            <w:r w:rsidRPr="00B170EA">
              <w:rPr>
                <w:b/>
                <w:bCs/>
                <w:color w:val="2F5496" w:themeColor="accent1" w:themeShade="BF"/>
                <w:sz w:val="18"/>
                <w:szCs w:val="18"/>
              </w:rPr>
              <w:t>2019</w:t>
            </w:r>
          </w:p>
        </w:tc>
        <w:tc>
          <w:tcPr>
            <w:tcW w:w="1187" w:type="dxa"/>
            <w:tcBorders>
              <w:top w:val="single" w:sz="4" w:space="0" w:color="auto"/>
              <w:left w:val="dotted" w:sz="4" w:space="0" w:color="auto"/>
              <w:bottom w:val="single" w:sz="4" w:space="0" w:color="auto"/>
            </w:tcBorders>
            <w:vAlign w:val="center"/>
          </w:tcPr>
          <w:p w14:paraId="6F79969F" w14:textId="77777777" w:rsidR="00C8596B" w:rsidRPr="00B170EA" w:rsidRDefault="00C8596B" w:rsidP="00786BA2">
            <w:pPr>
              <w:spacing w:after="0" w:line="240" w:lineRule="auto"/>
              <w:jc w:val="center"/>
              <w:rPr>
                <w:b/>
                <w:bCs/>
                <w:color w:val="2F5496" w:themeColor="accent1" w:themeShade="BF"/>
                <w:sz w:val="18"/>
                <w:szCs w:val="18"/>
              </w:rPr>
            </w:pPr>
            <w:r w:rsidRPr="00B170EA">
              <w:rPr>
                <w:b/>
                <w:bCs/>
                <w:color w:val="2F5496" w:themeColor="accent1" w:themeShade="BF"/>
                <w:sz w:val="18"/>
                <w:szCs w:val="18"/>
              </w:rPr>
              <w:t>2023</w:t>
            </w:r>
          </w:p>
        </w:tc>
      </w:tr>
      <w:tr w:rsidR="00C8596B" w:rsidRPr="00860A2E" w14:paraId="7BC5C55C" w14:textId="77777777" w:rsidTr="00786BA2">
        <w:trPr>
          <w:trHeight w:val="361"/>
        </w:trPr>
        <w:tc>
          <w:tcPr>
            <w:tcW w:w="3794" w:type="dxa"/>
            <w:tcBorders>
              <w:top w:val="single" w:sz="4" w:space="0" w:color="auto"/>
              <w:bottom w:val="single" w:sz="4" w:space="0" w:color="auto"/>
              <w:right w:val="dotted" w:sz="4" w:space="0" w:color="auto"/>
            </w:tcBorders>
            <w:vAlign w:val="center"/>
          </w:tcPr>
          <w:p w14:paraId="1F19F085" w14:textId="77777777" w:rsidR="00C8596B" w:rsidRPr="005B2997" w:rsidRDefault="00C8596B" w:rsidP="00786BA2">
            <w:pPr>
              <w:spacing w:after="0" w:line="240" w:lineRule="auto"/>
              <w:jc w:val="left"/>
              <w:rPr>
                <w:b/>
                <w:bCs/>
                <w:color w:val="2F5496" w:themeColor="accent1" w:themeShade="BF"/>
                <w:sz w:val="18"/>
                <w:szCs w:val="18"/>
                <w:lang w:eastAsia="pl-PL"/>
              </w:rPr>
            </w:pPr>
            <w:r w:rsidRPr="00D15495">
              <w:rPr>
                <w:b/>
                <w:bCs/>
                <w:color w:val="2F5496" w:themeColor="accent1" w:themeShade="BF"/>
                <w:szCs w:val="20"/>
                <w:lang w:eastAsia="pl-PL"/>
              </w:rPr>
              <w:t xml:space="preserve">Średnia dla </w:t>
            </w:r>
            <w:r>
              <w:rPr>
                <w:b/>
                <w:bCs/>
                <w:color w:val="2F5496" w:themeColor="accent1" w:themeShade="BF"/>
                <w:szCs w:val="20"/>
                <w:lang w:eastAsia="pl-PL"/>
              </w:rPr>
              <w:t>czterech</w:t>
            </w:r>
            <w:r w:rsidRPr="00D15495">
              <w:rPr>
                <w:b/>
                <w:bCs/>
                <w:color w:val="2F5496" w:themeColor="accent1" w:themeShade="BF"/>
                <w:szCs w:val="20"/>
                <w:lang w:eastAsia="pl-PL"/>
              </w:rPr>
              <w:t xml:space="preserve"> wskaźników ubóstwa energetycznego</w:t>
            </w:r>
          </w:p>
        </w:tc>
        <w:tc>
          <w:tcPr>
            <w:tcW w:w="987" w:type="dxa"/>
            <w:tcBorders>
              <w:top w:val="single" w:sz="4" w:space="0" w:color="auto"/>
              <w:bottom w:val="single" w:sz="4" w:space="0" w:color="auto"/>
              <w:right w:val="dotted" w:sz="4" w:space="0" w:color="auto"/>
            </w:tcBorders>
            <w:vAlign w:val="center"/>
          </w:tcPr>
          <w:p w14:paraId="412CE19A" w14:textId="77777777" w:rsidR="00C8596B" w:rsidRDefault="00C8596B" w:rsidP="00786BA2">
            <w:pPr>
              <w:spacing w:after="0" w:line="240" w:lineRule="auto"/>
              <w:jc w:val="center"/>
              <w:rPr>
                <w:b/>
                <w:bCs/>
                <w:color w:val="2F5496" w:themeColor="accent1" w:themeShade="BF"/>
                <w:sz w:val="22"/>
              </w:rPr>
            </w:pPr>
            <w:r w:rsidRPr="006462B0">
              <w:rPr>
                <w:b/>
                <w:bCs/>
                <w:color w:val="2F5496" w:themeColor="accent1" w:themeShade="BF"/>
                <w:sz w:val="22"/>
              </w:rPr>
              <w:t>9,05%</w:t>
            </w:r>
          </w:p>
          <w:p w14:paraId="71D7AF21" w14:textId="0360B492" w:rsidR="00C8596B" w:rsidRPr="006462B0" w:rsidRDefault="00C8596B" w:rsidP="00786BA2">
            <w:pPr>
              <w:spacing w:after="0" w:line="240" w:lineRule="auto"/>
              <w:jc w:val="center"/>
              <w:rPr>
                <w:b/>
                <w:bCs/>
                <w:color w:val="2F5496" w:themeColor="accent1" w:themeShade="BF"/>
                <w:sz w:val="22"/>
              </w:rPr>
            </w:pPr>
            <w:r w:rsidRPr="00120DB7">
              <w:rPr>
                <w:rFonts w:cs="Arial"/>
                <w:color w:val="808080" w:themeColor="background1" w:themeShade="80"/>
                <w:sz w:val="16"/>
                <w:szCs w:val="16"/>
              </w:rPr>
              <w:t>(</w:t>
            </w:r>
            <w:r>
              <w:rPr>
                <w:rFonts w:cs="Arial"/>
                <w:color w:val="808080" w:themeColor="background1" w:themeShade="80"/>
                <w:sz w:val="16"/>
                <w:szCs w:val="16"/>
              </w:rPr>
              <w:t>10,5%)</w:t>
            </w:r>
          </w:p>
        </w:tc>
        <w:tc>
          <w:tcPr>
            <w:tcW w:w="1187" w:type="dxa"/>
            <w:tcBorders>
              <w:top w:val="single" w:sz="4" w:space="0" w:color="auto"/>
              <w:left w:val="dotted" w:sz="4" w:space="0" w:color="auto"/>
              <w:bottom w:val="single" w:sz="4" w:space="0" w:color="auto"/>
            </w:tcBorders>
            <w:vAlign w:val="center"/>
          </w:tcPr>
          <w:p w14:paraId="7A666B30" w14:textId="2FFBF6DE" w:rsidR="00C8596B" w:rsidRDefault="00C8596B" w:rsidP="00786BA2">
            <w:pPr>
              <w:spacing w:after="0" w:line="240" w:lineRule="auto"/>
              <w:jc w:val="center"/>
              <w:rPr>
                <w:b/>
                <w:bCs/>
                <w:color w:val="2F5496" w:themeColor="accent1" w:themeShade="BF"/>
                <w:sz w:val="22"/>
              </w:rPr>
            </w:pPr>
            <w:r w:rsidRPr="005E4C39">
              <w:rPr>
                <w:b/>
                <w:bCs/>
                <w:color w:val="2F5496" w:themeColor="accent1" w:themeShade="BF"/>
                <w:sz w:val="22"/>
              </w:rPr>
              <w:t>7,1%</w:t>
            </w:r>
          </w:p>
          <w:p w14:paraId="462B0759" w14:textId="77777777" w:rsidR="00C8596B" w:rsidRPr="005E4C39" w:rsidRDefault="00C8596B" w:rsidP="00786BA2">
            <w:pPr>
              <w:spacing w:after="0" w:line="240" w:lineRule="auto"/>
              <w:jc w:val="center"/>
              <w:rPr>
                <w:b/>
                <w:color w:val="2F5496" w:themeColor="accent1" w:themeShade="BF"/>
                <w:sz w:val="22"/>
              </w:rPr>
            </w:pPr>
            <w:r w:rsidRPr="00120DB7">
              <w:rPr>
                <w:rFonts w:cs="Arial"/>
                <w:color w:val="808080" w:themeColor="background1" w:themeShade="80"/>
                <w:sz w:val="16"/>
                <w:szCs w:val="16"/>
              </w:rPr>
              <w:t>(</w:t>
            </w:r>
            <w:r>
              <w:rPr>
                <w:rFonts w:cs="Arial"/>
                <w:color w:val="808080" w:themeColor="background1" w:themeShade="80"/>
                <w:sz w:val="16"/>
                <w:szCs w:val="16"/>
              </w:rPr>
              <w:t>12,3%)</w:t>
            </w:r>
          </w:p>
        </w:tc>
      </w:tr>
      <w:tr w:rsidR="00C8596B" w:rsidRPr="00860A2E" w14:paraId="2BA6237E" w14:textId="77777777" w:rsidTr="00786BA2">
        <w:trPr>
          <w:trHeight w:val="232"/>
        </w:trPr>
        <w:tc>
          <w:tcPr>
            <w:tcW w:w="3794" w:type="dxa"/>
            <w:tcBorders>
              <w:top w:val="single" w:sz="4" w:space="0" w:color="auto"/>
              <w:right w:val="dotted" w:sz="4" w:space="0" w:color="auto"/>
            </w:tcBorders>
            <w:vAlign w:val="center"/>
          </w:tcPr>
          <w:p w14:paraId="6D314711" w14:textId="77777777" w:rsidR="00C8596B" w:rsidRPr="005B2997" w:rsidRDefault="00C8596B" w:rsidP="000625AC">
            <w:pPr>
              <w:pStyle w:val="Akapitzlist"/>
              <w:numPr>
                <w:ilvl w:val="0"/>
                <w:numId w:val="36"/>
              </w:numPr>
              <w:spacing w:after="0" w:line="240" w:lineRule="auto"/>
              <w:ind w:left="346" w:hanging="141"/>
              <w:jc w:val="left"/>
              <w:rPr>
                <w:rFonts w:cs="Calibri"/>
                <w:color w:val="000000"/>
                <w:sz w:val="18"/>
                <w:szCs w:val="18"/>
              </w:rPr>
            </w:pPr>
            <w:r w:rsidRPr="005B2997">
              <w:rPr>
                <w:sz w:val="18"/>
                <w:szCs w:val="18"/>
              </w:rPr>
              <w:t>niezdolność utrzymania odpowiedniej temperatury pomieszczeń</w:t>
            </w:r>
            <w:r>
              <w:rPr>
                <w:sz w:val="18"/>
                <w:szCs w:val="18"/>
              </w:rPr>
              <w:t xml:space="preserve"> </w:t>
            </w:r>
            <w:r w:rsidRPr="005B2997">
              <w:rPr>
                <w:sz w:val="18"/>
                <w:szCs w:val="18"/>
              </w:rPr>
              <w:t>[ilc_mdes01]</w:t>
            </w:r>
          </w:p>
        </w:tc>
        <w:tc>
          <w:tcPr>
            <w:tcW w:w="987" w:type="dxa"/>
            <w:tcBorders>
              <w:top w:val="single" w:sz="4" w:space="0" w:color="auto"/>
              <w:right w:val="dotted" w:sz="4" w:space="0" w:color="auto"/>
            </w:tcBorders>
          </w:tcPr>
          <w:p w14:paraId="16803FB4" w14:textId="77777777" w:rsidR="00C8596B" w:rsidRDefault="00C8596B" w:rsidP="00786BA2">
            <w:pPr>
              <w:spacing w:after="0" w:line="240" w:lineRule="auto"/>
              <w:jc w:val="center"/>
              <w:rPr>
                <w:rFonts w:cs="Arial"/>
                <w:b/>
                <w:bCs/>
                <w:sz w:val="18"/>
                <w:szCs w:val="18"/>
              </w:rPr>
            </w:pPr>
            <w:r w:rsidRPr="005B2997">
              <w:rPr>
                <w:rFonts w:cs="Arial"/>
                <w:b/>
                <w:bCs/>
                <w:sz w:val="18"/>
                <w:szCs w:val="18"/>
              </w:rPr>
              <w:t>4,2%</w:t>
            </w:r>
          </w:p>
          <w:p w14:paraId="51189EDA" w14:textId="77777777" w:rsidR="00C8596B" w:rsidRPr="005B2997" w:rsidRDefault="00C8596B" w:rsidP="00786BA2">
            <w:pPr>
              <w:spacing w:after="0" w:line="240" w:lineRule="auto"/>
              <w:jc w:val="center"/>
              <w:rPr>
                <w:rFonts w:cs="Arial"/>
                <w:b/>
                <w:bCs/>
                <w:sz w:val="18"/>
                <w:szCs w:val="18"/>
              </w:rPr>
            </w:pPr>
            <w:r w:rsidRPr="00120DB7">
              <w:rPr>
                <w:rFonts w:cs="Arial"/>
                <w:color w:val="808080" w:themeColor="background1" w:themeShade="80"/>
                <w:sz w:val="16"/>
                <w:szCs w:val="16"/>
              </w:rPr>
              <w:t>(</w:t>
            </w:r>
            <w:r>
              <w:rPr>
                <w:rFonts w:cs="Arial"/>
                <w:color w:val="808080" w:themeColor="background1" w:themeShade="80"/>
                <w:sz w:val="16"/>
                <w:szCs w:val="16"/>
              </w:rPr>
              <w:t>6,9%)</w:t>
            </w:r>
          </w:p>
        </w:tc>
        <w:tc>
          <w:tcPr>
            <w:tcW w:w="1187" w:type="dxa"/>
            <w:tcBorders>
              <w:top w:val="single" w:sz="4" w:space="0" w:color="auto"/>
              <w:left w:val="dotted" w:sz="4" w:space="0" w:color="auto"/>
            </w:tcBorders>
          </w:tcPr>
          <w:p w14:paraId="3892EF75" w14:textId="77777777" w:rsidR="00C8596B" w:rsidRDefault="00C8596B" w:rsidP="00786BA2">
            <w:pPr>
              <w:spacing w:after="0" w:line="240" w:lineRule="auto"/>
              <w:jc w:val="center"/>
              <w:rPr>
                <w:rFonts w:cs="Arial"/>
                <w:b/>
                <w:bCs/>
                <w:sz w:val="18"/>
                <w:szCs w:val="18"/>
              </w:rPr>
            </w:pPr>
            <w:r w:rsidRPr="005B2997">
              <w:rPr>
                <w:rFonts w:cs="Arial"/>
                <w:b/>
                <w:bCs/>
                <w:sz w:val="18"/>
                <w:szCs w:val="18"/>
              </w:rPr>
              <w:t>4,</w:t>
            </w:r>
            <w:r>
              <w:rPr>
                <w:rFonts w:cs="Arial"/>
                <w:b/>
                <w:bCs/>
                <w:sz w:val="18"/>
                <w:szCs w:val="18"/>
              </w:rPr>
              <w:t>7%</w:t>
            </w:r>
          </w:p>
          <w:p w14:paraId="77F9224F" w14:textId="77777777" w:rsidR="00C8596B" w:rsidRPr="00120DB7" w:rsidRDefault="00C8596B" w:rsidP="00786BA2">
            <w:pPr>
              <w:spacing w:after="0" w:line="240" w:lineRule="auto"/>
              <w:jc w:val="center"/>
              <w:rPr>
                <w:rFonts w:cs="Arial"/>
                <w:color w:val="000000" w:themeColor="text1"/>
                <w:sz w:val="16"/>
                <w:szCs w:val="16"/>
              </w:rPr>
            </w:pPr>
            <w:r w:rsidRPr="00120DB7">
              <w:rPr>
                <w:rFonts w:cs="Arial"/>
                <w:color w:val="808080" w:themeColor="background1" w:themeShade="80"/>
                <w:sz w:val="16"/>
                <w:szCs w:val="16"/>
              </w:rPr>
              <w:t>(10,6%)</w:t>
            </w:r>
          </w:p>
        </w:tc>
      </w:tr>
      <w:tr w:rsidR="00C8596B" w:rsidRPr="00860A2E" w14:paraId="16A2169C" w14:textId="77777777" w:rsidTr="00786BA2">
        <w:trPr>
          <w:trHeight w:val="232"/>
        </w:trPr>
        <w:tc>
          <w:tcPr>
            <w:tcW w:w="3794" w:type="dxa"/>
            <w:tcBorders>
              <w:right w:val="dotted" w:sz="4" w:space="0" w:color="auto"/>
            </w:tcBorders>
            <w:vAlign w:val="center"/>
          </w:tcPr>
          <w:p w14:paraId="1FAC56BE" w14:textId="77777777" w:rsidR="00C8596B" w:rsidRPr="005B2997" w:rsidRDefault="00C8596B" w:rsidP="000625AC">
            <w:pPr>
              <w:pStyle w:val="Akapitzlist"/>
              <w:numPr>
                <w:ilvl w:val="0"/>
                <w:numId w:val="36"/>
              </w:numPr>
              <w:spacing w:after="0" w:line="240" w:lineRule="auto"/>
              <w:ind w:left="346" w:hanging="141"/>
              <w:jc w:val="left"/>
              <w:rPr>
                <w:color w:val="000000"/>
                <w:sz w:val="18"/>
                <w:szCs w:val="18"/>
                <w:lang w:eastAsia="pl-PL"/>
              </w:rPr>
            </w:pPr>
            <w:r w:rsidRPr="005B2997">
              <w:rPr>
                <w:sz w:val="18"/>
                <w:szCs w:val="18"/>
              </w:rPr>
              <w:t>zaległość w rachunkach za energię</w:t>
            </w:r>
            <w:r>
              <w:rPr>
                <w:sz w:val="18"/>
                <w:szCs w:val="18"/>
              </w:rPr>
              <w:t xml:space="preserve"> </w:t>
            </w:r>
            <w:r w:rsidRPr="005B2997">
              <w:rPr>
                <w:sz w:val="18"/>
                <w:szCs w:val="18"/>
              </w:rPr>
              <w:t>[ilc_mdes07]</w:t>
            </w:r>
          </w:p>
        </w:tc>
        <w:tc>
          <w:tcPr>
            <w:tcW w:w="987" w:type="dxa"/>
            <w:tcBorders>
              <w:right w:val="dotted" w:sz="4" w:space="0" w:color="auto"/>
            </w:tcBorders>
          </w:tcPr>
          <w:p w14:paraId="318872D1" w14:textId="77777777" w:rsidR="00C8596B" w:rsidRDefault="00C8596B" w:rsidP="00786BA2">
            <w:pPr>
              <w:spacing w:after="0" w:line="240" w:lineRule="auto"/>
              <w:jc w:val="center"/>
              <w:rPr>
                <w:rFonts w:cs="Arial"/>
                <w:b/>
                <w:bCs/>
                <w:sz w:val="18"/>
                <w:szCs w:val="18"/>
              </w:rPr>
            </w:pPr>
            <w:r w:rsidRPr="005B2997">
              <w:rPr>
                <w:rFonts w:cs="Arial"/>
                <w:b/>
                <w:bCs/>
                <w:sz w:val="18"/>
                <w:szCs w:val="18"/>
              </w:rPr>
              <w:t>5,8%</w:t>
            </w:r>
          </w:p>
          <w:p w14:paraId="5AA993D1" w14:textId="77777777" w:rsidR="00C8596B" w:rsidRPr="005B2997" w:rsidRDefault="00C8596B" w:rsidP="00786BA2">
            <w:pPr>
              <w:spacing w:after="0" w:line="240" w:lineRule="auto"/>
              <w:jc w:val="center"/>
              <w:rPr>
                <w:rFonts w:cs="Arial"/>
                <w:b/>
                <w:bCs/>
                <w:sz w:val="18"/>
                <w:szCs w:val="18"/>
              </w:rPr>
            </w:pPr>
            <w:r w:rsidRPr="00120DB7">
              <w:rPr>
                <w:rFonts w:cs="Arial"/>
                <w:color w:val="808080" w:themeColor="background1" w:themeShade="80"/>
                <w:sz w:val="16"/>
                <w:szCs w:val="16"/>
              </w:rPr>
              <w:t>(</w:t>
            </w:r>
            <w:r>
              <w:rPr>
                <w:rFonts w:cs="Arial"/>
                <w:color w:val="808080" w:themeColor="background1" w:themeShade="80"/>
                <w:sz w:val="16"/>
                <w:szCs w:val="16"/>
              </w:rPr>
              <w:t>6,2%)</w:t>
            </w:r>
          </w:p>
        </w:tc>
        <w:tc>
          <w:tcPr>
            <w:tcW w:w="1187" w:type="dxa"/>
            <w:tcBorders>
              <w:left w:val="dotted" w:sz="4" w:space="0" w:color="auto"/>
            </w:tcBorders>
          </w:tcPr>
          <w:p w14:paraId="3698953D" w14:textId="77777777" w:rsidR="00C8596B" w:rsidRPr="000833C8" w:rsidRDefault="00C8596B" w:rsidP="00786BA2">
            <w:pPr>
              <w:spacing w:after="0" w:line="240" w:lineRule="auto"/>
              <w:jc w:val="center"/>
              <w:rPr>
                <w:rFonts w:cs="Arial"/>
                <w:b/>
                <w:color w:val="000000" w:themeColor="text1"/>
                <w:sz w:val="18"/>
                <w:szCs w:val="18"/>
              </w:rPr>
            </w:pPr>
            <w:r>
              <w:rPr>
                <w:rFonts w:cs="Arial"/>
                <w:b/>
                <w:bCs/>
                <w:sz w:val="18"/>
                <w:szCs w:val="18"/>
              </w:rPr>
              <w:t>4,0%</w:t>
            </w:r>
            <w:r>
              <w:rPr>
                <w:rFonts w:cs="Arial"/>
                <w:b/>
                <w:bCs/>
                <w:sz w:val="18"/>
                <w:szCs w:val="18"/>
              </w:rPr>
              <w:br/>
            </w:r>
            <w:r w:rsidRPr="00120DB7">
              <w:rPr>
                <w:rFonts w:cs="Arial"/>
                <w:color w:val="808080" w:themeColor="background1" w:themeShade="80"/>
                <w:sz w:val="16"/>
                <w:szCs w:val="16"/>
              </w:rPr>
              <w:t>(6,9%)</w:t>
            </w:r>
          </w:p>
        </w:tc>
      </w:tr>
      <w:tr w:rsidR="00C8596B" w:rsidRPr="00860A2E" w14:paraId="1283BA12" w14:textId="77777777" w:rsidTr="00786BA2">
        <w:trPr>
          <w:trHeight w:val="1017"/>
        </w:trPr>
        <w:tc>
          <w:tcPr>
            <w:tcW w:w="3794" w:type="dxa"/>
            <w:tcBorders>
              <w:bottom w:val="nil"/>
              <w:right w:val="dotted" w:sz="4" w:space="0" w:color="auto"/>
            </w:tcBorders>
            <w:vAlign w:val="center"/>
          </w:tcPr>
          <w:p w14:paraId="634A2328" w14:textId="77777777" w:rsidR="00C8596B" w:rsidRPr="005B2997" w:rsidRDefault="00C8596B" w:rsidP="000625AC">
            <w:pPr>
              <w:pStyle w:val="Akapitzlist"/>
              <w:numPr>
                <w:ilvl w:val="0"/>
                <w:numId w:val="36"/>
              </w:numPr>
              <w:spacing w:after="0" w:line="240" w:lineRule="auto"/>
              <w:ind w:left="346" w:hanging="141"/>
              <w:jc w:val="left"/>
              <w:rPr>
                <w:color w:val="000000"/>
                <w:sz w:val="18"/>
                <w:szCs w:val="18"/>
                <w:lang w:eastAsia="pl-PL"/>
              </w:rPr>
            </w:pPr>
            <w:r w:rsidRPr="005B2997">
              <w:rPr>
                <w:sz w:val="18"/>
                <w:szCs w:val="18"/>
              </w:rPr>
              <w:t>całkowita liczba ludności mieszkająca w</w:t>
            </w:r>
            <w:r>
              <w:rPr>
                <w:sz w:val="18"/>
                <w:szCs w:val="18"/>
              </w:rPr>
              <w:t> </w:t>
            </w:r>
            <w:r w:rsidRPr="005B2997">
              <w:rPr>
                <w:sz w:val="18"/>
                <w:szCs w:val="18"/>
              </w:rPr>
              <w:t>mieszkaniu z przeciekającym dachem, zawilgoconymi ścianami, podłogami i fundamentami lub przegniłymi okienicami lub podłogą</w:t>
            </w:r>
            <w:r>
              <w:rPr>
                <w:sz w:val="18"/>
                <w:szCs w:val="18"/>
              </w:rPr>
              <w:t xml:space="preserve"> </w:t>
            </w:r>
            <w:r w:rsidRPr="005B2997">
              <w:rPr>
                <w:sz w:val="18"/>
                <w:szCs w:val="18"/>
              </w:rPr>
              <w:t>[ilc_m</w:t>
            </w:r>
            <w:r>
              <w:rPr>
                <w:sz w:val="18"/>
                <w:szCs w:val="18"/>
              </w:rPr>
              <w:t>d</w:t>
            </w:r>
            <w:r w:rsidRPr="005B2997">
              <w:rPr>
                <w:sz w:val="18"/>
                <w:szCs w:val="18"/>
              </w:rPr>
              <w:t>hod01]</w:t>
            </w:r>
          </w:p>
        </w:tc>
        <w:tc>
          <w:tcPr>
            <w:tcW w:w="987" w:type="dxa"/>
            <w:tcBorders>
              <w:bottom w:val="nil"/>
              <w:right w:val="dotted" w:sz="4" w:space="0" w:color="auto"/>
            </w:tcBorders>
          </w:tcPr>
          <w:p w14:paraId="2E33901F" w14:textId="77777777" w:rsidR="00C8596B" w:rsidRDefault="00C8596B" w:rsidP="00786BA2">
            <w:pPr>
              <w:spacing w:after="0" w:line="240" w:lineRule="auto"/>
              <w:jc w:val="center"/>
              <w:rPr>
                <w:rFonts w:cs="Arial"/>
                <w:b/>
                <w:bCs/>
                <w:sz w:val="18"/>
                <w:szCs w:val="18"/>
              </w:rPr>
            </w:pPr>
          </w:p>
          <w:p w14:paraId="0B2CBFE5" w14:textId="77777777" w:rsidR="00C8596B" w:rsidRDefault="00C8596B" w:rsidP="00786BA2">
            <w:pPr>
              <w:spacing w:after="0" w:line="240" w:lineRule="auto"/>
              <w:jc w:val="center"/>
              <w:rPr>
                <w:rFonts w:cs="Arial"/>
                <w:b/>
                <w:bCs/>
                <w:sz w:val="18"/>
                <w:szCs w:val="18"/>
              </w:rPr>
            </w:pPr>
            <w:r w:rsidRPr="005B2997">
              <w:rPr>
                <w:rFonts w:cs="Arial"/>
                <w:b/>
                <w:bCs/>
                <w:sz w:val="18"/>
                <w:szCs w:val="18"/>
              </w:rPr>
              <w:t>10,8%</w:t>
            </w:r>
          </w:p>
          <w:p w14:paraId="4ECA645F" w14:textId="77777777" w:rsidR="00C8596B" w:rsidRDefault="00C8596B" w:rsidP="00786BA2">
            <w:pPr>
              <w:spacing w:after="0" w:line="240" w:lineRule="auto"/>
              <w:jc w:val="center"/>
              <w:rPr>
                <w:rFonts w:cs="Arial"/>
                <w:b/>
                <w:bCs/>
                <w:sz w:val="18"/>
                <w:szCs w:val="18"/>
              </w:rPr>
            </w:pPr>
            <w:r w:rsidRPr="00120DB7">
              <w:rPr>
                <w:rFonts w:cs="Arial"/>
                <w:color w:val="808080" w:themeColor="background1" w:themeShade="80"/>
                <w:sz w:val="16"/>
                <w:szCs w:val="16"/>
              </w:rPr>
              <w:t>(</w:t>
            </w:r>
            <w:r>
              <w:rPr>
                <w:rFonts w:cs="Arial"/>
                <w:color w:val="808080" w:themeColor="background1" w:themeShade="80"/>
                <w:sz w:val="16"/>
                <w:szCs w:val="16"/>
              </w:rPr>
              <w:t>12,7%)</w:t>
            </w:r>
          </w:p>
        </w:tc>
        <w:tc>
          <w:tcPr>
            <w:tcW w:w="1187" w:type="dxa"/>
            <w:tcBorders>
              <w:left w:val="dotted" w:sz="4" w:space="0" w:color="auto"/>
              <w:bottom w:val="nil"/>
            </w:tcBorders>
          </w:tcPr>
          <w:p w14:paraId="4579627C" w14:textId="77777777" w:rsidR="00C8596B" w:rsidRDefault="00C8596B" w:rsidP="00786BA2">
            <w:pPr>
              <w:spacing w:after="0" w:line="240" w:lineRule="auto"/>
              <w:jc w:val="center"/>
              <w:rPr>
                <w:rFonts w:cs="Arial"/>
                <w:b/>
                <w:bCs/>
                <w:color w:val="000000" w:themeColor="text1"/>
                <w:sz w:val="18"/>
                <w:szCs w:val="18"/>
              </w:rPr>
            </w:pPr>
          </w:p>
          <w:p w14:paraId="5CC3FDF2" w14:textId="77777777" w:rsidR="00C8596B" w:rsidRDefault="00C8596B" w:rsidP="00786BA2">
            <w:pPr>
              <w:spacing w:after="0" w:line="240" w:lineRule="auto"/>
              <w:jc w:val="center"/>
              <w:rPr>
                <w:rFonts w:cs="Arial"/>
                <w:b/>
                <w:color w:val="000000" w:themeColor="text1"/>
                <w:sz w:val="18"/>
                <w:szCs w:val="18"/>
              </w:rPr>
            </w:pPr>
            <w:r>
              <w:rPr>
                <w:rFonts w:cs="Arial"/>
                <w:b/>
                <w:color w:val="000000" w:themeColor="text1"/>
                <w:sz w:val="18"/>
                <w:szCs w:val="18"/>
              </w:rPr>
              <w:t>5,7%</w:t>
            </w:r>
          </w:p>
          <w:p w14:paraId="65F21104" w14:textId="77777777" w:rsidR="00C8596B" w:rsidRPr="000833C8" w:rsidRDefault="00C8596B" w:rsidP="00786BA2">
            <w:pPr>
              <w:spacing w:after="0" w:line="240" w:lineRule="auto"/>
              <w:jc w:val="center"/>
              <w:rPr>
                <w:rFonts w:cs="Arial"/>
                <w:b/>
                <w:color w:val="000000" w:themeColor="text1"/>
                <w:sz w:val="18"/>
                <w:szCs w:val="18"/>
              </w:rPr>
            </w:pPr>
            <w:r w:rsidRPr="00120DB7">
              <w:rPr>
                <w:rFonts w:cs="Arial"/>
                <w:color w:val="808080" w:themeColor="background1" w:themeShade="80"/>
                <w:sz w:val="16"/>
                <w:szCs w:val="16"/>
              </w:rPr>
              <w:t>(</w:t>
            </w:r>
            <w:r>
              <w:rPr>
                <w:rFonts w:cs="Arial"/>
                <w:color w:val="808080" w:themeColor="background1" w:themeShade="80"/>
                <w:sz w:val="16"/>
                <w:szCs w:val="16"/>
              </w:rPr>
              <w:t>15,5%)</w:t>
            </w:r>
          </w:p>
        </w:tc>
      </w:tr>
      <w:tr w:rsidR="00C8596B" w:rsidRPr="00860A2E" w14:paraId="5BC3D4B4" w14:textId="77777777" w:rsidTr="00786BA2">
        <w:trPr>
          <w:trHeight w:val="240"/>
        </w:trPr>
        <w:tc>
          <w:tcPr>
            <w:tcW w:w="3794" w:type="dxa"/>
            <w:tcBorders>
              <w:top w:val="nil"/>
              <w:bottom w:val="single" w:sz="4" w:space="0" w:color="auto"/>
              <w:right w:val="dotted" w:sz="4" w:space="0" w:color="auto"/>
            </w:tcBorders>
            <w:vAlign w:val="center"/>
          </w:tcPr>
          <w:p w14:paraId="6286026E" w14:textId="77777777" w:rsidR="00C8596B" w:rsidRPr="005B2997" w:rsidRDefault="00C8596B" w:rsidP="000625AC">
            <w:pPr>
              <w:pStyle w:val="Akapitzlist"/>
              <w:numPr>
                <w:ilvl w:val="0"/>
                <w:numId w:val="36"/>
              </w:numPr>
              <w:spacing w:after="0" w:line="240" w:lineRule="auto"/>
              <w:ind w:left="346" w:hanging="141"/>
              <w:jc w:val="left"/>
              <w:rPr>
                <w:color w:val="000000"/>
                <w:sz w:val="18"/>
                <w:szCs w:val="18"/>
                <w:lang w:eastAsia="pl-PL"/>
              </w:rPr>
            </w:pPr>
            <w:r w:rsidRPr="005B2997">
              <w:rPr>
                <w:sz w:val="18"/>
                <w:szCs w:val="18"/>
              </w:rPr>
              <w:t>wskaźnik zagrożenia ubóstwem</w:t>
            </w:r>
            <w:r>
              <w:rPr>
                <w:sz w:val="18"/>
                <w:szCs w:val="18"/>
              </w:rPr>
              <w:t xml:space="preserve"> </w:t>
            </w:r>
            <w:r w:rsidRPr="005B2997">
              <w:rPr>
                <w:sz w:val="18"/>
                <w:szCs w:val="18"/>
              </w:rPr>
              <w:t>[ilc_li02]</w:t>
            </w:r>
          </w:p>
        </w:tc>
        <w:tc>
          <w:tcPr>
            <w:tcW w:w="987" w:type="dxa"/>
            <w:tcBorders>
              <w:top w:val="nil"/>
              <w:bottom w:val="single" w:sz="4" w:space="0" w:color="auto"/>
              <w:right w:val="dotted" w:sz="4" w:space="0" w:color="auto"/>
            </w:tcBorders>
          </w:tcPr>
          <w:p w14:paraId="4A181126" w14:textId="77777777" w:rsidR="00C8596B" w:rsidRDefault="00C8596B" w:rsidP="00786BA2">
            <w:pPr>
              <w:spacing w:after="0" w:line="240" w:lineRule="auto"/>
              <w:jc w:val="center"/>
              <w:rPr>
                <w:rFonts w:cs="Arial"/>
                <w:b/>
                <w:bCs/>
                <w:sz w:val="18"/>
                <w:szCs w:val="18"/>
              </w:rPr>
            </w:pPr>
            <w:r w:rsidRPr="005B2997">
              <w:rPr>
                <w:rFonts w:cs="Arial"/>
                <w:b/>
                <w:bCs/>
                <w:sz w:val="18"/>
                <w:szCs w:val="18"/>
              </w:rPr>
              <w:t>15,4%</w:t>
            </w:r>
          </w:p>
          <w:p w14:paraId="1856BAD2" w14:textId="77777777" w:rsidR="00C8596B" w:rsidRPr="005B2997" w:rsidRDefault="00C8596B" w:rsidP="00786BA2">
            <w:pPr>
              <w:spacing w:after="0" w:line="240" w:lineRule="auto"/>
              <w:jc w:val="center"/>
              <w:rPr>
                <w:rFonts w:cs="Arial"/>
                <w:b/>
                <w:bCs/>
                <w:sz w:val="18"/>
                <w:szCs w:val="18"/>
              </w:rPr>
            </w:pPr>
            <w:r w:rsidRPr="00120DB7">
              <w:rPr>
                <w:rFonts w:cs="Arial"/>
                <w:color w:val="808080" w:themeColor="background1" w:themeShade="80"/>
                <w:sz w:val="16"/>
                <w:szCs w:val="16"/>
              </w:rPr>
              <w:t>(</w:t>
            </w:r>
            <w:r>
              <w:rPr>
                <w:rFonts w:cs="Arial"/>
                <w:color w:val="808080" w:themeColor="background1" w:themeShade="80"/>
                <w:sz w:val="16"/>
                <w:szCs w:val="16"/>
              </w:rPr>
              <w:t>16,2%)</w:t>
            </w:r>
          </w:p>
        </w:tc>
        <w:tc>
          <w:tcPr>
            <w:tcW w:w="1187" w:type="dxa"/>
            <w:tcBorders>
              <w:top w:val="nil"/>
              <w:left w:val="dotted" w:sz="4" w:space="0" w:color="auto"/>
              <w:bottom w:val="single" w:sz="4" w:space="0" w:color="auto"/>
            </w:tcBorders>
          </w:tcPr>
          <w:p w14:paraId="5249BFDD" w14:textId="77777777" w:rsidR="00C8596B" w:rsidRPr="00120DB7" w:rsidRDefault="00C8596B" w:rsidP="00786BA2">
            <w:pPr>
              <w:spacing w:after="0" w:line="240" w:lineRule="auto"/>
              <w:jc w:val="center"/>
              <w:rPr>
                <w:rFonts w:cs="Arial"/>
                <w:b/>
                <w:bCs/>
                <w:sz w:val="18"/>
                <w:szCs w:val="18"/>
              </w:rPr>
            </w:pPr>
            <w:r w:rsidRPr="00120DB7">
              <w:rPr>
                <w:rFonts w:cs="Arial"/>
                <w:b/>
                <w:bCs/>
                <w:sz w:val="18"/>
                <w:szCs w:val="18"/>
              </w:rPr>
              <w:t>14,0</w:t>
            </w:r>
            <w:r>
              <w:rPr>
                <w:rFonts w:cs="Arial"/>
                <w:b/>
                <w:bCs/>
                <w:sz w:val="18"/>
                <w:szCs w:val="18"/>
              </w:rPr>
              <w:t>%</w:t>
            </w:r>
          </w:p>
          <w:p w14:paraId="72525640" w14:textId="77777777" w:rsidR="00C8596B" w:rsidRPr="00120DB7" w:rsidRDefault="00C8596B" w:rsidP="00786BA2">
            <w:pPr>
              <w:spacing w:after="0" w:line="240" w:lineRule="auto"/>
              <w:jc w:val="center"/>
              <w:rPr>
                <w:rFonts w:cs="Arial"/>
                <w:color w:val="808080" w:themeColor="background1" w:themeShade="80"/>
                <w:sz w:val="16"/>
                <w:szCs w:val="16"/>
              </w:rPr>
            </w:pPr>
            <w:r w:rsidRPr="00120DB7">
              <w:rPr>
                <w:rFonts w:cs="Arial"/>
                <w:color w:val="808080" w:themeColor="background1" w:themeShade="80"/>
                <w:sz w:val="16"/>
                <w:szCs w:val="16"/>
              </w:rPr>
              <w:t>(16,2%)</w:t>
            </w:r>
          </w:p>
        </w:tc>
      </w:tr>
      <w:tr w:rsidR="00C8596B" w:rsidRPr="00860A2E" w14:paraId="2DFC85EB" w14:textId="77777777" w:rsidTr="00786BA2">
        <w:trPr>
          <w:trHeight w:val="232"/>
        </w:trPr>
        <w:tc>
          <w:tcPr>
            <w:tcW w:w="5968" w:type="dxa"/>
            <w:gridSpan w:val="3"/>
            <w:tcBorders>
              <w:top w:val="nil"/>
              <w:left w:val="nil"/>
              <w:bottom w:val="nil"/>
              <w:right w:val="nil"/>
            </w:tcBorders>
            <w:vAlign w:val="center"/>
          </w:tcPr>
          <w:p w14:paraId="02C3D62F" w14:textId="77777777" w:rsidR="00C8596B" w:rsidRPr="00120DB7" w:rsidRDefault="00C8596B" w:rsidP="00786BA2">
            <w:pPr>
              <w:spacing w:after="0" w:line="240" w:lineRule="auto"/>
              <w:jc w:val="left"/>
              <w:rPr>
                <w:rFonts w:cs="Arial"/>
                <w:b/>
                <w:bCs/>
                <w:sz w:val="18"/>
                <w:szCs w:val="18"/>
              </w:rPr>
            </w:pPr>
            <w:r w:rsidRPr="00120DB7">
              <w:rPr>
                <w:rFonts w:cs="Arial"/>
                <w:color w:val="808080" w:themeColor="background1" w:themeShade="80"/>
                <w:sz w:val="16"/>
                <w:szCs w:val="16"/>
              </w:rPr>
              <w:t>(</w:t>
            </w:r>
            <w:r>
              <w:rPr>
                <w:rFonts w:cs="Arial"/>
                <w:color w:val="808080" w:themeColor="background1" w:themeShade="80"/>
                <w:sz w:val="16"/>
                <w:szCs w:val="16"/>
              </w:rPr>
              <w:t>X%) – dane dla UE-27</w:t>
            </w:r>
          </w:p>
        </w:tc>
      </w:tr>
    </w:tbl>
    <w:p w14:paraId="3818015D" w14:textId="2D7FFDB9" w:rsidR="00A7100D" w:rsidRDefault="00A7100D" w:rsidP="00C8596B">
      <w:pPr>
        <w:spacing w:before="240"/>
      </w:pPr>
      <w:r>
        <w:t>Wzrost odsetka gospodarstw domowych zagrożonych ubóstwem energetycznym wynikał m.in. z</w:t>
      </w:r>
      <w:r w:rsidR="00E43765">
        <w:t> </w:t>
      </w:r>
      <w:r>
        <w:t>uwarunkowań kryzysowych wynikających z pandemii COVID-19 oraz kryzysu paliwowego związanego z agresją Rosji na Ukrainę.</w:t>
      </w:r>
    </w:p>
    <w:p w14:paraId="04CEC90D" w14:textId="0D9306EC" w:rsidR="001E692B" w:rsidRDefault="00C87160" w:rsidP="00786BA2">
      <w:pPr>
        <w:spacing w:before="360"/>
        <w:jc w:val="left"/>
      </w:pPr>
      <w:r>
        <w:t xml:space="preserve">W ostatnich latach pojęcie </w:t>
      </w:r>
      <w:r w:rsidRPr="00C87160">
        <w:rPr>
          <w:i/>
          <w:iCs/>
        </w:rPr>
        <w:t>ubóstwa energetycznego</w:t>
      </w:r>
      <w:r>
        <w:t xml:space="preserve"> podlegało licznym </w:t>
      </w:r>
      <w:r w:rsidR="00750D52">
        <w:t xml:space="preserve">próbom </w:t>
      </w:r>
      <w:r w:rsidR="00D171B9">
        <w:t>zdefiniowania</w:t>
      </w:r>
      <w:r>
        <w:t xml:space="preserve"> i</w:t>
      </w:r>
      <w:r w:rsidR="00750D52">
        <w:t> </w:t>
      </w:r>
      <w:r>
        <w:t xml:space="preserve">zwymiarowania. </w:t>
      </w:r>
      <w:r w:rsidR="00703B32">
        <w:t>D</w:t>
      </w:r>
      <w:r w:rsidR="00114D74">
        <w:t>yrektyw</w:t>
      </w:r>
      <w:r w:rsidR="00703B32">
        <w:t>a</w:t>
      </w:r>
      <w:r w:rsidR="00114D74">
        <w:t xml:space="preserve"> </w:t>
      </w:r>
      <w:r w:rsidR="00705105">
        <w:t>PE</w:t>
      </w:r>
      <w:r w:rsidR="00DD5F88">
        <w:t xml:space="preserve"> </w:t>
      </w:r>
      <w:r w:rsidR="00114D74">
        <w:t>i</w:t>
      </w:r>
      <w:r w:rsidR="00065F31">
        <w:t> </w:t>
      </w:r>
      <w:r w:rsidR="00114D74">
        <w:t xml:space="preserve">Rady (UE) 2023/1791 </w:t>
      </w:r>
      <w:r w:rsidR="00114D74">
        <w:rPr>
          <w:i/>
          <w:iCs/>
        </w:rPr>
        <w:t xml:space="preserve">w sprawie efektywności energetycznej </w:t>
      </w:r>
      <w:r w:rsidR="00114D74">
        <w:t>wprowadz</w:t>
      </w:r>
      <w:r w:rsidR="00957E52">
        <w:t>iła odniesienie</w:t>
      </w:r>
      <w:r w:rsidR="00703B32">
        <w:t xml:space="preserve"> do </w:t>
      </w:r>
      <w:r w:rsidR="00A7100D">
        <w:t>czter</w:t>
      </w:r>
      <w:r w:rsidR="000971A1">
        <w:t>ech skł</w:t>
      </w:r>
      <w:r w:rsidR="00D44F90">
        <w:t>a</w:t>
      </w:r>
      <w:r w:rsidR="000971A1">
        <w:t>dników</w:t>
      </w:r>
      <w:r w:rsidR="00A7100D">
        <w:t xml:space="preserve"> </w:t>
      </w:r>
      <w:r w:rsidR="00114D74">
        <w:t>ubóstwa energetycznego</w:t>
      </w:r>
      <w:r w:rsidR="00750D52">
        <w:t>. Zjawisko</w:t>
      </w:r>
      <w:r w:rsidR="001E692B">
        <w:t xml:space="preserve"> mierzy się średnią arytmetyczną czterech wskaźników</w:t>
      </w:r>
      <w:r w:rsidR="005B2997">
        <w:rPr>
          <w:rStyle w:val="Odwoanieprzypisudolnego"/>
        </w:rPr>
        <w:footnoteReference w:id="131"/>
      </w:r>
      <w:r w:rsidR="005B2997">
        <w:t xml:space="preserve">. </w:t>
      </w:r>
      <w:r w:rsidR="00750D52">
        <w:t xml:space="preserve">Średnia </w:t>
      </w:r>
      <w:r w:rsidR="005B2997">
        <w:t>za 2019</w:t>
      </w:r>
      <w:r w:rsidR="006462B0">
        <w:t> </w:t>
      </w:r>
      <w:r w:rsidR="005B2997">
        <w:t xml:space="preserve">r. stanowi punkt wyjścia do określania </w:t>
      </w:r>
      <w:r w:rsidR="0011251C">
        <w:t xml:space="preserve">poziomu </w:t>
      </w:r>
      <w:r w:rsidR="00F11088">
        <w:t xml:space="preserve">zjawiska ubóstwa energetycznego </w:t>
      </w:r>
      <w:r w:rsidR="00F325A2">
        <w:t xml:space="preserve">stosownie do treści </w:t>
      </w:r>
      <w:r w:rsidR="002974CF">
        <w:t>d</w:t>
      </w:r>
      <w:r w:rsidR="00F325A2">
        <w:t xml:space="preserve">yrektywy (UE) 2023/1791 </w:t>
      </w:r>
      <w:r w:rsidR="00B81095">
        <w:rPr>
          <w:rStyle w:val="Odwoanieprzypisudolnego"/>
        </w:rPr>
        <w:footnoteReference w:id="132"/>
      </w:r>
      <w:r w:rsidR="006462B0">
        <w:t>.</w:t>
      </w:r>
    </w:p>
    <w:p w14:paraId="4BBDE12D" w14:textId="6DCF1AF1" w:rsidR="003C5556" w:rsidRDefault="00DE506D" w:rsidP="00C8596B">
      <w:pPr>
        <w:spacing w:before="360"/>
      </w:pPr>
      <w:r>
        <w:t>W przejściowym okresie transformacji istnieje ryzyko pogłębiania ubóstwa energetycznego</w:t>
      </w:r>
      <w:r w:rsidRPr="006A43C6">
        <w:rPr>
          <w:b/>
          <w:bCs/>
        </w:rPr>
        <w:t>, dlatego niezwykle ważne jest zapewnienie ochrony tych gospodarstw domowych</w:t>
      </w:r>
      <w:r>
        <w:t>, dla których koszty transformacji są zbyt wysokie</w:t>
      </w:r>
      <w:r w:rsidR="006A43C6">
        <w:t xml:space="preserve"> – </w:t>
      </w:r>
      <w:r w:rsidR="006A43C6" w:rsidRPr="006A43C6">
        <w:rPr>
          <w:i/>
          <w:iCs/>
        </w:rPr>
        <w:t>to jedno z najważniejszych zadań KPEiK</w:t>
      </w:r>
      <w:r>
        <w:t>. Z reguły gospodarstwa domowe ubogie energetyczne, to te, które wykorzystują paliwa kopalne</w:t>
      </w:r>
      <w:r w:rsidR="00022A46">
        <w:t xml:space="preserve"> </w:t>
      </w:r>
      <w:r w:rsidR="00157610">
        <w:t xml:space="preserve">oraz </w:t>
      </w:r>
      <w:r w:rsidR="00157610" w:rsidRPr="00485861">
        <w:t>o ograniczonym dostępie do podstawowych i przystępnych cenowo usług energetycznych</w:t>
      </w:r>
      <w:r w:rsidR="00157610">
        <w:t xml:space="preserve">, </w:t>
      </w:r>
      <w:r w:rsidR="00157610" w:rsidRPr="00485861">
        <w:t>stanowiących podstawę godnego poziomu życia i zdrowia</w:t>
      </w:r>
      <w:r w:rsidR="00157610">
        <w:t>. D</w:t>
      </w:r>
      <w:r>
        <w:t xml:space="preserve">latego ważne </w:t>
      </w:r>
      <w:r w:rsidR="00162C07">
        <w:t>jest osłonięcie</w:t>
      </w:r>
      <w:r>
        <w:t xml:space="preserve"> najbardziej wrażliwych przed wpływem systemu EU ETS–</w:t>
      </w:r>
      <w:r>
        <w:lastRenderedPageBreak/>
        <w:t>2</w:t>
      </w:r>
      <w:r>
        <w:rPr>
          <w:rStyle w:val="Odwoanieprzypisudolnego"/>
        </w:rPr>
        <w:footnoteReference w:id="133"/>
      </w:r>
      <w:r>
        <w:t xml:space="preserve"> oraz redukcja ryzyka pogłębienia skali ubóstwa energetycznego w wyniku wdrożenia tego systemu.</w:t>
      </w:r>
      <w:r w:rsidR="005A7954">
        <w:t xml:space="preserve"> </w:t>
      </w:r>
      <w:r w:rsidR="00F244F8">
        <w:t>W szerszym ujęciu o</w:t>
      </w:r>
      <w:r w:rsidR="0064330E">
        <w:t>bok działań osł</w:t>
      </w:r>
      <w:r w:rsidR="00F37B78">
        <w:t xml:space="preserve">onowych </w:t>
      </w:r>
      <w:r w:rsidR="00F37B78" w:rsidRPr="00F37B78">
        <w:rPr>
          <w:i/>
          <w:iCs/>
        </w:rPr>
        <w:t>ad hoc</w:t>
      </w:r>
      <w:r w:rsidR="00F37B78">
        <w:t xml:space="preserve"> konieczne </w:t>
      </w:r>
      <w:r w:rsidR="00F5093E">
        <w:t xml:space="preserve">jest </w:t>
      </w:r>
      <w:r w:rsidR="00612509">
        <w:t xml:space="preserve">zmniejszanie skali problemu </w:t>
      </w:r>
      <w:r w:rsidR="003D28D2">
        <w:t>w</w:t>
      </w:r>
      <w:r w:rsidR="008011EB">
        <w:t> </w:t>
      </w:r>
      <w:r w:rsidR="003D28D2">
        <w:t>kolejnych okresach poprzez działania inwestycyjne</w:t>
      </w:r>
      <w:r w:rsidR="00F92B78">
        <w:t>,</w:t>
      </w:r>
      <w:r w:rsidR="003D28D2">
        <w:t xml:space="preserve"> </w:t>
      </w:r>
      <w:r w:rsidR="00F92B78">
        <w:t xml:space="preserve">mające na celu poprawę </w:t>
      </w:r>
      <w:r w:rsidR="00F92B78" w:rsidRPr="00485861">
        <w:t>stanu technicznego budynków</w:t>
      </w:r>
      <w:r w:rsidR="00D00728">
        <w:t xml:space="preserve"> i zmianę źródeł energii</w:t>
      </w:r>
      <w:r w:rsidR="00612509">
        <w:t xml:space="preserve"> </w:t>
      </w:r>
      <w:r w:rsidR="00D00728">
        <w:t>(</w:t>
      </w:r>
      <w:r w:rsidR="004B2EF0">
        <w:t xml:space="preserve">termomodernizacja, </w:t>
      </w:r>
      <w:r w:rsidR="00D00728" w:rsidRPr="00485861">
        <w:t>modernizacj</w:t>
      </w:r>
      <w:r w:rsidR="00D00728">
        <w:t>a</w:t>
      </w:r>
      <w:r w:rsidR="00D00728" w:rsidRPr="00485861">
        <w:t xml:space="preserve"> systemów grzewczych</w:t>
      </w:r>
      <w:r w:rsidR="00D00728">
        <w:t xml:space="preserve"> oraz zastosowani</w:t>
      </w:r>
      <w:r w:rsidR="004B2EF0">
        <w:t>e</w:t>
      </w:r>
      <w:r w:rsidR="00D00728">
        <w:t xml:space="preserve"> OZE)</w:t>
      </w:r>
      <w:r w:rsidR="001D7B36">
        <w:t>.</w:t>
      </w:r>
    </w:p>
    <w:p w14:paraId="2AB39A17" w14:textId="2315C82B" w:rsidR="007C6304" w:rsidRDefault="007C6304" w:rsidP="001E692B">
      <w:r>
        <w:t xml:space="preserve">Skutki systemu EU ETS–2 mogą odczuć również </w:t>
      </w:r>
      <w:r w:rsidRPr="00351E08">
        <w:rPr>
          <w:b/>
          <w:bCs/>
        </w:rPr>
        <w:t>mikroprzedsiębiorstwa</w:t>
      </w:r>
      <w:r>
        <w:t>, które</w:t>
      </w:r>
      <w:r w:rsidRPr="0068472F">
        <w:t xml:space="preserve"> ponoszą znaczące wydatki na paliwa grzewcze w ramach prowadzonej działalności</w:t>
      </w:r>
      <w:r w:rsidR="00E374E2">
        <w:rPr>
          <w:rStyle w:val="Odwoanieprzypisudolnego"/>
        </w:rPr>
        <w:footnoteReference w:id="134"/>
      </w:r>
      <w:r w:rsidRPr="0068472F">
        <w:t>.</w:t>
      </w:r>
      <w:r>
        <w:t xml:space="preserve"> Dlatego też należy zaplanować inwestycje zmierzające do </w:t>
      </w:r>
      <w:r w:rsidRPr="0068472F">
        <w:t>zmniejszenia zależności mikroprzedsiębiorców od wykorzystywania paliw kopalnych</w:t>
      </w:r>
      <w:r>
        <w:t xml:space="preserve">. </w:t>
      </w:r>
    </w:p>
    <w:p w14:paraId="6806A9A8" w14:textId="030E1808" w:rsidR="00AD5CD6" w:rsidRDefault="00AD5CD6" w:rsidP="001E692B">
      <w:r w:rsidRPr="00031CCC">
        <w:t>W celu mitygowania kosztów społecznych wprowadzeni</w:t>
      </w:r>
      <w:r w:rsidR="006A7DF7">
        <w:t>a</w:t>
      </w:r>
      <w:r w:rsidRPr="00031CCC">
        <w:t xml:space="preserve"> </w:t>
      </w:r>
      <w:r w:rsidR="006A7DF7">
        <w:t>EU </w:t>
      </w:r>
      <w:r w:rsidRPr="00031CCC">
        <w:t>ETS</w:t>
      </w:r>
      <w:r w:rsidR="006A7DF7">
        <w:t>–</w:t>
      </w:r>
      <w:r w:rsidRPr="00031CCC">
        <w:t xml:space="preserve">2 w sektorach budynków i transportu, na mocy </w:t>
      </w:r>
      <w:r w:rsidR="003C7B09">
        <w:t>r</w:t>
      </w:r>
      <w:r w:rsidRPr="00031CCC">
        <w:t xml:space="preserve">ozporządzenia </w:t>
      </w:r>
      <w:r w:rsidR="0071055D">
        <w:t>UE</w:t>
      </w:r>
      <w:r w:rsidRPr="00031CCC">
        <w:t xml:space="preserve"> 2023/955 ustanowiono nowe źródło wsparcia finansowego – </w:t>
      </w:r>
      <w:r w:rsidRPr="00080366">
        <w:rPr>
          <w:b/>
          <w:bCs/>
        </w:rPr>
        <w:t>Społeczny Fundusz Klimatyczny</w:t>
      </w:r>
      <w:r w:rsidRPr="00031CCC">
        <w:t xml:space="preserve"> (SFK). Fundusz </w:t>
      </w:r>
      <w:r w:rsidR="00E317CC">
        <w:t xml:space="preserve">ma pomóc </w:t>
      </w:r>
      <w:r w:rsidRPr="00031CCC">
        <w:t xml:space="preserve">gospodarstwom domowym, </w:t>
      </w:r>
      <w:r>
        <w:t>mikro</w:t>
      </w:r>
      <w:r w:rsidRPr="00031CCC">
        <w:t>przedsiębiorstwom i</w:t>
      </w:r>
      <w:r w:rsidR="00E317CC">
        <w:t> </w:t>
      </w:r>
      <w:r w:rsidRPr="00031CCC">
        <w:t>użytkownikom transportu, którzy są szczególnie dotknięci ubóstwem energetycznym i transportowym.</w:t>
      </w:r>
      <w:r w:rsidR="00E317CC">
        <w:t xml:space="preserve"> </w:t>
      </w:r>
      <w:r w:rsidR="00E6420F">
        <w:t xml:space="preserve">Wydatkowanie środków </w:t>
      </w:r>
      <w:r w:rsidR="00A43FB8">
        <w:t>będzie</w:t>
      </w:r>
      <w:r w:rsidR="00E6420F">
        <w:t xml:space="preserve"> się opierać o </w:t>
      </w:r>
      <w:r w:rsidR="004C19E8">
        <w:rPr>
          <w:b/>
          <w:bCs/>
        </w:rPr>
        <w:t>P</w:t>
      </w:r>
      <w:r w:rsidR="00E6420F" w:rsidRPr="00705D81">
        <w:rPr>
          <w:b/>
          <w:bCs/>
        </w:rPr>
        <w:t xml:space="preserve">lan </w:t>
      </w:r>
      <w:r w:rsidR="004C19E8">
        <w:rPr>
          <w:b/>
          <w:bCs/>
        </w:rPr>
        <w:t>S</w:t>
      </w:r>
      <w:r w:rsidR="00A4297E">
        <w:rPr>
          <w:b/>
          <w:bCs/>
        </w:rPr>
        <w:t>połeczno-</w:t>
      </w:r>
      <w:r w:rsidR="004C19E8">
        <w:rPr>
          <w:b/>
          <w:bCs/>
        </w:rPr>
        <w:t>K</w:t>
      </w:r>
      <w:r w:rsidR="00E6420F" w:rsidRPr="00705D81">
        <w:rPr>
          <w:b/>
          <w:bCs/>
        </w:rPr>
        <w:t>limatyczn</w:t>
      </w:r>
      <w:r w:rsidR="004C19E8">
        <w:rPr>
          <w:b/>
          <w:bCs/>
        </w:rPr>
        <w:t>y</w:t>
      </w:r>
      <w:r w:rsidR="00F042F9" w:rsidRPr="00D33030">
        <w:t xml:space="preserve">, </w:t>
      </w:r>
      <w:r w:rsidR="00D33030" w:rsidRPr="00D33030">
        <w:t>który zos</w:t>
      </w:r>
      <w:r w:rsidR="00D33030">
        <w:t>tanie opracowany w</w:t>
      </w:r>
      <w:r w:rsidR="00C07A2D">
        <w:t> </w:t>
      </w:r>
      <w:r w:rsidR="00D33030">
        <w:t>2025 r</w:t>
      </w:r>
      <w:r w:rsidR="00B95EDF">
        <w:rPr>
          <w:b/>
          <w:bCs/>
        </w:rPr>
        <w:t>.</w:t>
      </w:r>
    </w:p>
    <w:tbl>
      <w:tblPr>
        <w:tblStyle w:val="Tabela-Siatka"/>
        <w:tblpPr w:leftFromText="141" w:rightFromText="141" w:vertAnchor="text" w:horzAnchor="margin" w:tblpY="16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6571F" w14:paraId="640EF291" w14:textId="77777777" w:rsidTr="0016571F">
        <w:tc>
          <w:tcPr>
            <w:tcW w:w="4536" w:type="dxa"/>
            <w:tcBorders>
              <w:right w:val="dotted" w:sz="4" w:space="0" w:color="D9D9D9" w:themeColor="background1" w:themeShade="D9"/>
            </w:tcBorders>
          </w:tcPr>
          <w:p w14:paraId="516F041E" w14:textId="77777777" w:rsidR="0016571F" w:rsidRPr="00657FF8" w:rsidRDefault="0016571F" w:rsidP="0016571F">
            <w:pPr>
              <w:pStyle w:val="tyturys"/>
              <w:rPr>
                <w:sz w:val="22"/>
                <w:szCs w:val="22"/>
              </w:rPr>
            </w:pPr>
            <w:r w:rsidRPr="00657FF8">
              <w:rPr>
                <w:sz w:val="22"/>
                <w:szCs w:val="22"/>
              </w:rPr>
              <w:t xml:space="preserve">Co najmniej 10 proc. dochodów </w:t>
            </w:r>
            <w:r w:rsidRPr="00657FF8">
              <w:rPr>
                <w:sz w:val="22"/>
                <w:szCs w:val="22"/>
              </w:rPr>
              <w:br/>
              <w:t>wydawane na energię</w:t>
            </w:r>
            <w:r w:rsidRPr="009329FB">
              <w:rPr>
                <w:noProof/>
                <w:sz w:val="22"/>
                <w:szCs w:val="22"/>
              </w:rPr>
              <w:drawing>
                <wp:inline distT="0" distB="0" distL="0" distR="0" wp14:anchorId="51D0722B" wp14:editId="34ECE2C8">
                  <wp:extent cx="2797175" cy="2508250"/>
                  <wp:effectExtent l="0" t="0" r="3175" b="6350"/>
                  <wp:docPr id="1559494829" name="Wykres 1">
                    <a:extLst xmlns:a="http://schemas.openxmlformats.org/drawingml/2006/main">
                      <a:ext uri="{FF2B5EF4-FFF2-40B4-BE49-F238E27FC236}">
                        <a16:creationId xmlns:a16="http://schemas.microsoft.com/office/drawing/2014/main" id="{2D6BF9BE-648F-4F50-B582-A0590C799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c>
          <w:tcPr>
            <w:tcW w:w="4536" w:type="dxa"/>
            <w:tcBorders>
              <w:left w:val="dotted" w:sz="4" w:space="0" w:color="D9D9D9" w:themeColor="background1" w:themeShade="D9"/>
            </w:tcBorders>
          </w:tcPr>
          <w:p w14:paraId="2AFDC22D" w14:textId="77777777" w:rsidR="0016571F" w:rsidRPr="00FA0727" w:rsidRDefault="0016571F" w:rsidP="0016571F">
            <w:pPr>
              <w:pStyle w:val="tyturys"/>
              <w:rPr>
                <w:sz w:val="20"/>
                <w:szCs w:val="20"/>
              </w:rPr>
            </w:pPr>
            <w:r w:rsidRPr="00657FF8">
              <w:rPr>
                <w:sz w:val="22"/>
                <w:szCs w:val="22"/>
              </w:rPr>
              <w:t>Dochody poniżej minimum socjalnego po opłaceniu rachunków za energię (MIS2)</w:t>
            </w:r>
            <w:r w:rsidRPr="009329FB">
              <w:rPr>
                <w:sz w:val="22"/>
                <w:szCs w:val="22"/>
              </w:rPr>
              <w:t xml:space="preserve"> </w:t>
            </w:r>
            <w:r w:rsidRPr="009329FB">
              <w:rPr>
                <w:noProof/>
                <w:sz w:val="22"/>
                <w:szCs w:val="22"/>
              </w:rPr>
              <w:drawing>
                <wp:inline distT="0" distB="0" distL="0" distR="0" wp14:anchorId="7ECE0DC0" wp14:editId="7EC4E6CC">
                  <wp:extent cx="2797175" cy="2603500"/>
                  <wp:effectExtent l="0" t="0" r="3175" b="6350"/>
                  <wp:docPr id="832252073" name="Wykres 1">
                    <a:extLst xmlns:a="http://schemas.openxmlformats.org/drawingml/2006/main">
                      <a:ext uri="{FF2B5EF4-FFF2-40B4-BE49-F238E27FC236}">
                        <a16:creationId xmlns:a16="http://schemas.microsoft.com/office/drawing/2014/main" id="{F8EC03EB-A587-466B-A054-FD16DC04F9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c>
      </w:tr>
      <w:tr w:rsidR="0016571F" w14:paraId="5E71E0F8" w14:textId="77777777" w:rsidTr="0016571F">
        <w:tblPrEx>
          <w:tblCellMar>
            <w:left w:w="70" w:type="dxa"/>
            <w:right w:w="70" w:type="dxa"/>
          </w:tblCellMar>
        </w:tblPrEx>
        <w:trPr>
          <w:trHeight w:val="569"/>
        </w:trPr>
        <w:tc>
          <w:tcPr>
            <w:tcW w:w="4536" w:type="dxa"/>
            <w:tcBorders>
              <w:right w:val="dotted" w:sz="4" w:space="0" w:color="D9D9D9" w:themeColor="background1" w:themeShade="D9"/>
            </w:tcBorders>
          </w:tcPr>
          <w:p w14:paraId="2C7C83B0" w14:textId="77777777" w:rsidR="0016571F" w:rsidRPr="00657FF8" w:rsidRDefault="0016571F" w:rsidP="0016571F">
            <w:pPr>
              <w:rPr>
                <w:sz w:val="22"/>
              </w:rPr>
            </w:pPr>
          </w:p>
        </w:tc>
        <w:tc>
          <w:tcPr>
            <w:tcW w:w="4536" w:type="dxa"/>
            <w:tcBorders>
              <w:left w:val="dotted" w:sz="4" w:space="0" w:color="D9D9D9" w:themeColor="background1" w:themeShade="D9"/>
            </w:tcBorders>
          </w:tcPr>
          <w:p w14:paraId="3FD4B6B4" w14:textId="77777777" w:rsidR="0016571F" w:rsidRDefault="0016571F" w:rsidP="0016571F"/>
        </w:tc>
      </w:tr>
    </w:tbl>
    <w:p w14:paraId="778BA304" w14:textId="7D1A90BC" w:rsidR="005F0707" w:rsidRDefault="004137A8" w:rsidP="00B95EDF">
      <w:pPr>
        <w:spacing w:before="360" w:after="360"/>
      </w:pPr>
      <w:r>
        <w:rPr>
          <w:noProof/>
        </w:rPr>
        <mc:AlternateContent>
          <mc:Choice Requires="wps">
            <w:drawing>
              <wp:anchor distT="0" distB="0" distL="114300" distR="114300" simplePos="0" relativeHeight="251714048" behindDoc="1" locked="0" layoutInCell="1" allowOverlap="1" wp14:anchorId="697B5D81" wp14:editId="7F2F71A2">
                <wp:simplePos x="0" y="0"/>
                <wp:positionH relativeFrom="margin">
                  <wp:align>left</wp:align>
                </wp:positionH>
                <wp:positionV relativeFrom="paragraph">
                  <wp:posOffset>4410890</wp:posOffset>
                </wp:positionV>
                <wp:extent cx="5818505" cy="635"/>
                <wp:effectExtent l="0" t="0" r="0" b="0"/>
                <wp:wrapTight wrapText="bothSides">
                  <wp:wrapPolygon edited="0">
                    <wp:start x="0" y="0"/>
                    <wp:lineTo x="0" y="20769"/>
                    <wp:lineTo x="21499" y="20769"/>
                    <wp:lineTo x="21499" y="0"/>
                    <wp:lineTo x="0" y="0"/>
                  </wp:wrapPolygon>
                </wp:wrapTight>
                <wp:docPr id="1724257171" name="Pole tekstowe 1"/>
                <wp:cNvGraphicFramePr/>
                <a:graphic xmlns:a="http://schemas.openxmlformats.org/drawingml/2006/main">
                  <a:graphicData uri="http://schemas.microsoft.com/office/word/2010/wordprocessingShape">
                    <wps:wsp>
                      <wps:cNvSpPr txBox="1"/>
                      <wps:spPr>
                        <a:xfrm>
                          <a:off x="0" y="0"/>
                          <a:ext cx="5818505" cy="635"/>
                        </a:xfrm>
                        <a:prstGeom prst="rect">
                          <a:avLst/>
                        </a:prstGeom>
                        <a:solidFill>
                          <a:prstClr val="white"/>
                        </a:solidFill>
                        <a:ln>
                          <a:noFill/>
                        </a:ln>
                      </wps:spPr>
                      <wps:txbx>
                        <w:txbxContent>
                          <w:p w14:paraId="075234C7" w14:textId="73CA3859" w:rsidR="00D41E9A" w:rsidRDefault="00D41E9A" w:rsidP="00D41E9A">
                            <w:pPr>
                              <w:pStyle w:val="Legenda"/>
                            </w:pPr>
                            <w:bookmarkStart w:id="833" w:name="_Toc205204456"/>
                            <w:r>
                              <w:t xml:space="preserve">Wykres </w:t>
                            </w:r>
                            <w:fldSimple w:instr=" SEQ Wykres \* ARABIC ">
                              <w:r w:rsidR="00871DD5">
                                <w:rPr>
                                  <w:noProof/>
                                </w:rPr>
                                <w:t>18</w:t>
                              </w:r>
                            </w:fldSimple>
                            <w:r>
                              <w:t xml:space="preserve">. </w:t>
                            </w:r>
                            <w:r w:rsidR="00BF5D21">
                              <w:t xml:space="preserve">Ścieżki oszacowanych wskaźników ubóstwa </w:t>
                            </w:r>
                            <w:r w:rsidR="007E59D6">
                              <w:t>energetycznego</w:t>
                            </w:r>
                            <w:bookmarkEnd w:id="833"/>
                          </w:p>
                          <w:p w14:paraId="1A4F41D1" w14:textId="3326CA87" w:rsidR="00D41E9A" w:rsidRPr="004137A8" w:rsidRDefault="007E59D6" w:rsidP="004137A8">
                            <w:pPr>
                              <w:pStyle w:val="Legenda"/>
                              <w:rPr>
                                <w:i w:val="0"/>
                              </w:rPr>
                            </w:pPr>
                            <w:r w:rsidRPr="007039D3">
                              <w:t xml:space="preserve">Źródło: </w:t>
                            </w:r>
                            <w:r w:rsidR="004137A8">
                              <w:t>S</w:t>
                            </w:r>
                            <w:r w:rsidRPr="007039D3">
                              <w:t xml:space="preserve">zacunki Instytutu Reform na podstawie prognoz </w:t>
                            </w:r>
                            <w:r>
                              <w:t>do aKPEiK</w:t>
                            </w:r>
                            <w:r w:rsidRPr="007039D3">
                              <w:t xml:space="preserve"> oraz obliczeń PIE na podstawie danych GUS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7B5D81" id="_x0000_s1130" type="#_x0000_t202" style="position:absolute;left:0;text-align:left;margin-left:0;margin-top:347.3pt;width:458.15pt;height:.05pt;z-index:-251602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" stroked="f">
                <v:textbox style="mso-fit-shape-to-text:t" inset="0,0,0,0">
                  <w:txbxContent>
                    <w:p w14:paraId="075234C7" w14:textId="73CA3859" w:rsidR="00D41E9A" w:rsidRDefault="00D41E9A" w:rsidP="00D41E9A">
                      <w:pPr>
                        <w:pStyle w:val="Legenda"/>
                      </w:pPr>
                      <w:bookmarkStart w:id="849" w:name="_Toc205204456"/>
                      <w:r>
                        <w:t xml:space="preserve">Wykres </w:t>
                      </w:r>
                      <w:r w:rsidR="000559D5">
                        <w:fldChar w:fldCharType="begin"/>
                      </w:r>
                      <w:r w:rsidR="000559D5">
                        <w:instrText xml:space="preserve"> SEQ Wykres \* ARABIC </w:instrText>
                      </w:r>
                      <w:r w:rsidR="000559D5">
                        <w:fldChar w:fldCharType="separate"/>
                      </w:r>
                      <w:r w:rsidR="00871DD5">
                        <w:rPr>
                          <w:noProof/>
                        </w:rPr>
                        <w:t>18</w:t>
                      </w:r>
                      <w:r w:rsidR="000559D5">
                        <w:rPr>
                          <w:noProof/>
                        </w:rPr>
                        <w:fldChar w:fldCharType="end"/>
                      </w:r>
                      <w:r>
                        <w:t xml:space="preserve">. </w:t>
                      </w:r>
                      <w:r w:rsidR="00BF5D21">
                        <w:t xml:space="preserve">Ścieżki oszacowanych wskaźników ubóstwa </w:t>
                      </w:r>
                      <w:r w:rsidR="007E59D6">
                        <w:t>energetycznego</w:t>
                      </w:r>
                      <w:bookmarkEnd w:id="849"/>
                    </w:p>
                    <w:p w14:paraId="1A4F41D1" w14:textId="3326CA87" w:rsidR="00D41E9A" w:rsidRPr="004137A8" w:rsidRDefault="007E59D6" w:rsidP="004137A8">
                      <w:pPr>
                        <w:pStyle w:val="Legenda"/>
                        <w:rPr>
                          <w:i w:val="0"/>
                        </w:rPr>
                      </w:pPr>
                      <w:r w:rsidRPr="007039D3">
                        <w:t xml:space="preserve">Źródło: </w:t>
                      </w:r>
                      <w:r w:rsidR="004137A8">
                        <w:t>S</w:t>
                      </w:r>
                      <w:r w:rsidRPr="007039D3">
                        <w:t xml:space="preserve">zacunki Instytutu Reform na podstawie prognoz </w:t>
                      </w:r>
                      <w:r>
                        <w:t>do aKPEiK</w:t>
                      </w:r>
                      <w:r w:rsidRPr="007039D3">
                        <w:t xml:space="preserve"> oraz obliczeń PIE na podstawie danych GUS </w:t>
                      </w:r>
                    </w:p>
                  </w:txbxContent>
                </v:textbox>
                <w10:wrap type="tight" anchorx="margin"/>
              </v:shape>
            </w:pict>
          </mc:Fallback>
        </mc:AlternateContent>
      </w:r>
      <w:r w:rsidR="005F0707">
        <w:t xml:space="preserve">Na potrzeby oszacowania oczekiwanej zmiany zasięgu ubóstwa energetycznego i wyznaczenia celów jego ograniczenia do 2030 i 2040 r. wykorzystano wskaźniki cechujące się wysoką korelacją ze średnim udziałem wydatków na energię w dochodach i oszacowano ich zmiany do 2030 i 2040 r. na podstawie </w:t>
      </w:r>
      <w:r w:rsidR="005F0707">
        <w:lastRenderedPageBreak/>
        <w:t>wyników modelowania kosztów energii dla scenariuszy WEM i WAM.</w:t>
      </w:r>
      <w:r w:rsidR="00562CF7">
        <w:t xml:space="preserve"> </w:t>
      </w:r>
      <w:r w:rsidR="00B95EDF">
        <w:t>Poniżej</w:t>
      </w:r>
      <w:r w:rsidR="00562CF7">
        <w:t xml:space="preserve"> </w:t>
      </w:r>
      <w:r w:rsidR="00B95EDF">
        <w:t>przedstawiano oszacowane</w:t>
      </w:r>
      <w:r w:rsidR="00562CF7">
        <w:t xml:space="preserve"> </w:t>
      </w:r>
      <w:r w:rsidR="005F0707">
        <w:t>ścieżki wybranych wskaźników ubóstwa energetycznego w Polsce do 2040 r.</w:t>
      </w:r>
    </w:p>
    <w:p w14:paraId="0C075716" w14:textId="0E44B684" w:rsidR="00D41E9A" w:rsidRDefault="00D41E9A" w:rsidP="000A1903">
      <w:pPr>
        <w:pStyle w:val="Legenda"/>
      </w:pPr>
    </w:p>
    <w:p w14:paraId="1194B5D3" w14:textId="4EBC8FC5" w:rsidR="00867EF5" w:rsidRDefault="00CF4B2B" w:rsidP="001C36CC">
      <w:r>
        <w:t>S</w:t>
      </w:r>
      <w:r w:rsidR="005F0707">
        <w:t>zacunki wskazują</w:t>
      </w:r>
      <w:r w:rsidR="00F364BD">
        <w:t>,</w:t>
      </w:r>
      <w:r w:rsidR="005F0707">
        <w:t xml:space="preserve"> że wdrożenie </w:t>
      </w:r>
      <w:r w:rsidR="00FD370D">
        <w:t>a</w:t>
      </w:r>
      <w:r w:rsidR="005F0707">
        <w:t>KPEiK pozwoli na odwrócenie negatywnego wpływu kryzysu paliwowego z początku lat 20. do końca dekady oraz dalszą szybką redukcję ubóstwa energetycznego w</w:t>
      </w:r>
      <w:r w:rsidR="00C07A2D">
        <w:t> </w:t>
      </w:r>
      <w:r w:rsidR="005F0707">
        <w:t>latach 30. Będzie to możliwe dzięki połączeniu efektów redukcji kosztów energii na skutek transformacji energetycznej oraz wzrostu dochodów ludności, przy utrzymaniu efektywności działań na rzecz wsparcia osób zmagających się z ubóstwem energetycznym. Jednocześnie będą podejmowane dodatkowe działania w zakresie poprawy efektywności ww. wsparcia.</w:t>
      </w:r>
      <w:r w:rsidR="001C36CC">
        <w:t xml:space="preserve"> </w:t>
      </w:r>
    </w:p>
    <w:p w14:paraId="393BB0A7" w14:textId="3E8BBB14" w:rsidR="001C36CC" w:rsidRDefault="001C36CC" w:rsidP="001C36CC">
      <w:r w:rsidRPr="00031CCC">
        <w:t xml:space="preserve">Polska </w:t>
      </w:r>
      <w:r>
        <w:t>opracuje</w:t>
      </w:r>
      <w:r w:rsidRPr="00031CCC">
        <w:t xml:space="preserve"> </w:t>
      </w:r>
      <w:r w:rsidRPr="00C10919">
        <w:rPr>
          <w:b/>
          <w:bCs/>
          <w:i/>
          <w:iCs/>
        </w:rPr>
        <w:t>Plan Społeczno-Klimatyczny</w:t>
      </w:r>
      <w:r>
        <w:t>, który będzie przewidywał działania w zakresie ochrony najbardziej narażonych grup społecznych przed negatywnymi skutkami transformacji, w oparciu o </w:t>
      </w:r>
      <w:r w:rsidRPr="009D4E10">
        <w:rPr>
          <w:b/>
          <w:bCs/>
        </w:rPr>
        <w:t>Społeczny Fundusz Klimatyczny</w:t>
      </w:r>
      <w:r>
        <w:rPr>
          <w:b/>
          <w:bCs/>
        </w:rPr>
        <w:t xml:space="preserve"> </w:t>
      </w:r>
      <w:r w:rsidRPr="00D03F44">
        <w:t>(</w:t>
      </w:r>
      <w:r w:rsidRPr="00031CCC">
        <w:t>kwalifikowalnoś</w:t>
      </w:r>
      <w:r>
        <w:t>ć</w:t>
      </w:r>
      <w:r w:rsidRPr="00031CCC">
        <w:t xml:space="preserve"> przypada na lata 2026-2032</w:t>
      </w:r>
      <w:r>
        <w:t xml:space="preserve">). Pozwoli to na szersze zastosowanie istniejących działań, a także wprowadzenie nowych w miarę potrzeb i posiadanych zasobów. </w:t>
      </w:r>
    </w:p>
    <w:p w14:paraId="763952EE" w14:textId="77777777" w:rsidR="005F0707" w:rsidRDefault="005F0707" w:rsidP="001E692B"/>
    <w:p w14:paraId="3B4B0AA9" w14:textId="70F23552" w:rsidR="006462B0" w:rsidRDefault="006462B0" w:rsidP="006462B0">
      <w:pPr>
        <w:pStyle w:val="Cele"/>
      </w:pPr>
      <w:r>
        <w:t>Cele</w:t>
      </w:r>
      <w:r w:rsidR="00963A1E">
        <w:t>m</w:t>
      </w:r>
      <w:r w:rsidR="00E90BB3">
        <w:t xml:space="preserve"> przyjętym w aKPEIK</w:t>
      </w:r>
      <w:r>
        <w:t xml:space="preserve"> jest </w:t>
      </w:r>
      <w:r w:rsidR="004C5A28">
        <w:rPr>
          <w:b/>
          <w:bCs/>
        </w:rPr>
        <w:t xml:space="preserve">trend spadkowy </w:t>
      </w:r>
      <w:r w:rsidRPr="00A51469">
        <w:rPr>
          <w:b/>
          <w:bCs/>
        </w:rPr>
        <w:t>poziom</w:t>
      </w:r>
      <w:r w:rsidR="00F01158">
        <w:rPr>
          <w:b/>
          <w:bCs/>
        </w:rPr>
        <w:t>u</w:t>
      </w:r>
      <w:r w:rsidR="004C5A28">
        <w:rPr>
          <w:b/>
          <w:bCs/>
        </w:rPr>
        <w:t xml:space="preserve"> </w:t>
      </w:r>
      <w:r w:rsidRPr="00A51469">
        <w:rPr>
          <w:b/>
        </w:rPr>
        <w:t xml:space="preserve">ubóstwa energetycznego </w:t>
      </w:r>
      <w:r w:rsidR="004C5A28">
        <w:rPr>
          <w:b/>
          <w:bCs/>
        </w:rPr>
        <w:t>nieprzekraczając</w:t>
      </w:r>
      <w:r w:rsidR="00D84459">
        <w:rPr>
          <w:b/>
          <w:bCs/>
        </w:rPr>
        <w:t>y</w:t>
      </w:r>
      <w:r w:rsidR="004C5A28">
        <w:rPr>
          <w:b/>
          <w:bCs/>
        </w:rPr>
        <w:t xml:space="preserve"> </w:t>
      </w:r>
      <w:r w:rsidR="00A51469" w:rsidRPr="00A51469">
        <w:rPr>
          <w:rFonts w:eastAsia="Times New Roman" w:cs="Times New Roman"/>
          <w:b/>
          <w:bCs/>
          <w:lang w:eastAsia="pl-PL"/>
        </w:rPr>
        <w:t xml:space="preserve">poziomu średniej UE do 2035 r. </w:t>
      </w:r>
      <w:r w:rsidR="00567E4A">
        <w:rPr>
          <w:rFonts w:eastAsia="Times New Roman" w:cs="Times New Roman"/>
          <w:b/>
          <w:bCs/>
          <w:lang w:eastAsia="pl-PL"/>
        </w:rPr>
        <w:br/>
      </w:r>
      <w:r w:rsidR="00A51469" w:rsidRPr="00A51469">
        <w:rPr>
          <w:rFonts w:eastAsia="Times New Roman" w:cs="Times New Roman"/>
          <w:b/>
          <w:bCs/>
          <w:lang w:eastAsia="pl-PL"/>
        </w:rPr>
        <w:t>oraz docelow</w:t>
      </w:r>
      <w:r w:rsidR="00BB0196">
        <w:rPr>
          <w:rFonts w:eastAsia="Times New Roman" w:cs="Times New Roman"/>
          <w:b/>
          <w:bCs/>
          <w:lang w:eastAsia="pl-PL"/>
        </w:rPr>
        <w:t>a</w:t>
      </w:r>
      <w:r w:rsidR="00A51469" w:rsidRPr="00A51469">
        <w:rPr>
          <w:rFonts w:eastAsia="Times New Roman" w:cs="Times New Roman"/>
          <w:b/>
          <w:bCs/>
          <w:lang w:eastAsia="pl-PL"/>
        </w:rPr>
        <w:t xml:space="preserve"> eliminacj</w:t>
      </w:r>
      <w:r w:rsidR="00BB0196">
        <w:rPr>
          <w:rFonts w:eastAsia="Times New Roman" w:cs="Times New Roman"/>
          <w:b/>
          <w:bCs/>
          <w:lang w:eastAsia="pl-PL"/>
        </w:rPr>
        <w:t>a</w:t>
      </w:r>
      <w:r w:rsidR="00A51469" w:rsidRPr="00A51469">
        <w:rPr>
          <w:rFonts w:eastAsia="Times New Roman" w:cs="Times New Roman"/>
          <w:b/>
          <w:bCs/>
          <w:lang w:eastAsia="pl-PL"/>
        </w:rPr>
        <w:t xml:space="preserve"> zjawiska do 2050</w:t>
      </w:r>
      <w:r w:rsidR="00A51469" w:rsidRPr="004664AA">
        <w:rPr>
          <w:rFonts w:eastAsia="Times New Roman" w:cs="Times New Roman"/>
          <w:lang w:eastAsia="pl-PL"/>
        </w:rPr>
        <w:t xml:space="preserve"> </w:t>
      </w:r>
      <w:r w:rsidR="007D581C">
        <w:rPr>
          <w:rFonts w:eastAsia="Times New Roman" w:cs="Times New Roman"/>
          <w:lang w:eastAsia="pl-PL"/>
        </w:rPr>
        <w:t>r.</w:t>
      </w:r>
      <w:r w:rsidR="00750D52">
        <w:rPr>
          <w:rStyle w:val="Odwoanieprzypisudolnego"/>
          <w:b/>
          <w:bCs/>
        </w:rPr>
        <w:footnoteReference w:id="135"/>
      </w:r>
    </w:p>
    <w:p w14:paraId="312BB27C" w14:textId="77777777" w:rsidR="00982E9E" w:rsidRDefault="00982E9E" w:rsidP="00982E9E">
      <w:pPr>
        <w:pStyle w:val="PaMs"/>
      </w:pPr>
      <w:r w:rsidRPr="00C46DAA">
        <w:t>POLITYKA</w:t>
      </w:r>
    </w:p>
    <w:p w14:paraId="646249C6" w14:textId="0C2F8C4A" w:rsidR="0063195D" w:rsidRDefault="00E231E0" w:rsidP="00E231E0">
      <w:r>
        <w:t>Prowadzenie</w:t>
      </w:r>
      <w:r w:rsidR="00845C90">
        <w:t xml:space="preserve"> </w:t>
      </w:r>
      <w:r>
        <w:t>kompleksowej polityki państwa nakierowanej na rozwiązanie problemu ubóstwa energetycznego</w:t>
      </w:r>
      <w:r w:rsidR="00A92EE0">
        <w:t xml:space="preserve"> wymaga działań różnych podmiotów publicznych – od </w:t>
      </w:r>
      <w:r w:rsidR="0063195D">
        <w:t>organów naczelnej administracji publicznej w zakresie określania kierunków redukcji zjawiska, po poziom jednostek samorządu terytorialnego i instytucji pomocy społecznej, które w naj</w:t>
      </w:r>
      <w:r w:rsidR="00963A1E">
        <w:t>większym</w:t>
      </w:r>
      <w:r w:rsidR="0063195D">
        <w:t xml:space="preserve"> stopniu są w stanie dotrzeć do osób dotkniętych tym problemem, jak również </w:t>
      </w:r>
      <w:r w:rsidR="00C81ACF">
        <w:t>ocenić adekwatność pomocy do potrzeb</w:t>
      </w:r>
      <w:r>
        <w:t xml:space="preserve">. </w:t>
      </w:r>
    </w:p>
    <w:p w14:paraId="5235165F" w14:textId="32E4607F" w:rsidR="00EE4FFB" w:rsidRDefault="0000259A" w:rsidP="007C310F">
      <w:r w:rsidRPr="00FB0E63">
        <w:t>Kluczową rolę w długotrwałej, a nie doraźnej</w:t>
      </w:r>
      <w:r>
        <w:rPr>
          <w:b/>
          <w:bCs/>
        </w:rPr>
        <w:t xml:space="preserve"> </w:t>
      </w:r>
      <w:r w:rsidRPr="00FB0E63">
        <w:t>redukcji ubóstwa będzie mieć</w:t>
      </w:r>
      <w:r>
        <w:rPr>
          <w:b/>
          <w:bCs/>
        </w:rPr>
        <w:t xml:space="preserve"> </w:t>
      </w:r>
      <w:r w:rsidR="00E231E0" w:rsidRPr="0000259A">
        <w:rPr>
          <w:b/>
        </w:rPr>
        <w:t>kontynuacja</w:t>
      </w:r>
      <w:r w:rsidR="00E231E0">
        <w:t xml:space="preserve"> </w:t>
      </w:r>
      <w:r w:rsidR="00E231E0" w:rsidRPr="0000259A">
        <w:rPr>
          <w:b/>
          <w:bCs/>
        </w:rPr>
        <w:t xml:space="preserve">i ewentualne dostosowanie programów finansowanych ze środków publicznych </w:t>
      </w:r>
      <w:r w:rsidR="00E231E0">
        <w:t xml:space="preserve">(w tym UE) </w:t>
      </w:r>
      <w:r w:rsidR="00BF1445" w:rsidRPr="0000259A">
        <w:rPr>
          <w:b/>
          <w:bCs/>
        </w:rPr>
        <w:t>do potrzeb odbiorców ubogich energetycznie</w:t>
      </w:r>
      <w:r w:rsidR="00BF1445">
        <w:rPr>
          <w:b/>
          <w:bCs/>
        </w:rPr>
        <w:t>,</w:t>
      </w:r>
      <w:r w:rsidR="00BF1445" w:rsidRPr="0000259A">
        <w:rPr>
          <w:b/>
          <w:bCs/>
        </w:rPr>
        <w:t xml:space="preserve"> </w:t>
      </w:r>
      <w:r w:rsidR="00E231E0">
        <w:t xml:space="preserve">w szczególności programów nastawionych na </w:t>
      </w:r>
      <w:r w:rsidR="00EB6EC3">
        <w:t xml:space="preserve">wymianę źródeł ciepła na bezemisyjne, czy </w:t>
      </w:r>
      <w:r w:rsidR="00E231E0">
        <w:t>finansowanie działań w zakresie modernizacji związanej z poprawą efektywności energetycznej</w:t>
      </w:r>
      <w:r w:rsidR="00452932">
        <w:t xml:space="preserve">, </w:t>
      </w:r>
      <w:r w:rsidR="00B15B03">
        <w:t>poprzedzonych audytem efektywności energetycznej</w:t>
      </w:r>
      <w:r w:rsidR="00E231E0">
        <w:t xml:space="preserve">. </w:t>
      </w:r>
      <w:r w:rsidR="0063195D">
        <w:t>Redukcja potrzeb energetycznych ma na celu</w:t>
      </w:r>
      <w:r w:rsidR="00C81ACF">
        <w:t xml:space="preserve"> ograniczenie kosztów związanych ze zużyciem energii, co będzie wpływać na obniżenie stopnia ubóstwa, nie tylko energetycznego. Trzeba podkreślić, że nie w każdym przypadku inwestycja termomodernizacyjna będzie zasadna, </w:t>
      </w:r>
      <w:r w:rsidR="0031489E">
        <w:t>w szczególności</w:t>
      </w:r>
      <w:r w:rsidR="00C81ACF">
        <w:t xml:space="preserve"> w domach</w:t>
      </w:r>
      <w:r w:rsidR="0031489E">
        <w:t xml:space="preserve"> w bardzo złym stanie technicznym i</w:t>
      </w:r>
      <w:r w:rsidR="00C07A2D">
        <w:t> </w:t>
      </w:r>
      <w:r w:rsidR="0031489E">
        <w:t>niskiej klasie energetycznej.</w:t>
      </w:r>
      <w:r w:rsidR="00C81ACF">
        <w:t xml:space="preserve"> </w:t>
      </w:r>
      <w:r w:rsidR="0031489E">
        <w:t>W</w:t>
      </w:r>
      <w:r w:rsidR="00C81ACF">
        <w:t xml:space="preserve">ówczas należy rozważyć </w:t>
      </w:r>
      <w:r w:rsidR="002C2501" w:rsidRPr="002C2501">
        <w:rPr>
          <w:b/>
          <w:bCs/>
        </w:rPr>
        <w:t>rozwój innych programów społecznych związanych z mieszkalnictwem</w:t>
      </w:r>
      <w:r w:rsidR="00F83FF5">
        <w:t xml:space="preserve">, </w:t>
      </w:r>
      <w:r w:rsidR="00B139D4">
        <w:t>taki</w:t>
      </w:r>
      <w:r w:rsidR="002C2501">
        <w:t>ch</w:t>
      </w:r>
      <w:r w:rsidR="00B139D4">
        <w:t xml:space="preserve"> jak np. </w:t>
      </w:r>
      <w:r w:rsidR="005A2D5D">
        <w:t xml:space="preserve">budownictwo socjalne, </w:t>
      </w:r>
      <w:r w:rsidR="009F2DF0">
        <w:t xml:space="preserve">wsparcie w </w:t>
      </w:r>
      <w:r w:rsidR="008824B7">
        <w:t>wynajmie</w:t>
      </w:r>
      <w:r w:rsidR="003F4603">
        <w:t xml:space="preserve"> innego lokalu</w:t>
      </w:r>
      <w:r w:rsidR="008824B7">
        <w:t xml:space="preserve">, </w:t>
      </w:r>
      <w:r w:rsidR="00D73B80">
        <w:t>wykorzystani</w:t>
      </w:r>
      <w:r w:rsidR="00353F84">
        <w:t>e</w:t>
      </w:r>
      <w:r w:rsidR="00D73B80">
        <w:t xml:space="preserve"> istniejącej tkanki </w:t>
      </w:r>
      <w:r w:rsidR="00AF3345">
        <w:t xml:space="preserve">mieszkaniowej </w:t>
      </w:r>
      <w:r w:rsidR="00353F84">
        <w:t>(</w:t>
      </w:r>
      <w:r w:rsidR="003F4603">
        <w:t>np. „</w:t>
      </w:r>
      <w:r w:rsidR="00353F84">
        <w:t>pustostany za remont</w:t>
      </w:r>
      <w:r w:rsidR="003F4603">
        <w:t>”</w:t>
      </w:r>
      <w:r w:rsidR="00353F84">
        <w:t xml:space="preserve">), </w:t>
      </w:r>
      <w:r w:rsidR="008218B1">
        <w:t>czy</w:t>
      </w:r>
      <w:r w:rsidR="00B139D4">
        <w:t xml:space="preserve"> </w:t>
      </w:r>
      <w:r w:rsidR="00974DAD">
        <w:t>tworzenie alternatywy w postaci wsparcia budowy nowych budynków senioralnych dostosowanych do potrzeb osób starszych</w:t>
      </w:r>
      <w:r w:rsidR="00C81ACF">
        <w:t xml:space="preserve">. </w:t>
      </w:r>
    </w:p>
    <w:p w14:paraId="3B9A2366" w14:textId="5BAB02DD" w:rsidR="00E231E0" w:rsidRDefault="00EE4FFB" w:rsidP="00E231E0">
      <w:r>
        <w:t xml:space="preserve">Wojewódzkie fundusze ochrony środowiska powinny </w:t>
      </w:r>
      <w:r w:rsidRPr="00066CCC">
        <w:rPr>
          <w:b/>
          <w:bCs/>
        </w:rPr>
        <w:t>zapewniać gminom wsparcie w odpowiadaniu na problemy transformacji</w:t>
      </w:r>
      <w:r>
        <w:t xml:space="preserve">. W konsekwencji na poziomie lokalnym powinny być </w:t>
      </w:r>
      <w:r w:rsidRPr="000D39D1">
        <w:t>prowadz</w:t>
      </w:r>
      <w:r>
        <w:t>one</w:t>
      </w:r>
      <w:r w:rsidRPr="000D39D1">
        <w:t xml:space="preserve"> punkt</w:t>
      </w:r>
      <w:r>
        <w:t>y</w:t>
      </w:r>
      <w:r w:rsidRPr="000D39D1">
        <w:t xml:space="preserve"> informacyjn</w:t>
      </w:r>
      <w:r>
        <w:t>e</w:t>
      </w:r>
      <w:r w:rsidRPr="000D39D1">
        <w:t xml:space="preserve"> i wspie</w:t>
      </w:r>
      <w:r>
        <w:t>rające</w:t>
      </w:r>
      <w:r w:rsidRPr="000D39D1">
        <w:t xml:space="preserve"> beneficjentów w składaniu wniosków</w:t>
      </w:r>
      <w:r>
        <w:t xml:space="preserve"> o dofinansowanie termomodernizacji i wymiany źródeł ciepła. </w:t>
      </w:r>
      <w:r w:rsidR="001334D8">
        <w:t xml:space="preserve">Istotnym elementem jest monitoring liczby gospodarstw domowych dotkniętych ubóstwem energetycznym </w:t>
      </w:r>
      <w:r w:rsidR="00501836">
        <w:t xml:space="preserve">(na poziomie lokalnym i krajowym), ale także </w:t>
      </w:r>
      <w:r w:rsidR="00501836" w:rsidRPr="00FB0E63">
        <w:rPr>
          <w:b/>
          <w:bCs/>
        </w:rPr>
        <w:t>identyfikowanie gospodarstw domowych najsilniej dotkniętych ubóstwem energetycznym</w:t>
      </w:r>
      <w:r w:rsidR="00501836">
        <w:t xml:space="preserve">. Zasadna może się okazać również </w:t>
      </w:r>
      <w:r w:rsidR="00501836" w:rsidRPr="00FB0E63">
        <w:rPr>
          <w:b/>
          <w:bCs/>
        </w:rPr>
        <w:lastRenderedPageBreak/>
        <w:t>proaktywna rola gmin</w:t>
      </w:r>
      <w:r w:rsidR="00501836">
        <w:t xml:space="preserve">, które będą zachęcać konkretne gospodarstwa domowe do skorzystania z programów wsparcia. </w:t>
      </w:r>
      <w:r w:rsidR="003C50B5">
        <w:t xml:space="preserve">Ważnym elementem będą też </w:t>
      </w:r>
      <w:r w:rsidR="003C50B5" w:rsidRPr="00E9136A">
        <w:t>programy edukacyjne dotyczące efektywnego zarządzania energią oraz doradztwo w zakresie wyboru najbardziej efektywnych rozwiązań.</w:t>
      </w:r>
      <w:r w:rsidR="00501836">
        <w:t xml:space="preserve"> </w:t>
      </w:r>
    </w:p>
    <w:p w14:paraId="5DB29931" w14:textId="5A3B2CF2" w:rsidR="00982E9E" w:rsidRPr="00C46DAA" w:rsidRDefault="00982E9E" w:rsidP="00982E9E">
      <w:pPr>
        <w:pStyle w:val="PaMs"/>
      </w:pPr>
      <w:r w:rsidRPr="00C46DAA">
        <w:t>DZIAŁANIA</w:t>
      </w:r>
    </w:p>
    <w:p w14:paraId="2B3EDB8E" w14:textId="396D4E85" w:rsidR="00C46294" w:rsidRPr="007D1651" w:rsidRDefault="00C46294" w:rsidP="000625AC">
      <w:pPr>
        <w:pStyle w:val="Akapitzlist"/>
        <w:numPr>
          <w:ilvl w:val="0"/>
          <w:numId w:val="123"/>
        </w:numPr>
        <w:rPr>
          <w:color w:val="000000" w:themeColor="text1"/>
        </w:rPr>
      </w:pPr>
      <w:r w:rsidRPr="007D1651">
        <w:rPr>
          <w:color w:val="000000" w:themeColor="text1"/>
        </w:rPr>
        <w:fldChar w:fldCharType="begin"/>
      </w:r>
      <w:r w:rsidRPr="007D1651">
        <w:rPr>
          <w:color w:val="000000" w:themeColor="text1"/>
        </w:rPr>
        <w:instrText xml:space="preserve"> REF _Ref195889101 \h </w:instrText>
      </w:r>
      <w:r w:rsidR="004F539F" w:rsidRPr="007D1651">
        <w:rPr>
          <w:color w:val="000000" w:themeColor="text1"/>
        </w:rPr>
        <w:instrText xml:space="preserve"> \* MERGEFORMAT </w:instrText>
      </w:r>
      <w:r w:rsidRPr="007D1651">
        <w:rPr>
          <w:color w:val="000000" w:themeColor="text1"/>
        </w:rPr>
      </w:r>
      <w:r w:rsidRPr="007D1651">
        <w:rPr>
          <w:color w:val="000000" w:themeColor="text1"/>
        </w:rPr>
        <w:fldChar w:fldCharType="separate"/>
      </w:r>
      <w:r w:rsidR="00871DD5" w:rsidRPr="00871DD5">
        <w:rPr>
          <w:rStyle w:val="Nagwek6Znak"/>
          <w:rFonts w:ascii="Lato" w:hAnsi="Lato"/>
          <w:b w:val="0"/>
          <w:bCs/>
        </w:rPr>
        <w:t xml:space="preserve">Działanie </w:t>
      </w:r>
      <w:r w:rsidR="00871DD5" w:rsidRPr="00871DD5">
        <w:rPr>
          <w:lang w:eastAsia="pl-PL"/>
        </w:rPr>
        <w:t xml:space="preserve">146. </w:t>
      </w:r>
      <w:r w:rsidR="00871DD5">
        <w:rPr>
          <w:lang w:eastAsia="pl-PL"/>
        </w:rPr>
        <w:t>Opracowanie i wdrażanie Planu Społeczno-Klimatycznego</w:t>
      </w:r>
      <w:r w:rsidRPr="007D1651">
        <w:rPr>
          <w:color w:val="000000" w:themeColor="text1"/>
        </w:rPr>
        <w:fldChar w:fldCharType="end"/>
      </w:r>
      <w:r w:rsidRPr="007D1651">
        <w:rPr>
          <w:color w:val="000000" w:themeColor="text1"/>
        </w:rPr>
        <w:t xml:space="preserve"> </w:t>
      </w:r>
    </w:p>
    <w:p w14:paraId="5B5A2099" w14:textId="30777ADE" w:rsidR="00C46294" w:rsidRPr="007D1651" w:rsidRDefault="00C46294" w:rsidP="000625AC">
      <w:pPr>
        <w:pStyle w:val="Akapitzlist"/>
        <w:numPr>
          <w:ilvl w:val="0"/>
          <w:numId w:val="123"/>
        </w:numPr>
        <w:rPr>
          <w:color w:val="000000" w:themeColor="text1"/>
        </w:rPr>
      </w:pPr>
      <w:r w:rsidRPr="007D1651">
        <w:rPr>
          <w:color w:val="000000" w:themeColor="text1"/>
        </w:rPr>
        <w:fldChar w:fldCharType="begin"/>
      </w:r>
      <w:r w:rsidRPr="007D1651">
        <w:rPr>
          <w:color w:val="000000" w:themeColor="text1"/>
        </w:rPr>
        <w:instrText xml:space="preserve"> REF _Ref195889117 \h </w:instrText>
      </w:r>
      <w:r w:rsidR="004F539F" w:rsidRPr="007D1651">
        <w:rPr>
          <w:color w:val="000000" w:themeColor="text1"/>
        </w:rPr>
        <w:instrText xml:space="preserve"> \* MERGEFORMAT </w:instrText>
      </w:r>
      <w:r w:rsidRPr="007D1651">
        <w:rPr>
          <w:color w:val="000000" w:themeColor="text1"/>
        </w:rPr>
      </w:r>
      <w:r w:rsidRPr="007D1651">
        <w:rPr>
          <w:color w:val="000000" w:themeColor="text1"/>
        </w:rPr>
        <w:fldChar w:fldCharType="separate"/>
      </w:r>
      <w:r w:rsidR="00871DD5" w:rsidRPr="00871DD5">
        <w:rPr>
          <w:rStyle w:val="Nagwek6Znak"/>
          <w:rFonts w:ascii="Lato" w:hAnsi="Lato"/>
          <w:b w:val="0"/>
          <w:bCs/>
        </w:rPr>
        <w:t xml:space="preserve">Działanie </w:t>
      </w:r>
      <w:r w:rsidR="00871DD5" w:rsidRPr="00871DD5">
        <w:rPr>
          <w:lang w:eastAsia="pl-PL"/>
        </w:rPr>
        <w:t xml:space="preserve">147. </w:t>
      </w:r>
      <w:r w:rsidR="00871DD5" w:rsidRPr="00871DD5">
        <w:rPr>
          <w:color w:val="000000" w:themeColor="text1"/>
          <w:lang w:eastAsia="pl-PL"/>
        </w:rPr>
        <w:t>Redukowanie ubóstwa energetycznego</w:t>
      </w:r>
      <w:r w:rsidR="00871DD5" w:rsidRPr="004D6F82">
        <w:rPr>
          <w:lang w:eastAsia="pl-PL"/>
        </w:rPr>
        <w:t xml:space="preserve"> oraz ochrona odbiorcy wrażliwego</w:t>
      </w:r>
      <w:r w:rsidRPr="007D1651">
        <w:rPr>
          <w:color w:val="000000" w:themeColor="text1"/>
        </w:rPr>
        <w:fldChar w:fldCharType="end"/>
      </w:r>
    </w:p>
    <w:p w14:paraId="4A47D58D" w14:textId="7F47F8FC" w:rsidR="00C46294" w:rsidRPr="007D1651" w:rsidRDefault="00C46294" w:rsidP="000625AC">
      <w:pPr>
        <w:pStyle w:val="Akapitzlist"/>
        <w:numPr>
          <w:ilvl w:val="0"/>
          <w:numId w:val="123"/>
        </w:numPr>
        <w:rPr>
          <w:color w:val="000000" w:themeColor="text1"/>
        </w:rPr>
      </w:pPr>
      <w:r w:rsidRPr="007D1651">
        <w:rPr>
          <w:color w:val="000000" w:themeColor="text1"/>
        </w:rPr>
        <w:fldChar w:fldCharType="begin"/>
      </w:r>
      <w:r w:rsidRPr="007D1651">
        <w:rPr>
          <w:color w:val="000000" w:themeColor="text1"/>
        </w:rPr>
        <w:instrText xml:space="preserve"> REF _Ref195889129 \h </w:instrText>
      </w:r>
      <w:r w:rsidR="004F539F" w:rsidRPr="007D1651">
        <w:rPr>
          <w:color w:val="000000" w:themeColor="text1"/>
        </w:rPr>
        <w:instrText xml:space="preserve"> \* MERGEFORMAT </w:instrText>
      </w:r>
      <w:r w:rsidRPr="007D1651">
        <w:rPr>
          <w:color w:val="000000" w:themeColor="text1"/>
        </w:rPr>
      </w:r>
      <w:r w:rsidRPr="007D1651">
        <w:rPr>
          <w:color w:val="000000" w:themeColor="text1"/>
        </w:rPr>
        <w:fldChar w:fldCharType="separate"/>
      </w:r>
      <w:r w:rsidR="00871DD5" w:rsidRPr="00871DD5">
        <w:rPr>
          <w:rStyle w:val="Nagwek6Znak"/>
          <w:rFonts w:ascii="Lato" w:hAnsi="Lato"/>
          <w:b w:val="0"/>
          <w:bCs/>
        </w:rPr>
        <w:t xml:space="preserve">Działanie </w:t>
      </w:r>
      <w:r w:rsidR="00871DD5" w:rsidRPr="00871DD5">
        <w:rPr>
          <w:lang w:eastAsia="pl-PL"/>
        </w:rPr>
        <w:t xml:space="preserve">148. </w:t>
      </w:r>
      <w:r w:rsidR="00871DD5" w:rsidRPr="00871DD5">
        <w:rPr>
          <w:color w:val="000000" w:themeColor="text1"/>
          <w:lang w:eastAsia="pl-PL"/>
        </w:rPr>
        <w:t>Badanie statystyczne dotyczące</w:t>
      </w:r>
      <w:r w:rsidR="00871DD5" w:rsidRPr="00E56881">
        <w:rPr>
          <w:lang w:eastAsia="pl-PL"/>
        </w:rPr>
        <w:t xml:space="preserve"> zużycia paliw i energii w gospodarstwach domowych</w:t>
      </w:r>
      <w:r w:rsidRPr="007D1651">
        <w:rPr>
          <w:color w:val="000000" w:themeColor="text1"/>
        </w:rPr>
        <w:fldChar w:fldCharType="end"/>
      </w:r>
    </w:p>
    <w:p w14:paraId="24A24F3B" w14:textId="7425A3C8" w:rsidR="00CE247B" w:rsidRPr="00C46294" w:rsidRDefault="00C46294" w:rsidP="000625AC">
      <w:pPr>
        <w:pStyle w:val="Akapitzlist"/>
        <w:numPr>
          <w:ilvl w:val="0"/>
          <w:numId w:val="123"/>
        </w:numPr>
        <w:rPr>
          <w:i/>
        </w:rPr>
      </w:pPr>
      <w:r w:rsidRPr="004F539F">
        <w:rPr>
          <w:i/>
          <w:iCs/>
          <w:color w:val="000000" w:themeColor="text1"/>
        </w:rPr>
        <w:t xml:space="preserve">Wszystkie dziania wskazane w </w:t>
      </w:r>
      <w:r w:rsidRPr="004F539F">
        <w:rPr>
          <w:i/>
          <w:iCs/>
          <w:color w:val="000000" w:themeColor="text1"/>
        </w:rPr>
        <w:fldChar w:fldCharType="begin"/>
      </w:r>
      <w:r w:rsidRPr="004F539F">
        <w:rPr>
          <w:i/>
          <w:iCs/>
          <w:color w:val="000000" w:themeColor="text1"/>
        </w:rPr>
        <w:instrText xml:space="preserve"> REF _Ref195889271 \n \h  \* MERGEFORMAT </w:instrText>
      </w:r>
      <w:r w:rsidRPr="004F539F">
        <w:rPr>
          <w:i/>
          <w:iCs/>
          <w:color w:val="000000" w:themeColor="text1"/>
        </w:rPr>
      </w:r>
      <w:r w:rsidRPr="004F539F">
        <w:rPr>
          <w:i/>
          <w:iCs/>
          <w:color w:val="000000" w:themeColor="text1"/>
        </w:rPr>
        <w:fldChar w:fldCharType="separate"/>
      </w:r>
      <w:r w:rsidR="00871DD5">
        <w:rPr>
          <w:i/>
          <w:iCs/>
          <w:color w:val="000000" w:themeColor="text1"/>
        </w:rPr>
        <w:t>Cel 2.2.1</w:t>
      </w:r>
      <w:r w:rsidRPr="004F539F">
        <w:rPr>
          <w:i/>
          <w:iCs/>
          <w:color w:val="000000" w:themeColor="text1"/>
        </w:rPr>
        <w:fldChar w:fldCharType="end"/>
      </w:r>
      <w:r w:rsidRPr="004F539F">
        <w:rPr>
          <w:i/>
          <w:iCs/>
          <w:color w:val="000000" w:themeColor="text1"/>
        </w:rPr>
        <w:t xml:space="preserve">. </w:t>
      </w:r>
      <w:r w:rsidRPr="004F539F">
        <w:rPr>
          <w:i/>
          <w:iCs/>
          <w:color w:val="000000" w:themeColor="text1"/>
        </w:rPr>
        <w:fldChar w:fldCharType="begin"/>
      </w:r>
      <w:r w:rsidRPr="004F539F">
        <w:rPr>
          <w:i/>
          <w:iCs/>
          <w:color w:val="000000" w:themeColor="text1"/>
        </w:rPr>
        <w:instrText xml:space="preserve"> REF _Ref195889276 \h  \* MERGEFORMAT </w:instrText>
      </w:r>
      <w:r w:rsidRPr="004F539F">
        <w:rPr>
          <w:i/>
          <w:iCs/>
          <w:color w:val="000000" w:themeColor="text1"/>
        </w:rPr>
      </w:r>
      <w:r w:rsidRPr="004F539F">
        <w:rPr>
          <w:i/>
          <w:iCs/>
          <w:color w:val="000000" w:themeColor="text1"/>
        </w:rPr>
        <w:fldChar w:fldCharType="separate"/>
      </w:r>
      <w:r w:rsidR="00871DD5" w:rsidRPr="00871DD5">
        <w:rPr>
          <w:i/>
          <w:iCs/>
          <w:color w:val="000000" w:themeColor="text1"/>
        </w:rPr>
        <w:t>Redukcja potrzeb energetycznych istniejących budynków</w:t>
      </w:r>
      <w:r w:rsidRPr="004F539F">
        <w:rPr>
          <w:i/>
          <w:iCs/>
          <w:color w:val="000000" w:themeColor="text1"/>
        </w:rPr>
        <w:fldChar w:fldCharType="end"/>
      </w:r>
      <w:r w:rsidR="00F80887">
        <w:rPr>
          <w:i/>
          <w:iCs/>
        </w:rPr>
        <w:t>.</w:t>
      </w:r>
    </w:p>
    <w:p w14:paraId="1A25E8C4" w14:textId="77777777" w:rsidR="00994922" w:rsidRDefault="00994922" w:rsidP="00994922">
      <w:pPr>
        <w:pStyle w:val="Nagwek4"/>
        <w:rPr>
          <w:color w:val="FFC000" w:themeColor="accent4"/>
        </w:rPr>
      </w:pPr>
      <w:bookmarkStart w:id="834" w:name="_Toc195897391"/>
      <w:bookmarkStart w:id="835" w:name="_Toc205203224"/>
      <w:bookmarkStart w:id="836" w:name="_Toc159598349"/>
      <w:r>
        <w:rPr>
          <w:color w:val="FFC000" w:themeColor="accent4"/>
        </w:rPr>
        <w:t>Redukcja u</w:t>
      </w:r>
      <w:r w:rsidRPr="00DC4FF7">
        <w:rPr>
          <w:color w:val="FFC000" w:themeColor="accent4"/>
        </w:rPr>
        <w:t>bóstw</w:t>
      </w:r>
      <w:r>
        <w:rPr>
          <w:color w:val="FFC000" w:themeColor="accent4"/>
        </w:rPr>
        <w:t>a</w:t>
      </w:r>
      <w:r w:rsidRPr="00DC4FF7">
        <w:rPr>
          <w:color w:val="FFC000" w:themeColor="accent4"/>
        </w:rPr>
        <w:t xml:space="preserve"> transportowe</w:t>
      </w:r>
      <w:r>
        <w:rPr>
          <w:color w:val="FFC000" w:themeColor="accent4"/>
        </w:rPr>
        <w:t>go</w:t>
      </w:r>
      <w:bookmarkEnd w:id="834"/>
      <w:bookmarkEnd w:id="835"/>
    </w:p>
    <w:p w14:paraId="137496A5" w14:textId="1F236D0F" w:rsidR="00246053" w:rsidRDefault="00F41F38" w:rsidP="00B96922">
      <w:pPr>
        <w:spacing w:after="80"/>
      </w:pPr>
      <w:r>
        <w:t xml:space="preserve">Zjawisko </w:t>
      </w:r>
      <w:r w:rsidRPr="00DB2E6F">
        <w:rPr>
          <w:i/>
          <w:iCs/>
        </w:rPr>
        <w:t>u</w:t>
      </w:r>
      <w:r w:rsidR="00246053" w:rsidRPr="00DB2E6F">
        <w:rPr>
          <w:i/>
          <w:iCs/>
        </w:rPr>
        <w:t>bóstwa transportowego</w:t>
      </w:r>
      <w:r w:rsidR="00246053">
        <w:t xml:space="preserve"> </w:t>
      </w:r>
      <w:r w:rsidR="00994922" w:rsidRPr="00F47C13">
        <w:t>oznacza trudności, jakie napotykają osoby i gospodarstwa domowe w</w:t>
      </w:r>
      <w:r w:rsidR="00B96922">
        <w:t> </w:t>
      </w:r>
      <w:r w:rsidR="00994922" w:rsidRPr="00F47C13">
        <w:t>dostępie do prywatnego lub publicznego transportu, co skutkuje ograniczeniami w korzystaniu z</w:t>
      </w:r>
      <w:r w:rsidR="00B96922">
        <w:t> </w:t>
      </w:r>
      <w:r w:rsidR="00994922" w:rsidRPr="00F47C13">
        <w:t xml:space="preserve">podstawowych usług i uczestnictwie w życiu społeczno-gospodarczym. </w:t>
      </w:r>
      <w:r w:rsidR="00D22E27">
        <w:t>D</w:t>
      </w:r>
      <w:r w:rsidR="00C20F87">
        <w:t xml:space="preserve">o głównych czynników wpływających na </w:t>
      </w:r>
      <w:r w:rsidR="00D22E27">
        <w:t>zjawisko</w:t>
      </w:r>
      <w:r w:rsidR="00C20F87">
        <w:t xml:space="preserve"> należy zaliczyć przede</w:t>
      </w:r>
      <w:r w:rsidR="00495F4A">
        <w:t xml:space="preserve"> wszystkim</w:t>
      </w:r>
      <w:r w:rsidR="00246053">
        <w:t>:</w:t>
      </w:r>
    </w:p>
    <w:p w14:paraId="10E20027" w14:textId="41CEC29C" w:rsidR="00D76659" w:rsidRDefault="002D6C0C" w:rsidP="000625AC">
      <w:pPr>
        <w:pStyle w:val="Akapitzlist"/>
        <w:numPr>
          <w:ilvl w:val="0"/>
          <w:numId w:val="51"/>
        </w:numPr>
        <w:ind w:left="426" w:hanging="356"/>
      </w:pPr>
      <w:r>
        <w:t>ograniczony dostęp do transportu publicznego lub prywatnego</w:t>
      </w:r>
      <w:r w:rsidR="00712245">
        <w:t xml:space="preserve">, </w:t>
      </w:r>
    </w:p>
    <w:p w14:paraId="492C8F51" w14:textId="4379FE51" w:rsidR="00D76659" w:rsidRDefault="00D76659" w:rsidP="000625AC">
      <w:pPr>
        <w:pStyle w:val="Akapitzlist"/>
        <w:numPr>
          <w:ilvl w:val="0"/>
          <w:numId w:val="51"/>
        </w:numPr>
        <w:ind w:left="426" w:hanging="356"/>
      </w:pPr>
      <w:r>
        <w:t xml:space="preserve">trudności w pokryciu kosztów transportu, </w:t>
      </w:r>
    </w:p>
    <w:p w14:paraId="317C4711" w14:textId="3DDB59CF" w:rsidR="00D76659" w:rsidRDefault="00D76659" w:rsidP="000625AC">
      <w:pPr>
        <w:pStyle w:val="Akapitzlist"/>
        <w:numPr>
          <w:ilvl w:val="0"/>
          <w:numId w:val="51"/>
        </w:numPr>
        <w:ind w:left="426" w:hanging="356"/>
      </w:pPr>
      <w:r>
        <w:t>nadmierny czas podróży w ramach dostępnych połączeń,</w:t>
      </w:r>
    </w:p>
    <w:p w14:paraId="656FD8D8" w14:textId="31ECCC5C" w:rsidR="00CE11B2" w:rsidRDefault="00CE11B2" w:rsidP="000625AC">
      <w:pPr>
        <w:pStyle w:val="Akapitzlist"/>
        <w:numPr>
          <w:ilvl w:val="0"/>
          <w:numId w:val="51"/>
        </w:numPr>
        <w:ind w:left="426" w:hanging="356"/>
      </w:pPr>
      <w:r>
        <w:t xml:space="preserve">brak poczucia bezpieczeństwa lub komfortu w trakcie korzystania z transportu, </w:t>
      </w:r>
    </w:p>
    <w:p w14:paraId="09522220" w14:textId="094F57FE" w:rsidR="00246053" w:rsidRDefault="00D76659" w:rsidP="000625AC">
      <w:pPr>
        <w:pStyle w:val="Akapitzlist"/>
        <w:numPr>
          <w:ilvl w:val="0"/>
          <w:numId w:val="51"/>
        </w:numPr>
        <w:ind w:left="426" w:hanging="356"/>
      </w:pPr>
      <w:r>
        <w:t>„przepaść cyfrową” przejawiającą się m.in. nierównością w dostępie do technologii informacyjno-komunikacyjnej oraz umiejętności korzystania z tych technologii</w:t>
      </w:r>
      <w:r w:rsidR="000061E0">
        <w:t xml:space="preserve"> w celu </w:t>
      </w:r>
      <w:r w:rsidR="000048E1">
        <w:t>zakup</w:t>
      </w:r>
      <w:r w:rsidR="00376700">
        <w:t>u</w:t>
      </w:r>
      <w:r w:rsidR="000048E1">
        <w:t xml:space="preserve"> biletów, </w:t>
      </w:r>
      <w:r w:rsidR="00580CBB">
        <w:t>pozyskania wiedzy o</w:t>
      </w:r>
      <w:r w:rsidR="000048E1">
        <w:t xml:space="preserve"> istniejących </w:t>
      </w:r>
      <w:r w:rsidR="00580CBB">
        <w:t xml:space="preserve">połączeniach </w:t>
      </w:r>
      <w:r w:rsidR="000048E1">
        <w:t xml:space="preserve">czy </w:t>
      </w:r>
      <w:r w:rsidR="00580CBB">
        <w:t>rozkładzie jazdy</w:t>
      </w:r>
      <w:r>
        <w:t>.</w:t>
      </w:r>
    </w:p>
    <w:p w14:paraId="3B5F6791" w14:textId="2E10A2A5" w:rsidR="00994922" w:rsidRDefault="00994922" w:rsidP="00994922">
      <w:r w:rsidRPr="00F47C13">
        <w:t>Problem jest szczególnie widoczny w kontekście przestrzennym, gdzie duże zróżnicowanie w rozwoju infrastruktury transportowej między miastami a</w:t>
      </w:r>
      <w:r w:rsidR="00E0697B">
        <w:t> </w:t>
      </w:r>
      <w:r w:rsidRPr="00F47C13">
        <w:t>obszarami wiejskimi oraz różnice regionalne wpływają na stopień wykluczenia transportowego.</w:t>
      </w:r>
    </w:p>
    <w:p w14:paraId="561500A3" w14:textId="43EF6917" w:rsidR="00994922" w:rsidRDefault="00994922" w:rsidP="00994922">
      <w:r w:rsidRPr="00F47C13">
        <w:t>W Polsce ubóstwo transportowe jest ściśle powiązane z nierównomiernym rozwojem infrastruktury transportowej</w:t>
      </w:r>
      <w:r w:rsidR="00682848">
        <w:t xml:space="preserve"> i </w:t>
      </w:r>
      <w:r w:rsidR="00F95E5A" w:rsidRPr="00F95E5A">
        <w:t>przystępnych usług przewozowych</w:t>
      </w:r>
      <w:r w:rsidRPr="00F47C13">
        <w:t xml:space="preserve">. W dużych miastach, zwłaszcza aglomeracjach, problem ten jest mniej dotkliwy dzięki rozwiniętej sieci transportu publicznego. </w:t>
      </w:r>
      <w:r w:rsidR="003965E8">
        <w:t>W</w:t>
      </w:r>
      <w:r w:rsidRPr="00F47C13">
        <w:t xml:space="preserve"> mniejszych miastach oraz na obszarach wiejskich</w:t>
      </w:r>
      <w:r w:rsidR="00D66A71">
        <w:t xml:space="preserve"> </w:t>
      </w:r>
      <w:r w:rsidR="00D66A71" w:rsidRPr="00D66A71">
        <w:t>czy też wewnętrznych peryferiach województw</w:t>
      </w:r>
      <w:r w:rsidRPr="00F47C13">
        <w:t>, gdzie dostęp do komunikacji zbiorowej bywa ograniczony lub wręcz nieistniejący, problem ubóstwa transportowego jest znacznie bardziej widoczny.</w:t>
      </w:r>
    </w:p>
    <w:p w14:paraId="7EC65AAE" w14:textId="7E56B024" w:rsidR="00994922" w:rsidRDefault="00994922" w:rsidP="00994922">
      <w:r w:rsidRPr="00F47C13">
        <w:t>Na terenach wiejskich, które stanowią znaczną część terytorium Polski, wykluczenie transportowe jest często konsekwencją likwidacji połączeń autobusowych, zamykania stacji kolejowych, czy też braku alternatywnych środków transportu. W regionach o niskiej gęstości zaludnienia, mieszkańcy muszą pokonywać znaczne odległości, aby dotrzeć do pracy, szkół, placówek zdrowotnych czy urzędów, co</w:t>
      </w:r>
      <w:r w:rsidR="00C07A2D">
        <w:t> </w:t>
      </w:r>
      <w:r w:rsidRPr="00F47C13">
        <w:t>zwiększa ich zależność od prywatnych samochodów. Dla wielu osób koszty utrzymania własnego pojazdu są jednak zbyt wysokie, co prowadzi do marginalizacji i wykluczenia społecznego.</w:t>
      </w:r>
    </w:p>
    <w:p w14:paraId="38AAE51F" w14:textId="359D6FD1" w:rsidR="00A61680" w:rsidRDefault="00A61680" w:rsidP="00994922">
      <w:r>
        <w:t>Podobnie jak spalanie paliw kopalnych w gospodarstwach domowych, również paliwa kopalne wykorzystywane na cele transportowe zostaną obarczone kosztami system EU ETS 2, co</w:t>
      </w:r>
      <w:r w:rsidR="00C07A2D">
        <w:t> </w:t>
      </w:r>
      <w:r w:rsidR="00AB4BE3">
        <w:t xml:space="preserve">może </w:t>
      </w:r>
      <w:r>
        <w:t xml:space="preserve">wpływać </w:t>
      </w:r>
      <w:r w:rsidR="00AB4BE3">
        <w:t xml:space="preserve">na zwiększenie </w:t>
      </w:r>
      <w:r>
        <w:t>poziom</w:t>
      </w:r>
      <w:r w:rsidR="00AB4BE3">
        <w:t>u</w:t>
      </w:r>
      <w:r>
        <w:t xml:space="preserve"> ubóstwa transportowego. Pomimo wielu korzyści negatywne skutki dla skali ubóstwa mogą mieć również regulacje związane z zakazem korzystania w określonych strefach z</w:t>
      </w:r>
      <w:r w:rsidR="00AB4BE3">
        <w:t> </w:t>
      </w:r>
      <w:r>
        <w:t>wysokoemisyjnych pojazdów spalinowych. Dlatego niezwykle ważne jest zapewnienie alternatyw zapobiegającym wykluczeniu komunikacyjnemu.</w:t>
      </w:r>
    </w:p>
    <w:p w14:paraId="1A91D3E1" w14:textId="1D50A8D0" w:rsidR="00994922" w:rsidRPr="00552E3E" w:rsidRDefault="00C36C26" w:rsidP="00994922">
      <w:pPr>
        <w:pBdr>
          <w:top w:val="single" w:sz="24" w:space="2" w:color="D9D9D9" w:themeColor="background1" w:themeShade="D9"/>
          <w:left w:val="single" w:sz="24" w:space="4" w:color="D9D9D9" w:themeColor="background1" w:themeShade="D9"/>
          <w:bottom w:val="single" w:sz="24" w:space="2" w:color="D9D9D9" w:themeColor="background1" w:themeShade="D9"/>
          <w:right w:val="single" w:sz="24" w:space="4" w:color="D9D9D9" w:themeColor="background1" w:themeShade="D9"/>
        </w:pBdr>
        <w:shd w:val="clear" w:color="auto" w:fill="D9D9D9" w:themeFill="background1" w:themeFillShade="D9"/>
        <w:spacing w:before="160" w:after="360"/>
        <w:jc w:val="center"/>
        <w:rPr>
          <w:rFonts w:cs="Calibri"/>
          <w:b/>
          <w:bCs/>
          <w:sz w:val="24"/>
        </w:rPr>
      </w:pPr>
      <w:bookmarkStart w:id="837" w:name="_Hlk174525581"/>
      <w:r w:rsidRPr="00C235C2">
        <w:rPr>
          <w:rFonts w:cs="Calibri"/>
          <w:b/>
          <w:bCs/>
          <w:sz w:val="24"/>
        </w:rPr>
        <w:t>Celem jest zapewnieni</w:t>
      </w:r>
      <w:r w:rsidR="00566027">
        <w:rPr>
          <w:rFonts w:cs="Calibri"/>
          <w:b/>
          <w:bCs/>
          <w:sz w:val="24"/>
        </w:rPr>
        <w:t>e</w:t>
      </w:r>
      <w:r w:rsidRPr="00C235C2">
        <w:rPr>
          <w:rFonts w:cs="Calibri"/>
          <w:b/>
          <w:bCs/>
          <w:sz w:val="24"/>
        </w:rPr>
        <w:t xml:space="preserve"> dostępności komunikacyjnej dla</w:t>
      </w:r>
      <w:r w:rsidR="0026243D" w:rsidRPr="00C235C2">
        <w:rPr>
          <w:rFonts w:cs="Calibri"/>
          <w:b/>
          <w:bCs/>
          <w:sz w:val="24"/>
        </w:rPr>
        <w:t> </w:t>
      </w:r>
      <w:r w:rsidRPr="00C235C2">
        <w:rPr>
          <w:rFonts w:cs="Calibri"/>
          <w:b/>
          <w:bCs/>
          <w:sz w:val="24"/>
        </w:rPr>
        <w:t>mieszkańców</w:t>
      </w:r>
      <w:r w:rsidR="0026243D" w:rsidRPr="00C235C2">
        <w:rPr>
          <w:rFonts w:cs="Calibri"/>
          <w:b/>
          <w:bCs/>
          <w:sz w:val="24"/>
        </w:rPr>
        <w:t> </w:t>
      </w:r>
      <w:r w:rsidRPr="00C235C2">
        <w:rPr>
          <w:rFonts w:cs="Calibri"/>
          <w:b/>
          <w:bCs/>
          <w:sz w:val="24"/>
        </w:rPr>
        <w:t>Polski</w:t>
      </w:r>
      <w:r w:rsidR="0026243D">
        <w:rPr>
          <w:rFonts w:cs="Calibri"/>
          <w:sz w:val="24"/>
        </w:rPr>
        <w:t>.</w:t>
      </w:r>
    </w:p>
    <w:bookmarkEnd w:id="837"/>
    <w:p w14:paraId="677A0C38" w14:textId="77777777" w:rsidR="00994922" w:rsidRDefault="00994922" w:rsidP="00994922">
      <w:pPr>
        <w:pStyle w:val="PaMs"/>
      </w:pPr>
      <w:r w:rsidRPr="00C46DAA">
        <w:lastRenderedPageBreak/>
        <w:t>POLITYKA</w:t>
      </w:r>
    </w:p>
    <w:p w14:paraId="321D8837" w14:textId="3A7C6D13" w:rsidR="0034716C" w:rsidRDefault="00994922" w:rsidP="00994922">
      <w:r>
        <w:t>Polityka w zakresie redukcji ubóstwa transportowego będzie koncentrować się na kilku kluczowych obszarach</w:t>
      </w:r>
      <w:r w:rsidR="00F85A5F">
        <w:t>. D</w:t>
      </w:r>
      <w:r w:rsidR="00B5603A">
        <w:t xml:space="preserve">ziałania </w:t>
      </w:r>
      <w:r w:rsidR="00576C90" w:rsidRPr="00576C90">
        <w:t xml:space="preserve">będą </w:t>
      </w:r>
      <w:r w:rsidR="00B5603A">
        <w:t xml:space="preserve">opierać się o </w:t>
      </w:r>
      <w:r w:rsidR="00576C90" w:rsidRPr="00576C90">
        <w:t>rozwiązania, z którymi będzie można dotrzeć do możliwie jak najszerszej grupy użytkowników transportu</w:t>
      </w:r>
      <w:r w:rsidR="00A61680">
        <w:t>.</w:t>
      </w:r>
      <w:r w:rsidR="00576C90" w:rsidRPr="00576C90">
        <w:t xml:space="preserve"> </w:t>
      </w:r>
    </w:p>
    <w:p w14:paraId="5033A3FF" w14:textId="529F6B93" w:rsidR="00994922" w:rsidRDefault="00994922" w:rsidP="00994922">
      <w:r>
        <w:t xml:space="preserve">Przede wszystkim, konieczne będzie reaktywowanie połączeń autobusowych w ramach programów takich jak </w:t>
      </w:r>
      <w:r w:rsidRPr="00C36C26">
        <w:rPr>
          <w:i/>
          <w:iCs/>
        </w:rPr>
        <w:t>Fundusz rozwoju przewozów autobusowych o charakterze użyteczności publicznej</w:t>
      </w:r>
      <w:r>
        <w:t xml:space="preserve">, który ma na celu przywracanie zlikwidowanych linii autobusowych, szczególnie w mniejszych miejscowościach i na terenach wiejskich. </w:t>
      </w:r>
      <w:r w:rsidR="001F6289" w:rsidRPr="001F6289">
        <w:t>Linie te docelowo obsługiwane będą przez nowoczesny tabor autobusowy.</w:t>
      </w:r>
      <w:r w:rsidR="001F6289">
        <w:t xml:space="preserve"> </w:t>
      </w:r>
      <w:r>
        <w:t>Tego typu inicjatywy będą zwiększać dostępność transportu publicznego, zwłaszcza dla osób starszych, młodzieży i</w:t>
      </w:r>
      <w:r w:rsidR="00F32C45">
        <w:t> </w:t>
      </w:r>
      <w:r>
        <w:t xml:space="preserve">osób o niskich dochodach. </w:t>
      </w:r>
    </w:p>
    <w:p w14:paraId="68275DCD" w14:textId="357D67BB" w:rsidR="00994922" w:rsidRDefault="00994922" w:rsidP="00994922">
      <w:r>
        <w:t>Równie istotne będą inwestycje w modernizację i rozbudowę sieci kolejowej</w:t>
      </w:r>
      <w:r w:rsidR="001F6289">
        <w:t xml:space="preserve"> (linii, połączeń i taboru)</w:t>
      </w:r>
      <w:r>
        <w:t xml:space="preserve">, rozwój dróg lokalnych oraz budowy infrastruktury dla transportu publicznego w miastach. Kluczowe znaczenie w tym kontekście ma realizacja programów takich jak </w:t>
      </w:r>
      <w:r w:rsidRPr="00D01B69">
        <w:rPr>
          <w:i/>
          <w:iCs/>
        </w:rPr>
        <w:t>Kolej Plus</w:t>
      </w:r>
      <w:r>
        <w:t xml:space="preserve">, które dążą do przywrócenia połączeń kolejowych do mniejszych miast. </w:t>
      </w:r>
      <w:r w:rsidR="001E5734" w:rsidRPr="001E5734">
        <w:t xml:space="preserve">Równie istotne jest wsparcie modernizacji taboru pasażerskiego. </w:t>
      </w:r>
      <w:r>
        <w:t xml:space="preserve">Działania te nie tylko poprawiają dostępność transportu, ale również przeciwdziałają wykluczeniu transportowemu. </w:t>
      </w:r>
    </w:p>
    <w:p w14:paraId="49467E74" w14:textId="2B37FA30" w:rsidR="00994922" w:rsidRDefault="00994922" w:rsidP="00994922">
      <w:r>
        <w:t>Polityka transportowa będzie również obejmować różne formy wsparcia finansowego, takie jak dotacje i</w:t>
      </w:r>
      <w:r w:rsidR="00C07A2D">
        <w:t> </w:t>
      </w:r>
      <w:r>
        <w:t>ulgi w transporcie publicznym. Ulgi dla uczniów, studentów, osób starszych oraz osób niepełnosprawnych będą istotnym elementem zwiększającym dostępność transportu publicznego dla grup najbardziej narażonych na wykluczenie transportowe.</w:t>
      </w:r>
    </w:p>
    <w:p w14:paraId="306E0115" w14:textId="69A00802" w:rsidR="00994922" w:rsidRDefault="00994922" w:rsidP="00994922">
      <w:r>
        <w:t>Ważną rolę w polityce transportowej odegrają również działania na rzecz promocji alternatywnych form transportu, takich jak rozwój infrastruktury dla rowerów</w:t>
      </w:r>
      <w:r w:rsidR="003E2DE5">
        <w:t xml:space="preserve"> </w:t>
      </w:r>
      <w:r w:rsidR="004927ED">
        <w:t>i pieszych oraz hulajnóg elektrycznych, a także</w:t>
      </w:r>
      <w:r>
        <w:t xml:space="preserve"> car</w:t>
      </w:r>
      <w:r w:rsidR="00265497">
        <w:noBreakHyphen/>
      </w:r>
      <w:r>
        <w:t>sharingu. Te inicjatywy nie tylko pomagają w walce z wykluczeniem transportowym, ale również zmniejszają zależność od samochodów prywatnych, zwłaszcza w obszarach o dużym natężeniu ruchu</w:t>
      </w:r>
      <w:r w:rsidR="000E5834">
        <w:t xml:space="preserve"> oraz mogą być uzupełnieniem transportu publicznego, stanowiącego podstawę zrównoważonej </w:t>
      </w:r>
      <w:r w:rsidR="00C8184D">
        <w:t>mobilności.</w:t>
      </w:r>
    </w:p>
    <w:p w14:paraId="072C4D69" w14:textId="527136C3" w:rsidR="00994922" w:rsidRDefault="002076B4" w:rsidP="00994922">
      <w:r w:rsidRPr="002076B4">
        <w:t>Ograniczenie pogłębiania ubóstwa transportowego jest niezwykle ważne zarówno po stronie popytowej jak i podażowej występowania zjawiska</w:t>
      </w:r>
      <w:r w:rsidR="00527101">
        <w:t xml:space="preserve">. </w:t>
      </w:r>
      <w:r w:rsidR="00994922">
        <w:t>W przypadku rozwoju miast i wsi polityka będzie kłaść nacisk na integrację planowania przestrzennego z planowaniem transportu</w:t>
      </w:r>
      <w:r w:rsidR="00FE0976">
        <w:t xml:space="preserve"> publicznego</w:t>
      </w:r>
      <w:r w:rsidR="00994922">
        <w:t>. Celem takiej polityki będzie minimalizowanie dystansów między miejscem zamieszkania a miejscem pracy oraz dostępem do usług, co w efekcie prowadzi do zmniejszenia zależności od transportu prywatnego.</w:t>
      </w:r>
      <w:r w:rsidR="00B265E6">
        <w:t xml:space="preserve"> </w:t>
      </w:r>
      <w:r w:rsidR="00B265E6" w:rsidRPr="00B265E6">
        <w:t>W</w:t>
      </w:r>
      <w:r w:rsidR="00974007">
        <w:t xml:space="preserve"> </w:t>
      </w:r>
      <w:r w:rsidR="00B265E6" w:rsidRPr="00B265E6">
        <w:t xml:space="preserve">procesie </w:t>
      </w:r>
      <w:r w:rsidR="006677DC">
        <w:t>walki z</w:t>
      </w:r>
      <w:r w:rsidR="00C07A2D">
        <w:t> </w:t>
      </w:r>
      <w:r w:rsidR="006677DC">
        <w:t>ubóstwem transportowym</w:t>
      </w:r>
      <w:r w:rsidR="00B265E6" w:rsidRPr="00B265E6">
        <w:t xml:space="preserve"> szczególną rolę odgrywać będzie Społeczny Fundusz Klimatyczny</w:t>
      </w:r>
      <w:r w:rsidR="00190601">
        <w:t xml:space="preserve">, z którego Polska będzie korzystać w oparciu o krajowy </w:t>
      </w:r>
      <w:r w:rsidR="00190601" w:rsidRPr="00592EB9">
        <w:rPr>
          <w:b/>
          <w:bCs/>
        </w:rPr>
        <w:t>Plan Społeczno-Klimatyczny</w:t>
      </w:r>
      <w:r w:rsidR="005C5856">
        <w:rPr>
          <w:b/>
          <w:bCs/>
        </w:rPr>
        <w:t xml:space="preserve"> </w:t>
      </w:r>
      <w:r w:rsidR="005C5856" w:rsidRPr="009638E2">
        <w:t>finansujący niektóre z</w:t>
      </w:r>
      <w:r w:rsidR="000F2FFF">
        <w:t> </w:t>
      </w:r>
      <w:r w:rsidR="00FE3F46">
        <w:t>powyższych</w:t>
      </w:r>
      <w:r w:rsidR="005C5856" w:rsidRPr="009638E2">
        <w:t xml:space="preserve"> działań</w:t>
      </w:r>
      <w:r w:rsidR="00B265E6" w:rsidRPr="00B265E6">
        <w:t>.</w:t>
      </w:r>
    </w:p>
    <w:p w14:paraId="49A27343" w14:textId="0ED2A075" w:rsidR="00994922" w:rsidRDefault="00994922" w:rsidP="00994922">
      <w:pPr>
        <w:pStyle w:val="PaMs"/>
      </w:pPr>
      <w:r w:rsidRPr="00C46DAA">
        <w:t>DZIAŁANIA</w:t>
      </w:r>
    </w:p>
    <w:p w14:paraId="41F1C48B" w14:textId="1451887C" w:rsidR="00403DBF" w:rsidRDefault="00403DBF" w:rsidP="00403DBF">
      <w:pPr>
        <w:pStyle w:val="Akapitzlist"/>
        <w:numPr>
          <w:ilvl w:val="0"/>
          <w:numId w:val="124"/>
        </w:numPr>
      </w:pPr>
      <w:r w:rsidRPr="00421171">
        <w:fldChar w:fldCharType="begin"/>
      </w:r>
      <w:r w:rsidRPr="00421171">
        <w:instrText xml:space="preserve"> REF _Ref195889489 \h </w:instrText>
      </w:r>
      <w:r>
        <w:instrText xml:space="preserve"> \* MERGEFORMAT </w:instrText>
      </w:r>
      <w:r w:rsidRPr="00421171">
        <w:fldChar w:fldCharType="separate"/>
      </w:r>
      <w:r w:rsidR="00871DD5">
        <w:t xml:space="preserve">Działanie 33. </w:t>
      </w:r>
      <w:r w:rsidR="00871DD5" w:rsidRPr="00AF4C89">
        <w:t>Instrument finansowy – Fundusz rozwoju przewozów autobusowych o</w:t>
      </w:r>
      <w:r w:rsidR="00871DD5" w:rsidRPr="00871DD5">
        <w:rPr>
          <w:rFonts w:ascii="Arial" w:hAnsi="Arial" w:cs="Arial"/>
        </w:rPr>
        <w:t> </w:t>
      </w:r>
      <w:r w:rsidR="00871DD5" w:rsidRPr="00AF4C89">
        <w:t>charakterze u</w:t>
      </w:r>
      <w:r w:rsidR="00871DD5" w:rsidRPr="00871DD5">
        <w:t>ż</w:t>
      </w:r>
      <w:r w:rsidR="00871DD5" w:rsidRPr="00AF4C89">
        <w:t>yteczno</w:t>
      </w:r>
      <w:r w:rsidR="00871DD5" w:rsidRPr="00871DD5">
        <w:t>ś</w:t>
      </w:r>
      <w:r w:rsidR="00871DD5" w:rsidRPr="00AF4C89">
        <w:t>ci publicznej</w:t>
      </w:r>
      <w:r w:rsidRPr="00421171">
        <w:fldChar w:fldCharType="end"/>
      </w:r>
    </w:p>
    <w:p w14:paraId="63520F93" w14:textId="4E902373" w:rsidR="00403DBF" w:rsidRDefault="00403DBF" w:rsidP="00403DBF">
      <w:pPr>
        <w:pStyle w:val="Akapitzlist"/>
        <w:numPr>
          <w:ilvl w:val="0"/>
          <w:numId w:val="124"/>
        </w:numPr>
      </w:pPr>
      <w:r>
        <w:fldChar w:fldCharType="begin"/>
      </w:r>
      <w:r>
        <w:instrText xml:space="preserve"> REF _Ref195880309 \h </w:instrText>
      </w:r>
      <w:r w:rsidR="00905102">
        <w:instrText xml:space="preserve"> \* MERGEFORMAT </w:instrText>
      </w:r>
      <w:r>
        <w:fldChar w:fldCharType="separate"/>
      </w:r>
      <w:r w:rsidR="00871DD5" w:rsidRPr="00871DD5">
        <w:t>Działa</w:t>
      </w:r>
      <w:r w:rsidR="00871DD5">
        <w:t xml:space="preserve">nie 34. </w:t>
      </w:r>
      <w:r w:rsidR="00871DD5" w:rsidRPr="00137D92">
        <w:t>Rozwój miejskich sieci transportowych</w:t>
      </w:r>
      <w:r>
        <w:fldChar w:fldCharType="end"/>
      </w:r>
    </w:p>
    <w:p w14:paraId="46855CE3" w14:textId="11B5F087" w:rsidR="00403DBF" w:rsidRDefault="00403DBF" w:rsidP="00403DBF">
      <w:pPr>
        <w:pStyle w:val="Akapitzlist"/>
        <w:numPr>
          <w:ilvl w:val="0"/>
          <w:numId w:val="124"/>
        </w:numPr>
      </w:pPr>
      <w:r>
        <w:fldChar w:fldCharType="begin"/>
      </w:r>
      <w:r>
        <w:instrText xml:space="preserve"> REF _Ref195889501 \h </w:instrText>
      </w:r>
      <w:r w:rsidR="00905102">
        <w:instrText xml:space="preserve"> \* MERGEFORMAT </w:instrText>
      </w:r>
      <w:r>
        <w:fldChar w:fldCharType="separate"/>
      </w:r>
      <w:r w:rsidR="00871DD5">
        <w:t xml:space="preserve">Działanie 35. </w:t>
      </w:r>
      <w:r w:rsidR="00871DD5" w:rsidRPr="00A546CC">
        <w:t>Rozwój zeroemisyjnego transportu publicznego w miastach</w:t>
      </w:r>
      <w:r>
        <w:fldChar w:fldCharType="end"/>
      </w:r>
    </w:p>
    <w:p w14:paraId="5698E888" w14:textId="2A4FB918" w:rsidR="00403DBF" w:rsidRDefault="00403DBF" w:rsidP="00403DBF">
      <w:pPr>
        <w:pStyle w:val="Akapitzlist"/>
        <w:numPr>
          <w:ilvl w:val="0"/>
          <w:numId w:val="124"/>
        </w:numPr>
      </w:pPr>
      <w:r>
        <w:fldChar w:fldCharType="begin"/>
      </w:r>
      <w:r>
        <w:instrText xml:space="preserve"> REF _Ref195889514 \h </w:instrText>
      </w:r>
      <w:r w:rsidR="00905102">
        <w:instrText xml:space="preserve"> \* MERGEFORMAT </w:instrText>
      </w:r>
      <w:r>
        <w:fldChar w:fldCharType="separate"/>
      </w:r>
      <w:r w:rsidR="00871DD5">
        <w:t xml:space="preserve">Działanie 39. </w:t>
      </w:r>
      <w:r w:rsidR="00871DD5" w:rsidRPr="00BC1D13">
        <w:t>Modernizacja taboru i infrastruktury kolejowej oraz rozbudowa lokalnej i</w:t>
      </w:r>
      <w:r w:rsidR="00871DD5">
        <w:t> </w:t>
      </w:r>
      <w:r w:rsidR="00871DD5" w:rsidRPr="00BC1D13">
        <w:t>regionalnej infrastruktury kolejowej</w:t>
      </w:r>
      <w:r>
        <w:fldChar w:fldCharType="end"/>
      </w:r>
    </w:p>
    <w:p w14:paraId="7B0DC79A" w14:textId="341930E7" w:rsidR="00F85A5F" w:rsidRPr="00905102" w:rsidRDefault="00F85A5F" w:rsidP="00F85A5F">
      <w:pPr>
        <w:pStyle w:val="Akapitzlist"/>
        <w:numPr>
          <w:ilvl w:val="0"/>
          <w:numId w:val="124"/>
        </w:numPr>
      </w:pPr>
      <w:r w:rsidRPr="00905102">
        <w:fldChar w:fldCharType="begin"/>
      </w:r>
      <w:r w:rsidRPr="00905102">
        <w:instrText xml:space="preserve"> REF _Ref195889101 \h  \* MERGEFORMAT </w:instrText>
      </w:r>
      <w:r w:rsidRPr="00905102">
        <w:fldChar w:fldCharType="separate"/>
      </w:r>
      <w:r w:rsidR="00871DD5" w:rsidRPr="00871DD5">
        <w:t xml:space="preserve">Działanie </w:t>
      </w:r>
      <w:r w:rsidR="00871DD5" w:rsidRPr="00871DD5">
        <w:rPr>
          <w:lang w:eastAsia="pl-PL"/>
        </w:rPr>
        <w:t xml:space="preserve">146. </w:t>
      </w:r>
      <w:r w:rsidR="00871DD5">
        <w:rPr>
          <w:lang w:eastAsia="pl-PL"/>
        </w:rPr>
        <w:t>Opracowanie i wdrażanie Planu Społeczno-Klimatycznego</w:t>
      </w:r>
      <w:r w:rsidRPr="00905102">
        <w:fldChar w:fldCharType="end"/>
      </w:r>
      <w:r w:rsidRPr="00905102">
        <w:t xml:space="preserve"> </w:t>
      </w:r>
    </w:p>
    <w:p w14:paraId="5AAF4825" w14:textId="5E04B8EE" w:rsidR="00F85A5F" w:rsidRDefault="00F85A5F" w:rsidP="00F85A5F">
      <w:pPr>
        <w:pStyle w:val="Akapitzlist"/>
        <w:numPr>
          <w:ilvl w:val="0"/>
          <w:numId w:val="124"/>
        </w:numPr>
      </w:pPr>
      <w:r w:rsidRPr="00421171">
        <w:fldChar w:fldCharType="begin"/>
      </w:r>
      <w:r w:rsidRPr="00421171">
        <w:instrText xml:space="preserve"> REF _Ref195889357 \h </w:instrText>
      </w:r>
      <w:r>
        <w:instrText xml:space="preserve"> \* MERGEFORMAT </w:instrText>
      </w:r>
      <w:r w:rsidRPr="00421171">
        <w:fldChar w:fldCharType="separate"/>
      </w:r>
      <w:r w:rsidR="00871DD5" w:rsidRPr="00871DD5">
        <w:t xml:space="preserve">Działanie </w:t>
      </w:r>
      <w:r w:rsidR="00871DD5" w:rsidRPr="00871DD5">
        <w:rPr>
          <w:lang w:eastAsia="pl-PL"/>
        </w:rPr>
        <w:t xml:space="preserve">149. </w:t>
      </w:r>
      <w:r w:rsidR="00871DD5" w:rsidRPr="004D6F82">
        <w:rPr>
          <w:lang w:eastAsia="pl-PL"/>
        </w:rPr>
        <w:t>Działania na rzecz walki z ubóstwem transportowym</w:t>
      </w:r>
      <w:r w:rsidRPr="00421171">
        <w:fldChar w:fldCharType="end"/>
      </w:r>
    </w:p>
    <w:p w14:paraId="0740511A" w14:textId="6CDE3F3B" w:rsidR="00982E9E" w:rsidRDefault="00982E9E" w:rsidP="00982E9E">
      <w:pPr>
        <w:pStyle w:val="Nagwek4"/>
        <w:rPr>
          <w:color w:val="FFC000" w:themeColor="accent4"/>
        </w:rPr>
      </w:pPr>
      <w:bookmarkStart w:id="838" w:name="_Toc203403583"/>
      <w:bookmarkStart w:id="839" w:name="_Toc203474545"/>
      <w:bookmarkStart w:id="840" w:name="_Toc203403584"/>
      <w:bookmarkStart w:id="841" w:name="_Toc203474546"/>
      <w:bookmarkStart w:id="842" w:name="_Toc195897392"/>
      <w:bookmarkStart w:id="843" w:name="_Toc205203225"/>
      <w:bookmarkEnd w:id="838"/>
      <w:bookmarkEnd w:id="839"/>
      <w:bookmarkEnd w:id="840"/>
      <w:bookmarkEnd w:id="841"/>
      <w:r w:rsidRPr="009714FB">
        <w:rPr>
          <w:color w:val="FFC000" w:themeColor="accent4"/>
        </w:rPr>
        <w:lastRenderedPageBreak/>
        <w:t>Wsparcie regionów węglowych</w:t>
      </w:r>
      <w:bookmarkEnd w:id="836"/>
      <w:r w:rsidRPr="009714FB">
        <w:rPr>
          <w:color w:val="FFC000" w:themeColor="accent4"/>
        </w:rPr>
        <w:t xml:space="preserve"> </w:t>
      </w:r>
      <w:r w:rsidR="005F0CE7">
        <w:rPr>
          <w:color w:val="FFC000" w:themeColor="accent4"/>
        </w:rPr>
        <w:t>i wysokoemisyjnych</w:t>
      </w:r>
      <w:bookmarkEnd w:id="842"/>
      <w:bookmarkEnd w:id="843"/>
    </w:p>
    <w:p w14:paraId="49740DA3" w14:textId="77777777" w:rsidR="00982E9E" w:rsidRDefault="00982E9E" w:rsidP="00982E9E">
      <w:r>
        <w:t xml:space="preserve">W Polsce występuje kilka regionów szczególnie mocno zależnych od wydobycia, przeróbki, transportu i eksploatacji węgla kamiennego i brunatnego. Polska posiada doświadczenia z poprzednich dziesięcioleci, kiedy likwidacja kopalń stała się przyczyną negatywnych skutków społeczno-gospodarczych, dlatego przyspieszona transformacja energetyczna wymaga dostrzeżenia ryzyk dla regionów węglowych. Jednocześnie właściwe zarządzenie procesem może pozwolić na wygenerowanie nowych miejsc pracy w branżach i obszarach niezbędnych do przeprowadzenia transformacji. </w:t>
      </w:r>
    </w:p>
    <w:p w14:paraId="043C1317" w14:textId="231D255E" w:rsidR="00982E9E" w:rsidRDefault="00982E9E" w:rsidP="00F77BDA">
      <w:r w:rsidRPr="007E6F82">
        <w:t xml:space="preserve">W 2021 r. zawarta została </w:t>
      </w:r>
      <w:r w:rsidR="007E6F82">
        <w:t xml:space="preserve">tzw. </w:t>
      </w:r>
      <w:r w:rsidRPr="008A6020">
        <w:rPr>
          <w:b/>
          <w:bCs/>
        </w:rPr>
        <w:t>umowa społeczna dotycząca transformacji sektora górnictwa węgla kamiennego oraz wybranych procesów transformacji województwa śląskiego</w:t>
      </w:r>
      <w:r w:rsidRPr="007E6F82">
        <w:t xml:space="preserve">, </w:t>
      </w:r>
      <w:r w:rsidR="00F77BDA" w:rsidRPr="007E6F82">
        <w:t>która obejmuje</w:t>
      </w:r>
      <w:r w:rsidR="00F77BDA">
        <w:t xml:space="preserve"> w szczególności mechanizm finansowania dopłat do redukcji zdolności produkcyjnych przedsiębiorstw górniczych oraz definiuje osłony socjalne dla pracowników likwidowanych kopalń. </w:t>
      </w:r>
      <w:r w:rsidR="007E6F82">
        <w:t xml:space="preserve">Notyfikacja </w:t>
      </w:r>
      <w:r w:rsidR="007E6F82" w:rsidRPr="007E6F82">
        <w:rPr>
          <w:i/>
          <w:iCs/>
        </w:rPr>
        <w:t>umowy społecznej</w:t>
      </w:r>
      <w:r w:rsidR="007E6F82">
        <w:t xml:space="preserve"> w Komisji Europejskiej oczekuje na zatwierdzenie. </w:t>
      </w:r>
      <w:r w:rsidR="00F77BDA">
        <w:t>Wygaszanie i zamykanie będzie następowało według harmonogramu</w:t>
      </w:r>
      <w:r w:rsidR="007E6F82">
        <w:t xml:space="preserve"> zatwierdzonego przez KE</w:t>
      </w:r>
      <w:r w:rsidR="00F77BDA">
        <w:t xml:space="preserve">. </w:t>
      </w:r>
    </w:p>
    <w:p w14:paraId="786ED619" w14:textId="66714C7D" w:rsidR="00180788" w:rsidRDefault="000E6ECC" w:rsidP="00982E9E">
      <w:r w:rsidRPr="000E6ECC">
        <w:t>W kolejnych latach</w:t>
      </w:r>
      <w:r w:rsidR="00686A6A">
        <w:t>,</w:t>
      </w:r>
      <w:r w:rsidRPr="000E6ECC">
        <w:t xml:space="preserve"> stopniowo będą </w:t>
      </w:r>
      <w:r w:rsidR="00686A6A">
        <w:t xml:space="preserve">wycofywane </w:t>
      </w:r>
      <w:r w:rsidRPr="000E6ECC">
        <w:t>ze struktury mocy wytwórczych bloki oparte o węgiel kamienny i brunatny. Tempo i kolejność odstawień zależn</w:t>
      </w:r>
      <w:r>
        <w:t>e</w:t>
      </w:r>
      <w:r w:rsidRPr="000E6ECC">
        <w:t xml:space="preserve"> będzie </w:t>
      </w:r>
      <w:r w:rsidR="00475182">
        <w:t xml:space="preserve">m.in. </w:t>
      </w:r>
      <w:r w:rsidRPr="000E6ECC">
        <w:t>od wystarczalności mocy</w:t>
      </w:r>
      <w:r w:rsidR="00963A1E">
        <w:t xml:space="preserve"> w</w:t>
      </w:r>
      <w:r w:rsidR="009E5A28">
        <w:t> </w:t>
      </w:r>
      <w:r w:rsidRPr="000E6ECC">
        <w:t xml:space="preserve">systemie elektroenergetycznym. </w:t>
      </w:r>
      <w:r w:rsidR="00F22407">
        <w:t xml:space="preserve">Termin zakończenia funkcjonowania elektrowni opartych na węglu kamiennym nie </w:t>
      </w:r>
      <w:r w:rsidR="00180788">
        <w:t>musi być skorelowany z terminem zakończenia wydobycia tego surowca w kraju, ale</w:t>
      </w:r>
      <w:r w:rsidR="00C07A2D">
        <w:t> </w:t>
      </w:r>
      <w:r w:rsidR="00180788">
        <w:t>zakończenie eksploatacji węgla brunatnego jest jednoznaczne z zakończeniem produkcji energii z</w:t>
      </w:r>
      <w:r w:rsidR="00C07A2D">
        <w:t> </w:t>
      </w:r>
      <w:r w:rsidR="00180788">
        <w:t>niego.</w:t>
      </w:r>
      <w:r w:rsidR="00087279">
        <w:t xml:space="preserve"> </w:t>
      </w:r>
    </w:p>
    <w:p w14:paraId="2140B128" w14:textId="0F91DEDC" w:rsidR="00FB57C1" w:rsidRDefault="00100EE5" w:rsidP="00A205F0">
      <w:r>
        <w:t>Odstawianiu bloków węglowych z poszanowaniem</w:t>
      </w:r>
      <w:r w:rsidRPr="000E6ECC">
        <w:t xml:space="preserve"> </w:t>
      </w:r>
      <w:r>
        <w:t xml:space="preserve">pracowników </w:t>
      </w:r>
      <w:r w:rsidR="000E6ECC" w:rsidRPr="000E6ECC">
        <w:t>sprzyjać będą przepisy ustawy z dnia 17</w:t>
      </w:r>
      <w:r>
        <w:t> </w:t>
      </w:r>
      <w:r w:rsidR="000E6ECC" w:rsidRPr="000E6ECC">
        <w:t xml:space="preserve">sierpnia 2023 r. </w:t>
      </w:r>
      <w:r w:rsidR="000E6ECC" w:rsidRPr="00100EE5">
        <w:rPr>
          <w:i/>
          <w:iCs/>
        </w:rPr>
        <w:t>o osłonach socjalnych dla pracowników sektora elektroenergetycznego i branży górnictwa węgla brunatnego</w:t>
      </w:r>
      <w:r w:rsidR="000E6ECC" w:rsidRPr="000E6ECC">
        <w:t xml:space="preserve"> (Dz. U. poz. 1737)</w:t>
      </w:r>
      <w:r w:rsidR="008F7882">
        <w:t>. Ich c</w:t>
      </w:r>
      <w:r w:rsidR="000E6ECC" w:rsidRPr="000E6ECC">
        <w:t>elem</w:t>
      </w:r>
      <w:r w:rsidR="008F7882">
        <w:t xml:space="preserve"> jest </w:t>
      </w:r>
      <w:r w:rsidR="000E6ECC" w:rsidRPr="000E6ECC">
        <w:t>zapewnieni</w:t>
      </w:r>
      <w:r w:rsidR="008F7882">
        <w:t>e</w:t>
      </w:r>
      <w:r w:rsidR="000E6ECC" w:rsidRPr="000E6ECC">
        <w:t xml:space="preserve"> osłon socjalnych dla pracowników</w:t>
      </w:r>
      <w:r w:rsidR="008F7882">
        <w:t xml:space="preserve"> oraz </w:t>
      </w:r>
      <w:r w:rsidR="000E6ECC" w:rsidRPr="000E6ECC">
        <w:t>wsparcie podmiotów w dążeniu do transformacji poprzez stopniowe odchodzenie od wytwarzania energii elektrycznej w wysokoemisyjnych jednostkach węglowych przy jednoczesnym rozwoju źródeł nisko- i</w:t>
      </w:r>
      <w:r w:rsidR="004372F3">
        <w:t> </w:t>
      </w:r>
      <w:r w:rsidR="000E6ECC" w:rsidRPr="000E6ECC">
        <w:t>zeroemisyjnych. Regulacje tej ustawy zostały notyfikowane Komisji Europejskiej, która uznała pomoc publiczną przewidzianą tą ustawą za zgodną z</w:t>
      </w:r>
      <w:r w:rsidR="000E6ECC">
        <w:t> </w:t>
      </w:r>
      <w:r w:rsidR="000E6ECC" w:rsidRPr="000E6ECC">
        <w:t>zasadami rynku UE.</w:t>
      </w:r>
    </w:p>
    <w:p w14:paraId="14AE5716" w14:textId="0CA5EBBF" w:rsidR="00646C01" w:rsidRDefault="00A90EF3" w:rsidP="00FB57C1">
      <w:r>
        <w:t>Eksploatacja i wielkoskalowe przetwarzanie paliw kopalnych</w:t>
      </w:r>
      <w:r w:rsidR="00F1723F">
        <w:t xml:space="preserve"> (gaz ziemny, ropa naftowa, </w:t>
      </w:r>
      <w:r w:rsidR="00266332">
        <w:t>węgiel)</w:t>
      </w:r>
      <w:r>
        <w:t xml:space="preserve"> odbywa się w kilku regionach Polski, ale w</w:t>
      </w:r>
      <w:r w:rsidR="00A77EB1">
        <w:t> </w:t>
      </w:r>
      <w:r w:rsidR="009E2A3B">
        <w:t>pierwszej kolejności</w:t>
      </w:r>
      <w:r>
        <w:t xml:space="preserve"> transformacja energetyczna będzie mieć znaczenie dla regionów, w których odbywa się wydobycie i przetwarzanie węgla. To właśnie ten surowiec spośród paliw kopalnych będzie</w:t>
      </w:r>
      <w:r w:rsidR="00A77EB1">
        <w:t xml:space="preserve"> </w:t>
      </w:r>
      <w:r w:rsidR="00D31664">
        <w:t xml:space="preserve">najszybciej </w:t>
      </w:r>
      <w:r w:rsidR="004372F3">
        <w:t>tracił</w:t>
      </w:r>
      <w:r w:rsidR="00A77EB1">
        <w:t xml:space="preserve"> na znaczeniu.</w:t>
      </w:r>
      <w:r w:rsidR="00733A04">
        <w:t xml:space="preserve"> Dodatkowo </w:t>
      </w:r>
      <w:r w:rsidR="004559E7">
        <w:t xml:space="preserve">działalność związana z węglem </w:t>
      </w:r>
      <w:r w:rsidR="00145745">
        <w:t>(</w:t>
      </w:r>
      <w:r w:rsidR="00DB5C36">
        <w:t xml:space="preserve">w tym </w:t>
      </w:r>
      <w:r w:rsidR="00851217">
        <w:t xml:space="preserve">branże </w:t>
      </w:r>
      <w:r w:rsidR="00DB5C36">
        <w:t>powiązane</w:t>
      </w:r>
      <w:r w:rsidR="00752A04">
        <w:t xml:space="preserve"> z wydobyciem i przetwa</w:t>
      </w:r>
      <w:r w:rsidR="00EC7FC6">
        <w:t>rzaniem</w:t>
      </w:r>
      <w:r w:rsidR="00DB5C36">
        <w:t>)</w:t>
      </w:r>
      <w:r w:rsidR="004559E7">
        <w:t xml:space="preserve"> ma istotne znaczenie dla całego regionu.</w:t>
      </w:r>
      <w:r w:rsidR="00A77EB1">
        <w:t xml:space="preserve"> Z tego względu plan i wsparcie regionów węglowych ma</w:t>
      </w:r>
      <w:r w:rsidR="00FD580B">
        <w:t>ją</w:t>
      </w:r>
      <w:r w:rsidR="00A77EB1">
        <w:t xml:space="preserve"> pierwszorzędn</w:t>
      </w:r>
      <w:r w:rsidR="004372F3">
        <w:t>y charakter</w:t>
      </w:r>
      <w:r w:rsidR="00A77EB1">
        <w:t xml:space="preserve">. </w:t>
      </w:r>
    </w:p>
    <w:p w14:paraId="509FD6C9" w14:textId="5B977D04" w:rsidR="00B775EB" w:rsidRDefault="00A77EB1" w:rsidP="00646C01">
      <w:r>
        <w:t>Zgodnie z zasadami określonymi na poziomie unijnym, wsparcie ze środków UE może dotyczyć tylko tych obszarów</w:t>
      </w:r>
      <w:r w:rsidR="00CE2A6B">
        <w:t xml:space="preserve"> (subregionów na poziomie NUTS-3)</w:t>
      </w:r>
      <w:r>
        <w:t>, które mają konkretny plan ograniczania działalności związanej z węglem</w:t>
      </w:r>
      <w:r w:rsidR="00CF30AD">
        <w:t xml:space="preserve"> – tzw. </w:t>
      </w:r>
      <w:r w:rsidR="00CF30AD" w:rsidRPr="00CF30AD">
        <w:rPr>
          <w:b/>
          <w:bCs/>
          <w:i/>
          <w:iCs/>
        </w:rPr>
        <w:t>terytorialne plany sprawiedliwej transformacji</w:t>
      </w:r>
      <w:r w:rsidR="004372F3">
        <w:t xml:space="preserve"> (TPST).</w:t>
      </w:r>
      <w:r>
        <w:t xml:space="preserve"> </w:t>
      </w:r>
      <w:r w:rsidR="00DD0085">
        <w:t xml:space="preserve">Celem opracowania </w:t>
      </w:r>
      <w:r w:rsidR="00B12F0C">
        <w:t>i</w:t>
      </w:r>
      <w:r w:rsidR="00C016AC">
        <w:t> </w:t>
      </w:r>
      <w:r w:rsidR="00DD0085">
        <w:t xml:space="preserve">wdrożenia TPST jest zapewnienie nowej drogi gospodarczej i energetycznej dla tych regionów, tak aby </w:t>
      </w:r>
      <w:r w:rsidR="006604F3">
        <w:t>utrzymana</w:t>
      </w:r>
      <w:r w:rsidR="00DD0085">
        <w:t xml:space="preserve"> była ich </w:t>
      </w:r>
      <w:r w:rsidR="006604F3">
        <w:t xml:space="preserve">konkurencyjność i </w:t>
      </w:r>
      <w:r w:rsidR="00C016AC">
        <w:t xml:space="preserve">aktywność </w:t>
      </w:r>
      <w:r w:rsidR="004F795A">
        <w:t>gospodarcza</w:t>
      </w:r>
      <w:r w:rsidR="006604F3" w:rsidRPr="006604F3">
        <w:t xml:space="preserve">, </w:t>
      </w:r>
      <w:r w:rsidR="004F795A">
        <w:t xml:space="preserve">a także </w:t>
      </w:r>
      <w:r w:rsidR="006604F3">
        <w:t xml:space="preserve">by powstały nowe źródła energii, zapewniona była </w:t>
      </w:r>
      <w:r w:rsidR="006604F3" w:rsidRPr="006604F3">
        <w:t>ochron</w:t>
      </w:r>
      <w:r w:rsidR="006604F3">
        <w:t>a</w:t>
      </w:r>
      <w:r w:rsidR="006604F3" w:rsidRPr="006604F3">
        <w:t xml:space="preserve"> gospodarstw domowych, dbałoś</w:t>
      </w:r>
      <w:r w:rsidR="006604F3">
        <w:t>ć</w:t>
      </w:r>
      <w:r w:rsidR="006604F3" w:rsidRPr="006604F3">
        <w:t xml:space="preserve"> o środowisko naturalne i ład przestrzenny.</w:t>
      </w:r>
      <w:r w:rsidR="006604F3">
        <w:t xml:space="preserve"> </w:t>
      </w:r>
      <w:r w:rsidR="00922BC4">
        <w:br/>
      </w:r>
      <w:r w:rsidR="006604F3">
        <w:t>Co</w:t>
      </w:r>
      <w:r w:rsidR="00922BC4">
        <w:t xml:space="preserve"> </w:t>
      </w:r>
      <w:r w:rsidR="006604F3">
        <w:t>ważne</w:t>
      </w:r>
      <w:r w:rsidR="004A1B39">
        <w:t>,</w:t>
      </w:r>
      <w:r w:rsidR="006604F3">
        <w:t xml:space="preserve"> TPST opracowywane są lokalnie, z zaangażowaniem strony rządowej. Dzięki temu możliwe jest zidentyfikowanie silnych stron i potencjału, a także poczucie zaangażowania ludzi, których plan dotyczy.</w:t>
      </w:r>
    </w:p>
    <w:p w14:paraId="5DA3D792" w14:textId="77777777" w:rsidR="00B775EB" w:rsidRDefault="00B775EB">
      <w:pPr>
        <w:jc w:val="left"/>
      </w:pPr>
      <w:r>
        <w:br w:type="page"/>
      </w:r>
    </w:p>
    <w:p w14:paraId="4E8A2652" w14:textId="6A1F5B6B" w:rsidR="004F539F" w:rsidRDefault="00A77EB1" w:rsidP="00F85A5F">
      <w:r>
        <w:lastRenderedPageBreak/>
        <w:t>Po szeregu uzgodnień</w:t>
      </w:r>
      <w:r w:rsidR="00CE2A6B">
        <w:t>,</w:t>
      </w:r>
      <w:r>
        <w:t xml:space="preserve"> </w:t>
      </w:r>
      <w:r w:rsidR="00CF30AD">
        <w:t>wsparcie z Funduszu</w:t>
      </w:r>
      <w:r w:rsidR="00CB3B7A" w:rsidRPr="00CB3B7A">
        <w:t xml:space="preserve"> </w:t>
      </w:r>
      <w:r w:rsidR="00CB3B7A">
        <w:t xml:space="preserve">Sprawiedliwej Transformacji mogą </w:t>
      </w:r>
      <w:r w:rsidR="00AB3EF5">
        <w:t>otrzymać</w:t>
      </w:r>
      <w:r w:rsidR="003E7907">
        <w:t xml:space="preserve"> </w:t>
      </w:r>
      <w:r w:rsidR="00CB3B7A">
        <w:t>regiony zlokalizowane w pięciu województwach, w oparciu o</w:t>
      </w:r>
      <w:r w:rsidR="00BF2D71">
        <w:t xml:space="preserve"> </w:t>
      </w:r>
      <w:r w:rsidR="00CB3B7A">
        <w:t xml:space="preserve">cztery TPST. </w:t>
      </w:r>
      <w:r w:rsidR="004372F3">
        <w:t>Zestawienie obszarów pokrytych TPST znajduje się poniżej.</w:t>
      </w:r>
      <w:r w:rsidR="00974007">
        <w:t xml:space="preserve"> </w:t>
      </w:r>
    </w:p>
    <w:p w14:paraId="08008270" w14:textId="135D7396" w:rsidR="00686A6A" w:rsidRDefault="004372F3" w:rsidP="0077624F">
      <w:pPr>
        <w:pStyle w:val="tyturys"/>
        <w:spacing w:before="480" w:after="240"/>
      </w:pPr>
      <w:r>
        <w:t>Regiony węglowe</w:t>
      </w:r>
      <w:r w:rsidR="0077624F">
        <w:t xml:space="preserve"> </w:t>
      </w:r>
      <w:r>
        <w:t>pokryte TPST</w:t>
      </w:r>
    </w:p>
    <w:tbl>
      <w:tblPr>
        <w:tblStyle w:val="Siatkatabelijasna"/>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CellMar>
          <w:top w:w="57" w:type="dxa"/>
          <w:left w:w="57" w:type="dxa"/>
          <w:bottom w:w="57" w:type="dxa"/>
          <w:right w:w="57" w:type="dxa"/>
        </w:tblCellMar>
        <w:tblLook w:val="0600" w:firstRow="0" w:lastRow="0" w:firstColumn="0" w:lastColumn="0" w:noHBand="1" w:noVBand="1"/>
      </w:tblPr>
      <w:tblGrid>
        <w:gridCol w:w="1402"/>
        <w:gridCol w:w="4552"/>
        <w:gridCol w:w="3118"/>
      </w:tblGrid>
      <w:tr w:rsidR="002423C2" w:rsidRPr="009267BC" w14:paraId="7058AA50" w14:textId="0E6B6CB0" w:rsidTr="00654A96">
        <w:trPr>
          <w:trHeight w:val="224"/>
        </w:trPr>
        <w:tc>
          <w:tcPr>
            <w:tcW w:w="1402" w:type="dxa"/>
            <w:tcBorders>
              <w:top w:val="nil"/>
              <w:bottom w:val="single" w:sz="8" w:space="0" w:color="7F7F7F" w:themeColor="text1" w:themeTint="80"/>
            </w:tcBorders>
          </w:tcPr>
          <w:p w14:paraId="01196C1A" w14:textId="77777777" w:rsidR="002423C2" w:rsidRPr="009267BC" w:rsidRDefault="002423C2" w:rsidP="009267BC">
            <w:pPr>
              <w:rPr>
                <w:b/>
                <w:bCs/>
                <w:sz w:val="18"/>
                <w:szCs w:val="20"/>
              </w:rPr>
            </w:pPr>
            <w:r w:rsidRPr="009267BC">
              <w:rPr>
                <w:b/>
                <w:bCs/>
                <w:sz w:val="18"/>
                <w:szCs w:val="20"/>
              </w:rPr>
              <w:t>województwo</w:t>
            </w:r>
          </w:p>
        </w:tc>
        <w:tc>
          <w:tcPr>
            <w:tcW w:w="4552" w:type="dxa"/>
            <w:tcBorders>
              <w:top w:val="nil"/>
              <w:bottom w:val="single" w:sz="8" w:space="0" w:color="7F7F7F" w:themeColor="text1" w:themeTint="80"/>
            </w:tcBorders>
          </w:tcPr>
          <w:p w14:paraId="1EA9BA31" w14:textId="77777777" w:rsidR="002423C2" w:rsidRPr="009267BC" w:rsidRDefault="002423C2" w:rsidP="009267BC">
            <w:pPr>
              <w:jc w:val="center"/>
              <w:rPr>
                <w:b/>
                <w:bCs/>
                <w:sz w:val="18"/>
                <w:szCs w:val="20"/>
              </w:rPr>
            </w:pPr>
            <w:r w:rsidRPr="009267BC">
              <w:rPr>
                <w:b/>
                <w:bCs/>
                <w:sz w:val="18"/>
                <w:szCs w:val="20"/>
              </w:rPr>
              <w:t>obszary</w:t>
            </w:r>
          </w:p>
        </w:tc>
        <w:tc>
          <w:tcPr>
            <w:tcW w:w="3118" w:type="dxa"/>
            <w:tcBorders>
              <w:top w:val="nil"/>
              <w:bottom w:val="single" w:sz="8" w:space="0" w:color="7F7F7F" w:themeColor="text1" w:themeTint="80"/>
            </w:tcBorders>
          </w:tcPr>
          <w:p w14:paraId="4A354992" w14:textId="2653508F" w:rsidR="002423C2" w:rsidRPr="009267BC" w:rsidRDefault="00654A96" w:rsidP="009267BC">
            <w:pPr>
              <w:jc w:val="center"/>
              <w:rPr>
                <w:b/>
                <w:bCs/>
                <w:sz w:val="18"/>
                <w:szCs w:val="20"/>
              </w:rPr>
            </w:pPr>
            <w:r>
              <w:rPr>
                <w:b/>
                <w:bCs/>
                <w:sz w:val="18"/>
                <w:szCs w:val="20"/>
              </w:rPr>
              <w:t>TPST</w:t>
            </w:r>
          </w:p>
        </w:tc>
      </w:tr>
      <w:tr w:rsidR="002423C2" w:rsidRPr="009267BC" w14:paraId="4E1C3BB6" w14:textId="5A6028EE" w:rsidTr="00654A96">
        <w:trPr>
          <w:trHeight w:val="221"/>
        </w:trPr>
        <w:tc>
          <w:tcPr>
            <w:tcW w:w="1402" w:type="dxa"/>
            <w:tcBorders>
              <w:top w:val="single" w:sz="8" w:space="0" w:color="7F7F7F" w:themeColor="text1" w:themeTint="80"/>
            </w:tcBorders>
          </w:tcPr>
          <w:p w14:paraId="148AA7F7" w14:textId="77777777" w:rsidR="002423C2" w:rsidRPr="009267BC" w:rsidRDefault="002423C2" w:rsidP="009267BC">
            <w:pPr>
              <w:rPr>
                <w:b/>
                <w:bCs/>
                <w:sz w:val="18"/>
                <w:szCs w:val="20"/>
              </w:rPr>
            </w:pPr>
            <w:r w:rsidRPr="009267BC">
              <w:rPr>
                <w:b/>
                <w:bCs/>
                <w:sz w:val="18"/>
                <w:szCs w:val="20"/>
              </w:rPr>
              <w:t>dolnośląskie</w:t>
            </w:r>
          </w:p>
        </w:tc>
        <w:tc>
          <w:tcPr>
            <w:tcW w:w="4552" w:type="dxa"/>
            <w:tcBorders>
              <w:top w:val="single" w:sz="8" w:space="0" w:color="7F7F7F" w:themeColor="text1" w:themeTint="80"/>
              <w:right w:val="single" w:sz="4" w:space="0" w:color="D9D9D9" w:themeColor="background1" w:themeShade="D9"/>
            </w:tcBorders>
          </w:tcPr>
          <w:p w14:paraId="762B4944" w14:textId="07EB84B6" w:rsidR="002423C2" w:rsidRPr="009507A8" w:rsidRDefault="002423C2" w:rsidP="009267BC">
            <w:pPr>
              <w:jc w:val="left"/>
              <w:rPr>
                <w:sz w:val="18"/>
                <w:szCs w:val="20"/>
              </w:rPr>
            </w:pPr>
            <w:r w:rsidRPr="009507A8">
              <w:rPr>
                <w:sz w:val="18"/>
                <w:szCs w:val="20"/>
              </w:rPr>
              <w:t>m. Wałbrzych, powiaty dzierżoniowski, kłodzki, świdnicki, wałbrzyski</w:t>
            </w:r>
            <w:r w:rsidR="00542138" w:rsidRPr="009507A8">
              <w:rPr>
                <w:sz w:val="18"/>
                <w:szCs w:val="20"/>
              </w:rPr>
              <w:t>,</w:t>
            </w:r>
            <w:r w:rsidRPr="009507A8">
              <w:rPr>
                <w:sz w:val="18"/>
                <w:szCs w:val="20"/>
              </w:rPr>
              <w:t> ząbkowicki</w:t>
            </w:r>
          </w:p>
        </w:tc>
        <w:tc>
          <w:tcPr>
            <w:tcW w:w="3118" w:type="dxa"/>
            <w:tcBorders>
              <w:top w:val="single" w:sz="8" w:space="0" w:color="7F7F7F" w:themeColor="text1" w:themeTint="80"/>
              <w:left w:val="single" w:sz="4" w:space="0" w:color="D9D9D9" w:themeColor="background1" w:themeShade="D9"/>
              <w:bottom w:val="single" w:sz="4" w:space="0" w:color="D9D9D9" w:themeColor="background1" w:themeShade="D9"/>
            </w:tcBorders>
          </w:tcPr>
          <w:p w14:paraId="360F0B54" w14:textId="65218774" w:rsidR="002423C2" w:rsidRPr="004372F3" w:rsidRDefault="005C7B18" w:rsidP="009267BC">
            <w:pPr>
              <w:jc w:val="left"/>
              <w:rPr>
                <w:i/>
                <w:sz w:val="18"/>
                <w:szCs w:val="20"/>
              </w:rPr>
            </w:pPr>
            <w:r w:rsidRPr="004372F3">
              <w:rPr>
                <w:i/>
                <w:iCs/>
                <w:sz w:val="18"/>
                <w:szCs w:val="20"/>
              </w:rPr>
              <w:t>Terytorialny Plan Sprawiedliwej Transformacji Dolnego Śląska</w:t>
            </w:r>
            <w:r w:rsidR="00CE2A6B">
              <w:rPr>
                <w:i/>
                <w:iCs/>
                <w:sz w:val="18"/>
                <w:szCs w:val="20"/>
              </w:rPr>
              <w:t xml:space="preserve"> 2030</w:t>
            </w:r>
            <w:r>
              <w:rPr>
                <w:sz w:val="18"/>
                <w:szCs w:val="20"/>
              </w:rPr>
              <w:t xml:space="preserve">, </w:t>
            </w:r>
            <w:hyperlink r:id="rId96" w:history="1">
              <w:r w:rsidRPr="005C7B18">
                <w:rPr>
                  <w:rStyle w:val="Hipercze"/>
                  <w:sz w:val="18"/>
                  <w:szCs w:val="20"/>
                </w:rPr>
                <w:t>link</w:t>
              </w:r>
            </w:hyperlink>
          </w:p>
        </w:tc>
      </w:tr>
      <w:tr w:rsidR="002423C2" w:rsidRPr="009267BC" w14:paraId="6DD98F3E" w14:textId="3AAB8E78" w:rsidTr="00654A96">
        <w:trPr>
          <w:trHeight w:val="1320"/>
        </w:trPr>
        <w:tc>
          <w:tcPr>
            <w:tcW w:w="1402" w:type="dxa"/>
          </w:tcPr>
          <w:p w14:paraId="07867EF6" w14:textId="77777777" w:rsidR="002423C2" w:rsidRPr="009267BC" w:rsidRDefault="002423C2" w:rsidP="002423C2">
            <w:pPr>
              <w:rPr>
                <w:b/>
                <w:bCs/>
                <w:sz w:val="18"/>
                <w:szCs w:val="20"/>
              </w:rPr>
            </w:pPr>
            <w:r w:rsidRPr="009267BC">
              <w:rPr>
                <w:b/>
                <w:bCs/>
                <w:sz w:val="18"/>
                <w:szCs w:val="20"/>
              </w:rPr>
              <w:t>łódzkie</w:t>
            </w:r>
          </w:p>
        </w:tc>
        <w:tc>
          <w:tcPr>
            <w:tcW w:w="4552" w:type="dxa"/>
            <w:tcBorders>
              <w:right w:val="single" w:sz="4" w:space="0" w:color="D9D9D9" w:themeColor="background1" w:themeShade="D9"/>
            </w:tcBorders>
          </w:tcPr>
          <w:p w14:paraId="0C7B362A" w14:textId="0F8EB28D" w:rsidR="002423C2" w:rsidRPr="009507A8" w:rsidRDefault="002423C2" w:rsidP="002423C2">
            <w:pPr>
              <w:jc w:val="left"/>
              <w:rPr>
                <w:sz w:val="18"/>
                <w:szCs w:val="20"/>
              </w:rPr>
            </w:pPr>
            <w:r w:rsidRPr="009507A8">
              <w:rPr>
                <w:sz w:val="18"/>
                <w:szCs w:val="20"/>
              </w:rPr>
              <w:t>m. Piotrków Trybunalski, całe powiaty bełchatowski, pajęczański, siedem gmin powiatu radomszczańskiego (Dobryszyce, Gomunice, Kamieńsk, Lgota Wielka, Ładzice, Radomsko m. i gm.), sześć gmin powiatu wieluńskiego (Czarnożyły, Konopnica, Osjaków, Ostrówek, Wieluń, Wierzchlas), trzy gminy powiatu piotrkowskiego (Gorzkowice, Rozprza, Wola Krzysztoporska), po jednej gminie z powiatów łaskiego (Widawa) i sieradzkiego (Złoczew), Siemkowice, Działoszyn, Rusiec, Kiełczygłów, Rząśnia, Strzelce Wielkie, Nowa Brzeźnica,</w:t>
            </w:r>
            <w:r w:rsidR="003E2DE5" w:rsidRPr="009507A8">
              <w:rPr>
                <w:sz w:val="18"/>
                <w:szCs w:val="20"/>
              </w:rPr>
              <w:t xml:space="preserve"> </w:t>
            </w:r>
            <w:r w:rsidRPr="009507A8">
              <w:rPr>
                <w:sz w:val="18"/>
                <w:szCs w:val="20"/>
              </w:rPr>
              <w:t>Sulmierzyce, Kleszczów, Szczerców, Kluki, Zelów, Drużbice</w:t>
            </w:r>
          </w:p>
        </w:tc>
        <w:tc>
          <w:tcPr>
            <w:tcW w:w="3118"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28564D6" w14:textId="52EDDCDB" w:rsidR="002423C2" w:rsidRPr="004372F3" w:rsidRDefault="005C7B18" w:rsidP="002423C2">
            <w:pPr>
              <w:jc w:val="left"/>
              <w:rPr>
                <w:i/>
                <w:sz w:val="18"/>
                <w:szCs w:val="20"/>
              </w:rPr>
            </w:pPr>
            <w:r w:rsidRPr="004372F3">
              <w:rPr>
                <w:i/>
                <w:iCs/>
                <w:sz w:val="18"/>
                <w:szCs w:val="20"/>
              </w:rPr>
              <w:t>Terytorialny Plan Sprawiedliwej Transformacji</w:t>
            </w:r>
            <w:r w:rsidR="00CE2A6B">
              <w:rPr>
                <w:i/>
                <w:iCs/>
                <w:sz w:val="18"/>
                <w:szCs w:val="20"/>
              </w:rPr>
              <w:t xml:space="preserve"> Województwa </w:t>
            </w:r>
            <w:r w:rsidR="00CB3B7A">
              <w:rPr>
                <w:i/>
                <w:iCs/>
                <w:sz w:val="18"/>
                <w:szCs w:val="20"/>
              </w:rPr>
              <w:t>Łódzkiego</w:t>
            </w:r>
            <w:r>
              <w:rPr>
                <w:sz w:val="18"/>
                <w:szCs w:val="20"/>
              </w:rPr>
              <w:t xml:space="preserve">, </w:t>
            </w:r>
            <w:hyperlink r:id="rId97" w:history="1">
              <w:r w:rsidRPr="005C7B18">
                <w:rPr>
                  <w:rStyle w:val="Hipercze"/>
                  <w:sz w:val="18"/>
                  <w:szCs w:val="20"/>
                </w:rPr>
                <w:t>link</w:t>
              </w:r>
            </w:hyperlink>
          </w:p>
        </w:tc>
      </w:tr>
      <w:tr w:rsidR="002423C2" w:rsidRPr="009267BC" w14:paraId="26024D8C" w14:textId="49B8F7FE" w:rsidTr="00654A96">
        <w:trPr>
          <w:trHeight w:val="224"/>
        </w:trPr>
        <w:tc>
          <w:tcPr>
            <w:tcW w:w="1402" w:type="dxa"/>
          </w:tcPr>
          <w:p w14:paraId="4E59413F" w14:textId="77777777" w:rsidR="002423C2" w:rsidRPr="009267BC" w:rsidRDefault="002423C2" w:rsidP="002423C2">
            <w:pPr>
              <w:rPr>
                <w:b/>
                <w:bCs/>
                <w:sz w:val="18"/>
                <w:szCs w:val="20"/>
              </w:rPr>
            </w:pPr>
            <w:r w:rsidRPr="009267BC">
              <w:rPr>
                <w:b/>
                <w:bCs/>
                <w:sz w:val="18"/>
                <w:szCs w:val="20"/>
              </w:rPr>
              <w:t>małopolskie</w:t>
            </w:r>
          </w:p>
        </w:tc>
        <w:tc>
          <w:tcPr>
            <w:tcW w:w="4552" w:type="dxa"/>
            <w:tcBorders>
              <w:right w:val="single" w:sz="4" w:space="0" w:color="D9D9D9" w:themeColor="background1" w:themeShade="D9"/>
            </w:tcBorders>
          </w:tcPr>
          <w:p w14:paraId="2B318684" w14:textId="77777777" w:rsidR="002423C2" w:rsidRPr="009507A8" w:rsidRDefault="002423C2" w:rsidP="002423C2">
            <w:pPr>
              <w:jc w:val="left"/>
              <w:rPr>
                <w:sz w:val="18"/>
                <w:szCs w:val="20"/>
              </w:rPr>
            </w:pPr>
            <w:r w:rsidRPr="009507A8">
              <w:rPr>
                <w:sz w:val="18"/>
                <w:szCs w:val="20"/>
              </w:rPr>
              <w:t>powiaty chrzanowski, olkuski, oświęcimski, wadowicki</w:t>
            </w:r>
          </w:p>
        </w:tc>
        <w:tc>
          <w:tcPr>
            <w:tcW w:w="3118" w:type="dxa"/>
            <w:tcBorders>
              <w:top w:val="single" w:sz="4" w:space="0" w:color="D9D9D9" w:themeColor="background1" w:themeShade="D9"/>
              <w:left w:val="single" w:sz="4" w:space="0" w:color="D9D9D9" w:themeColor="background1" w:themeShade="D9"/>
              <w:bottom w:val="nil"/>
            </w:tcBorders>
          </w:tcPr>
          <w:p w14:paraId="580EAF60" w14:textId="57A3C703" w:rsidR="002423C2" w:rsidRPr="004372F3" w:rsidRDefault="005C7B18" w:rsidP="002423C2">
            <w:pPr>
              <w:jc w:val="left"/>
              <w:rPr>
                <w:i/>
                <w:iCs/>
                <w:sz w:val="18"/>
                <w:szCs w:val="20"/>
              </w:rPr>
            </w:pPr>
            <w:r w:rsidRPr="004372F3">
              <w:rPr>
                <w:i/>
                <w:iCs/>
                <w:sz w:val="18"/>
                <w:szCs w:val="20"/>
              </w:rPr>
              <w:t>Terytorialny Plan Sprawiedliwej Transformacji</w:t>
            </w:r>
            <w:r w:rsidR="00CE2A6B">
              <w:rPr>
                <w:i/>
                <w:iCs/>
                <w:sz w:val="18"/>
                <w:szCs w:val="20"/>
              </w:rPr>
              <w:t xml:space="preserve"> Śląska </w:t>
            </w:r>
          </w:p>
        </w:tc>
      </w:tr>
      <w:tr w:rsidR="002423C2" w:rsidRPr="009267BC" w14:paraId="3658E382" w14:textId="363308F2" w:rsidTr="00654A96">
        <w:trPr>
          <w:trHeight w:val="1320"/>
        </w:trPr>
        <w:tc>
          <w:tcPr>
            <w:tcW w:w="1402" w:type="dxa"/>
            <w:tcBorders>
              <w:bottom w:val="single" w:sz="4" w:space="0" w:color="D9D9D9" w:themeColor="background1" w:themeShade="D9"/>
            </w:tcBorders>
          </w:tcPr>
          <w:p w14:paraId="4165B44C" w14:textId="77777777" w:rsidR="002423C2" w:rsidRPr="009267BC" w:rsidRDefault="002423C2" w:rsidP="002423C2">
            <w:pPr>
              <w:rPr>
                <w:b/>
                <w:bCs/>
                <w:sz w:val="18"/>
                <w:szCs w:val="20"/>
              </w:rPr>
            </w:pPr>
            <w:r w:rsidRPr="009267BC">
              <w:rPr>
                <w:b/>
                <w:bCs/>
                <w:sz w:val="18"/>
                <w:szCs w:val="20"/>
              </w:rPr>
              <w:t>śląskie</w:t>
            </w:r>
          </w:p>
        </w:tc>
        <w:tc>
          <w:tcPr>
            <w:tcW w:w="4552" w:type="dxa"/>
            <w:tcBorders>
              <w:bottom w:val="single" w:sz="4" w:space="0" w:color="D9D9D9" w:themeColor="background1" w:themeShade="D9"/>
              <w:right w:val="single" w:sz="4" w:space="0" w:color="D9D9D9" w:themeColor="background1" w:themeShade="D9"/>
            </w:tcBorders>
          </w:tcPr>
          <w:p w14:paraId="47EEFC7B" w14:textId="23904508" w:rsidR="002423C2" w:rsidRPr="009507A8" w:rsidRDefault="002423C2" w:rsidP="002423C2">
            <w:pPr>
              <w:jc w:val="left"/>
              <w:rPr>
                <w:sz w:val="18"/>
                <w:szCs w:val="20"/>
              </w:rPr>
            </w:pPr>
            <w:r w:rsidRPr="009507A8">
              <w:rPr>
                <w:sz w:val="18"/>
                <w:szCs w:val="20"/>
              </w:rPr>
              <w:t>m. Bielsko-Biała, m. Bytom, m. Chorzów, m. Dąbrowa Górnicza, m. Gliwice, m. Jastrzębie-Zdrój, m. Jaworzno, m. Katowice, m. Mysłowice, m. Piekary Śląskie, m. Ruda Śląska, m. Rybnik, m. Siemianowice Śląskie, m. Sosnowiec, m. Świętochłowice, m. Tychy, m. Zabrze, m.</w:t>
            </w:r>
            <w:r w:rsidR="00C07A2D">
              <w:rPr>
                <w:sz w:val="18"/>
                <w:szCs w:val="20"/>
              </w:rPr>
              <w:t> </w:t>
            </w:r>
            <w:r w:rsidRPr="009507A8">
              <w:rPr>
                <w:sz w:val="18"/>
                <w:szCs w:val="20"/>
              </w:rPr>
              <w:t>Żory, powiaty będziński, bielski, bieruńsko-lędziński, cieszyński, gliwicki, pszczyński, raciborski, tarnogórski, wodzisławski i żywiecki, lubliniecki, zawierciański, mikołowski, rybnicki</w:t>
            </w:r>
          </w:p>
        </w:tc>
        <w:tc>
          <w:tcPr>
            <w:tcW w:w="3118" w:type="dxa"/>
            <w:tcBorders>
              <w:top w:val="nil"/>
              <w:left w:val="single" w:sz="4" w:space="0" w:color="D9D9D9" w:themeColor="background1" w:themeShade="D9"/>
              <w:bottom w:val="single" w:sz="4" w:space="0" w:color="D9D9D9" w:themeColor="background1" w:themeShade="D9"/>
            </w:tcBorders>
          </w:tcPr>
          <w:p w14:paraId="5EEB07ED" w14:textId="3F43EDDD" w:rsidR="002423C2" w:rsidRPr="002423C2" w:rsidRDefault="00CE2A6B" w:rsidP="002423C2">
            <w:pPr>
              <w:jc w:val="left"/>
              <w:rPr>
                <w:sz w:val="18"/>
                <w:szCs w:val="20"/>
              </w:rPr>
            </w:pPr>
            <w:r>
              <w:rPr>
                <w:sz w:val="18"/>
                <w:szCs w:val="20"/>
              </w:rPr>
              <w:t>(dokument obejmuje zarówno obszary Śląska, jak i Małopolski</w:t>
            </w:r>
            <w:r w:rsidR="00DB7F8F">
              <w:rPr>
                <w:sz w:val="18"/>
                <w:szCs w:val="20"/>
              </w:rPr>
              <w:t>, zgodnie z</w:t>
            </w:r>
            <w:r w:rsidR="003666DA">
              <w:rPr>
                <w:sz w:val="18"/>
                <w:szCs w:val="20"/>
              </w:rPr>
              <w:t> </w:t>
            </w:r>
            <w:r w:rsidR="00DB7F8F">
              <w:rPr>
                <w:sz w:val="18"/>
                <w:szCs w:val="20"/>
              </w:rPr>
              <w:t>ustaleniami z KE</w:t>
            </w:r>
            <w:r>
              <w:rPr>
                <w:sz w:val="18"/>
                <w:szCs w:val="20"/>
              </w:rPr>
              <w:t>)</w:t>
            </w:r>
          </w:p>
        </w:tc>
      </w:tr>
      <w:tr w:rsidR="002423C2" w:rsidRPr="009267BC" w14:paraId="4DC3FBE5" w14:textId="76FB3666" w:rsidTr="00654A96">
        <w:trPr>
          <w:trHeight w:val="211"/>
        </w:trPr>
        <w:tc>
          <w:tcPr>
            <w:tcW w:w="1402" w:type="dxa"/>
            <w:tcBorders>
              <w:top w:val="single" w:sz="4" w:space="0" w:color="D9D9D9" w:themeColor="background1" w:themeShade="D9"/>
              <w:bottom w:val="single" w:sz="8" w:space="0" w:color="7F7F7F" w:themeColor="text1" w:themeTint="80"/>
            </w:tcBorders>
          </w:tcPr>
          <w:p w14:paraId="0B1CD07D" w14:textId="77777777" w:rsidR="002423C2" w:rsidRPr="009267BC" w:rsidRDefault="002423C2" w:rsidP="002423C2">
            <w:pPr>
              <w:rPr>
                <w:b/>
                <w:bCs/>
                <w:sz w:val="18"/>
                <w:szCs w:val="20"/>
              </w:rPr>
            </w:pPr>
            <w:r w:rsidRPr="009267BC">
              <w:rPr>
                <w:b/>
                <w:bCs/>
                <w:sz w:val="18"/>
                <w:szCs w:val="20"/>
              </w:rPr>
              <w:t>wielkopolskie</w:t>
            </w:r>
          </w:p>
        </w:tc>
        <w:tc>
          <w:tcPr>
            <w:tcW w:w="4552" w:type="dxa"/>
            <w:tcBorders>
              <w:top w:val="single" w:sz="4" w:space="0" w:color="D9D9D9" w:themeColor="background1" w:themeShade="D9"/>
              <w:bottom w:val="single" w:sz="8" w:space="0" w:color="7F7F7F" w:themeColor="text1" w:themeTint="80"/>
              <w:right w:val="single" w:sz="4" w:space="0" w:color="D9D9D9" w:themeColor="background1" w:themeShade="D9"/>
            </w:tcBorders>
          </w:tcPr>
          <w:p w14:paraId="5202BAC5" w14:textId="77777777" w:rsidR="002423C2" w:rsidRPr="009507A8" w:rsidRDefault="002423C2" w:rsidP="002423C2">
            <w:pPr>
              <w:jc w:val="left"/>
              <w:rPr>
                <w:sz w:val="18"/>
                <w:szCs w:val="20"/>
              </w:rPr>
            </w:pPr>
            <w:r w:rsidRPr="009507A8">
              <w:rPr>
                <w:sz w:val="18"/>
                <w:szCs w:val="20"/>
              </w:rPr>
              <w:t>m. Konin, powiaty kolski, koniński, słupecki i turecki</w:t>
            </w:r>
          </w:p>
        </w:tc>
        <w:tc>
          <w:tcPr>
            <w:tcW w:w="3118" w:type="dxa"/>
            <w:tcBorders>
              <w:top w:val="single" w:sz="4" w:space="0" w:color="D9D9D9" w:themeColor="background1" w:themeShade="D9"/>
              <w:left w:val="single" w:sz="4" w:space="0" w:color="D9D9D9" w:themeColor="background1" w:themeShade="D9"/>
              <w:bottom w:val="single" w:sz="8" w:space="0" w:color="7F7F7F" w:themeColor="text1" w:themeTint="80"/>
            </w:tcBorders>
          </w:tcPr>
          <w:p w14:paraId="1E62CDC9" w14:textId="1E31B681" w:rsidR="002423C2" w:rsidRPr="004372F3" w:rsidRDefault="005C7B18" w:rsidP="002423C2">
            <w:pPr>
              <w:jc w:val="left"/>
              <w:rPr>
                <w:i/>
                <w:sz w:val="18"/>
                <w:szCs w:val="20"/>
              </w:rPr>
            </w:pPr>
            <w:bookmarkStart w:id="844" w:name="_Hlk195183726"/>
            <w:r w:rsidRPr="004372F3">
              <w:rPr>
                <w:i/>
                <w:iCs/>
                <w:sz w:val="18"/>
                <w:szCs w:val="20"/>
              </w:rPr>
              <w:t>Terytorialny Plan Sprawiedliwej Transformacji Wielkopolski</w:t>
            </w:r>
            <w:bookmarkEnd w:id="844"/>
            <w:r w:rsidRPr="004372F3">
              <w:rPr>
                <w:i/>
                <w:iCs/>
                <w:sz w:val="18"/>
                <w:szCs w:val="20"/>
              </w:rPr>
              <w:t xml:space="preserve"> Wschodniej</w:t>
            </w:r>
            <w:r>
              <w:rPr>
                <w:sz w:val="18"/>
                <w:szCs w:val="20"/>
              </w:rPr>
              <w:t xml:space="preserve">, </w:t>
            </w:r>
            <w:hyperlink r:id="rId98" w:history="1">
              <w:r w:rsidRPr="005C7B18">
                <w:rPr>
                  <w:rStyle w:val="Hipercze"/>
                  <w:sz w:val="18"/>
                  <w:szCs w:val="20"/>
                </w:rPr>
                <w:t>link</w:t>
              </w:r>
            </w:hyperlink>
          </w:p>
        </w:tc>
      </w:tr>
    </w:tbl>
    <w:p w14:paraId="2EF6C9A2" w14:textId="77777777" w:rsidR="007F1B66" w:rsidRDefault="007F1B66" w:rsidP="007F1B66"/>
    <w:p w14:paraId="6378618E" w14:textId="56F9804D" w:rsidR="00982E9E" w:rsidRDefault="00982E9E" w:rsidP="00982E9E">
      <w:pPr>
        <w:pStyle w:val="PaMs"/>
      </w:pPr>
      <w:r w:rsidRPr="00C46DAA">
        <w:t>POLITYKA</w:t>
      </w:r>
    </w:p>
    <w:p w14:paraId="0D48A6D3" w14:textId="087939D7" w:rsidR="00C46725" w:rsidRDefault="00C46725" w:rsidP="00982E9E">
      <w:r>
        <w:t xml:space="preserve">Sprawiedliwa transformacja będzie opierać się na wsparciu regionów węglowych i związanych z gospodarką paliwami kopalnymi. W pierwszej kolejności uwaga skupiona będzie na </w:t>
      </w:r>
      <w:r w:rsidR="00995A63">
        <w:t>działalności i </w:t>
      </w:r>
      <w:r>
        <w:t xml:space="preserve">obszarach związanych z </w:t>
      </w:r>
      <w:r w:rsidR="009507A8">
        <w:t xml:space="preserve">wydobyciem i </w:t>
      </w:r>
      <w:r>
        <w:t xml:space="preserve">wykorzystaniem węgla. Kluczowym warunkiem wsparcia jest </w:t>
      </w:r>
      <w:r w:rsidR="00995A63">
        <w:t>chęć</w:t>
      </w:r>
      <w:r>
        <w:t xml:space="preserve"> dążenia do dekarbonizacji. </w:t>
      </w:r>
    </w:p>
    <w:p w14:paraId="3EEEA265" w14:textId="000D6A29" w:rsidR="00995A63" w:rsidRDefault="00287F39" w:rsidP="00982E9E">
      <w:r>
        <w:t xml:space="preserve">Utrzymane zostanie wsparcie branży węglowej zgodnie z </w:t>
      </w:r>
      <w:r w:rsidRPr="0033505A">
        <w:rPr>
          <w:i/>
          <w:iCs/>
        </w:rPr>
        <w:t>umowami społecznymi</w:t>
      </w:r>
      <w:r>
        <w:t xml:space="preserve">, ale </w:t>
      </w:r>
      <w:r w:rsidR="0033505A">
        <w:t>mile widziane będzie dobrowolne, wcześniejsze kończenie pracy w branży. Plan odjeść w poszczególnych zakładach górniczych nie powinien powodować braku mo</w:t>
      </w:r>
      <w:r w:rsidR="00995A63">
        <w:t>żl</w:t>
      </w:r>
      <w:r w:rsidR="0033505A">
        <w:t>iwo</w:t>
      </w:r>
      <w:r w:rsidR="00995A63">
        <w:t>śc</w:t>
      </w:r>
      <w:r w:rsidR="0033505A">
        <w:t>i sprawnej likwidacji</w:t>
      </w:r>
      <w:r w:rsidR="00995A63">
        <w:t xml:space="preserve">. Nie jest także dopuszczalne zwiększanie zatrudnienia i jednoczesne wynagradzanie odejść w danym zakładzie. Wsparcie może być udzielone tylko raz, </w:t>
      </w:r>
      <w:r w:rsidR="00AE3A6D">
        <w:t>ponadto musi zakładać co najmniej kilkuletni staż pracy</w:t>
      </w:r>
      <w:r w:rsidR="00D554FF">
        <w:t xml:space="preserve"> (proces wymaga ścisłego monitoringu). </w:t>
      </w:r>
      <w:r w:rsidR="00AE3A6D">
        <w:t xml:space="preserve">Młodzi mieszkańcy regionów </w:t>
      </w:r>
      <w:r w:rsidR="00D554FF">
        <w:t xml:space="preserve">węglowych </w:t>
      </w:r>
      <w:r w:rsidR="00AE3A6D">
        <w:t xml:space="preserve">powinni czerpać z innych form wsparcia transformacji, tak by zredukować ryzyko nieefektywnego wsparcia </w:t>
      </w:r>
      <w:r w:rsidR="00D554FF">
        <w:t xml:space="preserve">– </w:t>
      </w:r>
      <w:r w:rsidR="00DF2974">
        <w:t xml:space="preserve">tj. </w:t>
      </w:r>
      <w:r w:rsidR="00AE3A6D">
        <w:t>np.</w:t>
      </w:r>
      <w:r w:rsidR="00D554FF">
        <w:t xml:space="preserve"> </w:t>
      </w:r>
      <w:r w:rsidR="00AE3A6D">
        <w:t xml:space="preserve">przeznaczenie środków na wydatki bytowe, zamiast </w:t>
      </w:r>
      <w:r w:rsidR="00D554FF">
        <w:t>inwestycji w zwiększenie kompetencji lub rozpoczęcie działalności gospodarczej.</w:t>
      </w:r>
      <w:r w:rsidR="003E2DE5">
        <w:t xml:space="preserve"> </w:t>
      </w:r>
    </w:p>
    <w:p w14:paraId="1C126EBB" w14:textId="39D39ED5" w:rsidR="00CB3B7A" w:rsidRDefault="00C46725" w:rsidP="00D554FF">
      <w:pPr>
        <w:spacing w:before="360"/>
      </w:pPr>
      <w:r>
        <w:lastRenderedPageBreak/>
        <w:t xml:space="preserve">Szczególnym narzędziem </w:t>
      </w:r>
      <w:r w:rsidR="00CB3B7A">
        <w:t xml:space="preserve">wdrażania zmian </w:t>
      </w:r>
      <w:r>
        <w:t xml:space="preserve">będzie </w:t>
      </w:r>
      <w:r w:rsidR="00CB3B7A" w:rsidRPr="00CB3B7A">
        <w:rPr>
          <w:b/>
          <w:bCs/>
        </w:rPr>
        <w:t>Fundusz na rzecz Sprawiedliwej Transformacji</w:t>
      </w:r>
      <w:r w:rsidR="00CB3B7A">
        <w:t xml:space="preserve">, mieszczący się w </w:t>
      </w:r>
      <w:r>
        <w:t>Mechanizm</w:t>
      </w:r>
      <w:r w:rsidR="00CB3B7A">
        <w:t>ie</w:t>
      </w:r>
      <w:r>
        <w:t xml:space="preserve"> Sprawiedliwej Transformacji</w:t>
      </w:r>
      <w:r w:rsidR="00CB3B7A">
        <w:t>. Alokacja Funduszu wynosi 3,85 mld EUR</w:t>
      </w:r>
      <w:r w:rsidR="00CB3B7A" w:rsidRPr="00CB3B7A">
        <w:t xml:space="preserve"> </w:t>
      </w:r>
      <w:r w:rsidR="00CB3B7A">
        <w:t>w perspektywie 2027 r. Dodatkowo określone zostały krajowe środki na ten cel</w:t>
      </w:r>
      <w:r w:rsidR="00EC500D">
        <w:t>,</w:t>
      </w:r>
      <w:r w:rsidR="00CB3B7A">
        <w:t xml:space="preserve"> sięgające 0,93 mld zł. Warunkiem pozyskania środków jest przygotowanie </w:t>
      </w:r>
      <w:r w:rsidR="00CB3B7A" w:rsidRPr="00CB3B7A">
        <w:rPr>
          <w:b/>
          <w:bCs/>
        </w:rPr>
        <w:t>terytorialnych planów sprawiedliwej transformacji</w:t>
      </w:r>
      <w:r w:rsidR="00CB3B7A">
        <w:t xml:space="preserve"> – w okresie opracowania KPEiK obowiązywały cztery TPST</w:t>
      </w:r>
      <w:r w:rsidR="00EB031A">
        <w:t>,</w:t>
      </w:r>
      <w:r w:rsidR="00CB3B7A">
        <w:t xml:space="preserve"> obejmujące pięć polskich regionów</w:t>
      </w:r>
      <w:r w:rsidR="00D554FF">
        <w:t xml:space="preserve"> (zestawienie wyżej)</w:t>
      </w:r>
      <w:r w:rsidR="00CB3B7A">
        <w:t>.</w:t>
      </w:r>
    </w:p>
    <w:p w14:paraId="1C437D73" w14:textId="0B456DAF" w:rsidR="00982E9E" w:rsidRDefault="00EB031A" w:rsidP="00982E9E">
      <w:r>
        <w:t>Nie wyklucza się objęcia wsparciem również innych obszarów. Niemniej jednak kompleksowe wsparcie transformacji energetyczno-klimatycznej</w:t>
      </w:r>
      <w:r w:rsidR="004F2510">
        <w:t>, a także rozwój gospodarczy ukierunkowany na innowacyjność</w:t>
      </w:r>
      <w:r>
        <w:t xml:space="preserve"> stwarza</w:t>
      </w:r>
      <w:r w:rsidR="004F2510">
        <w:t>ją</w:t>
      </w:r>
      <w:r>
        <w:t xml:space="preserve"> szanse dla </w:t>
      </w:r>
      <w:r w:rsidR="004F2510">
        <w:t xml:space="preserve">wszystkich regionów kraju. </w:t>
      </w:r>
      <w:r w:rsidR="00287F39">
        <w:t xml:space="preserve">Im szybciej dostrzeżone i wykorzystane zostaną możliwości przez przedsiębiorców, tym sprawniej przebiegnie zmiana, a interwencja może okazać się niepotrzebna. </w:t>
      </w:r>
    </w:p>
    <w:p w14:paraId="643057BA" w14:textId="2EBB229E" w:rsidR="00982E9E" w:rsidRDefault="00D554FF" w:rsidP="00D554FF">
      <w:pPr>
        <w:spacing w:before="360"/>
      </w:pPr>
      <w:r>
        <w:t xml:space="preserve">W ramach zapewnienia </w:t>
      </w:r>
      <w:r w:rsidRPr="00D554FF">
        <w:rPr>
          <w:b/>
          <w:bCs/>
        </w:rPr>
        <w:t>sprawiedliwej transformacji</w:t>
      </w:r>
      <w:r>
        <w:t xml:space="preserve"> d</w:t>
      </w:r>
      <w:r w:rsidR="00982E9E">
        <w:t xml:space="preserve">ziałania będą nastawione na to, aby zapewnić </w:t>
      </w:r>
      <w:r>
        <w:t xml:space="preserve">nie tylko </w:t>
      </w:r>
      <w:r w:rsidR="00982E9E">
        <w:t>osłony socjalne pracowników</w:t>
      </w:r>
      <w:r>
        <w:t>, ale</w:t>
      </w:r>
      <w:r w:rsidR="00982E9E">
        <w:t xml:space="preserve"> stworzyć nowe specjalizacje regionów oraz trwałe miejsca pracy, ale przede wszystkim by zbudować nowe branże przemysłu współuczestniczące w przekształceniach sektora. W szczególności </w:t>
      </w:r>
      <w:r w:rsidR="007E6F82">
        <w:t xml:space="preserve">działania te </w:t>
      </w:r>
      <w:r w:rsidR="00982E9E">
        <w:t>powinny wpływać na rozwój OZE, gospodarki wodorowej i innych paliw alternatywnych, elektromobilności, magazynowania energii, cyfryzacj</w:t>
      </w:r>
      <w:r w:rsidR="00D171B9">
        <w:t>i</w:t>
      </w:r>
      <w:r w:rsidR="00982E9E">
        <w:t xml:space="preserve">, ale również adaptacji do zmian klimatu i poprawy jakości powietrza. </w:t>
      </w:r>
    </w:p>
    <w:p w14:paraId="3315F9F8" w14:textId="3DCA5CF5" w:rsidR="00742249" w:rsidRDefault="00742249" w:rsidP="006F10E0">
      <w:pPr>
        <w:spacing w:before="240" w:after="80"/>
      </w:pPr>
      <w:r>
        <w:t xml:space="preserve">W szczególności prowadzone będą następujące </w:t>
      </w:r>
      <w:r w:rsidR="002E0EF4">
        <w:t>inicjatywy</w:t>
      </w:r>
      <w:r w:rsidR="0090020E">
        <w:t xml:space="preserve"> – w powiązaniu z wymiarem V, dotyczą</w:t>
      </w:r>
      <w:r w:rsidR="00B94EF1">
        <w:t>cym</w:t>
      </w:r>
      <w:r w:rsidR="0090020E">
        <w:t xml:space="preserve"> działalności badawczo-rozwojowej, polityki naukowej</w:t>
      </w:r>
      <w:r w:rsidR="008D7574">
        <w:t>,</w:t>
      </w:r>
      <w:r w:rsidR="0090020E">
        <w:t xml:space="preserve"> kierunków i sposobów kształcenia</w:t>
      </w:r>
      <w:r w:rsidR="008D7574">
        <w:t xml:space="preserve"> oraz wzmacniania konkurencyjności</w:t>
      </w:r>
      <w:r>
        <w:t>:</w:t>
      </w:r>
    </w:p>
    <w:p w14:paraId="6D235CC2" w14:textId="004DD972" w:rsidR="00742249" w:rsidRPr="00F525EC" w:rsidRDefault="00D554FF" w:rsidP="000625AC">
      <w:pPr>
        <w:pStyle w:val="Akapitzlist"/>
        <w:numPr>
          <w:ilvl w:val="0"/>
          <w:numId w:val="42"/>
        </w:numPr>
        <w:spacing w:before="120" w:after="120"/>
      </w:pPr>
      <w:r>
        <w:t>Rozwinięcie</w:t>
      </w:r>
      <w:r w:rsidRPr="00F525EC">
        <w:t xml:space="preserve"> </w:t>
      </w:r>
      <w:r w:rsidR="00742249" w:rsidRPr="00F525EC">
        <w:t>systemu zachęt inwestycyjnych w regionach wydobywczych i wysokoemisyjnych</w:t>
      </w:r>
      <w:r w:rsidR="00742249">
        <w:t>;</w:t>
      </w:r>
    </w:p>
    <w:p w14:paraId="74CB64AC" w14:textId="0F452E23" w:rsidR="00FF0945" w:rsidRPr="00F525EC" w:rsidRDefault="008D7574" w:rsidP="000625AC">
      <w:pPr>
        <w:pStyle w:val="Akapitzlist"/>
        <w:numPr>
          <w:ilvl w:val="0"/>
          <w:numId w:val="42"/>
        </w:numPr>
        <w:spacing w:before="120" w:after="120"/>
      </w:pPr>
      <w:r>
        <w:t>Realizacja projektów inwestycyjnych, m</w:t>
      </w:r>
      <w:r w:rsidR="00CE3D34">
        <w:t>odernizacj</w:t>
      </w:r>
      <w:r>
        <w:t>a</w:t>
      </w:r>
      <w:r w:rsidR="00CE3D34">
        <w:t xml:space="preserve"> istniejącego i budow</w:t>
      </w:r>
      <w:r>
        <w:t>a</w:t>
      </w:r>
      <w:r w:rsidR="00CE3D34">
        <w:t xml:space="preserve"> nowego przemysłu;</w:t>
      </w:r>
    </w:p>
    <w:p w14:paraId="00AA6B20" w14:textId="77777777" w:rsidR="00742249" w:rsidRPr="00F525EC" w:rsidRDefault="00742249" w:rsidP="000625AC">
      <w:pPr>
        <w:pStyle w:val="Akapitzlist"/>
        <w:numPr>
          <w:ilvl w:val="0"/>
          <w:numId w:val="42"/>
        </w:numPr>
        <w:spacing w:before="240" w:after="120"/>
      </w:pPr>
      <w:r w:rsidRPr="00F525EC">
        <w:t>Mapowanie potrzeb regionów w zakresie dostępności i kwalifikacji kadr w sektorach energetycznych i okołobranżowych w kontekście projektów inwestycyjno-transformacyjnych</w:t>
      </w:r>
      <w:r>
        <w:t>;</w:t>
      </w:r>
    </w:p>
    <w:p w14:paraId="24DC6CCA" w14:textId="77777777" w:rsidR="00742249" w:rsidRPr="00F525EC" w:rsidRDefault="00742249" w:rsidP="000625AC">
      <w:pPr>
        <w:pStyle w:val="Akapitzlist"/>
        <w:numPr>
          <w:ilvl w:val="0"/>
          <w:numId w:val="42"/>
        </w:numPr>
        <w:spacing w:before="240" w:after="120"/>
      </w:pPr>
      <w:r w:rsidRPr="00F525EC">
        <w:t>Mapowanie potrzeb kształcenia i przekwalifikowania zawodowego</w:t>
      </w:r>
      <w:r>
        <w:t>;</w:t>
      </w:r>
    </w:p>
    <w:p w14:paraId="374643C5" w14:textId="77777777" w:rsidR="00742249" w:rsidRPr="00F525EC" w:rsidRDefault="00742249" w:rsidP="000625AC">
      <w:pPr>
        <w:pStyle w:val="Akapitzlist"/>
        <w:numPr>
          <w:ilvl w:val="0"/>
          <w:numId w:val="42"/>
        </w:numPr>
        <w:spacing w:before="240" w:after="120"/>
      </w:pPr>
      <w:r w:rsidRPr="00F525EC">
        <w:t>Projektowanie i programowanie kierunków kształcenia i doskonalenia zawodowego</w:t>
      </w:r>
      <w:r>
        <w:t>;</w:t>
      </w:r>
    </w:p>
    <w:p w14:paraId="1DA2BF5D" w14:textId="1CD99FAE" w:rsidR="00742249" w:rsidRPr="00F525EC" w:rsidRDefault="00742249" w:rsidP="000625AC">
      <w:pPr>
        <w:pStyle w:val="Akapitzlist"/>
        <w:numPr>
          <w:ilvl w:val="0"/>
          <w:numId w:val="42"/>
        </w:numPr>
        <w:spacing w:before="240" w:after="120"/>
      </w:pPr>
      <w:r w:rsidRPr="00F525EC">
        <w:t>Zintegrowanie działań szkoleniowo-rekrutacyjnych pomiędzy instytucjami publicznymi i</w:t>
      </w:r>
      <w:r>
        <w:t> </w:t>
      </w:r>
      <w:r w:rsidRPr="00F525EC">
        <w:t>podmiotami gospodarczymi</w:t>
      </w:r>
      <w:r>
        <w:t>;</w:t>
      </w:r>
    </w:p>
    <w:p w14:paraId="0794060A" w14:textId="05CC0027" w:rsidR="00742249" w:rsidRPr="00F525EC" w:rsidRDefault="00742249" w:rsidP="000625AC">
      <w:pPr>
        <w:pStyle w:val="Akapitzlist"/>
        <w:numPr>
          <w:ilvl w:val="0"/>
          <w:numId w:val="42"/>
        </w:numPr>
        <w:spacing w:before="240" w:after="120"/>
      </w:pPr>
      <w:r w:rsidRPr="00F525EC">
        <w:t xml:space="preserve">Doradztwo i kampanie edukacyjno-informacyjne </w:t>
      </w:r>
      <w:r>
        <w:t>oraz</w:t>
      </w:r>
      <w:r w:rsidRPr="00F525EC">
        <w:t xml:space="preserve"> ośrodki wsparcia pracowników w</w:t>
      </w:r>
      <w:r>
        <w:t> </w:t>
      </w:r>
      <w:r w:rsidRPr="00F525EC">
        <w:t>transformacji i ich rodzin</w:t>
      </w:r>
      <w:r>
        <w:t>;</w:t>
      </w:r>
    </w:p>
    <w:p w14:paraId="54B86A66" w14:textId="77777777" w:rsidR="00742249" w:rsidRDefault="00742249" w:rsidP="000625AC">
      <w:pPr>
        <w:pStyle w:val="Akapitzlist"/>
        <w:numPr>
          <w:ilvl w:val="0"/>
          <w:numId w:val="42"/>
        </w:numPr>
        <w:spacing w:before="240" w:after="120"/>
      </w:pPr>
      <w:r w:rsidRPr="00F525EC">
        <w:t>Zachowanie tradycji i dziedzictwa kulturowego regionów wydobywczo-przemysłowych</w:t>
      </w:r>
      <w:r>
        <w:t>;</w:t>
      </w:r>
    </w:p>
    <w:p w14:paraId="2CFDEBB2" w14:textId="459B8BE8" w:rsidR="0090020E" w:rsidRPr="009F0F44" w:rsidRDefault="00EE6E4B" w:rsidP="000625AC">
      <w:pPr>
        <w:pStyle w:val="Akapitzlist"/>
        <w:numPr>
          <w:ilvl w:val="0"/>
          <w:numId w:val="42"/>
        </w:numPr>
      </w:pPr>
      <w:r>
        <w:t>Kampania edukacyjno-informacyjna dotycząca planów i praktycznych wymiarów transformacji oraz wielopoziomowe konsultacje publiczne aKPEiK i dokumentów strategicznych dotyczących transformacji energetycznej</w:t>
      </w:r>
      <w:r w:rsidR="00742249">
        <w:t>.</w:t>
      </w:r>
    </w:p>
    <w:p w14:paraId="2DA26831" w14:textId="77777777" w:rsidR="00982E9E" w:rsidRPr="00C46DAA" w:rsidRDefault="00982E9E" w:rsidP="00982E9E">
      <w:pPr>
        <w:pStyle w:val="PaMs"/>
      </w:pPr>
      <w:r w:rsidRPr="00C46DAA">
        <w:t>DZIAŁANIA</w:t>
      </w:r>
    </w:p>
    <w:p w14:paraId="1AB1F18B" w14:textId="0939CA9D" w:rsidR="003C6628" w:rsidRDefault="00F76C9D" w:rsidP="003530A9">
      <w:pPr>
        <w:pStyle w:val="Akapitzlist"/>
        <w:numPr>
          <w:ilvl w:val="0"/>
          <w:numId w:val="3"/>
        </w:numPr>
      </w:pPr>
      <w:r w:rsidRPr="008A3B68">
        <w:fldChar w:fldCharType="begin"/>
      </w:r>
      <w:r w:rsidRPr="008A3B68">
        <w:instrText xml:space="preserve"> REF _Ref195890073 \h </w:instrText>
      </w:r>
      <w:r w:rsidR="008A3B68">
        <w:instrText xml:space="preserve"> \* MERGEFORMAT </w:instrText>
      </w:r>
      <w:r w:rsidRPr="008A3B68">
        <w:fldChar w:fldCharType="separate"/>
      </w:r>
      <w:r w:rsidR="00871DD5" w:rsidRPr="00871DD5">
        <w:rPr>
          <w:rStyle w:val="Nagwek6Znak"/>
          <w:rFonts w:ascii="Lato" w:hAnsi="Lato"/>
          <w:b w:val="0"/>
        </w:rPr>
        <w:t xml:space="preserve">Działanie </w:t>
      </w:r>
      <w:r w:rsidR="00871DD5" w:rsidRPr="00871DD5">
        <w:rPr>
          <w:lang w:eastAsia="pl-PL"/>
        </w:rPr>
        <w:t xml:space="preserve">150. </w:t>
      </w:r>
      <w:r w:rsidR="00871DD5" w:rsidRPr="004D6F82">
        <w:rPr>
          <w:lang w:eastAsia="pl-PL"/>
        </w:rPr>
        <w:t>Zapewnienie wsparcia dla regionów węglowych</w:t>
      </w:r>
      <w:r w:rsidRPr="008A3B68">
        <w:fldChar w:fldCharType="end"/>
      </w:r>
    </w:p>
    <w:p w14:paraId="1D68958A" w14:textId="125D326C" w:rsidR="00F76C9D" w:rsidRDefault="00F76C9D" w:rsidP="003530A9">
      <w:pPr>
        <w:pStyle w:val="Akapitzlist"/>
        <w:numPr>
          <w:ilvl w:val="0"/>
          <w:numId w:val="3"/>
        </w:numPr>
      </w:pPr>
      <w:r w:rsidRPr="008A3B68">
        <w:fldChar w:fldCharType="begin"/>
      </w:r>
      <w:r w:rsidRPr="008A3B68">
        <w:instrText xml:space="preserve"> REF _Ref195890080 \h </w:instrText>
      </w:r>
      <w:r w:rsidR="008A3B68">
        <w:instrText xml:space="preserve"> \* MERGEFORMAT </w:instrText>
      </w:r>
      <w:r w:rsidRPr="008A3B68">
        <w:fldChar w:fldCharType="separate"/>
      </w:r>
      <w:r w:rsidR="00871DD5" w:rsidRPr="00871DD5">
        <w:rPr>
          <w:rStyle w:val="Nagwek6Znak"/>
          <w:rFonts w:ascii="Lato" w:hAnsi="Lato"/>
          <w:b w:val="0"/>
        </w:rPr>
        <w:t xml:space="preserve">Działanie </w:t>
      </w:r>
      <w:r w:rsidR="00871DD5" w:rsidRPr="00871DD5">
        <w:rPr>
          <w:lang w:eastAsia="pl-PL"/>
        </w:rPr>
        <w:t>151.</w:t>
      </w:r>
      <w:r w:rsidR="00871DD5" w:rsidRPr="004D6F82">
        <w:rPr>
          <w:lang w:eastAsia="pl-PL"/>
        </w:rPr>
        <w:t xml:space="preserve"> Zapewnienie rozwoju regionów</w:t>
      </w:r>
      <w:r w:rsidR="00871DD5">
        <w:rPr>
          <w:lang w:eastAsia="pl-PL"/>
        </w:rPr>
        <w:t xml:space="preserve"> </w:t>
      </w:r>
      <w:r w:rsidR="00871DD5" w:rsidRPr="004D6F82">
        <w:rPr>
          <w:lang w:eastAsia="pl-PL"/>
        </w:rPr>
        <w:t>węglowych</w:t>
      </w:r>
      <w:r w:rsidRPr="008A3B68">
        <w:fldChar w:fldCharType="end"/>
      </w:r>
    </w:p>
    <w:p w14:paraId="7720A841" w14:textId="6F07533C" w:rsidR="00994922" w:rsidRDefault="00994922" w:rsidP="00994922">
      <w:pPr>
        <w:pStyle w:val="Nagwek4"/>
        <w:rPr>
          <w:color w:val="FFC000" w:themeColor="accent4"/>
        </w:rPr>
      </w:pPr>
      <w:bookmarkStart w:id="845" w:name="_Toc195897393"/>
      <w:bookmarkStart w:id="846" w:name="_Toc205203226"/>
      <w:bookmarkStart w:id="847" w:name="_Hlk174457289"/>
      <w:r>
        <w:rPr>
          <w:color w:val="FFC000" w:themeColor="accent4"/>
        </w:rPr>
        <w:lastRenderedPageBreak/>
        <w:t>Tworzenie zielonych miejsc pracy</w:t>
      </w:r>
      <w:bookmarkEnd w:id="845"/>
      <w:bookmarkEnd w:id="846"/>
    </w:p>
    <w:p w14:paraId="3AE3CB83" w14:textId="175D01CA" w:rsidR="00994922" w:rsidRDefault="00994922" w:rsidP="00994922">
      <w:r w:rsidRPr="000A68A0">
        <w:rPr>
          <w:noProof/>
          <w:lang w:eastAsia="pl-PL"/>
        </w:rPr>
        <mc:AlternateContent>
          <mc:Choice Requires="wps">
            <w:drawing>
              <wp:anchor distT="0" distB="0" distL="114300" distR="114300" simplePos="0" relativeHeight="251571712" behindDoc="1" locked="0" layoutInCell="1" allowOverlap="1" wp14:anchorId="0D15BC66" wp14:editId="4D53784A">
                <wp:simplePos x="0" y="0"/>
                <wp:positionH relativeFrom="margin">
                  <wp:posOffset>2638425</wp:posOffset>
                </wp:positionH>
                <wp:positionV relativeFrom="paragraph">
                  <wp:posOffset>57785</wp:posOffset>
                </wp:positionV>
                <wp:extent cx="2999740" cy="1098550"/>
                <wp:effectExtent l="19050" t="57150" r="105410" b="82550"/>
                <wp:wrapSquare wrapText="bothSides"/>
                <wp:docPr id="1530167830" name="Prostokąt: zaokrąglone rogi 1"/>
                <wp:cNvGraphicFramePr/>
                <a:graphic xmlns:a="http://schemas.openxmlformats.org/drawingml/2006/main">
                  <a:graphicData uri="http://schemas.microsoft.com/office/word/2010/wordprocessingShape">
                    <wps:wsp>
                      <wps:cNvSpPr/>
                      <wps:spPr>
                        <a:xfrm>
                          <a:off x="0" y="0"/>
                          <a:ext cx="2999740" cy="1098550"/>
                        </a:xfrm>
                        <a:prstGeom prst="roundRect">
                          <a:avLst>
                            <a:gd name="adj" fmla="val 11857"/>
                          </a:avLst>
                        </a:prstGeom>
                        <a:solidFill>
                          <a:sysClr val="window" lastClr="FFFFFF"/>
                        </a:solidFill>
                        <a:ln w="6350" cap="flat" cmpd="sng" algn="ctr">
                          <a:solidFill>
                            <a:schemeClr val="accent4"/>
                          </a:solidFill>
                          <a:prstDash val="solid"/>
                          <a:miter lim="800000"/>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txbx>
                        <w:txbxContent>
                          <w:p w14:paraId="2D38D416" w14:textId="70B34FB0" w:rsidR="00C36C5C" w:rsidRPr="004E21CF" w:rsidRDefault="00C36C5C" w:rsidP="00994922">
                            <w:pPr>
                              <w:pStyle w:val="Ramka"/>
                            </w:pPr>
                            <w:r>
                              <w:rPr>
                                <w:b/>
                                <w:bCs/>
                              </w:rPr>
                              <w:t>Z</w:t>
                            </w:r>
                            <w:r w:rsidRPr="000A68A0">
                              <w:rPr>
                                <w:b/>
                                <w:bCs/>
                              </w:rPr>
                              <w:t>ielone miejsca pracy</w:t>
                            </w:r>
                            <w:r w:rsidRPr="000A68A0">
                              <w:t xml:space="preserve"> </w:t>
                            </w:r>
                            <w:r>
                              <w:t xml:space="preserve">są to </w:t>
                            </w:r>
                            <w:r w:rsidRPr="00463575">
                              <w:t>stanowisk</w:t>
                            </w:r>
                            <w:r>
                              <w:t>a</w:t>
                            </w:r>
                            <w:r w:rsidRPr="00463575">
                              <w:t>, które bezpośrednio lub pośrednio przyczyniają się do</w:t>
                            </w:r>
                            <w:r>
                              <w:t> </w:t>
                            </w:r>
                            <w:r w:rsidRPr="00463575">
                              <w:t>ochrony środowiska naturalnego, promują zrównoważone wykorzystanie zasobów oraz wspierają działania na rzecz zmniejszenia emisji gazów cieplarnianych i</w:t>
                            </w:r>
                            <w:r>
                              <w:t> </w:t>
                            </w:r>
                            <w:r w:rsidRPr="00463575">
                              <w:t>łagodzenia skutków zmian</w:t>
                            </w:r>
                            <w:r>
                              <w:t>y</w:t>
                            </w:r>
                            <w:r w:rsidRPr="00463575">
                              <w:t xml:space="preserve"> klimatu</w:t>
                            </w:r>
                            <w:r>
                              <w: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15BC66" id="_x0000_s1131" style="position:absolute;left:0;text-align:left;margin-left:207.75pt;margin-top:4.55pt;width:236.2pt;height:86.5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" fillcolor="window" strokecolor="#ffc000 [3207]" strokeweight=".5pt">
                <v:stroke joinstyle="miter"/>
                <v:shadow on="t" color="black" opacity="26214f" origin="-.5" offset="3pt,0"/>
                <v:textbox inset="2mm,2.5mm,2mm,0">
                  <w:txbxContent>
                    <w:p w14:paraId="2D38D416" w14:textId="70B34FB0" w:rsidR="00C36C5C" w:rsidRPr="004E21CF" w:rsidRDefault="00C36C5C" w:rsidP="00994922">
                      <w:pPr>
                        <w:pStyle w:val="Ramka"/>
                      </w:pPr>
                      <w:r>
                        <w:rPr>
                          <w:b/>
                          <w:bCs/>
                        </w:rPr>
                        <w:t>Z</w:t>
                      </w:r>
                      <w:r w:rsidRPr="000A68A0">
                        <w:rPr>
                          <w:b/>
                          <w:bCs/>
                        </w:rPr>
                        <w:t>ielone miejsca pracy</w:t>
                      </w:r>
                      <w:r w:rsidRPr="000A68A0">
                        <w:t xml:space="preserve"> </w:t>
                      </w:r>
                      <w:r>
                        <w:t xml:space="preserve">są to </w:t>
                      </w:r>
                      <w:r w:rsidRPr="00463575">
                        <w:t>stanowisk</w:t>
                      </w:r>
                      <w:r>
                        <w:t>a</w:t>
                      </w:r>
                      <w:r w:rsidRPr="00463575">
                        <w:t>, które bezpośrednio lub pośrednio przyczyniają się do</w:t>
                      </w:r>
                      <w:r>
                        <w:t> </w:t>
                      </w:r>
                      <w:r w:rsidRPr="00463575">
                        <w:t>ochrony środowiska naturalnego, promują zrównoważone wykorzystanie zasobów oraz wspierają działania na rzecz zmniejszenia emisji gazów cieplarnianych i</w:t>
                      </w:r>
                      <w:r>
                        <w:t> </w:t>
                      </w:r>
                      <w:r w:rsidRPr="00463575">
                        <w:t>łagodzenia skutków zmian</w:t>
                      </w:r>
                      <w:r>
                        <w:t>y</w:t>
                      </w:r>
                      <w:r w:rsidRPr="00463575">
                        <w:t xml:space="preserve"> klimatu</w:t>
                      </w:r>
                      <w:r>
                        <w:t>.</w:t>
                      </w:r>
                    </w:p>
                  </w:txbxContent>
                </v:textbox>
                <w10:wrap type="square" anchorx="margin"/>
              </v:roundrect>
            </w:pict>
          </mc:Fallback>
        </mc:AlternateContent>
      </w:r>
      <w:r>
        <w:t>Zielone miejsca pracy</w:t>
      </w:r>
      <w:r w:rsidR="00527101">
        <w:t xml:space="preserve"> </w:t>
      </w:r>
      <w:r>
        <w:t>stanowią kluczowy element gospodarki, zorientowanej na transformację klimatyczno-energetyczną. W</w:t>
      </w:r>
      <w:r w:rsidR="00607918">
        <w:t> </w:t>
      </w:r>
      <w:r>
        <w:t>dobie rosnącej świadomości ekologicznej oraz narastających wyzwań związanych z</w:t>
      </w:r>
      <w:r w:rsidR="00607918">
        <w:t> </w:t>
      </w:r>
      <w:r>
        <w:t>globalnym ociepleniem, rola zielonych miejsc pracy staje się coraz bardziej istotna.</w:t>
      </w:r>
    </w:p>
    <w:p w14:paraId="50032AD8" w14:textId="2CEAE775" w:rsidR="00994922" w:rsidRDefault="00994922" w:rsidP="00994922">
      <w:r>
        <w:t xml:space="preserve">Zielone miejsca pracy są obecne w różnych sektorach gospodarki, takich jak energetyka odnawialna, rolnictwo ekologiczne, gospodarka wodna, </w:t>
      </w:r>
      <w:r w:rsidR="001F7F05">
        <w:t xml:space="preserve">gospodarowanie </w:t>
      </w:r>
      <w:r>
        <w:t>odpadami, transport publiczny, budownictwo energooszczędne, czy ochrona przyrody. Przykładami mogą być stanowiska związane z</w:t>
      </w:r>
      <w:r w:rsidR="00C07A2D">
        <w:t> </w:t>
      </w:r>
      <w:r>
        <w:t>produkcją i</w:t>
      </w:r>
      <w:r w:rsidR="001C2D15">
        <w:t> </w:t>
      </w:r>
      <w:r>
        <w:t xml:space="preserve">instalacją </w:t>
      </w:r>
      <w:r w:rsidR="00463575">
        <w:t>odnawialnych źródeł energii</w:t>
      </w:r>
      <w:r>
        <w:t>, pracą w recyklingu, ekoprojektowaniem, czy</w:t>
      </w:r>
      <w:r w:rsidR="00C07A2D">
        <w:t> </w:t>
      </w:r>
      <w:r>
        <w:t>zarządzaniem lasami</w:t>
      </w:r>
      <w:r w:rsidR="007E6F82">
        <w:t xml:space="preserve"> i obszarami cennymi przyrodniczo</w:t>
      </w:r>
      <w:r>
        <w:t>. W odróżnieniu od tradycyjnych miejsc pracy, te związane z zieloną gospodarką koncentrują się na tworzeniu rozwiązań, które minimalizują negatywny wpływ działalności człowieka na środowisko, a przy tym bezkolizyjnie wspierają proces transformacji</w:t>
      </w:r>
      <w:r w:rsidR="007E6F82">
        <w:t xml:space="preserve"> i</w:t>
      </w:r>
      <w:r w:rsidR="00C07A2D">
        <w:t> </w:t>
      </w:r>
      <w:r w:rsidR="007E6F82">
        <w:t>wzmacniają konkurencyjność gospodarki</w:t>
      </w:r>
      <w:r>
        <w:t xml:space="preserve">. </w:t>
      </w:r>
    </w:p>
    <w:p w14:paraId="248F7A89" w14:textId="4ABE3D4F" w:rsidR="00994922" w:rsidRDefault="00994922" w:rsidP="00994922">
      <w:r>
        <w:t xml:space="preserve">Potrzeba tworzenia zielonych miejsc pracy wynika z kilku czynników. </w:t>
      </w:r>
      <w:r w:rsidR="00527101">
        <w:t>Są</w:t>
      </w:r>
      <w:r>
        <w:t xml:space="preserve"> odpowiedzią na kryzys klimatyczny i konieczność transformacji gospodarki w kierunku </w:t>
      </w:r>
      <w:r w:rsidR="007E6F82">
        <w:t>zer</w:t>
      </w:r>
      <w:r>
        <w:t xml:space="preserve">oemisyjnego rozwoju. </w:t>
      </w:r>
      <w:r w:rsidR="00E27718">
        <w:t>Jak wskazuje nauka, s</w:t>
      </w:r>
      <w:r>
        <w:t>ektory gospodarki bazujące na paliwach kopalnych i intensywnym wykorzystaniu zasobów</w:t>
      </w:r>
      <w:r w:rsidR="007E6F82">
        <w:t>,</w:t>
      </w:r>
      <w:r>
        <w:t xml:space="preserve"> są</w:t>
      </w:r>
      <w:r w:rsidR="00CB5FB2">
        <w:t> </w:t>
      </w:r>
      <w:r>
        <w:t>szkodliwe dla planety. Przemiana tych sektorów oraz rozwój nowych, opartych na</w:t>
      </w:r>
      <w:r w:rsidR="00CB5FB2">
        <w:t> </w:t>
      </w:r>
      <w:r>
        <w:t>zrównoważonych technologiach, stwarza nowe możliwości zatrudnienia, które są jednocześnie korzystne dla gospodarki i</w:t>
      </w:r>
      <w:r w:rsidR="00C07A2D">
        <w:t> </w:t>
      </w:r>
      <w:r>
        <w:t>przyjazne dla środowiska.</w:t>
      </w:r>
    </w:p>
    <w:p w14:paraId="2F5C99FC" w14:textId="7F42D650" w:rsidR="00994922" w:rsidRDefault="00994922" w:rsidP="00994922">
      <w:r>
        <w:t xml:space="preserve">Zielone miejsca pracy odgrywają także kluczową rolę w procesie sprawiedliwej transformacji. Przemiany gospodarcze i ekologiczne nie </w:t>
      </w:r>
      <w:r w:rsidR="00E27718">
        <w:t xml:space="preserve">muszą i nie </w:t>
      </w:r>
      <w:r>
        <w:t xml:space="preserve">mogą odbywać się kosztem pracowników i społeczności, które opierają się na przemysłach wysokoemisyjnych. Zielone miejsca pracy stanowią </w:t>
      </w:r>
      <w:r w:rsidR="00E27718">
        <w:t xml:space="preserve">często lepszą </w:t>
      </w:r>
      <w:r>
        <w:t xml:space="preserve">alternatywę dla osób, które w wyniku transformacji mogą stracić zatrudnienie w sektorach związanych z wydobyciem i przetwarzaniem paliw kopalnych. Dzięki inwestycjom w szkolenia i edukację, </w:t>
      </w:r>
      <w:r w:rsidR="00463575">
        <w:t xml:space="preserve">ci </w:t>
      </w:r>
      <w:r>
        <w:t xml:space="preserve">pracownicy mogą zdobyć nowe umiejętności i kwalifikacje, co pozwoli im na znalezienie zatrudnienia w bardziej zrównoważonych sektorach gospodarki. </w:t>
      </w:r>
      <w:r w:rsidR="00463575">
        <w:t>W</w:t>
      </w:r>
      <w:r>
        <w:t>spierają również rozwój lokalnych społeczności, zwłaszcza tych, które do tej pory były uzależnione od wysokoemisyjnych gałęzi przemysłu. Inwestycje w energ</w:t>
      </w:r>
      <w:r w:rsidR="00463575">
        <w:t>etykę</w:t>
      </w:r>
      <w:r>
        <w:t xml:space="preserve"> odnawialną, gospodarkę o obiegu zamkniętym czy ekologiczne rolnictwo mogą przyczynić się do tworzenia nowych źródeł dochodu i zwiększenia stabilności ekonomicznej </w:t>
      </w:r>
      <w:r w:rsidR="00E27718">
        <w:t xml:space="preserve">dawnych </w:t>
      </w:r>
      <w:r>
        <w:t>regionów</w:t>
      </w:r>
      <w:r w:rsidR="00E27718">
        <w:t xml:space="preserve"> wydobywczych</w:t>
      </w:r>
      <w:r>
        <w:t xml:space="preserve">. </w:t>
      </w:r>
      <w:r w:rsidR="001C23FB">
        <w:t>Z</w:t>
      </w:r>
      <w:r>
        <w:t xml:space="preserve">ielone miejsca pracy pomagają w budowaniu bardziej </w:t>
      </w:r>
      <w:r w:rsidR="001C23FB">
        <w:t>odpowiedzianego i zaangażowanego</w:t>
      </w:r>
      <w:r>
        <w:t xml:space="preserve"> społeczeństwa, w</w:t>
      </w:r>
      <w:r w:rsidR="00A6797F">
        <w:t> </w:t>
      </w:r>
      <w:r>
        <w:t xml:space="preserve">którym korzyści z transformacji klimatycznej są równomiernie rozłożone. </w:t>
      </w:r>
    </w:p>
    <w:p w14:paraId="318A47C1" w14:textId="5002FE6E" w:rsidR="00994922" w:rsidRPr="002C7367" w:rsidRDefault="00994922" w:rsidP="002C7367">
      <w:pPr>
        <w:pStyle w:val="Cele"/>
        <w:rPr>
          <w:b/>
          <w:bCs/>
        </w:rPr>
      </w:pPr>
      <w:r w:rsidRPr="002C7367">
        <w:rPr>
          <w:b/>
          <w:bCs/>
        </w:rPr>
        <w:t xml:space="preserve">Zwiększenie </w:t>
      </w:r>
      <w:r w:rsidR="002C7367" w:rsidRPr="002C7367">
        <w:rPr>
          <w:b/>
          <w:bCs/>
        </w:rPr>
        <w:t xml:space="preserve">liczby </w:t>
      </w:r>
      <w:r w:rsidRPr="002C7367">
        <w:rPr>
          <w:b/>
          <w:bCs/>
        </w:rPr>
        <w:t xml:space="preserve">zielonych miejsc pracy </w:t>
      </w:r>
      <w:r w:rsidR="002C7367">
        <w:rPr>
          <w:b/>
          <w:bCs/>
        </w:rPr>
        <w:t>do 2030 r</w:t>
      </w:r>
      <w:r w:rsidR="00E84C92">
        <w:rPr>
          <w:b/>
          <w:bCs/>
        </w:rPr>
        <w:t>.</w:t>
      </w:r>
      <w:r w:rsidR="00116A00" w:rsidRPr="00116A00">
        <w:rPr>
          <w:b/>
          <w:bCs/>
        </w:rPr>
        <w:t xml:space="preserve"> </w:t>
      </w:r>
      <w:r w:rsidR="002C7367" w:rsidRPr="002C7367">
        <w:rPr>
          <w:b/>
          <w:bCs/>
        </w:rPr>
        <w:t>w porównaniu do 2023 r.</w:t>
      </w:r>
    </w:p>
    <w:p w14:paraId="20EF784E" w14:textId="77777777" w:rsidR="00994922" w:rsidRDefault="00994922" w:rsidP="00994922">
      <w:pPr>
        <w:pStyle w:val="PaMs"/>
      </w:pPr>
      <w:bookmarkStart w:id="848" w:name="_Hlk174462981"/>
      <w:r w:rsidRPr="00C46DAA">
        <w:t>POLITYKA</w:t>
      </w:r>
    </w:p>
    <w:p w14:paraId="1DE6FCDD" w14:textId="19712966" w:rsidR="00994922" w:rsidRPr="009C3E75" w:rsidRDefault="00994922" w:rsidP="00994922">
      <w:r w:rsidRPr="009C3E75">
        <w:rPr>
          <w:szCs w:val="20"/>
        </w:rPr>
        <w:t xml:space="preserve">Kluczowym celem polityki będzie </w:t>
      </w:r>
      <w:r w:rsidRPr="008D59DD">
        <w:rPr>
          <w:b/>
          <w:bCs/>
          <w:szCs w:val="20"/>
        </w:rPr>
        <w:t>stworzenie sprzyjających warunków</w:t>
      </w:r>
      <w:r w:rsidRPr="009C3E75">
        <w:rPr>
          <w:szCs w:val="20"/>
        </w:rPr>
        <w:t xml:space="preserve"> dla rozwoju zrównoważonych sektorów gospodarki, a także wspieranie sprawiedliwej transformacji, która zapewni godne miejsca pracy i równomierny rozwój ekonomiczny w różnych regionach kraju. Z uwagi na priorytetowe traktowanie inwestycji w sektorach związanych z odnawialnymi źródłami energii, </w:t>
      </w:r>
      <w:r w:rsidR="008D59DD" w:rsidRPr="009C3E75">
        <w:rPr>
          <w:szCs w:val="20"/>
        </w:rPr>
        <w:t>gospodark</w:t>
      </w:r>
      <w:r w:rsidR="008D59DD">
        <w:rPr>
          <w:szCs w:val="20"/>
        </w:rPr>
        <w:t>ą</w:t>
      </w:r>
      <w:r w:rsidR="008D59DD" w:rsidRPr="009C3E75">
        <w:rPr>
          <w:szCs w:val="20"/>
        </w:rPr>
        <w:t xml:space="preserve"> o obiegu zamkniętym, zrównoważon</w:t>
      </w:r>
      <w:r w:rsidR="008D59DD">
        <w:rPr>
          <w:szCs w:val="20"/>
        </w:rPr>
        <w:t>ym</w:t>
      </w:r>
      <w:r w:rsidR="008D59DD" w:rsidRPr="009C3E75">
        <w:rPr>
          <w:szCs w:val="20"/>
        </w:rPr>
        <w:t xml:space="preserve"> rolnictw</w:t>
      </w:r>
      <w:r w:rsidR="008D59DD">
        <w:rPr>
          <w:szCs w:val="20"/>
        </w:rPr>
        <w:t>em</w:t>
      </w:r>
      <w:r w:rsidR="008D59DD" w:rsidRPr="009C3E75">
        <w:rPr>
          <w:szCs w:val="20"/>
        </w:rPr>
        <w:t>, ochron</w:t>
      </w:r>
      <w:r w:rsidR="008D59DD">
        <w:rPr>
          <w:szCs w:val="20"/>
        </w:rPr>
        <w:t>ą</w:t>
      </w:r>
      <w:r w:rsidR="008D59DD" w:rsidRPr="009C3E75">
        <w:rPr>
          <w:szCs w:val="20"/>
        </w:rPr>
        <w:t xml:space="preserve"> środowiska </w:t>
      </w:r>
      <w:r w:rsidRPr="009C3E75">
        <w:rPr>
          <w:szCs w:val="20"/>
        </w:rPr>
        <w:t xml:space="preserve">i transportem publicznym, w dalszym ciągu rozwijane będą systemy wsparcia finansowego i fiskalnego. Szczególną uwagą będą objęte małe i średnie </w:t>
      </w:r>
      <w:r w:rsidRPr="009C3E75">
        <w:t>przedsiębiorstwa (MŚP), które odgrywają istotną rolę w rozwoju lokalnym.</w:t>
      </w:r>
    </w:p>
    <w:p w14:paraId="417F6A6D" w14:textId="0FAC68E4" w:rsidR="00994922" w:rsidRPr="009C3E75" w:rsidRDefault="00994922" w:rsidP="00994922">
      <w:pPr>
        <w:rPr>
          <w:rFonts w:ascii="Bahnschrift" w:hAnsi="Bahnschrift"/>
          <w:sz w:val="32"/>
          <w:szCs w:val="32"/>
        </w:rPr>
      </w:pPr>
      <w:r w:rsidRPr="009C3E75">
        <w:t xml:space="preserve">Wspierany będzie rozwój programów edukacyjnych oraz szkoleń zawodowych, które pozwolą pracownikom zdobyć nowe umiejętności niezbędne w zielonych sektorach gospodarki. W szczególności promowane będzie kształcenie techniczne oraz rozwijane programy przekwalifikowania, skierowane </w:t>
      </w:r>
      <w:r w:rsidRPr="009C3E75">
        <w:lastRenderedPageBreak/>
        <w:t>szczególnie do osób pracujących w sektorach</w:t>
      </w:r>
      <w:r w:rsidRPr="009C3E75">
        <w:rPr>
          <w:szCs w:val="20"/>
        </w:rPr>
        <w:t xml:space="preserve"> wysokoemisyjnych. Istotną rolę </w:t>
      </w:r>
      <w:r w:rsidR="00E27718">
        <w:rPr>
          <w:szCs w:val="20"/>
        </w:rPr>
        <w:t>będzie</w:t>
      </w:r>
      <w:r w:rsidR="00E27718" w:rsidRPr="009C3E75">
        <w:rPr>
          <w:szCs w:val="20"/>
        </w:rPr>
        <w:t xml:space="preserve"> </w:t>
      </w:r>
      <w:r w:rsidRPr="009C3E75">
        <w:rPr>
          <w:szCs w:val="20"/>
        </w:rPr>
        <w:t>odgrywa</w:t>
      </w:r>
      <w:r w:rsidR="002C7367">
        <w:rPr>
          <w:szCs w:val="20"/>
        </w:rPr>
        <w:t>ć</w:t>
      </w:r>
      <w:r w:rsidRPr="009C3E75">
        <w:rPr>
          <w:szCs w:val="20"/>
        </w:rPr>
        <w:t xml:space="preserve"> współpraca z uczelniami i instytucjami szkoleniowymi</w:t>
      </w:r>
      <w:r w:rsidR="00963A1E">
        <w:rPr>
          <w:szCs w:val="20"/>
        </w:rPr>
        <w:t>,</w:t>
      </w:r>
      <w:r w:rsidRPr="009C3E75">
        <w:rPr>
          <w:szCs w:val="20"/>
        </w:rPr>
        <w:t xml:space="preserve"> pomagająca w stworzeniu nowoczesnych programów edukacyjnych, które będą odpowiadać na potrzeby rynku pracy.</w:t>
      </w:r>
    </w:p>
    <w:p w14:paraId="50229DA8" w14:textId="696AD423" w:rsidR="00994922" w:rsidRPr="009C3E75" w:rsidRDefault="00994922" w:rsidP="00994922">
      <w:r>
        <w:rPr>
          <w:szCs w:val="20"/>
        </w:rPr>
        <w:t xml:space="preserve">Specjalna </w:t>
      </w:r>
      <w:r w:rsidRPr="009C3E75">
        <w:rPr>
          <w:szCs w:val="20"/>
        </w:rPr>
        <w:t>uwaga będzie skierowana na regiony, które historycznie były zależne od przemysłów wysokoemisyjnych, takich jak górnictwo. Polityka obejmie strategie regionalne, które wspierają rozwój alternatywnych źródeł zatrudnienia, dostosowan</w:t>
      </w:r>
      <w:r w:rsidR="00D503AF">
        <w:rPr>
          <w:szCs w:val="20"/>
        </w:rPr>
        <w:t>i</w:t>
      </w:r>
      <w:r w:rsidRPr="009C3E75">
        <w:rPr>
          <w:szCs w:val="20"/>
        </w:rPr>
        <w:t xml:space="preserve">e do lokalnych potrzeb i zasobów. Stworzone zostaną </w:t>
      </w:r>
      <w:r w:rsidRPr="009C3E75">
        <w:t>mechanizmy wsparcia dla społeczności lokalnych, w tym funduszy przeznaczonych na rozwój zielonych miejsc pracy i innowacyjnych projektów, które będą wspierać lokalną gospodarkę.</w:t>
      </w:r>
    </w:p>
    <w:p w14:paraId="5B070980" w14:textId="2246ACD5" w:rsidR="00994922" w:rsidRDefault="00994922" w:rsidP="00994922">
      <w:pPr>
        <w:rPr>
          <w:szCs w:val="20"/>
        </w:rPr>
      </w:pPr>
      <w:r w:rsidRPr="009C3E75">
        <w:t>Kluczow</w:t>
      </w:r>
      <w:r w:rsidR="00963A1E">
        <w:t>e</w:t>
      </w:r>
      <w:r w:rsidRPr="009C3E75">
        <w:t xml:space="preserve"> w kreowaniu polityki na rzecz zielonych miejsc pracy będzie prowadzenie szerokiej współpracy pomiędzy rządem, sektorem</w:t>
      </w:r>
      <w:r w:rsidRPr="009C3E75">
        <w:rPr>
          <w:szCs w:val="20"/>
        </w:rPr>
        <w:t xml:space="preserve"> prywatnym, </w:t>
      </w:r>
      <w:r w:rsidR="002C7367">
        <w:rPr>
          <w:szCs w:val="20"/>
        </w:rPr>
        <w:t>pracownikami</w:t>
      </w:r>
      <w:r w:rsidRPr="009C3E75">
        <w:rPr>
          <w:szCs w:val="20"/>
        </w:rPr>
        <w:t>, organizacjami pozarządowymi oraz społecznościami lokalnymi. Dialog społeczny jest kluczowy, aby zrozumieć potrzeby różnych grup interesariuszy i wspólnie wypracować rozwiązania, które będą skuteczne i sprawiedliwe. Rząd będzie dążył do stworzenia platform współpracy, któr</w:t>
      </w:r>
      <w:r w:rsidR="00E27718">
        <w:rPr>
          <w:szCs w:val="20"/>
        </w:rPr>
        <w:t>e</w:t>
      </w:r>
      <w:r w:rsidRPr="009C3E75">
        <w:rPr>
          <w:szCs w:val="20"/>
        </w:rPr>
        <w:t xml:space="preserve"> umożliwi</w:t>
      </w:r>
      <w:r w:rsidR="00E27718">
        <w:rPr>
          <w:szCs w:val="20"/>
        </w:rPr>
        <w:t>ą</w:t>
      </w:r>
      <w:r w:rsidRPr="009C3E75">
        <w:rPr>
          <w:szCs w:val="20"/>
        </w:rPr>
        <w:t xml:space="preserve"> wymianę wiedzy i najlepszych praktyk oraz wspólne planowanie działań w zakresie identyfikowanych potrzeb.</w:t>
      </w:r>
    </w:p>
    <w:p w14:paraId="0617F622" w14:textId="160E7301" w:rsidR="009267BC" w:rsidRPr="007D1651" w:rsidRDefault="000963BE" w:rsidP="007D1651">
      <w:pPr>
        <w:rPr>
          <w:szCs w:val="20"/>
        </w:rPr>
      </w:pPr>
      <w:bookmarkStart w:id="849" w:name="_Hlk177401546"/>
      <w:r>
        <w:rPr>
          <w:szCs w:val="20"/>
        </w:rPr>
        <w:t xml:space="preserve">Inwestowanie w tworzenie zielonych miejsc pracy pozwala na długookresowe efekty gospodarcze. </w:t>
      </w:r>
      <w:r w:rsidR="00583B45">
        <w:rPr>
          <w:szCs w:val="20"/>
        </w:rPr>
        <w:t>Z</w:t>
      </w:r>
      <w:r w:rsidR="00C07A2D">
        <w:rPr>
          <w:szCs w:val="20"/>
        </w:rPr>
        <w:t> </w:t>
      </w:r>
      <w:r w:rsidR="00583B45">
        <w:rPr>
          <w:szCs w:val="20"/>
        </w:rPr>
        <w:t>tego</w:t>
      </w:r>
      <w:r w:rsidR="00C07A2D">
        <w:rPr>
          <w:szCs w:val="20"/>
        </w:rPr>
        <w:t> </w:t>
      </w:r>
      <w:r w:rsidR="00583B45">
        <w:rPr>
          <w:szCs w:val="20"/>
        </w:rPr>
        <w:t>względu dążyć się będzie do priorytetowego przeznaczania środków finansowych kierowanych na sprawiedliwą transformację właśnie na rozwój podmiotów gospodarczych zapewniających kreowanie nowych i długotrwałych miejsc pracy w obszarach zielonej transformacji i zielono-niebieskiej infrastruktury.</w:t>
      </w:r>
    </w:p>
    <w:p w14:paraId="38045AAD" w14:textId="77777777" w:rsidR="00994922" w:rsidRPr="00C46DAA" w:rsidRDefault="00994922" w:rsidP="00994922">
      <w:pPr>
        <w:pStyle w:val="PaMs"/>
      </w:pPr>
      <w:bookmarkStart w:id="850" w:name="_Hlk174529542"/>
      <w:bookmarkEnd w:id="849"/>
      <w:r w:rsidRPr="00C46DAA">
        <w:t>DZIAŁANIA</w:t>
      </w:r>
    </w:p>
    <w:p w14:paraId="37C25A6D" w14:textId="6F1E607D" w:rsidR="00C2538E" w:rsidRDefault="007955DA" w:rsidP="003530A9">
      <w:pPr>
        <w:pStyle w:val="Akapitzlist"/>
        <w:numPr>
          <w:ilvl w:val="0"/>
          <w:numId w:val="3"/>
        </w:numPr>
      </w:pPr>
      <w:r w:rsidRPr="00C2538E">
        <w:fldChar w:fldCharType="begin"/>
      </w:r>
      <w:r w:rsidRPr="00C2538E">
        <w:instrText xml:space="preserve"> REF _Ref195894598 \h </w:instrText>
      </w:r>
      <w:r w:rsidR="00C2538E">
        <w:instrText xml:space="preserve"> \* MERGEFORMAT </w:instrText>
      </w:r>
      <w:r w:rsidRPr="00C2538E">
        <w:fldChar w:fldCharType="separate"/>
      </w:r>
      <w:r w:rsidR="00871DD5" w:rsidRPr="00871DD5">
        <w:rPr>
          <w:rStyle w:val="Nagwek6Znak"/>
          <w:rFonts w:ascii="Lato" w:hAnsi="Lato"/>
          <w:b w:val="0"/>
        </w:rPr>
        <w:t xml:space="preserve">Działanie </w:t>
      </w:r>
      <w:r w:rsidR="00871DD5" w:rsidRPr="00871DD5">
        <w:rPr>
          <w:lang w:eastAsia="pl-PL"/>
        </w:rPr>
        <w:t xml:space="preserve">158. </w:t>
      </w:r>
      <w:r w:rsidR="00871DD5" w:rsidRPr="002A7AB3">
        <w:rPr>
          <w:lang w:eastAsia="pl-PL"/>
        </w:rPr>
        <w:t>Kształcenie i doskonalenie zawodowe kadr dla gospodarki w zakresie transformacji energetyczno-klimatycznej</w:t>
      </w:r>
      <w:r w:rsidRPr="00C2538E">
        <w:fldChar w:fldCharType="end"/>
      </w:r>
    </w:p>
    <w:p w14:paraId="122D21B9" w14:textId="028C41EC" w:rsidR="00994922" w:rsidRPr="00DC4FF7" w:rsidRDefault="00994922" w:rsidP="00994922">
      <w:pPr>
        <w:pStyle w:val="Nagwek4"/>
        <w:rPr>
          <w:color w:val="FFC000" w:themeColor="accent4"/>
        </w:rPr>
      </w:pPr>
      <w:bookmarkStart w:id="851" w:name="_Toc195897394"/>
      <w:bookmarkStart w:id="852" w:name="_Toc195899639"/>
      <w:bookmarkStart w:id="853" w:name="_Toc195897395"/>
      <w:bookmarkStart w:id="854" w:name="_Toc195899640"/>
      <w:bookmarkStart w:id="855" w:name="_Toc195897396"/>
      <w:bookmarkStart w:id="856" w:name="_Toc205203227"/>
      <w:bookmarkEnd w:id="847"/>
      <w:bookmarkEnd w:id="848"/>
      <w:bookmarkEnd w:id="850"/>
      <w:bookmarkEnd w:id="851"/>
      <w:bookmarkEnd w:id="852"/>
      <w:bookmarkEnd w:id="853"/>
      <w:bookmarkEnd w:id="854"/>
      <w:r>
        <w:rPr>
          <w:color w:val="FFC000" w:themeColor="accent4"/>
        </w:rPr>
        <w:t>Zachowanie równowagi społecznej i ekonomicznej</w:t>
      </w:r>
      <w:bookmarkEnd w:id="855"/>
      <w:bookmarkEnd w:id="856"/>
      <w:r>
        <w:rPr>
          <w:color w:val="FFC000" w:themeColor="accent4"/>
        </w:rPr>
        <w:t xml:space="preserve"> </w:t>
      </w:r>
    </w:p>
    <w:p w14:paraId="1A7DFBA1" w14:textId="26144F41" w:rsidR="009F1BEA" w:rsidRPr="009F1BEA" w:rsidRDefault="009F1BEA" w:rsidP="00E77FC7">
      <w:r w:rsidRPr="009F1BEA">
        <w:t>Zachowanie równowagi społecznej i ekonomicznej w kontekście sprawiedliwej transformacji energetycznej jest kluczowym elementem w procesie przechodzenia na gospodarkę niskoemisyjną. Oznacza to dążenie do takiej zmiany, która minimalizuje nierówności społeczne oraz negatywne skutki dla różnych grup społecznych, jednocześnie maksymalizując korzyści dla wszystkich obywateli. Transformacja energetyczna jako proces zmiany systemu gospodarczego i energetycznego niesie ze sobą różnorodne skutki dystrybucyjne, które mogą prowadzić do powstawania nowych nierówności dochodowych i regionalnych. Przykładem mogą być regiony tradycyjnie zależne od przemysłu węglowego, które w obliczu zmiany mogą doświadczać trudności, takich jak utrata miejsc pracy, podczas gdy nowe sektory zielonej gospodarki mogą rozwijać się w innych lokalizacjach, tworząc dysproporcje rozwoju regionalnego.</w:t>
      </w:r>
    </w:p>
    <w:p w14:paraId="6E2B1877" w14:textId="384024E4" w:rsidR="009F1BEA" w:rsidRPr="009F1BEA" w:rsidRDefault="009F1BEA" w:rsidP="00E77FC7">
      <w:r w:rsidRPr="009F1BEA">
        <w:t xml:space="preserve">W odpowiedzi na te wyzwania konieczne jest wprowadzenie mechanizmów redystrybucji, takich jak subsydia, ulgi podatkowe czy inwestycje w rozwój lokalny. Tego typu środki mają na celu złagodzenie potencjalnych nierówności społecznych i ekonomicznych, które mogą pogłębiać się w trakcie transformacji. Ważnym celem transformacji energetycznej jest również poprawa jakości życia obywateli poprzez redukcję zanieczyszczeń środowiskowych oraz poprawę zdrowia publicznego. Dążenie do bardziej efektywnych energetycznie i ekologicznych rozwiązań przyczyni się do lepszej jakości powietrza, zmniejszenia wpływu zmian klimatycznych oraz obniżenia kosztów energii. </w:t>
      </w:r>
      <w:r w:rsidR="00C87A0F">
        <w:t>R</w:t>
      </w:r>
      <w:r w:rsidRPr="009F1BEA">
        <w:t xml:space="preserve">ównie istotne jest, aby te zmiany nie prowadziły do obniżenia standardu życia żadnej z grup społecznych. </w:t>
      </w:r>
    </w:p>
    <w:p w14:paraId="06568A4A" w14:textId="24A339FA" w:rsidR="009F1BEA" w:rsidRPr="009F1BEA" w:rsidRDefault="009F1BEA" w:rsidP="00E77FC7">
      <w:r w:rsidRPr="009F1BEA">
        <w:t xml:space="preserve">Transformacja wiąże się z </w:t>
      </w:r>
      <w:r w:rsidR="00A30ABA">
        <w:t xml:space="preserve">koniecznością poniesienia początkowych nakładów inwestycyjnych, </w:t>
      </w:r>
      <w:r w:rsidRPr="009F1BEA">
        <w:t xml:space="preserve">które mogą obciążać zarówno gospodarstwa domowe, jak i przedsiębiorstwa. Aby </w:t>
      </w:r>
      <w:r w:rsidR="00A30ABA">
        <w:t>zwiększyć ich dostępność</w:t>
      </w:r>
      <w:r w:rsidRPr="009F1BEA">
        <w:t xml:space="preserve">, niezbędne jest wprowadzenie odpowiednich środków wsparcia. Przykłady takich działań to dotacje na </w:t>
      </w:r>
      <w:r w:rsidR="0092074A">
        <w:lastRenderedPageBreak/>
        <w:t>termo</w:t>
      </w:r>
      <w:r w:rsidRPr="009F1BEA">
        <w:t xml:space="preserve">modernizację budynków, ulgi podatkowe czy subsydia dla małych i średnich przedsiębiorstw. Dzięki takim rozwiązaniom, przejście na zieloną energię może stać się bardziej przystępne dla wszystkich grup społecznych, a tym samym nie wpłynie </w:t>
      </w:r>
      <w:r w:rsidR="00A30ABA">
        <w:t xml:space="preserve">nawet przejściowo </w:t>
      </w:r>
      <w:r w:rsidRPr="009F1BEA">
        <w:t>negatywnie na ich sytuację finansową.</w:t>
      </w:r>
    </w:p>
    <w:p w14:paraId="24EACC1D" w14:textId="573EC43B" w:rsidR="009F1BEA" w:rsidRDefault="009F1BEA" w:rsidP="00E77FC7">
      <w:pPr>
        <w:rPr>
          <w:b/>
          <w:bCs/>
        </w:rPr>
      </w:pPr>
      <w:r w:rsidRPr="009F1BEA">
        <w:t xml:space="preserve">Kluczowym elementem sprawiedliwej transformacji energetycznej jest także jej </w:t>
      </w:r>
      <w:r w:rsidRPr="00142AD5">
        <w:rPr>
          <w:b/>
          <w:bCs/>
          <w:i/>
          <w:iCs/>
        </w:rPr>
        <w:t>inkluzywność</w:t>
      </w:r>
      <w:r w:rsidRPr="009F1BEA">
        <w:t>, czyli włączanie i uwzględnianie głosów wszystkich zainteresowanych stron. Proces ten wymaga zaangażowania różnych grup społecznych, lokalnych liderów, pracowników oraz organizacji pozarządowych w proces decyzyjny. Przeprowadzanie szerokich konsultacji społecznych, angażowanie społeczności lokalnych w planowanie i wdrażanie polityki energetycznej oraz zapewnienie przejrzystości i otwartości w podejmowanych decyzjach są nieodzowne. Tylko poprzez uwzględnienie potrzeb i obaw różnych grup społecznych możliwe jest budowanie społecznego poparcia dla działań związanych z</w:t>
      </w:r>
      <w:r w:rsidR="003F187B">
        <w:t> </w:t>
      </w:r>
      <w:r w:rsidRPr="009F1BEA">
        <w:t>transformacją energetyczną. Tego rodzaju podejście gwarantuje, że transformacja będzie nie tylko skuteczna, ale również sprawiedliwa społecznie i ekonomicznie.</w:t>
      </w:r>
    </w:p>
    <w:p w14:paraId="26D79828" w14:textId="13DD1E94" w:rsidR="00994922" w:rsidRPr="00354FEA" w:rsidRDefault="00994922" w:rsidP="009F1BEA">
      <w:pPr>
        <w:pStyle w:val="PaMs"/>
      </w:pPr>
      <w:r w:rsidRPr="00C46DAA">
        <w:t>POLITYKA</w:t>
      </w:r>
    </w:p>
    <w:p w14:paraId="5552C6F2" w14:textId="77777777" w:rsidR="009F1BEA" w:rsidRDefault="009F1BEA" w:rsidP="009F1BEA">
      <w:r>
        <w:t>Monitorowanie skutków dystrybucyjnych będzie obejmować systematyczną analizę wpływu transformacji energetycznej na różne grupy społeczne i regiony, aby zidentyfikować obszary oraz grupy najbardziej narażone na negatywne skutki. W tym celu wprowadzone zostaną mechanizmy redystrybucji korzyści, takie jak subsydia dla regionów i grup społecznych dotkniętych zmianami oraz ulgi podatkowe, które będą minimalizować nierówności społeczne i ekonomiczne. Analizy będą prowadzone we współpracy z instytucjami badawczymi i na podstawie danych z monitoringu społecznego.</w:t>
      </w:r>
    </w:p>
    <w:p w14:paraId="63A70BC0" w14:textId="1DFAF370" w:rsidR="009F1BEA" w:rsidRDefault="009F1BEA" w:rsidP="009F1BEA">
      <w:r>
        <w:t xml:space="preserve">W zakresie poprawy jakości życia i dobrostanu skoncentrujemy się na inwestycjach mających na celu poprawę jakości życia obywateli poprzez modernizację infrastruktury energetycznej, poprawę jakości powietrza i wsparcie dla zdrowia publicznego. W dalszym ciągu będzie prowadzone wsparcie finansowe dla gospodarstw domowych i przedsiębiorstw z wykorzystaniem środków wsparcia finansowego, takich jak dotacje na modernizację budynków oraz subsydia dla małych i średnich przedsiębiorstw. </w:t>
      </w:r>
      <w:r w:rsidR="00B0786D">
        <w:t>Możliwe jest także wprowadzenie ulg podatkowych</w:t>
      </w:r>
      <w:r>
        <w:t xml:space="preserve"> dla rodzin o niskich dochodach, aby zminimalizować negatywny wpływ kosztów związanych z przejściem na zieloną energię. W przypadku inkluzyjności i procesów uczestnictwa polityk będzie uwzględniać się szerokie angażowanie różnych grup społecznych, lokalnych liderów oraz organizacji pozarządowych w proces decyzyjny dotyczący polityki energetycznej. Przeprowadzane będą szerokie konsultacje społeczne, a decyzje będą podejmowane z zachowaniem przejrzystości, zgodnie z ustaw</w:t>
      </w:r>
      <w:r w:rsidR="00E77FC7">
        <w:t xml:space="preserve">ami i </w:t>
      </w:r>
      <w:r>
        <w:t>regulacjami dotyczącymi partycypacji obywatelskiej.</w:t>
      </w:r>
      <w:r w:rsidR="003E2DE5">
        <w:t xml:space="preserve"> </w:t>
      </w:r>
    </w:p>
    <w:p w14:paraId="3674F524" w14:textId="77777777" w:rsidR="00994922" w:rsidRPr="00C46DAA" w:rsidRDefault="00994922" w:rsidP="00994922">
      <w:pPr>
        <w:pStyle w:val="PaMs"/>
      </w:pPr>
      <w:r w:rsidRPr="00C46DAA">
        <w:t>DZIAŁANIA</w:t>
      </w:r>
    </w:p>
    <w:p w14:paraId="1B08613C" w14:textId="77777777" w:rsidR="002C2E58" w:rsidRDefault="002C2E58" w:rsidP="003530A9">
      <w:pPr>
        <w:pStyle w:val="Akapitzlist"/>
        <w:numPr>
          <w:ilvl w:val="0"/>
          <w:numId w:val="3"/>
        </w:numPr>
      </w:pPr>
    </w:p>
    <w:p w14:paraId="4EA7A3E7" w14:textId="526BA3EC" w:rsidR="002C2E58" w:rsidRDefault="002C2E58" w:rsidP="002C2E58">
      <w:pPr>
        <w:pStyle w:val="Akapitzlist"/>
        <w:numPr>
          <w:ilvl w:val="0"/>
          <w:numId w:val="3"/>
        </w:numPr>
      </w:pPr>
      <w:r w:rsidRPr="008A3B68">
        <w:fldChar w:fldCharType="begin"/>
      </w:r>
      <w:r w:rsidRPr="008A3B68">
        <w:instrText xml:space="preserve"> REF _Ref195890073 \h </w:instrText>
      </w:r>
      <w:r>
        <w:instrText xml:space="preserve"> \* MERGEFORMAT </w:instrText>
      </w:r>
      <w:r w:rsidRPr="008A3B68">
        <w:fldChar w:fldCharType="separate"/>
      </w:r>
      <w:r w:rsidR="00871DD5" w:rsidRPr="00871DD5">
        <w:rPr>
          <w:rStyle w:val="Nagwek6Znak"/>
          <w:rFonts w:ascii="Lato" w:hAnsi="Lato"/>
          <w:b w:val="0"/>
        </w:rPr>
        <w:t xml:space="preserve">Działanie </w:t>
      </w:r>
      <w:r w:rsidR="00871DD5" w:rsidRPr="00871DD5">
        <w:rPr>
          <w:lang w:eastAsia="pl-PL"/>
        </w:rPr>
        <w:t xml:space="preserve">150. </w:t>
      </w:r>
      <w:r w:rsidR="00871DD5" w:rsidRPr="004D6F82">
        <w:rPr>
          <w:lang w:eastAsia="pl-PL"/>
        </w:rPr>
        <w:t>Zapewnienie wsparcia dla regionów węglowych</w:t>
      </w:r>
      <w:r w:rsidRPr="008A3B68">
        <w:fldChar w:fldCharType="end"/>
      </w:r>
    </w:p>
    <w:p w14:paraId="1047B9B3" w14:textId="123AECB5" w:rsidR="002C2E58" w:rsidRDefault="002C2E58" w:rsidP="002C2E58">
      <w:pPr>
        <w:pStyle w:val="Akapitzlist"/>
        <w:numPr>
          <w:ilvl w:val="0"/>
          <w:numId w:val="3"/>
        </w:numPr>
      </w:pPr>
      <w:r w:rsidRPr="008A3B68">
        <w:fldChar w:fldCharType="begin"/>
      </w:r>
      <w:r w:rsidRPr="008A3B68">
        <w:instrText xml:space="preserve"> REF _Ref195890080 \h </w:instrText>
      </w:r>
      <w:r>
        <w:instrText xml:space="preserve"> \* MERGEFORMAT </w:instrText>
      </w:r>
      <w:r w:rsidRPr="008A3B68">
        <w:fldChar w:fldCharType="separate"/>
      </w:r>
      <w:r w:rsidR="00871DD5" w:rsidRPr="00871DD5">
        <w:rPr>
          <w:rStyle w:val="Nagwek6Znak"/>
          <w:rFonts w:ascii="Lato" w:hAnsi="Lato"/>
          <w:b w:val="0"/>
        </w:rPr>
        <w:t xml:space="preserve">Działanie </w:t>
      </w:r>
      <w:r w:rsidR="00871DD5" w:rsidRPr="00871DD5">
        <w:rPr>
          <w:lang w:eastAsia="pl-PL"/>
        </w:rPr>
        <w:t>151.</w:t>
      </w:r>
      <w:r w:rsidR="00871DD5" w:rsidRPr="004D6F82">
        <w:rPr>
          <w:lang w:eastAsia="pl-PL"/>
        </w:rPr>
        <w:t xml:space="preserve"> Zapewnienie rozwoju regionów</w:t>
      </w:r>
      <w:r w:rsidR="00871DD5">
        <w:rPr>
          <w:lang w:eastAsia="pl-PL"/>
        </w:rPr>
        <w:t xml:space="preserve"> </w:t>
      </w:r>
      <w:r w:rsidR="00871DD5" w:rsidRPr="004D6F82">
        <w:rPr>
          <w:lang w:eastAsia="pl-PL"/>
        </w:rPr>
        <w:t>węglowych</w:t>
      </w:r>
      <w:r w:rsidRPr="008A3B68">
        <w:fldChar w:fldCharType="end"/>
      </w:r>
    </w:p>
    <w:p w14:paraId="066DF21F" w14:textId="55D6DEF1" w:rsidR="00BB5F1C" w:rsidRDefault="00BB5F1C" w:rsidP="003530A9">
      <w:pPr>
        <w:pStyle w:val="Akapitzlist"/>
        <w:numPr>
          <w:ilvl w:val="0"/>
          <w:numId w:val="3"/>
        </w:numPr>
      </w:pPr>
      <w:r w:rsidRPr="00BB5F1C">
        <w:fldChar w:fldCharType="begin"/>
      </w:r>
      <w:r w:rsidRPr="00BB5F1C">
        <w:instrText xml:space="preserve"> REF _Ref195894935 \h </w:instrText>
      </w:r>
      <w:r>
        <w:instrText xml:space="preserve"> \* MERGEFORMAT </w:instrText>
      </w:r>
      <w:r w:rsidRPr="00BB5F1C">
        <w:fldChar w:fldCharType="separate"/>
      </w:r>
      <w:r w:rsidR="00871DD5" w:rsidRPr="00871DD5">
        <w:rPr>
          <w:rStyle w:val="Nagwek6Znak"/>
          <w:rFonts w:ascii="Lato" w:hAnsi="Lato"/>
          <w:b w:val="0"/>
        </w:rPr>
        <w:t xml:space="preserve">Działanie </w:t>
      </w:r>
      <w:r w:rsidR="00871DD5" w:rsidRPr="00871DD5">
        <w:rPr>
          <w:lang w:eastAsia="pl-PL"/>
        </w:rPr>
        <w:t xml:space="preserve">155. </w:t>
      </w:r>
      <w:r w:rsidR="00871DD5" w:rsidRPr="004D6F82">
        <w:rPr>
          <w:lang w:eastAsia="pl-PL"/>
        </w:rPr>
        <w:t>Pilotaże i programy demonstracyjne wzorcowych rozwiązań transformacji energetyczno-klimatycznej</w:t>
      </w:r>
      <w:r w:rsidRPr="00BB5F1C">
        <w:fldChar w:fldCharType="end"/>
      </w:r>
    </w:p>
    <w:p w14:paraId="65F8F256" w14:textId="6D6D83C5" w:rsidR="00265729" w:rsidRPr="00B11321" w:rsidRDefault="00265729" w:rsidP="003530A9">
      <w:pPr>
        <w:pStyle w:val="Akapitzlist"/>
        <w:numPr>
          <w:ilvl w:val="0"/>
          <w:numId w:val="3"/>
        </w:numPr>
        <w:rPr>
          <w:i/>
          <w:color w:val="000000" w:themeColor="text1"/>
        </w:rPr>
      </w:pPr>
      <w:r w:rsidRPr="00EE36A9">
        <w:rPr>
          <w:i/>
          <w:iCs/>
        </w:rPr>
        <w:t>Wszystkie działania wskazane w c</w:t>
      </w:r>
      <w:r w:rsidRPr="00B11321">
        <w:rPr>
          <w:i/>
          <w:iCs/>
          <w:color w:val="000000" w:themeColor="text1"/>
        </w:rPr>
        <w:t xml:space="preserve">zęści </w:t>
      </w:r>
      <w:r w:rsidR="00B11321" w:rsidRPr="00B11321">
        <w:rPr>
          <w:i/>
          <w:iCs/>
          <w:color w:val="000000" w:themeColor="text1"/>
        </w:rPr>
        <w:fldChar w:fldCharType="begin"/>
      </w:r>
      <w:r w:rsidR="00B11321" w:rsidRPr="00B11321">
        <w:rPr>
          <w:i/>
          <w:iCs/>
          <w:color w:val="000000" w:themeColor="text1"/>
        </w:rPr>
        <w:instrText xml:space="preserve"> REF _Ref202961281 \n \h  \* MERGEFORMAT </w:instrText>
      </w:r>
      <w:r w:rsidR="00B11321" w:rsidRPr="00B11321">
        <w:rPr>
          <w:i/>
          <w:iCs/>
          <w:color w:val="000000" w:themeColor="text1"/>
        </w:rPr>
      </w:r>
      <w:r w:rsidR="00B11321" w:rsidRPr="00B11321">
        <w:rPr>
          <w:i/>
          <w:iCs/>
          <w:color w:val="000000" w:themeColor="text1"/>
        </w:rPr>
        <w:fldChar w:fldCharType="separate"/>
      </w:r>
      <w:r w:rsidR="00871DD5">
        <w:rPr>
          <w:i/>
          <w:iCs/>
          <w:color w:val="000000" w:themeColor="text1"/>
        </w:rPr>
        <w:t>Cel 2.2.1</w:t>
      </w:r>
      <w:r w:rsidR="00B11321" w:rsidRPr="00B11321">
        <w:rPr>
          <w:i/>
          <w:iCs/>
          <w:color w:val="000000" w:themeColor="text1"/>
        </w:rPr>
        <w:fldChar w:fldCharType="end"/>
      </w:r>
      <w:r w:rsidR="00B11321" w:rsidRPr="00B11321">
        <w:rPr>
          <w:i/>
          <w:iCs/>
          <w:color w:val="000000" w:themeColor="text1"/>
        </w:rPr>
        <w:t xml:space="preserve"> </w:t>
      </w:r>
      <w:r w:rsidR="00B11321" w:rsidRPr="00B11321">
        <w:rPr>
          <w:i/>
          <w:iCs/>
          <w:color w:val="000000" w:themeColor="text1"/>
        </w:rPr>
        <w:fldChar w:fldCharType="begin"/>
      </w:r>
      <w:r w:rsidR="00B11321" w:rsidRPr="00B11321">
        <w:rPr>
          <w:i/>
          <w:iCs/>
          <w:color w:val="000000" w:themeColor="text1"/>
        </w:rPr>
        <w:instrText xml:space="preserve"> REF _Ref202961285 \h  \* MERGEFORMAT </w:instrText>
      </w:r>
      <w:r w:rsidR="00B11321" w:rsidRPr="00B11321">
        <w:rPr>
          <w:i/>
          <w:iCs/>
          <w:color w:val="000000" w:themeColor="text1"/>
        </w:rPr>
      </w:r>
      <w:r w:rsidR="00B11321" w:rsidRPr="00B11321">
        <w:rPr>
          <w:i/>
          <w:iCs/>
          <w:color w:val="000000" w:themeColor="text1"/>
        </w:rPr>
        <w:fldChar w:fldCharType="separate"/>
      </w:r>
      <w:r w:rsidR="00871DD5" w:rsidRPr="00871DD5">
        <w:rPr>
          <w:i/>
          <w:iCs/>
          <w:color w:val="000000" w:themeColor="text1"/>
        </w:rPr>
        <w:t>Redukcja potrzeb energetycznych istniejących budynków</w:t>
      </w:r>
      <w:r w:rsidR="00B11321" w:rsidRPr="00B11321">
        <w:rPr>
          <w:i/>
          <w:iCs/>
          <w:color w:val="000000" w:themeColor="text1"/>
        </w:rPr>
        <w:fldChar w:fldCharType="end"/>
      </w:r>
    </w:p>
    <w:p w14:paraId="445392FD" w14:textId="0E2B009E" w:rsidR="00CE4BBA" w:rsidRDefault="00CE4BBA" w:rsidP="003530A9">
      <w:pPr>
        <w:pStyle w:val="Akapitzlist"/>
        <w:numPr>
          <w:ilvl w:val="0"/>
          <w:numId w:val="3"/>
        </w:numPr>
        <w:sectPr w:rsidR="00CE4BBA" w:rsidSect="005209BA">
          <w:pgSz w:w="11906" w:h="16838"/>
          <w:pgMar w:top="1417" w:right="1417" w:bottom="1417" w:left="1417" w:header="708" w:footer="708" w:gutter="0"/>
          <w:cols w:space="708"/>
          <w:docGrid w:linePitch="360"/>
        </w:sectPr>
      </w:pPr>
    </w:p>
    <w:p w14:paraId="31C8EA03" w14:textId="3454F680" w:rsidR="007F22F4" w:rsidRDefault="00925327" w:rsidP="007F22F4">
      <w:r>
        <w:rPr>
          <w:noProof/>
          <w:lang w:eastAsia="pl-PL"/>
        </w:rPr>
        <w:lastRenderedPageBreak/>
        <w:drawing>
          <wp:anchor distT="0" distB="0" distL="114300" distR="114300" simplePos="0" relativeHeight="251472384" behindDoc="0" locked="0" layoutInCell="1" allowOverlap="1" wp14:anchorId="2EF9D4D6" wp14:editId="6A3080D4">
            <wp:simplePos x="0" y="0"/>
            <wp:positionH relativeFrom="margin">
              <wp:align>center</wp:align>
            </wp:positionH>
            <wp:positionV relativeFrom="paragraph">
              <wp:posOffset>-572080</wp:posOffset>
            </wp:positionV>
            <wp:extent cx="6984000" cy="4886952"/>
            <wp:effectExtent l="0" t="0" r="7620" b="9525"/>
            <wp:wrapNone/>
            <wp:docPr id="76081944" name="Obraz 2" descr="Obraz zawierający Część samochodowa, koło zębate, koło, wyroby z metal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1944" name="Obraz 2" descr="Obraz zawierający Część samochodowa, koło zębate, koło, wyroby z metalu&#10;&#10;Opis wygenerowany automatyczni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984000" cy="4886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7CA185" w14:textId="519579BF" w:rsidR="00691EA7" w:rsidRDefault="00691EA7" w:rsidP="007F22F4">
      <w:pPr>
        <w:pStyle w:val="Nagwek2"/>
        <w:shd w:val="clear" w:color="auto" w:fill="DBDBDB" w:themeFill="accent3" w:themeFillTint="66"/>
      </w:pPr>
      <w:bookmarkStart w:id="857" w:name="_Toc159598350"/>
      <w:bookmarkStart w:id="858" w:name="_Ref175569780"/>
      <w:bookmarkStart w:id="859" w:name="_Ref175569787"/>
      <w:bookmarkStart w:id="860" w:name="_Toc195897397"/>
      <w:bookmarkStart w:id="861" w:name="_Toc205203228"/>
      <w:r>
        <w:t>Badania naukowe, innowacje i konkurencyjność</w:t>
      </w:r>
      <w:bookmarkEnd w:id="857"/>
      <w:bookmarkEnd w:id="858"/>
      <w:bookmarkEnd w:id="859"/>
      <w:bookmarkEnd w:id="860"/>
      <w:bookmarkEnd w:id="861"/>
    </w:p>
    <w:p w14:paraId="009E4628" w14:textId="77777777" w:rsidR="00691EA7" w:rsidRDefault="00691EA7"/>
    <w:p w14:paraId="46DD7782" w14:textId="77777777" w:rsidR="00691EA7" w:rsidRDefault="00691EA7"/>
    <w:p w14:paraId="2F54F76B" w14:textId="5FD7D279" w:rsidR="00691EA7" w:rsidRDefault="00691EA7"/>
    <w:p w14:paraId="02EFCCC1" w14:textId="77777777" w:rsidR="00D92449" w:rsidRDefault="00D92449"/>
    <w:p w14:paraId="3091BA9F" w14:textId="359B2204" w:rsidR="00D92449" w:rsidRDefault="00D92449"/>
    <w:p w14:paraId="64978E82" w14:textId="25F96EFF" w:rsidR="00D92449" w:rsidRDefault="00D92449"/>
    <w:p w14:paraId="15E9FE33" w14:textId="6423328D" w:rsidR="00D92449" w:rsidRDefault="00D92449"/>
    <w:p w14:paraId="70CA5AFC" w14:textId="0757F68B" w:rsidR="00D92449" w:rsidRDefault="00D92449"/>
    <w:p w14:paraId="1E2A0092" w14:textId="7E84C3A8" w:rsidR="00D92449" w:rsidRDefault="00D92449"/>
    <w:p w14:paraId="7D569E98" w14:textId="4926FC14" w:rsidR="007D5D1D" w:rsidRDefault="007D5D1D"/>
    <w:p w14:paraId="15D13E3F" w14:textId="6482376F" w:rsidR="00D92449" w:rsidRDefault="00D92449"/>
    <w:p w14:paraId="183492FB" w14:textId="6D76E5AB" w:rsidR="00D92449" w:rsidRDefault="00DE0CED">
      <w:r>
        <w:rPr>
          <w:noProof/>
          <w:lang w:eastAsia="pl-PL"/>
        </w:rPr>
        <mc:AlternateContent>
          <mc:Choice Requires="wps">
            <w:drawing>
              <wp:anchor distT="0" distB="0" distL="114300" distR="114300" simplePos="0" relativeHeight="251422208" behindDoc="0" locked="0" layoutInCell="1" allowOverlap="1" wp14:anchorId="38B517FD" wp14:editId="2581EE7B">
                <wp:simplePos x="0" y="0"/>
                <wp:positionH relativeFrom="margin">
                  <wp:posOffset>-634365</wp:posOffset>
                </wp:positionH>
                <wp:positionV relativeFrom="paragraph">
                  <wp:posOffset>334323</wp:posOffset>
                </wp:positionV>
                <wp:extent cx="7019925" cy="2002155"/>
                <wp:effectExtent l="0" t="0" r="9525" b="0"/>
                <wp:wrapNone/>
                <wp:docPr id="745237362"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2002155"/>
                        </a:xfrm>
                        <a:prstGeom prst="rect">
                          <a:avLst/>
                        </a:prstGeom>
                        <a:solidFill>
                          <a:schemeClr val="tx2">
                            <a:lumMod val="40000"/>
                            <a:lumOff val="60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2CF143" w14:textId="2A269FCF" w:rsidR="00C36C5C" w:rsidRPr="00BE10C2" w:rsidRDefault="00C36C5C" w:rsidP="00FC190C">
                            <w:pPr>
                              <w:spacing w:after="0"/>
                              <w:ind w:left="851"/>
                              <w:jc w:val="left"/>
                              <w:rPr>
                                <w:rFonts w:ascii="Bahnschrift" w:hAnsi="Bahnschrift"/>
                                <w:color w:val="000000" w:themeColor="text1"/>
                                <w:kern w:val="24"/>
                                <w:sz w:val="64"/>
                                <w:szCs w:val="64"/>
                              </w:rPr>
                            </w:pPr>
                            <w:r>
                              <w:rPr>
                                <w:rFonts w:ascii="Bahnschrift" w:hAnsi="Bahnschrift"/>
                                <w:color w:val="000000" w:themeColor="text1"/>
                                <w:kern w:val="24"/>
                                <w:sz w:val="56"/>
                                <w:szCs w:val="56"/>
                              </w:rPr>
                              <w:t>W</w:t>
                            </w:r>
                            <w:r w:rsidRPr="00BE10C2">
                              <w:rPr>
                                <w:rFonts w:ascii="Bahnschrift" w:hAnsi="Bahnschrift"/>
                                <w:color w:val="000000" w:themeColor="text1"/>
                                <w:kern w:val="24"/>
                                <w:sz w:val="56"/>
                                <w:szCs w:val="56"/>
                              </w:rPr>
                              <w:t>ymiar</w:t>
                            </w:r>
                            <w:r>
                              <w:rPr>
                                <w:rFonts w:ascii="Bahnschrift" w:hAnsi="Bahnschrift"/>
                                <w:color w:val="000000" w:themeColor="text1"/>
                                <w:kern w:val="24"/>
                                <w:sz w:val="56"/>
                                <w:szCs w:val="56"/>
                              </w:rPr>
                              <w:t xml:space="preserve"> 5.</w:t>
                            </w:r>
                            <w:r w:rsidRPr="00BE10C2">
                              <w:rPr>
                                <w:rFonts w:ascii="Bahnschrift" w:hAnsi="Bahnschrift"/>
                                <w:color w:val="000000" w:themeColor="text1"/>
                                <w:kern w:val="24"/>
                                <w:sz w:val="56"/>
                                <w:szCs w:val="56"/>
                              </w:rPr>
                              <w:t xml:space="preserve"> </w:t>
                            </w:r>
                            <w:r w:rsidRPr="00BE10C2">
                              <w:rPr>
                                <w:rFonts w:ascii="Bahnschrift" w:hAnsi="Bahnschrift"/>
                                <w:color w:val="000000" w:themeColor="text1"/>
                                <w:kern w:val="24"/>
                                <w:sz w:val="72"/>
                                <w:szCs w:val="72"/>
                              </w:rPr>
                              <w:br/>
                            </w:r>
                            <w:r w:rsidRPr="00BE10C2">
                              <w:rPr>
                                <w:rFonts w:ascii="Bahnschrift" w:hAnsi="Bahnschrift"/>
                                <w:color w:val="000000" w:themeColor="text1"/>
                                <w:kern w:val="24"/>
                                <w:sz w:val="64"/>
                                <w:szCs w:val="64"/>
                              </w:rPr>
                              <w:t>Badania naukowe, innowacje i konkurencyjność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B517FD" id="Prostokąt 9" o:spid="_x0000_s1132" style="position:absolute;left:0;text-align:left;margin-left:-49.95pt;margin-top:26.3pt;width:552.75pt;height:157.65pt;z-index:25142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" fillcolor="#acb9ca [1311]" stroked="f" strokeweight="1pt">
                <v:fill opacity="39321f"/>
                <v:textbox>
                  <w:txbxContent>
                    <w:p w14:paraId="222CF143" w14:textId="2A269FCF" w:rsidR="00C36C5C" w:rsidRPr="00BE10C2" w:rsidRDefault="00C36C5C" w:rsidP="00FC190C">
                      <w:pPr>
                        <w:spacing w:after="0"/>
                        <w:ind w:left="851"/>
                        <w:jc w:val="left"/>
                        <w:rPr>
                          <w:rFonts w:ascii="Bahnschrift" w:hAnsi="Bahnschrift"/>
                          <w:color w:val="000000" w:themeColor="text1"/>
                          <w:kern w:val="24"/>
                          <w:sz w:val="64"/>
                          <w:szCs w:val="64"/>
                        </w:rPr>
                      </w:pPr>
                      <w:r>
                        <w:rPr>
                          <w:rFonts w:ascii="Bahnschrift" w:hAnsi="Bahnschrift"/>
                          <w:color w:val="000000" w:themeColor="text1"/>
                          <w:kern w:val="24"/>
                          <w:sz w:val="56"/>
                          <w:szCs w:val="56"/>
                        </w:rPr>
                        <w:t>W</w:t>
                      </w:r>
                      <w:r w:rsidRPr="00BE10C2">
                        <w:rPr>
                          <w:rFonts w:ascii="Bahnschrift" w:hAnsi="Bahnschrift"/>
                          <w:color w:val="000000" w:themeColor="text1"/>
                          <w:kern w:val="24"/>
                          <w:sz w:val="56"/>
                          <w:szCs w:val="56"/>
                        </w:rPr>
                        <w:t>ymiar</w:t>
                      </w:r>
                      <w:r>
                        <w:rPr>
                          <w:rFonts w:ascii="Bahnschrift" w:hAnsi="Bahnschrift"/>
                          <w:color w:val="000000" w:themeColor="text1"/>
                          <w:kern w:val="24"/>
                          <w:sz w:val="56"/>
                          <w:szCs w:val="56"/>
                        </w:rPr>
                        <w:t xml:space="preserve"> 5.</w:t>
                      </w:r>
                      <w:r w:rsidRPr="00BE10C2">
                        <w:rPr>
                          <w:rFonts w:ascii="Bahnschrift" w:hAnsi="Bahnschrift"/>
                          <w:color w:val="000000" w:themeColor="text1"/>
                          <w:kern w:val="24"/>
                          <w:sz w:val="56"/>
                          <w:szCs w:val="56"/>
                        </w:rPr>
                        <w:t xml:space="preserve"> </w:t>
                      </w:r>
                      <w:r w:rsidRPr="00BE10C2">
                        <w:rPr>
                          <w:rFonts w:ascii="Bahnschrift" w:hAnsi="Bahnschrift"/>
                          <w:color w:val="000000" w:themeColor="text1"/>
                          <w:kern w:val="24"/>
                          <w:sz w:val="72"/>
                          <w:szCs w:val="72"/>
                        </w:rPr>
                        <w:br/>
                      </w:r>
                      <w:r w:rsidRPr="00BE10C2">
                        <w:rPr>
                          <w:rFonts w:ascii="Bahnschrift" w:hAnsi="Bahnschrift"/>
                          <w:color w:val="000000" w:themeColor="text1"/>
                          <w:kern w:val="24"/>
                          <w:sz w:val="64"/>
                          <w:szCs w:val="64"/>
                        </w:rPr>
                        <w:t>Badania naukowe, innowacje i konkurencyjność</w:t>
                      </w:r>
                    </w:p>
                  </w:txbxContent>
                </v:textbox>
                <w10:wrap anchorx="margin"/>
              </v:rect>
            </w:pict>
          </mc:Fallback>
        </mc:AlternateContent>
      </w:r>
    </w:p>
    <w:p w14:paraId="412989B8" w14:textId="2B837775" w:rsidR="00D92449" w:rsidRDefault="00D92449"/>
    <w:p w14:paraId="0499ED00" w14:textId="5E54C26E" w:rsidR="00D92449" w:rsidRDefault="00D92449"/>
    <w:p w14:paraId="63170D87" w14:textId="5D87262D" w:rsidR="00D92449" w:rsidRDefault="00D92449"/>
    <w:p w14:paraId="66F68514" w14:textId="7D9AC325" w:rsidR="00D92449" w:rsidRDefault="00D92449"/>
    <w:p w14:paraId="5EBC48FA" w14:textId="479353F1" w:rsidR="00D92449" w:rsidRDefault="00D92449"/>
    <w:p w14:paraId="10FEA969" w14:textId="6BA4A323" w:rsidR="00D92449" w:rsidRDefault="00D92449"/>
    <w:p w14:paraId="32AB9F16" w14:textId="797CA9F3" w:rsidR="00D92449" w:rsidRDefault="00D92449"/>
    <w:p w14:paraId="71A59C54" w14:textId="221C0BBE" w:rsidR="00D92449" w:rsidRDefault="00D92449"/>
    <w:p w14:paraId="1F0E8B15" w14:textId="783A618C" w:rsidR="00D92449" w:rsidRDefault="00D92449"/>
    <w:p w14:paraId="4E47648A" w14:textId="1ADC0928" w:rsidR="009729C8" w:rsidRDefault="009729C8" w:rsidP="009729C8">
      <w:r>
        <w:t xml:space="preserve">Osiągniecie przez UE neutralności klimatycznej wymaga ogromnych zmian we wszystkich dziedzinach życia i gospodarki. </w:t>
      </w:r>
      <w:r w:rsidR="00A7602F">
        <w:t>D</w:t>
      </w:r>
      <w:r>
        <w:t>latego najbliższe dekady to czas na to</w:t>
      </w:r>
      <w:r w:rsidR="00963A1E">
        <w:t>,</w:t>
      </w:r>
      <w:r>
        <w:t xml:space="preserve"> by badania naukowe i rozwój innowacji istotnie przybliżył nas do realizacji tego celu. Mając na względzie nie tylko dążenie do redukcji emisji </w:t>
      </w:r>
      <w:r w:rsidR="00AD0FB0">
        <w:t>GHG</w:t>
      </w:r>
      <w:r>
        <w:t>, ale</w:t>
      </w:r>
      <w:r w:rsidR="00EB2A1D">
        <w:t> </w:t>
      </w:r>
      <w:r>
        <w:t xml:space="preserve">także potrzebę zapewnienia konkurencyjności Europy na arenie światowej – </w:t>
      </w:r>
      <w:r w:rsidRPr="0058141B">
        <w:rPr>
          <w:b/>
          <w:bCs/>
        </w:rPr>
        <w:t>badania naukowe, innowacje i konkurencyjność zostały określone piątym wymiarem unii energetycznej.</w:t>
      </w:r>
    </w:p>
    <w:p w14:paraId="1ECACD35" w14:textId="152CDC6D" w:rsidR="00925327" w:rsidRDefault="009729C8">
      <w:r>
        <w:t xml:space="preserve">W tej części wskazano kluczowe </w:t>
      </w:r>
      <w:r w:rsidR="00B47C61">
        <w:t xml:space="preserve">zagadnienia </w:t>
      </w:r>
      <w:r>
        <w:t xml:space="preserve">z punktu widzenia </w:t>
      </w:r>
      <w:r w:rsidR="00B47C61">
        <w:t xml:space="preserve">przeprowadzenia </w:t>
      </w:r>
      <w:r>
        <w:t>transformacji w</w:t>
      </w:r>
      <w:r w:rsidR="00C07A2D">
        <w:t> </w:t>
      </w:r>
      <w:r>
        <w:t>warunkach polskich.</w:t>
      </w:r>
      <w:r w:rsidRPr="0058141B">
        <w:rPr>
          <w:i/>
          <w:iCs/>
        </w:rPr>
        <w:t xml:space="preserve"> </w:t>
      </w:r>
      <w:r w:rsidR="00B47C61">
        <w:rPr>
          <w:i/>
          <w:iCs/>
        </w:rPr>
        <w:t xml:space="preserve">W strukturze rozdziału </w:t>
      </w:r>
      <w:r>
        <w:rPr>
          <w:i/>
          <w:iCs/>
        </w:rPr>
        <w:t>nie wydzielono obszarów.</w:t>
      </w:r>
      <w:r>
        <w:t xml:space="preserve"> </w:t>
      </w:r>
      <w:r w:rsidR="00925327">
        <w:br w:type="page"/>
      </w:r>
    </w:p>
    <w:p w14:paraId="7EB163C2" w14:textId="4612CD54" w:rsidR="009729C8" w:rsidRPr="0058141B" w:rsidRDefault="009729C8" w:rsidP="009729C8">
      <w:pPr>
        <w:pStyle w:val="Nagwek4"/>
        <w:rPr>
          <w:color w:val="7B7B7B" w:themeColor="accent3" w:themeShade="BF"/>
        </w:rPr>
      </w:pPr>
      <w:bookmarkStart w:id="862" w:name="_Toc159598351"/>
      <w:bookmarkStart w:id="863" w:name="_Toc195897398"/>
      <w:bookmarkStart w:id="864" w:name="_Toc205203229"/>
      <w:r w:rsidRPr="0058141B">
        <w:rPr>
          <w:color w:val="7B7B7B" w:themeColor="accent3" w:themeShade="BF"/>
        </w:rPr>
        <w:lastRenderedPageBreak/>
        <w:t xml:space="preserve">Zapewnienie </w:t>
      </w:r>
      <w:r>
        <w:rPr>
          <w:color w:val="7B7B7B" w:themeColor="accent3" w:themeShade="BF"/>
        </w:rPr>
        <w:t xml:space="preserve">środków </w:t>
      </w:r>
      <w:bookmarkEnd w:id="862"/>
      <w:r w:rsidR="00166E47">
        <w:rPr>
          <w:color w:val="7B7B7B" w:themeColor="accent3" w:themeShade="BF"/>
        </w:rPr>
        <w:t xml:space="preserve">na </w:t>
      </w:r>
      <w:r w:rsidR="002B22FF">
        <w:rPr>
          <w:color w:val="7B7B7B" w:themeColor="accent3" w:themeShade="BF"/>
        </w:rPr>
        <w:t>transformację energetyczną</w:t>
      </w:r>
      <w:r w:rsidR="00601EBF">
        <w:rPr>
          <w:color w:val="7B7B7B" w:themeColor="accent3" w:themeShade="BF"/>
        </w:rPr>
        <w:t xml:space="preserve"> </w:t>
      </w:r>
      <w:r w:rsidR="00166E47">
        <w:rPr>
          <w:color w:val="7B7B7B" w:themeColor="accent3" w:themeShade="BF"/>
        </w:rPr>
        <w:t xml:space="preserve">oraz </w:t>
      </w:r>
      <w:r>
        <w:rPr>
          <w:color w:val="7B7B7B" w:themeColor="accent3" w:themeShade="BF"/>
        </w:rPr>
        <w:t>na badania i rozwój</w:t>
      </w:r>
      <w:bookmarkEnd w:id="863"/>
      <w:bookmarkEnd w:id="864"/>
      <w:r w:rsidR="00121735">
        <w:rPr>
          <w:color w:val="7B7B7B" w:themeColor="accent3" w:themeShade="BF"/>
        </w:rPr>
        <w:t xml:space="preserve"> </w:t>
      </w:r>
    </w:p>
    <w:p w14:paraId="5306B22E" w14:textId="75110B40" w:rsidR="007D2922" w:rsidRPr="005D45FF" w:rsidRDefault="00601EBF" w:rsidP="007D2922">
      <w:pPr>
        <w:rPr>
          <w:rFonts w:eastAsia="Aptos" w:cs="Arial"/>
          <w:kern w:val="0"/>
          <w:szCs w:val="20"/>
        </w:rPr>
      </w:pPr>
      <w:r>
        <w:t xml:space="preserve">Transformacja energetyczna </w:t>
      </w:r>
      <w:r w:rsidR="007D2922">
        <w:t>– lub szerzej t</w:t>
      </w:r>
      <w:r w:rsidR="007D2922" w:rsidRPr="005D45FF">
        <w:rPr>
          <w:rFonts w:eastAsia="Aptos" w:cs="Arial"/>
          <w:kern w:val="0"/>
          <w:szCs w:val="20"/>
        </w:rPr>
        <w:t xml:space="preserve">ransformacja klimatyczno-energetyczna </w:t>
      </w:r>
      <w:r w:rsidR="007D2922">
        <w:rPr>
          <w:rFonts w:eastAsia="Aptos" w:cs="Arial"/>
          <w:kern w:val="0"/>
          <w:szCs w:val="20"/>
        </w:rPr>
        <w:t>–</w:t>
      </w:r>
      <w:r w:rsidR="007D2922" w:rsidRPr="005D45FF">
        <w:rPr>
          <w:rFonts w:eastAsia="Aptos" w:cs="Arial"/>
          <w:kern w:val="0"/>
          <w:szCs w:val="20"/>
        </w:rPr>
        <w:t xml:space="preserve"> mająca na celu dążenie do neutralności klimatycznej, wymaga znacznych nakładów inwestycyjnych</w:t>
      </w:r>
      <w:r w:rsidR="00C87385">
        <w:rPr>
          <w:rFonts w:eastAsia="Aptos" w:cs="Arial"/>
          <w:kern w:val="0"/>
          <w:szCs w:val="20"/>
        </w:rPr>
        <w:t xml:space="preserve"> i</w:t>
      </w:r>
      <w:r w:rsidR="007D2922" w:rsidRPr="005D45FF">
        <w:rPr>
          <w:rFonts w:eastAsia="Aptos" w:cs="Arial"/>
          <w:kern w:val="0"/>
          <w:szCs w:val="20"/>
        </w:rPr>
        <w:t xml:space="preserve"> wiąże się z wieloma wyzwaniami technologicznymi</w:t>
      </w:r>
      <w:r w:rsidR="005705CB">
        <w:rPr>
          <w:rFonts w:eastAsia="Aptos" w:cs="Arial"/>
          <w:kern w:val="0"/>
          <w:szCs w:val="20"/>
        </w:rPr>
        <w:t xml:space="preserve"> opisanymi</w:t>
      </w:r>
      <w:r w:rsidR="007D2922" w:rsidRPr="005D45FF">
        <w:rPr>
          <w:rFonts w:eastAsia="Aptos" w:cs="Arial"/>
          <w:kern w:val="0"/>
          <w:szCs w:val="20"/>
        </w:rPr>
        <w:t xml:space="preserve"> w tym </w:t>
      </w:r>
      <w:r w:rsidR="005705CB">
        <w:rPr>
          <w:rFonts w:eastAsia="Aptos" w:cs="Arial"/>
          <w:kern w:val="0"/>
          <w:szCs w:val="20"/>
        </w:rPr>
        <w:t>dokumencie</w:t>
      </w:r>
      <w:r w:rsidR="00C87385">
        <w:rPr>
          <w:rFonts w:eastAsia="Aptos" w:cs="Arial"/>
          <w:kern w:val="0"/>
          <w:szCs w:val="20"/>
        </w:rPr>
        <w:t xml:space="preserve">. </w:t>
      </w:r>
      <w:r w:rsidR="008F4C54">
        <w:rPr>
          <w:rFonts w:eastAsia="Aptos" w:cs="Arial"/>
          <w:kern w:val="0"/>
          <w:szCs w:val="20"/>
        </w:rPr>
        <w:t>I</w:t>
      </w:r>
      <w:r w:rsidR="007D2922" w:rsidRPr="005D45FF">
        <w:rPr>
          <w:rFonts w:eastAsia="Aptos" w:cs="Arial"/>
          <w:kern w:val="0"/>
          <w:szCs w:val="20"/>
        </w:rPr>
        <w:t>nwestycj</w:t>
      </w:r>
      <w:r w:rsidR="008F4C54">
        <w:rPr>
          <w:rFonts w:eastAsia="Aptos" w:cs="Arial"/>
          <w:kern w:val="0"/>
          <w:szCs w:val="20"/>
        </w:rPr>
        <w:t>e</w:t>
      </w:r>
      <w:r w:rsidR="007D2922" w:rsidRPr="005D45FF">
        <w:rPr>
          <w:rFonts w:eastAsia="Aptos" w:cs="Arial"/>
          <w:kern w:val="0"/>
          <w:szCs w:val="20"/>
        </w:rPr>
        <w:t xml:space="preserve"> kapitałow</w:t>
      </w:r>
      <w:r w:rsidR="008F4C54">
        <w:rPr>
          <w:rFonts w:eastAsia="Aptos" w:cs="Arial"/>
          <w:kern w:val="0"/>
          <w:szCs w:val="20"/>
        </w:rPr>
        <w:t>e są ponoszone</w:t>
      </w:r>
      <w:r w:rsidR="007D2922" w:rsidRPr="005D45FF">
        <w:rPr>
          <w:rFonts w:eastAsia="Aptos" w:cs="Arial"/>
          <w:kern w:val="0"/>
          <w:szCs w:val="20"/>
        </w:rPr>
        <w:t xml:space="preserve"> zarówno </w:t>
      </w:r>
      <w:r w:rsidR="008F4C54">
        <w:rPr>
          <w:rFonts w:eastAsia="Aptos" w:cs="Arial"/>
          <w:kern w:val="0"/>
          <w:szCs w:val="20"/>
        </w:rPr>
        <w:t>przez</w:t>
      </w:r>
      <w:r w:rsidR="007D2922" w:rsidRPr="005D45FF">
        <w:rPr>
          <w:rFonts w:eastAsia="Aptos" w:cs="Arial"/>
          <w:kern w:val="0"/>
          <w:szCs w:val="20"/>
        </w:rPr>
        <w:t xml:space="preserve"> sektor publiczn</w:t>
      </w:r>
      <w:r w:rsidR="0055441A">
        <w:rPr>
          <w:rFonts w:eastAsia="Aptos" w:cs="Arial"/>
          <w:kern w:val="0"/>
          <w:szCs w:val="20"/>
        </w:rPr>
        <w:t>y,</w:t>
      </w:r>
      <w:r w:rsidR="007D2922" w:rsidRPr="005D45FF">
        <w:rPr>
          <w:rFonts w:eastAsia="Aptos" w:cs="Arial"/>
          <w:kern w:val="0"/>
          <w:szCs w:val="20"/>
        </w:rPr>
        <w:t xml:space="preserve"> jak i</w:t>
      </w:r>
      <w:r w:rsidR="007D2922">
        <w:rPr>
          <w:rFonts w:eastAsia="Aptos" w:cs="Arial"/>
          <w:kern w:val="0"/>
          <w:szCs w:val="20"/>
        </w:rPr>
        <w:t> </w:t>
      </w:r>
      <w:r w:rsidR="007D2922" w:rsidRPr="005D45FF">
        <w:rPr>
          <w:rFonts w:eastAsia="Aptos" w:cs="Arial"/>
          <w:kern w:val="0"/>
          <w:szCs w:val="20"/>
        </w:rPr>
        <w:t>prywatn</w:t>
      </w:r>
      <w:r w:rsidR="008F4C54">
        <w:rPr>
          <w:rFonts w:eastAsia="Aptos" w:cs="Arial"/>
          <w:kern w:val="0"/>
          <w:szCs w:val="20"/>
        </w:rPr>
        <w:t>y</w:t>
      </w:r>
      <w:r w:rsidR="007D2922" w:rsidRPr="005D45FF">
        <w:rPr>
          <w:rFonts w:eastAsia="Aptos" w:cs="Arial"/>
          <w:kern w:val="0"/>
          <w:szCs w:val="20"/>
        </w:rPr>
        <w:t>,</w:t>
      </w:r>
      <w:r w:rsidR="008F0430">
        <w:rPr>
          <w:rFonts w:eastAsia="Aptos" w:cs="Arial"/>
          <w:kern w:val="0"/>
          <w:szCs w:val="20"/>
        </w:rPr>
        <w:t xml:space="preserve"> </w:t>
      </w:r>
      <w:r w:rsidR="0037610F">
        <w:rPr>
          <w:rFonts w:eastAsia="Aptos" w:cs="Arial"/>
          <w:kern w:val="0"/>
          <w:szCs w:val="20"/>
        </w:rPr>
        <w:t>przy czym niejednokrotnie</w:t>
      </w:r>
      <w:r w:rsidR="007D2922" w:rsidRPr="005D45FF">
        <w:rPr>
          <w:rFonts w:eastAsia="Aptos" w:cs="Arial"/>
          <w:kern w:val="0"/>
          <w:szCs w:val="20"/>
        </w:rPr>
        <w:t xml:space="preserve"> </w:t>
      </w:r>
      <w:r w:rsidR="009112D7">
        <w:rPr>
          <w:rFonts w:eastAsia="Aptos" w:cs="Arial"/>
          <w:kern w:val="0"/>
          <w:szCs w:val="20"/>
        </w:rPr>
        <w:t>wymagają</w:t>
      </w:r>
      <w:r w:rsidR="007D2922" w:rsidRPr="005D45FF">
        <w:rPr>
          <w:rFonts w:eastAsia="Aptos" w:cs="Arial"/>
          <w:kern w:val="0"/>
          <w:szCs w:val="20"/>
        </w:rPr>
        <w:t xml:space="preserve"> mechanizmów wsparcia i zachęt dla inwestorów</w:t>
      </w:r>
      <w:r w:rsidR="00CA3A3C">
        <w:rPr>
          <w:rFonts w:eastAsia="Aptos" w:cs="Arial"/>
          <w:kern w:val="0"/>
          <w:szCs w:val="20"/>
        </w:rPr>
        <w:t>.</w:t>
      </w:r>
      <w:r w:rsidR="007D2922" w:rsidRPr="005D45FF">
        <w:rPr>
          <w:rFonts w:eastAsia="Aptos" w:cs="Arial"/>
          <w:kern w:val="0"/>
          <w:szCs w:val="20"/>
        </w:rPr>
        <w:t xml:space="preserve"> </w:t>
      </w:r>
      <w:r w:rsidR="00CA3A3C">
        <w:rPr>
          <w:rFonts w:eastAsia="Aptos" w:cs="Arial"/>
          <w:kern w:val="0"/>
          <w:szCs w:val="20"/>
        </w:rPr>
        <w:t>E</w:t>
      </w:r>
      <w:r w:rsidR="007D2922" w:rsidRPr="005D45FF">
        <w:rPr>
          <w:rFonts w:eastAsia="Aptos" w:cs="Arial"/>
          <w:kern w:val="0"/>
          <w:szCs w:val="20"/>
        </w:rPr>
        <w:t xml:space="preserve">fekty podejmowanych działań </w:t>
      </w:r>
      <w:r w:rsidR="0037610F">
        <w:rPr>
          <w:rFonts w:eastAsia="Aptos" w:cs="Arial"/>
          <w:kern w:val="0"/>
          <w:szCs w:val="20"/>
        </w:rPr>
        <w:t xml:space="preserve">będą </w:t>
      </w:r>
      <w:r w:rsidR="007D2922" w:rsidRPr="005D45FF">
        <w:rPr>
          <w:rFonts w:eastAsia="Aptos" w:cs="Arial"/>
          <w:kern w:val="0"/>
          <w:szCs w:val="20"/>
        </w:rPr>
        <w:t>wpły</w:t>
      </w:r>
      <w:r w:rsidR="0037610F">
        <w:rPr>
          <w:rFonts w:eastAsia="Aptos" w:cs="Arial"/>
          <w:kern w:val="0"/>
          <w:szCs w:val="20"/>
        </w:rPr>
        <w:t>wać</w:t>
      </w:r>
      <w:r w:rsidR="007D2922" w:rsidRPr="005D45FF">
        <w:rPr>
          <w:rFonts w:eastAsia="Aptos" w:cs="Arial"/>
          <w:kern w:val="0"/>
          <w:szCs w:val="20"/>
        </w:rPr>
        <w:t xml:space="preserve"> na innowacyjność gospodarki i jej konkurencyjność.</w:t>
      </w:r>
      <w:r w:rsidR="009112D7">
        <w:rPr>
          <w:rFonts w:eastAsia="Aptos" w:cs="Arial"/>
          <w:kern w:val="0"/>
          <w:szCs w:val="20"/>
        </w:rPr>
        <w:t xml:space="preserve"> Co ważne, środki publiczne </w:t>
      </w:r>
      <w:r w:rsidR="004814AF">
        <w:rPr>
          <w:rFonts w:eastAsia="Aptos" w:cs="Arial"/>
          <w:kern w:val="0"/>
          <w:szCs w:val="20"/>
        </w:rPr>
        <w:t>nie są jedynym źródłem finansowania przedsięwzięć, lecz</w:t>
      </w:r>
      <w:r w:rsidR="009112D7">
        <w:rPr>
          <w:rFonts w:eastAsia="Aptos" w:cs="Arial"/>
          <w:kern w:val="0"/>
          <w:szCs w:val="20"/>
        </w:rPr>
        <w:t xml:space="preserve"> mają charakter wpieraj</w:t>
      </w:r>
      <w:r w:rsidR="00723475">
        <w:rPr>
          <w:rFonts w:eastAsia="Aptos" w:cs="Arial"/>
          <w:kern w:val="0"/>
          <w:szCs w:val="20"/>
        </w:rPr>
        <w:t xml:space="preserve">ący, </w:t>
      </w:r>
      <w:r w:rsidR="005769F0">
        <w:rPr>
          <w:rFonts w:eastAsia="Aptos" w:cs="Arial"/>
          <w:kern w:val="0"/>
          <w:szCs w:val="20"/>
        </w:rPr>
        <w:t>pobudzający</w:t>
      </w:r>
      <w:r w:rsidR="000831DA">
        <w:rPr>
          <w:rFonts w:eastAsia="Aptos" w:cs="Arial"/>
          <w:kern w:val="0"/>
          <w:szCs w:val="20"/>
        </w:rPr>
        <w:t>,</w:t>
      </w:r>
      <w:r w:rsidR="00723475">
        <w:rPr>
          <w:rFonts w:eastAsia="Aptos" w:cs="Arial"/>
          <w:kern w:val="0"/>
          <w:szCs w:val="20"/>
        </w:rPr>
        <w:t xml:space="preserve"> </w:t>
      </w:r>
      <w:r w:rsidR="005769F0">
        <w:rPr>
          <w:rFonts w:eastAsia="Aptos" w:cs="Arial"/>
          <w:kern w:val="0"/>
          <w:szCs w:val="20"/>
        </w:rPr>
        <w:t xml:space="preserve">kreujący efekt </w:t>
      </w:r>
      <w:r w:rsidR="00723475">
        <w:rPr>
          <w:rFonts w:eastAsia="Aptos" w:cs="Arial"/>
          <w:kern w:val="0"/>
          <w:szCs w:val="20"/>
        </w:rPr>
        <w:t>mnożnikowy</w:t>
      </w:r>
      <w:r w:rsidR="004814AF">
        <w:rPr>
          <w:rFonts w:eastAsia="Aptos" w:cs="Arial"/>
          <w:kern w:val="0"/>
          <w:szCs w:val="20"/>
        </w:rPr>
        <w:t xml:space="preserve"> </w:t>
      </w:r>
      <w:r w:rsidR="004536C3">
        <w:rPr>
          <w:rFonts w:eastAsia="Aptos" w:cs="Arial"/>
          <w:kern w:val="0"/>
          <w:szCs w:val="20"/>
        </w:rPr>
        <w:t>i</w:t>
      </w:r>
      <w:r w:rsidR="00C07A2D">
        <w:rPr>
          <w:rFonts w:eastAsia="Aptos" w:cs="Arial"/>
          <w:kern w:val="0"/>
          <w:szCs w:val="20"/>
        </w:rPr>
        <w:t> </w:t>
      </w:r>
      <w:r w:rsidR="00F52BA4">
        <w:rPr>
          <w:rFonts w:eastAsia="Aptos" w:cs="Arial"/>
          <w:kern w:val="0"/>
          <w:szCs w:val="20"/>
        </w:rPr>
        <w:t xml:space="preserve">ukierunkowujący </w:t>
      </w:r>
      <w:r w:rsidR="00B835B9">
        <w:rPr>
          <w:rFonts w:eastAsia="Aptos" w:cs="Arial"/>
          <w:kern w:val="0"/>
          <w:szCs w:val="20"/>
        </w:rPr>
        <w:t>dzia</w:t>
      </w:r>
      <w:r w:rsidR="00341404">
        <w:rPr>
          <w:rFonts w:eastAsia="Aptos" w:cs="Arial"/>
          <w:kern w:val="0"/>
          <w:szCs w:val="20"/>
        </w:rPr>
        <w:t>ła</w:t>
      </w:r>
      <w:r w:rsidR="00B835B9">
        <w:rPr>
          <w:rFonts w:eastAsia="Aptos" w:cs="Arial"/>
          <w:kern w:val="0"/>
          <w:szCs w:val="20"/>
        </w:rPr>
        <w:t>nia niskoemisyjne</w:t>
      </w:r>
      <w:r w:rsidR="00E66F13">
        <w:rPr>
          <w:rFonts w:eastAsia="Aptos" w:cs="Arial"/>
          <w:kern w:val="0"/>
          <w:szCs w:val="20"/>
        </w:rPr>
        <w:t>.</w:t>
      </w:r>
      <w:r w:rsidR="00B44FA8">
        <w:rPr>
          <w:rFonts w:eastAsia="Aptos" w:cs="Arial"/>
          <w:kern w:val="0"/>
          <w:szCs w:val="20"/>
        </w:rPr>
        <w:t xml:space="preserve"> Bardzo dużą rolę odegrają w tym zakresie </w:t>
      </w:r>
      <w:r w:rsidR="006951D2">
        <w:rPr>
          <w:rFonts w:eastAsia="Aptos" w:cs="Arial"/>
          <w:kern w:val="0"/>
          <w:szCs w:val="20"/>
        </w:rPr>
        <w:t>środki unijne, oferowane w ramach różnych programów i funduszy</w:t>
      </w:r>
      <w:r w:rsidR="00176834">
        <w:rPr>
          <w:rFonts w:eastAsia="Aptos" w:cs="Arial"/>
          <w:kern w:val="0"/>
          <w:szCs w:val="20"/>
        </w:rPr>
        <w:t xml:space="preserve"> ukierunkowanych na konkretny cel.</w:t>
      </w:r>
    </w:p>
    <w:p w14:paraId="6AE624AB" w14:textId="53F019C2" w:rsidR="00E66F13" w:rsidRPr="005D45FF" w:rsidRDefault="00E66F13" w:rsidP="007D2922">
      <w:pPr>
        <w:rPr>
          <w:rFonts w:eastAsia="Aptos" w:cs="Arial"/>
          <w:kern w:val="0"/>
          <w:szCs w:val="20"/>
        </w:rPr>
      </w:pPr>
      <w:r>
        <w:rPr>
          <w:rFonts w:eastAsia="Aptos" w:cs="Arial"/>
          <w:kern w:val="0"/>
          <w:szCs w:val="20"/>
        </w:rPr>
        <w:t xml:space="preserve">Część zaplanowanych działań ma </w:t>
      </w:r>
      <w:r w:rsidR="00CF1DA5">
        <w:rPr>
          <w:rFonts w:eastAsia="Aptos" w:cs="Arial"/>
          <w:kern w:val="0"/>
          <w:szCs w:val="20"/>
        </w:rPr>
        <w:t xml:space="preserve">zarezerwowane środki finansowe, ale </w:t>
      </w:r>
      <w:r w:rsidR="00080B0D">
        <w:rPr>
          <w:rFonts w:eastAsia="Aptos" w:cs="Arial"/>
          <w:kern w:val="0"/>
          <w:szCs w:val="20"/>
        </w:rPr>
        <w:t xml:space="preserve">w wielu przypadkach </w:t>
      </w:r>
      <w:r w:rsidR="00D1152D">
        <w:rPr>
          <w:rFonts w:eastAsia="Aptos" w:cs="Arial"/>
          <w:kern w:val="0"/>
          <w:szCs w:val="20"/>
        </w:rPr>
        <w:t xml:space="preserve">niezbędny będzie montaż finansowy. </w:t>
      </w:r>
      <w:r w:rsidR="006B7468">
        <w:rPr>
          <w:rFonts w:eastAsia="Aptos" w:cs="Arial"/>
          <w:kern w:val="0"/>
          <w:szCs w:val="20"/>
        </w:rPr>
        <w:t>a</w:t>
      </w:r>
      <w:r w:rsidR="00FF27DC">
        <w:rPr>
          <w:rFonts w:eastAsia="Aptos" w:cs="Arial"/>
          <w:kern w:val="0"/>
          <w:szCs w:val="20"/>
        </w:rPr>
        <w:t xml:space="preserve">KPEiK </w:t>
      </w:r>
      <w:r w:rsidR="00936E20">
        <w:rPr>
          <w:rFonts w:eastAsia="Aptos" w:cs="Arial"/>
          <w:kern w:val="0"/>
          <w:szCs w:val="20"/>
        </w:rPr>
        <w:t xml:space="preserve">wskazuje zatem </w:t>
      </w:r>
      <w:r w:rsidR="008D20E9">
        <w:rPr>
          <w:rFonts w:eastAsia="Aptos" w:cs="Arial"/>
          <w:kern w:val="0"/>
          <w:szCs w:val="20"/>
        </w:rPr>
        <w:t>kierunek</w:t>
      </w:r>
      <w:r w:rsidR="007C6C05">
        <w:rPr>
          <w:rFonts w:eastAsia="Aptos" w:cs="Arial"/>
          <w:kern w:val="0"/>
          <w:szCs w:val="20"/>
        </w:rPr>
        <w:t xml:space="preserve">, </w:t>
      </w:r>
      <w:r w:rsidR="00936E20">
        <w:rPr>
          <w:rFonts w:eastAsia="Aptos" w:cs="Arial"/>
          <w:kern w:val="0"/>
          <w:szCs w:val="20"/>
        </w:rPr>
        <w:t xml:space="preserve">do jakiego </w:t>
      </w:r>
      <w:r w:rsidR="004F307A">
        <w:rPr>
          <w:rFonts w:eastAsia="Aptos" w:cs="Arial"/>
          <w:kern w:val="0"/>
          <w:szCs w:val="20"/>
        </w:rPr>
        <w:t>dążymy</w:t>
      </w:r>
      <w:r w:rsidR="00BE3EE6">
        <w:rPr>
          <w:rFonts w:eastAsia="Aptos" w:cs="Arial"/>
          <w:kern w:val="0"/>
          <w:szCs w:val="20"/>
        </w:rPr>
        <w:t xml:space="preserve">, a pozyskanie środków lub szczegółowe </w:t>
      </w:r>
      <w:r w:rsidR="00214F3A">
        <w:rPr>
          <w:rFonts w:eastAsia="Aptos" w:cs="Arial"/>
          <w:kern w:val="0"/>
          <w:szCs w:val="20"/>
        </w:rPr>
        <w:t xml:space="preserve">zaplanowanie ich wydatkowania jest jednym z elementów </w:t>
      </w:r>
      <w:r w:rsidR="002876FE">
        <w:rPr>
          <w:rFonts w:eastAsia="Aptos" w:cs="Arial"/>
          <w:kern w:val="0"/>
          <w:szCs w:val="20"/>
        </w:rPr>
        <w:t xml:space="preserve">przyszłej </w:t>
      </w:r>
      <w:r w:rsidR="00214F3A">
        <w:rPr>
          <w:rFonts w:eastAsia="Aptos" w:cs="Arial"/>
          <w:kern w:val="0"/>
          <w:szCs w:val="20"/>
        </w:rPr>
        <w:t xml:space="preserve">realizacji KPEiK. </w:t>
      </w:r>
      <w:r w:rsidR="00F66702">
        <w:rPr>
          <w:rFonts w:eastAsia="Aptos" w:cs="Arial"/>
          <w:kern w:val="0"/>
          <w:szCs w:val="20"/>
        </w:rPr>
        <w:t>W</w:t>
      </w:r>
      <w:r w:rsidR="002876FE">
        <w:rPr>
          <w:rFonts w:eastAsia="Aptos" w:cs="Arial"/>
          <w:kern w:val="0"/>
          <w:szCs w:val="20"/>
        </w:rPr>
        <w:t> </w:t>
      </w:r>
      <w:r w:rsidR="00F66702">
        <w:rPr>
          <w:rFonts w:eastAsia="Aptos" w:cs="Arial"/>
          <w:kern w:val="0"/>
          <w:szCs w:val="20"/>
        </w:rPr>
        <w:t xml:space="preserve">czasie </w:t>
      </w:r>
      <w:r w:rsidR="002876FE">
        <w:rPr>
          <w:rFonts w:eastAsia="Aptos" w:cs="Arial"/>
          <w:kern w:val="0"/>
          <w:szCs w:val="20"/>
        </w:rPr>
        <w:t>wdrażania</w:t>
      </w:r>
      <w:r w:rsidR="00F66702">
        <w:rPr>
          <w:rFonts w:eastAsia="Aptos" w:cs="Arial"/>
          <w:kern w:val="0"/>
          <w:szCs w:val="20"/>
        </w:rPr>
        <w:t xml:space="preserve"> </w:t>
      </w:r>
      <w:r w:rsidR="006B7468">
        <w:rPr>
          <w:rFonts w:eastAsia="Aptos" w:cs="Arial"/>
          <w:kern w:val="0"/>
          <w:szCs w:val="20"/>
        </w:rPr>
        <w:t>a</w:t>
      </w:r>
      <w:r w:rsidR="00F66702">
        <w:rPr>
          <w:rFonts w:eastAsia="Aptos" w:cs="Arial"/>
          <w:kern w:val="0"/>
          <w:szCs w:val="20"/>
        </w:rPr>
        <w:t>KPEiK pojawiać się będą różne nowe inicjatywy i rozwiązania finansowe, które będą mogły wpisać się w ambitny plan</w:t>
      </w:r>
      <w:r w:rsidR="00FB41A3">
        <w:rPr>
          <w:rFonts w:eastAsia="Aptos" w:cs="Arial"/>
          <w:kern w:val="0"/>
          <w:szCs w:val="20"/>
        </w:rPr>
        <w:t xml:space="preserve">. </w:t>
      </w:r>
      <w:r w:rsidR="00CA59C6">
        <w:rPr>
          <w:rFonts w:eastAsia="Aptos" w:cs="Arial"/>
          <w:kern w:val="0"/>
          <w:szCs w:val="20"/>
        </w:rPr>
        <w:t>Biorąc to wszystko pod</w:t>
      </w:r>
      <w:r w:rsidR="007E712A">
        <w:rPr>
          <w:rFonts w:eastAsia="Aptos" w:cs="Arial"/>
          <w:kern w:val="0"/>
          <w:szCs w:val="20"/>
        </w:rPr>
        <w:t xml:space="preserve"> </w:t>
      </w:r>
      <w:r w:rsidR="00F14606">
        <w:rPr>
          <w:rFonts w:eastAsia="Aptos" w:cs="Arial"/>
          <w:kern w:val="0"/>
          <w:szCs w:val="20"/>
        </w:rPr>
        <w:t>uwagę</w:t>
      </w:r>
      <w:r w:rsidR="000A0FDB">
        <w:rPr>
          <w:rFonts w:eastAsia="Aptos" w:cs="Arial"/>
          <w:kern w:val="0"/>
          <w:szCs w:val="20"/>
        </w:rPr>
        <w:t>,</w:t>
      </w:r>
      <w:r w:rsidR="00F14606">
        <w:rPr>
          <w:rFonts w:eastAsia="Aptos" w:cs="Arial"/>
          <w:kern w:val="0"/>
          <w:szCs w:val="20"/>
        </w:rPr>
        <w:t xml:space="preserve"> przewiduje się opracowanie </w:t>
      </w:r>
      <w:r w:rsidR="003100CA" w:rsidRPr="003100CA">
        <w:rPr>
          <w:rFonts w:eastAsia="Aptos" w:cs="Arial"/>
          <w:b/>
          <w:bCs/>
          <w:kern w:val="0"/>
          <w:szCs w:val="20"/>
        </w:rPr>
        <w:t xml:space="preserve">planu finansowego dla działań </w:t>
      </w:r>
      <w:r w:rsidR="006B7468">
        <w:rPr>
          <w:rFonts w:eastAsia="Aptos" w:cs="Arial"/>
          <w:b/>
          <w:bCs/>
          <w:kern w:val="0"/>
          <w:szCs w:val="20"/>
        </w:rPr>
        <w:t>a</w:t>
      </w:r>
      <w:r w:rsidR="003100CA" w:rsidRPr="003100CA">
        <w:rPr>
          <w:rFonts w:eastAsia="Aptos" w:cs="Arial"/>
          <w:b/>
          <w:bCs/>
          <w:kern w:val="0"/>
          <w:szCs w:val="20"/>
        </w:rPr>
        <w:t>KPEiK</w:t>
      </w:r>
      <w:r w:rsidR="00BD3F4F">
        <w:rPr>
          <w:rFonts w:eastAsia="Aptos" w:cs="Arial"/>
          <w:kern w:val="0"/>
          <w:szCs w:val="20"/>
        </w:rPr>
        <w:t xml:space="preserve">, </w:t>
      </w:r>
      <w:r w:rsidR="00BD3F4F" w:rsidRPr="00BD3F4F">
        <w:rPr>
          <w:rFonts w:eastAsia="Aptos" w:cs="Arial"/>
          <w:kern w:val="0"/>
          <w:szCs w:val="20"/>
        </w:rPr>
        <w:t>który określi źródła kapitału, mechanizmy wsparcia oraz zasady współpracy między instytucjami publicznymi i</w:t>
      </w:r>
      <w:r w:rsidR="006D1C83">
        <w:rPr>
          <w:rFonts w:eastAsia="Aptos" w:cs="Arial"/>
          <w:kern w:val="0"/>
          <w:szCs w:val="20"/>
        </w:rPr>
        <w:t> </w:t>
      </w:r>
      <w:r w:rsidR="00BD3F4F" w:rsidRPr="00BD3F4F">
        <w:rPr>
          <w:rFonts w:eastAsia="Aptos" w:cs="Arial"/>
          <w:kern w:val="0"/>
          <w:szCs w:val="20"/>
        </w:rPr>
        <w:t>prywatnymi</w:t>
      </w:r>
      <w:r w:rsidR="00BD3F4F">
        <w:rPr>
          <w:rFonts w:eastAsia="Aptos" w:cs="Arial"/>
          <w:kern w:val="0"/>
          <w:szCs w:val="20"/>
        </w:rPr>
        <w:t>.</w:t>
      </w:r>
      <w:r w:rsidR="00631F35">
        <w:rPr>
          <w:rFonts w:eastAsia="Aptos" w:cs="Arial"/>
          <w:kern w:val="0"/>
          <w:szCs w:val="20"/>
        </w:rPr>
        <w:t xml:space="preserve"> </w:t>
      </w:r>
      <w:r w:rsidR="00202CBA" w:rsidRPr="00C50A11">
        <w:rPr>
          <w:rFonts w:eastAsia="Aptos" w:cs="Arial"/>
          <w:kern w:val="0"/>
          <w:szCs w:val="20"/>
        </w:rPr>
        <w:t xml:space="preserve">Ze względu na bardzo specyficzną sytuację w ciepłownictwie – oddzielnie opracowany zostanie także plan finansowy transformacji tego sektora. </w:t>
      </w:r>
      <w:r w:rsidR="00631F35" w:rsidRPr="00631F35">
        <w:rPr>
          <w:rFonts w:eastAsia="Aptos" w:cs="Arial"/>
          <w:i/>
          <w:iCs/>
          <w:kern w:val="0"/>
          <w:szCs w:val="20"/>
        </w:rPr>
        <w:t>Załącznik</w:t>
      </w:r>
      <w:r w:rsidR="001C6019">
        <w:rPr>
          <w:rFonts w:eastAsia="Aptos" w:cs="Arial"/>
          <w:i/>
          <w:iCs/>
          <w:kern w:val="0"/>
          <w:szCs w:val="20"/>
        </w:rPr>
        <w:t xml:space="preserve"> </w:t>
      </w:r>
      <w:r w:rsidR="00631F35" w:rsidRPr="00631F35">
        <w:rPr>
          <w:rFonts w:eastAsia="Aptos" w:cs="Arial"/>
          <w:i/>
          <w:iCs/>
          <w:kern w:val="0"/>
          <w:szCs w:val="20"/>
        </w:rPr>
        <w:t>5</w:t>
      </w:r>
      <w:r w:rsidR="001C6019">
        <w:rPr>
          <w:rFonts w:eastAsia="Aptos" w:cs="Arial"/>
          <w:i/>
          <w:iCs/>
          <w:kern w:val="0"/>
          <w:szCs w:val="20"/>
        </w:rPr>
        <w:t>.</w:t>
      </w:r>
      <w:r w:rsidR="00631F35" w:rsidRPr="00631F35">
        <w:rPr>
          <w:rFonts w:eastAsia="Aptos" w:cs="Arial"/>
          <w:i/>
          <w:iCs/>
          <w:kern w:val="0"/>
          <w:szCs w:val="20"/>
        </w:rPr>
        <w:t xml:space="preserve"> do </w:t>
      </w:r>
      <w:r w:rsidR="006B7468">
        <w:rPr>
          <w:rFonts w:eastAsia="Aptos" w:cs="Arial"/>
          <w:i/>
          <w:iCs/>
          <w:kern w:val="0"/>
          <w:szCs w:val="20"/>
        </w:rPr>
        <w:t>a</w:t>
      </w:r>
      <w:r w:rsidR="00631F35" w:rsidRPr="00631F35">
        <w:rPr>
          <w:rFonts w:eastAsia="Aptos" w:cs="Arial"/>
          <w:i/>
          <w:iCs/>
          <w:kern w:val="0"/>
          <w:szCs w:val="20"/>
        </w:rPr>
        <w:t>KPEiK</w:t>
      </w:r>
      <w:r w:rsidR="00631F35">
        <w:rPr>
          <w:rFonts w:eastAsia="Aptos" w:cs="Arial"/>
          <w:i/>
          <w:iCs/>
          <w:kern w:val="0"/>
          <w:szCs w:val="20"/>
        </w:rPr>
        <w:t xml:space="preserve"> prezentuje </w:t>
      </w:r>
      <w:r w:rsidR="00E01912">
        <w:rPr>
          <w:rFonts w:eastAsia="Aptos" w:cs="Arial"/>
          <w:i/>
          <w:iCs/>
          <w:kern w:val="0"/>
          <w:szCs w:val="20"/>
        </w:rPr>
        <w:t>potrzeby inwestycyjne</w:t>
      </w:r>
      <w:r w:rsidR="00CA3FAC">
        <w:rPr>
          <w:rFonts w:eastAsia="Aptos" w:cs="Arial"/>
          <w:i/>
          <w:iCs/>
          <w:kern w:val="0"/>
          <w:szCs w:val="20"/>
        </w:rPr>
        <w:t>,</w:t>
      </w:r>
      <w:r w:rsidR="00E01912">
        <w:rPr>
          <w:rFonts w:eastAsia="Aptos" w:cs="Arial"/>
          <w:i/>
          <w:iCs/>
          <w:kern w:val="0"/>
          <w:szCs w:val="20"/>
        </w:rPr>
        <w:t xml:space="preserve"> dostępne sposoby i źródła finansowania zidentyfikowane w czasie opracowania dokumentu. </w:t>
      </w:r>
    </w:p>
    <w:p w14:paraId="3EA0BAC1" w14:textId="3FA47793" w:rsidR="00601EBF" w:rsidRDefault="00D040ED" w:rsidP="000D36C1">
      <w:pPr>
        <w:spacing w:before="480"/>
        <w:rPr>
          <w:rFonts w:eastAsia="Aptos" w:cs="Arial"/>
          <w:kern w:val="0"/>
          <w:szCs w:val="20"/>
        </w:rPr>
      </w:pPr>
      <w:r>
        <w:rPr>
          <w:rFonts w:eastAsia="Aptos" w:cs="Arial"/>
          <w:kern w:val="0"/>
          <w:szCs w:val="20"/>
        </w:rPr>
        <w:t xml:space="preserve">Niezwykle ważne jest także </w:t>
      </w:r>
      <w:r w:rsidR="005E6C11" w:rsidRPr="006809EF">
        <w:rPr>
          <w:rFonts w:eastAsia="Aptos" w:cs="Arial"/>
          <w:b/>
          <w:kern w:val="0"/>
          <w:szCs w:val="20"/>
        </w:rPr>
        <w:t xml:space="preserve">wyposażenie </w:t>
      </w:r>
      <w:r w:rsidR="00A85ADD" w:rsidRPr="006809EF">
        <w:rPr>
          <w:rFonts w:eastAsia="Aptos" w:cs="Arial"/>
          <w:b/>
          <w:kern w:val="0"/>
          <w:szCs w:val="20"/>
        </w:rPr>
        <w:t xml:space="preserve">podmiotów realizujących </w:t>
      </w:r>
      <w:r w:rsidR="006B7468">
        <w:rPr>
          <w:rFonts w:eastAsia="Aptos" w:cs="Arial"/>
          <w:b/>
          <w:kern w:val="0"/>
          <w:szCs w:val="20"/>
        </w:rPr>
        <w:t>a</w:t>
      </w:r>
      <w:r w:rsidR="00A85ADD" w:rsidRPr="006809EF">
        <w:rPr>
          <w:rFonts w:eastAsia="Aptos" w:cs="Arial"/>
          <w:b/>
          <w:kern w:val="0"/>
          <w:szCs w:val="20"/>
        </w:rPr>
        <w:t xml:space="preserve">KPEiK w </w:t>
      </w:r>
      <w:r w:rsidR="006D1C83" w:rsidRPr="006809EF">
        <w:rPr>
          <w:rFonts w:eastAsia="Aptos" w:cs="Arial"/>
          <w:b/>
          <w:kern w:val="0"/>
          <w:szCs w:val="20"/>
        </w:rPr>
        <w:t xml:space="preserve">rozwiązania i </w:t>
      </w:r>
      <w:r w:rsidR="00A85ADD" w:rsidRPr="006809EF">
        <w:rPr>
          <w:rFonts w:eastAsia="Aptos" w:cs="Arial"/>
          <w:b/>
          <w:kern w:val="0"/>
          <w:szCs w:val="20"/>
        </w:rPr>
        <w:t>narz</w:t>
      </w:r>
      <w:r w:rsidR="00A40E21" w:rsidRPr="006809EF">
        <w:rPr>
          <w:rFonts w:eastAsia="Aptos" w:cs="Arial"/>
          <w:b/>
          <w:kern w:val="0"/>
          <w:szCs w:val="20"/>
        </w:rPr>
        <w:t>ędzia</w:t>
      </w:r>
      <w:r w:rsidR="00A40E21">
        <w:rPr>
          <w:rFonts w:eastAsia="Aptos" w:cs="Arial"/>
          <w:kern w:val="0"/>
          <w:szCs w:val="20"/>
        </w:rPr>
        <w:t xml:space="preserve"> </w:t>
      </w:r>
      <w:r w:rsidR="00BA2CA4">
        <w:rPr>
          <w:rFonts w:eastAsia="Aptos" w:cs="Arial"/>
          <w:kern w:val="0"/>
          <w:szCs w:val="20"/>
        </w:rPr>
        <w:t xml:space="preserve">wspierające </w:t>
      </w:r>
      <w:r w:rsidR="006D1C83">
        <w:rPr>
          <w:rFonts w:eastAsia="Aptos" w:cs="Arial"/>
          <w:kern w:val="0"/>
          <w:szCs w:val="20"/>
        </w:rPr>
        <w:t>prowadzenie transformacji</w:t>
      </w:r>
      <w:r w:rsidR="00FF77FB">
        <w:rPr>
          <w:rFonts w:eastAsia="Aptos" w:cs="Arial"/>
          <w:kern w:val="0"/>
          <w:szCs w:val="20"/>
        </w:rPr>
        <w:t xml:space="preserve">. </w:t>
      </w:r>
      <w:r w:rsidR="00C83E7E">
        <w:rPr>
          <w:rFonts w:eastAsia="Aptos" w:cs="Arial"/>
          <w:kern w:val="0"/>
          <w:szCs w:val="20"/>
        </w:rPr>
        <w:t>Do najważniejszych inicjatyw</w:t>
      </w:r>
      <w:r w:rsidR="00631F35">
        <w:rPr>
          <w:rFonts w:eastAsia="Aptos" w:cs="Arial"/>
          <w:kern w:val="0"/>
          <w:szCs w:val="20"/>
        </w:rPr>
        <w:t xml:space="preserve"> zalicza się poniższe:</w:t>
      </w:r>
    </w:p>
    <w:p w14:paraId="3A545BD1" w14:textId="644CA022" w:rsidR="001F6468" w:rsidRPr="001F6468" w:rsidRDefault="001F6468" w:rsidP="000625AC">
      <w:pPr>
        <w:pStyle w:val="Akapitzlist"/>
        <w:numPr>
          <w:ilvl w:val="0"/>
          <w:numId w:val="86"/>
        </w:numPr>
        <w:rPr>
          <w:rFonts w:eastAsia="Aptos" w:cs="Arial"/>
          <w:b/>
          <w:bCs/>
          <w:kern w:val="0"/>
          <w:szCs w:val="20"/>
        </w:rPr>
      </w:pPr>
      <w:r w:rsidRPr="001F6468">
        <w:rPr>
          <w:rFonts w:eastAsia="Aptos" w:cs="Arial"/>
          <w:b/>
          <w:bCs/>
          <w:kern w:val="0"/>
          <w:szCs w:val="20"/>
        </w:rPr>
        <w:t xml:space="preserve">Centrum Wsparcia Transformacji Energetycznej </w:t>
      </w:r>
      <w:r>
        <w:rPr>
          <w:rFonts w:eastAsia="Aptos" w:cs="Arial"/>
          <w:b/>
          <w:bCs/>
          <w:kern w:val="0"/>
          <w:szCs w:val="20"/>
        </w:rPr>
        <w:t xml:space="preserve">– </w:t>
      </w:r>
      <w:r>
        <w:rPr>
          <w:rFonts w:eastAsia="Aptos" w:cs="Arial"/>
          <w:kern w:val="0"/>
          <w:szCs w:val="20"/>
        </w:rPr>
        <w:t>któr</w:t>
      </w:r>
      <w:r w:rsidR="006809EF">
        <w:rPr>
          <w:rFonts w:eastAsia="Aptos" w:cs="Arial"/>
          <w:kern w:val="0"/>
          <w:szCs w:val="20"/>
        </w:rPr>
        <w:t>e</w:t>
      </w:r>
      <w:r w:rsidR="006142DA">
        <w:rPr>
          <w:rFonts w:eastAsia="Aptos" w:cs="Arial"/>
          <w:kern w:val="0"/>
          <w:szCs w:val="20"/>
        </w:rPr>
        <w:t xml:space="preserve"> ma stanowi</w:t>
      </w:r>
      <w:r w:rsidR="006809EF">
        <w:rPr>
          <w:rFonts w:eastAsia="Aptos" w:cs="Arial"/>
          <w:kern w:val="0"/>
          <w:szCs w:val="20"/>
        </w:rPr>
        <w:t>ć</w:t>
      </w:r>
      <w:r w:rsidR="006142DA">
        <w:rPr>
          <w:rFonts w:eastAsia="Aptos" w:cs="Arial"/>
          <w:kern w:val="0"/>
          <w:szCs w:val="20"/>
        </w:rPr>
        <w:t xml:space="preserve"> </w:t>
      </w:r>
      <w:r w:rsidR="006142DA" w:rsidRPr="006142DA">
        <w:rPr>
          <w:rFonts w:eastAsia="Aptos" w:cs="Arial"/>
          <w:kern w:val="0"/>
          <w:szCs w:val="20"/>
        </w:rPr>
        <w:t xml:space="preserve">centrum doradcze </w:t>
      </w:r>
      <w:r w:rsidR="00DA3043">
        <w:rPr>
          <w:rFonts w:eastAsia="Aptos" w:cs="Arial"/>
          <w:kern w:val="0"/>
          <w:szCs w:val="20"/>
        </w:rPr>
        <w:t>dostępne</w:t>
      </w:r>
      <w:r w:rsidR="0039711B">
        <w:rPr>
          <w:rFonts w:eastAsia="Aptos" w:cs="Arial"/>
          <w:kern w:val="0"/>
          <w:szCs w:val="20"/>
        </w:rPr>
        <w:t xml:space="preserve"> </w:t>
      </w:r>
      <w:r w:rsidR="00F85FFB">
        <w:rPr>
          <w:rFonts w:eastAsia="Aptos" w:cs="Arial"/>
          <w:kern w:val="0"/>
          <w:szCs w:val="20"/>
        </w:rPr>
        <w:t xml:space="preserve">dla podmiotów gospodarczych i obywateli, w oparciu o najlepszą wiedzę </w:t>
      </w:r>
      <w:r w:rsidR="00706E8C">
        <w:rPr>
          <w:rFonts w:eastAsia="Aptos" w:cs="Arial"/>
          <w:kern w:val="0"/>
          <w:szCs w:val="20"/>
        </w:rPr>
        <w:t xml:space="preserve">technologiczną i </w:t>
      </w:r>
      <w:r w:rsidR="00D006B4">
        <w:rPr>
          <w:rFonts w:eastAsia="Aptos" w:cs="Arial"/>
          <w:kern w:val="0"/>
          <w:szCs w:val="20"/>
        </w:rPr>
        <w:t>finansową</w:t>
      </w:r>
      <w:r w:rsidR="00631F35">
        <w:rPr>
          <w:rFonts w:eastAsia="Aptos" w:cs="Arial"/>
          <w:kern w:val="0"/>
          <w:szCs w:val="20"/>
        </w:rPr>
        <w:t>;</w:t>
      </w:r>
    </w:p>
    <w:p w14:paraId="54352A7D" w14:textId="25C87E46" w:rsidR="00C83E7E" w:rsidRDefault="004E467E" w:rsidP="000625AC">
      <w:pPr>
        <w:pStyle w:val="Akapitzlist"/>
        <w:numPr>
          <w:ilvl w:val="0"/>
          <w:numId w:val="86"/>
        </w:numPr>
        <w:rPr>
          <w:rFonts w:eastAsia="Aptos" w:cs="Arial"/>
          <w:kern w:val="0"/>
          <w:szCs w:val="20"/>
        </w:rPr>
      </w:pPr>
      <w:r w:rsidRPr="001F6468">
        <w:rPr>
          <w:rFonts w:eastAsia="Aptos" w:cs="Arial"/>
          <w:b/>
          <w:bCs/>
          <w:kern w:val="0"/>
          <w:szCs w:val="20"/>
        </w:rPr>
        <w:t>Symulator Systemu Energetycznego dla Samorządu</w:t>
      </w:r>
      <w:r w:rsidRPr="001F6468">
        <w:rPr>
          <w:rFonts w:eastAsia="Aptos" w:cs="Arial"/>
          <w:kern w:val="0"/>
          <w:szCs w:val="20"/>
        </w:rPr>
        <w:t xml:space="preserve"> – </w:t>
      </w:r>
      <w:r w:rsidR="006F2CA9">
        <w:rPr>
          <w:rFonts w:eastAsia="Aptos" w:cs="Arial"/>
          <w:kern w:val="0"/>
          <w:szCs w:val="20"/>
        </w:rPr>
        <w:t xml:space="preserve">aktualnie </w:t>
      </w:r>
      <w:r w:rsidR="002C1BDD">
        <w:rPr>
          <w:rFonts w:eastAsia="Aptos" w:cs="Arial"/>
          <w:kern w:val="0"/>
          <w:szCs w:val="20"/>
        </w:rPr>
        <w:t>JST zderz</w:t>
      </w:r>
      <w:r w:rsidR="008B4EC9">
        <w:rPr>
          <w:rFonts w:eastAsia="Aptos" w:cs="Arial"/>
          <w:kern w:val="0"/>
          <w:szCs w:val="20"/>
        </w:rPr>
        <w:t>a</w:t>
      </w:r>
      <w:r w:rsidR="002C1BDD">
        <w:rPr>
          <w:rFonts w:eastAsia="Aptos" w:cs="Arial"/>
          <w:kern w:val="0"/>
          <w:szCs w:val="20"/>
        </w:rPr>
        <w:t>ją się</w:t>
      </w:r>
      <w:r w:rsidR="008B4EC9">
        <w:rPr>
          <w:rFonts w:eastAsia="Aptos" w:cs="Arial"/>
          <w:kern w:val="0"/>
          <w:szCs w:val="20"/>
        </w:rPr>
        <w:t xml:space="preserve"> </w:t>
      </w:r>
      <w:r w:rsidR="002C1BDD">
        <w:rPr>
          <w:rFonts w:eastAsia="Aptos" w:cs="Arial"/>
          <w:kern w:val="0"/>
          <w:szCs w:val="20"/>
        </w:rPr>
        <w:t xml:space="preserve">z problemem braku wiedzy w zakresie </w:t>
      </w:r>
      <w:r w:rsidR="009D6CB3">
        <w:rPr>
          <w:rFonts w:eastAsia="Aptos" w:cs="Arial"/>
          <w:kern w:val="0"/>
          <w:szCs w:val="20"/>
        </w:rPr>
        <w:t xml:space="preserve">potrzeb energetycznych, potencjału </w:t>
      </w:r>
      <w:r w:rsidR="00633418">
        <w:rPr>
          <w:rFonts w:eastAsia="Aptos" w:cs="Arial"/>
          <w:kern w:val="0"/>
          <w:szCs w:val="20"/>
        </w:rPr>
        <w:t>rozwoju</w:t>
      </w:r>
      <w:r w:rsidR="009D6CB3">
        <w:rPr>
          <w:rFonts w:eastAsia="Aptos" w:cs="Arial"/>
          <w:kern w:val="0"/>
          <w:szCs w:val="20"/>
        </w:rPr>
        <w:t xml:space="preserve"> i </w:t>
      </w:r>
      <w:r w:rsidR="00B601F6">
        <w:rPr>
          <w:rFonts w:eastAsia="Aptos" w:cs="Arial"/>
          <w:kern w:val="0"/>
          <w:szCs w:val="20"/>
        </w:rPr>
        <w:t xml:space="preserve">optymalnej </w:t>
      </w:r>
      <w:r w:rsidR="002C1BDD">
        <w:rPr>
          <w:rFonts w:eastAsia="Aptos" w:cs="Arial"/>
          <w:kern w:val="0"/>
          <w:szCs w:val="20"/>
        </w:rPr>
        <w:t xml:space="preserve">ścieżki </w:t>
      </w:r>
      <w:r w:rsidR="009D6CB3">
        <w:rPr>
          <w:rFonts w:eastAsia="Aptos" w:cs="Arial"/>
          <w:kern w:val="0"/>
          <w:szCs w:val="20"/>
        </w:rPr>
        <w:t>transformacji. D</w:t>
      </w:r>
      <w:r w:rsidR="003C6797">
        <w:rPr>
          <w:rFonts w:eastAsia="Aptos" w:cs="Arial"/>
          <w:kern w:val="0"/>
          <w:szCs w:val="20"/>
        </w:rPr>
        <w:t>latego</w:t>
      </w:r>
      <w:r w:rsidR="009D6CB3">
        <w:rPr>
          <w:rFonts w:eastAsia="Aptos" w:cs="Arial"/>
          <w:kern w:val="0"/>
          <w:szCs w:val="20"/>
        </w:rPr>
        <w:t xml:space="preserve"> wyposażeni</w:t>
      </w:r>
      <w:r w:rsidR="00040B97">
        <w:rPr>
          <w:rFonts w:eastAsia="Aptos" w:cs="Arial"/>
          <w:kern w:val="0"/>
          <w:szCs w:val="20"/>
        </w:rPr>
        <w:t>e</w:t>
      </w:r>
      <w:r w:rsidR="009D6CB3">
        <w:rPr>
          <w:rFonts w:eastAsia="Aptos" w:cs="Arial"/>
          <w:kern w:val="0"/>
          <w:szCs w:val="20"/>
        </w:rPr>
        <w:t xml:space="preserve"> JST w</w:t>
      </w:r>
      <w:r w:rsidRPr="001F6468">
        <w:rPr>
          <w:rFonts w:eastAsia="Aptos" w:cs="Arial"/>
          <w:kern w:val="0"/>
          <w:szCs w:val="20"/>
        </w:rPr>
        <w:t xml:space="preserve"> </w:t>
      </w:r>
      <w:r w:rsidR="005055F1">
        <w:rPr>
          <w:rFonts w:eastAsia="Aptos" w:cs="Arial"/>
          <w:kern w:val="0"/>
          <w:szCs w:val="20"/>
        </w:rPr>
        <w:t xml:space="preserve">to rozwiązanie </w:t>
      </w:r>
      <w:r w:rsidR="001F6468" w:rsidRPr="001F6468">
        <w:rPr>
          <w:rFonts w:eastAsia="Aptos" w:cs="Arial"/>
          <w:kern w:val="0"/>
          <w:szCs w:val="20"/>
        </w:rPr>
        <w:t>umożliwi modelowani</w:t>
      </w:r>
      <w:r w:rsidR="00F100D5">
        <w:rPr>
          <w:rFonts w:eastAsia="Aptos" w:cs="Arial"/>
          <w:kern w:val="0"/>
          <w:szCs w:val="20"/>
        </w:rPr>
        <w:t>e</w:t>
      </w:r>
      <w:r w:rsidR="001F6468" w:rsidRPr="001F6468">
        <w:rPr>
          <w:rFonts w:eastAsia="Aptos" w:cs="Arial"/>
          <w:kern w:val="0"/>
          <w:szCs w:val="20"/>
        </w:rPr>
        <w:t xml:space="preserve"> różnych scenariuszy dekarbonizacji, analiz</w:t>
      </w:r>
      <w:r w:rsidR="00F100D5">
        <w:rPr>
          <w:rFonts w:eastAsia="Aptos" w:cs="Arial"/>
          <w:kern w:val="0"/>
          <w:szCs w:val="20"/>
        </w:rPr>
        <w:t>ę</w:t>
      </w:r>
      <w:r w:rsidR="001F6468" w:rsidRPr="001F6468">
        <w:rPr>
          <w:rFonts w:eastAsia="Aptos" w:cs="Arial"/>
          <w:kern w:val="0"/>
          <w:szCs w:val="20"/>
        </w:rPr>
        <w:t xml:space="preserve"> kosztów inwestycji oraz określenie najbardziej efektywnych zintegrowanych działań w zakresie energetyki, ciepłownictwa, transportu i infrastruktury budynkowej</w:t>
      </w:r>
      <w:r w:rsidR="00631F35">
        <w:rPr>
          <w:rFonts w:eastAsia="Aptos" w:cs="Arial"/>
          <w:kern w:val="0"/>
          <w:szCs w:val="20"/>
        </w:rPr>
        <w:t>;</w:t>
      </w:r>
    </w:p>
    <w:p w14:paraId="2A2D22B1" w14:textId="17A0FD94" w:rsidR="00631F35" w:rsidRPr="001F6468" w:rsidRDefault="0087203D" w:rsidP="000625AC">
      <w:pPr>
        <w:pStyle w:val="Akapitzlist"/>
        <w:numPr>
          <w:ilvl w:val="0"/>
          <w:numId w:val="86"/>
        </w:numPr>
        <w:rPr>
          <w:rFonts w:eastAsia="Aptos" w:cs="Arial"/>
          <w:kern w:val="0"/>
          <w:szCs w:val="20"/>
        </w:rPr>
      </w:pPr>
      <w:r w:rsidRPr="001E56C6">
        <w:rPr>
          <w:rFonts w:eastAsia="Aptos" w:cs="Arial"/>
          <w:b/>
          <w:bCs/>
          <w:kern w:val="0"/>
          <w:szCs w:val="20"/>
        </w:rPr>
        <w:t xml:space="preserve">Rozwój zasobów analitycznych </w:t>
      </w:r>
      <w:r w:rsidR="001E56C6" w:rsidRPr="001E56C6">
        <w:rPr>
          <w:rFonts w:eastAsia="Aptos" w:cs="Arial"/>
          <w:b/>
          <w:bCs/>
          <w:kern w:val="0"/>
          <w:szCs w:val="20"/>
        </w:rPr>
        <w:t>centralnej administracji publicznej</w:t>
      </w:r>
      <w:r w:rsidR="001E56C6">
        <w:rPr>
          <w:rFonts w:eastAsia="Aptos" w:cs="Arial"/>
          <w:kern w:val="0"/>
          <w:szCs w:val="20"/>
        </w:rPr>
        <w:t xml:space="preserve"> na potrzeby transformacji energetycznej – </w:t>
      </w:r>
      <w:r w:rsidR="0043631A">
        <w:rPr>
          <w:rFonts w:eastAsia="Aptos" w:cs="Arial"/>
          <w:kern w:val="0"/>
          <w:szCs w:val="20"/>
        </w:rPr>
        <w:t xml:space="preserve">aktualnie administracja </w:t>
      </w:r>
      <w:r w:rsidR="00677CE6">
        <w:rPr>
          <w:rFonts w:eastAsia="Aptos" w:cs="Arial"/>
          <w:kern w:val="0"/>
          <w:szCs w:val="20"/>
        </w:rPr>
        <w:t xml:space="preserve">publiczna korzysta z różnych ośrodków analitycznych lub podmiotów </w:t>
      </w:r>
      <w:r w:rsidR="00441E5D">
        <w:rPr>
          <w:rFonts w:eastAsia="Aptos" w:cs="Arial"/>
          <w:kern w:val="0"/>
          <w:szCs w:val="20"/>
        </w:rPr>
        <w:t xml:space="preserve">zewnętrznych, co </w:t>
      </w:r>
      <w:r w:rsidR="005A60C2">
        <w:rPr>
          <w:rFonts w:eastAsia="Aptos" w:cs="Arial"/>
          <w:kern w:val="0"/>
          <w:szCs w:val="20"/>
        </w:rPr>
        <w:t xml:space="preserve">powoduje ryzyko niespójności </w:t>
      </w:r>
      <w:r w:rsidR="00333B70">
        <w:rPr>
          <w:rFonts w:eastAsia="Aptos" w:cs="Arial"/>
          <w:kern w:val="0"/>
          <w:szCs w:val="20"/>
        </w:rPr>
        <w:t xml:space="preserve">metodycznej, niedostatecznej wiedzy o istnieniu danych i </w:t>
      </w:r>
      <w:r w:rsidR="00063BDC">
        <w:rPr>
          <w:rFonts w:eastAsia="Aptos" w:cs="Arial"/>
          <w:kern w:val="0"/>
          <w:szCs w:val="20"/>
        </w:rPr>
        <w:t>prognoz oraz</w:t>
      </w:r>
      <w:r w:rsidR="005A60C2">
        <w:rPr>
          <w:rFonts w:eastAsia="Aptos" w:cs="Arial"/>
          <w:kern w:val="0"/>
          <w:szCs w:val="20"/>
        </w:rPr>
        <w:t xml:space="preserve"> </w:t>
      </w:r>
      <w:r w:rsidR="00677CE6">
        <w:rPr>
          <w:rFonts w:eastAsia="Aptos" w:cs="Arial"/>
          <w:kern w:val="0"/>
          <w:szCs w:val="20"/>
        </w:rPr>
        <w:t xml:space="preserve">wielokrotnie </w:t>
      </w:r>
      <w:r w:rsidR="00441E5D">
        <w:rPr>
          <w:rFonts w:eastAsia="Aptos" w:cs="Arial"/>
          <w:kern w:val="0"/>
          <w:szCs w:val="20"/>
        </w:rPr>
        <w:t>powoduje problemy</w:t>
      </w:r>
      <w:r w:rsidR="00677CE6">
        <w:rPr>
          <w:rFonts w:eastAsia="Aptos" w:cs="Arial"/>
          <w:kern w:val="0"/>
          <w:szCs w:val="20"/>
        </w:rPr>
        <w:t xml:space="preserve"> </w:t>
      </w:r>
      <w:r w:rsidR="005A60C2">
        <w:rPr>
          <w:rFonts w:eastAsia="Aptos" w:cs="Arial"/>
          <w:kern w:val="0"/>
          <w:szCs w:val="20"/>
        </w:rPr>
        <w:t>organizacyjne</w:t>
      </w:r>
      <w:r w:rsidR="00063BDC">
        <w:rPr>
          <w:rFonts w:eastAsia="Aptos" w:cs="Arial"/>
          <w:kern w:val="0"/>
          <w:szCs w:val="20"/>
        </w:rPr>
        <w:t>. Z tego wzgl</w:t>
      </w:r>
      <w:r w:rsidR="006F2CA9">
        <w:rPr>
          <w:rFonts w:eastAsia="Aptos" w:cs="Arial"/>
          <w:kern w:val="0"/>
          <w:szCs w:val="20"/>
        </w:rPr>
        <w:t xml:space="preserve">ędu niezwykle potrzebne jest </w:t>
      </w:r>
      <w:r w:rsidR="000D36C1">
        <w:rPr>
          <w:rFonts w:eastAsia="Aptos" w:cs="Arial"/>
          <w:kern w:val="0"/>
          <w:szCs w:val="20"/>
        </w:rPr>
        <w:t>wzmocnienie zaplecza analitycznego administracji.</w:t>
      </w:r>
    </w:p>
    <w:p w14:paraId="44819BB5" w14:textId="0FA5DBAE" w:rsidR="00C531E2" w:rsidRDefault="006809EF" w:rsidP="000D36C1">
      <w:pPr>
        <w:spacing w:before="480"/>
      </w:pPr>
      <w:r>
        <w:t xml:space="preserve">Transformacja nie odbędzie się bez sprawnego rozwoju technologicznego. </w:t>
      </w:r>
      <w:r w:rsidR="00C531E2">
        <w:t xml:space="preserve">Działalność w obszarze </w:t>
      </w:r>
      <w:r w:rsidR="00C531E2" w:rsidRPr="006809EF">
        <w:rPr>
          <w:b/>
        </w:rPr>
        <w:t>badań i rozwoju</w:t>
      </w:r>
      <w:r w:rsidR="00C531E2">
        <w:t xml:space="preserve"> prowadzi do pozyskania rozwiązań, które odpowiadać będą na zidentyfikowane szeroko pojęte potrzeby rozwojowe w różnych dziedzinach życia i funkcjonowania gospodarek. </w:t>
      </w:r>
      <w:r w:rsidR="00963A1E">
        <w:t>Rozwiązania te p</w:t>
      </w:r>
      <w:r w:rsidR="00C531E2">
        <w:t xml:space="preserve">owinny </w:t>
      </w:r>
      <w:r w:rsidR="00963A1E">
        <w:t xml:space="preserve">również </w:t>
      </w:r>
      <w:r w:rsidR="00C531E2">
        <w:t xml:space="preserve">wspierać wykorzystanie przewag konkurencyjnych kraju i zwiększać jego atrakcyjność inwestycyjną oraz wzmacniać innowacyjność. Z tego względu </w:t>
      </w:r>
      <w:r w:rsidR="00963A1E">
        <w:t>prace badawczo-rozwojowe</w:t>
      </w:r>
      <w:r w:rsidR="00F14D65">
        <w:t xml:space="preserve"> </w:t>
      </w:r>
      <w:r w:rsidR="00C531E2">
        <w:t>powinny być prowadzone według określonej polityki państwa, aktualizowanej z uwzględnieniem odkryć i osiągnięć.</w:t>
      </w:r>
    </w:p>
    <w:p w14:paraId="3B3F3F4D" w14:textId="22C95A65" w:rsidR="00C531E2" w:rsidRDefault="00C531E2" w:rsidP="00C531E2">
      <w:r>
        <w:t xml:space="preserve">W 2022 r. przyjęta została </w:t>
      </w:r>
      <w:r w:rsidRPr="0058141B">
        <w:rPr>
          <w:i/>
          <w:iCs/>
        </w:rPr>
        <w:t>Polityka Naukowa Państwa</w:t>
      </w:r>
      <w:r>
        <w:t xml:space="preserve"> (</w:t>
      </w:r>
      <w:hyperlink r:id="rId100" w:history="1">
        <w:r w:rsidRPr="0058141B">
          <w:rPr>
            <w:rStyle w:val="Hipercze"/>
          </w:rPr>
          <w:t>link</w:t>
        </w:r>
      </w:hyperlink>
      <w:r>
        <w:t xml:space="preserve">), w której określono kierunki działań w zakresie nauki i szkolnictwa wyższego. Realizacja </w:t>
      </w:r>
      <w:r w:rsidRPr="0058141B">
        <w:rPr>
          <w:i/>
          <w:iCs/>
        </w:rPr>
        <w:t>Polityki Naukowej Państwa</w:t>
      </w:r>
      <w:r>
        <w:t xml:space="preserve"> ma na celu m.in. poprawę pozycji </w:t>
      </w:r>
      <w:r>
        <w:lastRenderedPageBreak/>
        <w:t xml:space="preserve">Polski na arenie międzynarodowej oraz zwiększenie wpływu nauki i szkolnictwa wyższego na rozwój gospodarczy i społeczny kraju. </w:t>
      </w:r>
    </w:p>
    <w:p w14:paraId="046C50EE" w14:textId="4F12814C" w:rsidR="00C531E2" w:rsidRDefault="00C531E2" w:rsidP="00C531E2">
      <w:r>
        <w:t>Choć dokument określa cel zwiększenia nakładów na badania naukowe w całej gospodarce</w:t>
      </w:r>
      <w:r w:rsidR="006859C9">
        <w:t>.</w:t>
      </w:r>
      <w:r>
        <w:t xml:space="preserve"> </w:t>
      </w:r>
      <w:r w:rsidR="006859C9">
        <w:t>O</w:t>
      </w:r>
      <w:r>
        <w:t>cenia się, że znaczna część tych nakładów będzie przeznaczona na działania związane z transformacją energetyczną i szerzej pojętym dążeniem do gospodarki neutralnej klimatycznie. Odmiennie niż w przypadku innych obszarów</w:t>
      </w:r>
      <w:r w:rsidR="00F14D65">
        <w:t>,</w:t>
      </w:r>
      <w:r>
        <w:t xml:space="preserve"> samo zwiększenie nakładów na badania naukowe jest celem samym w sobie.</w:t>
      </w:r>
    </w:p>
    <w:p w14:paraId="4A6979C6" w14:textId="7F7CF316" w:rsidR="00C531E2" w:rsidRPr="00985B6A" w:rsidRDefault="00C531E2" w:rsidP="00C531E2">
      <w:pPr>
        <w:pStyle w:val="Cele"/>
        <w:rPr>
          <w:b/>
          <w:bCs/>
        </w:rPr>
      </w:pPr>
      <w:r w:rsidRPr="00985B6A">
        <w:rPr>
          <w:b/>
          <w:bCs/>
        </w:rPr>
        <w:t xml:space="preserve">Polska wyznacza cel zwiększenia nakładów na badania naukowe </w:t>
      </w:r>
      <w:r w:rsidR="00493058">
        <w:rPr>
          <w:b/>
          <w:bCs/>
        </w:rPr>
        <w:br/>
      </w:r>
      <w:r w:rsidRPr="00985B6A">
        <w:rPr>
          <w:b/>
          <w:bCs/>
        </w:rPr>
        <w:t>do 2,5% PKB do 2030 r.</w:t>
      </w:r>
    </w:p>
    <w:p w14:paraId="0CC56ACE" w14:textId="303B18F6" w:rsidR="00B13BD0" w:rsidRDefault="00C531E2" w:rsidP="00C531E2">
      <w:r>
        <w:t xml:space="preserve">Trzeba jednak podkreślić szerszy kontekst </w:t>
      </w:r>
      <w:r w:rsidRPr="00985B6A">
        <w:rPr>
          <w:i/>
          <w:iCs/>
        </w:rPr>
        <w:t>Polityki Naukowej Państwa</w:t>
      </w:r>
      <w:r>
        <w:rPr>
          <w:i/>
          <w:iCs/>
        </w:rPr>
        <w:t xml:space="preserve"> (PNP)</w:t>
      </w:r>
      <w:r>
        <w:t>. Jej realizacja ma na celu m.in. poprawę pozycji Polski na arenie międzynarodowej oraz zwiększenie wpływu nauki i szkolnictwa wyższego na rozwój gospodarczy i społeczny kraju. Ma wspierać prowadzenie wysokiej jakości badań naukowych i optymalnego wykorzystania wiedzy naukowej oraz zapewnia autonomi</w:t>
      </w:r>
      <w:r w:rsidR="00F14D65">
        <w:t>ę</w:t>
      </w:r>
      <w:r>
        <w:t xml:space="preserve"> uczelni. Priorytety określone w tym dokumencie przekładają się na spójność, synergię i rozwój współpracy międzynarodowej w systemie szkolnictwa wyższego i nauki. PNP jest podstawą do realizacji programów strategicznych i rozwojowych państwa. Realizacja polityki naukowej państwa jest finansowana w ramach nakładów na szkolnictwo wyższe i naukę ustalanych na podstawie art. 383 ustawy – Prawo o szkolnictwie wyższym i</w:t>
      </w:r>
      <w:r w:rsidR="00F14D65">
        <w:t> </w:t>
      </w:r>
      <w:r>
        <w:t>nauce oraz limitów wydatków właściwych części budżetowych.</w:t>
      </w:r>
    </w:p>
    <w:p w14:paraId="51C43BF7" w14:textId="1414F372" w:rsidR="00520B89" w:rsidRDefault="00C531E2" w:rsidP="00CA6554">
      <w:pPr>
        <w:pStyle w:val="Bezodstpw"/>
      </w:pPr>
      <w:r>
        <w:t xml:space="preserve"> </w:t>
      </w:r>
    </w:p>
    <w:p w14:paraId="657F5563" w14:textId="00C2F1D5" w:rsidR="00C87A0F" w:rsidRPr="00B13BD0" w:rsidRDefault="00C87A0F" w:rsidP="00520B89">
      <w:r>
        <w:t xml:space="preserve">W polskim systemie prawnym obowiązuje pakiet ulg, ułatwień i zachęt do większego poziomu inwestycji w B+R. W </w:t>
      </w:r>
      <w:r w:rsidR="00520B89" w:rsidRPr="00B13BD0">
        <w:t>celu stymulowani</w:t>
      </w:r>
      <w:r w:rsidR="00520B89">
        <w:t>a</w:t>
      </w:r>
      <w:r w:rsidR="00520B89" w:rsidRPr="00B13BD0">
        <w:t xml:space="preserve"> inwestycji B+R oraz wspierani</w:t>
      </w:r>
      <w:r w:rsidR="00520B89">
        <w:t>a</w:t>
      </w:r>
      <w:r w:rsidR="00520B89" w:rsidRPr="00B13BD0">
        <w:t xml:space="preserve"> innowacyjności w przedsiębiorstwach</w:t>
      </w:r>
      <w:r w:rsidR="00520B89">
        <w:t xml:space="preserve"> zapewniono</w:t>
      </w:r>
      <w:r w:rsidR="00520B89">
        <w:rPr>
          <w:rStyle w:val="Odwoanieprzypisudolnego"/>
        </w:rPr>
        <w:footnoteReference w:id="136"/>
      </w:r>
      <w:r w:rsidR="00520B89">
        <w:t>:</w:t>
      </w:r>
    </w:p>
    <w:p w14:paraId="5C870540" w14:textId="00A1DE38" w:rsidR="00B13BD0" w:rsidRPr="00B13BD0" w:rsidRDefault="00B13BD0" w:rsidP="000625AC">
      <w:pPr>
        <w:pStyle w:val="Akapitzlist"/>
        <w:numPr>
          <w:ilvl w:val="0"/>
          <w:numId w:val="46"/>
        </w:numPr>
      </w:pPr>
      <w:r w:rsidRPr="00776BE8">
        <w:rPr>
          <w:b/>
        </w:rPr>
        <w:t>Ulgi podatkowe</w:t>
      </w:r>
      <w:r w:rsidRPr="00B13BD0">
        <w:t xml:space="preserve"> </w:t>
      </w:r>
      <w:r w:rsidR="00D95E04">
        <w:t>–</w:t>
      </w:r>
      <w:r w:rsidRPr="00B13BD0">
        <w:t xml:space="preserve"> możliwość odliczenia</w:t>
      </w:r>
      <w:r w:rsidR="00D005B6">
        <w:t xml:space="preserve"> od podstawy opodatkowania</w:t>
      </w:r>
      <w:r w:rsidRPr="00B13BD0">
        <w:t xml:space="preserve"> do </w:t>
      </w:r>
      <w:r w:rsidR="00A80088">
        <w:t>2</w:t>
      </w:r>
      <w:r w:rsidRPr="00B13BD0">
        <w:t>00% kosztów kwalifikowanych</w:t>
      </w:r>
      <w:r w:rsidR="00520B89">
        <w:t>;</w:t>
      </w:r>
    </w:p>
    <w:p w14:paraId="42E1429D" w14:textId="19520BA4" w:rsidR="00B13BD0" w:rsidRPr="00B13BD0" w:rsidRDefault="00B13BD0" w:rsidP="000625AC">
      <w:pPr>
        <w:pStyle w:val="Akapitzlist"/>
        <w:numPr>
          <w:ilvl w:val="0"/>
          <w:numId w:val="46"/>
        </w:numPr>
      </w:pPr>
      <w:r w:rsidRPr="00776BE8">
        <w:rPr>
          <w:b/>
        </w:rPr>
        <w:t>Wynagrodzenia pracowników</w:t>
      </w:r>
      <w:r w:rsidRPr="00B13BD0">
        <w:t xml:space="preserve"> </w:t>
      </w:r>
      <w:r w:rsidR="00D95E04">
        <w:t>–</w:t>
      </w:r>
      <w:r w:rsidRPr="00B13BD0">
        <w:t xml:space="preserve"> możliwość odliczenia </w:t>
      </w:r>
      <w:r w:rsidR="00C63BC6">
        <w:t xml:space="preserve">od postawy opodatkowania </w:t>
      </w:r>
      <w:r w:rsidRPr="00B13BD0">
        <w:t>kosztów wynagrodzeń pracowników zatrudnionych w działach B+R</w:t>
      </w:r>
      <w:r w:rsidR="00520B89">
        <w:t>;</w:t>
      </w:r>
    </w:p>
    <w:p w14:paraId="56C55D1F" w14:textId="216FEAD8" w:rsidR="00B13BD0" w:rsidRPr="00B13BD0" w:rsidRDefault="00B13BD0" w:rsidP="000625AC">
      <w:pPr>
        <w:pStyle w:val="Akapitzlist"/>
        <w:numPr>
          <w:ilvl w:val="0"/>
          <w:numId w:val="46"/>
        </w:numPr>
      </w:pPr>
      <w:r w:rsidRPr="006647A2">
        <w:rPr>
          <w:b/>
        </w:rPr>
        <w:t>Amortyzacja środków trwałych</w:t>
      </w:r>
      <w:r w:rsidR="00EF534B">
        <w:t xml:space="preserve"> – k</w:t>
      </w:r>
      <w:r w:rsidRPr="00B13BD0">
        <w:t>oszty amortyzacji środków trwałych wykorzystywanych w</w:t>
      </w:r>
      <w:r w:rsidR="00EF534B">
        <w:t> </w:t>
      </w:r>
      <w:r w:rsidRPr="00B13BD0">
        <w:t>działalności B+R zostały uznane za koszty kwalifikowane</w:t>
      </w:r>
      <w:r w:rsidR="00520B89">
        <w:t>;</w:t>
      </w:r>
    </w:p>
    <w:p w14:paraId="6C92512A" w14:textId="4BDA7066" w:rsidR="00B13BD0" w:rsidRPr="00B13BD0" w:rsidRDefault="00B13BD0" w:rsidP="000625AC">
      <w:pPr>
        <w:pStyle w:val="Akapitzlist"/>
        <w:numPr>
          <w:ilvl w:val="0"/>
          <w:numId w:val="46"/>
        </w:numPr>
      </w:pPr>
      <w:r w:rsidRPr="00EF534B">
        <w:rPr>
          <w:b/>
        </w:rPr>
        <w:t>Ułatwienia administracyjne</w:t>
      </w:r>
      <w:r w:rsidRPr="00B13BD0">
        <w:t xml:space="preserve"> </w:t>
      </w:r>
      <w:r w:rsidR="00D95E04">
        <w:t>–</w:t>
      </w:r>
      <w:r w:rsidRPr="00B13BD0">
        <w:t xml:space="preserve"> skrócenie procedur: </w:t>
      </w:r>
      <w:r w:rsidR="00520B89">
        <w:t>z</w:t>
      </w:r>
      <w:r w:rsidRPr="00B13BD0">
        <w:t>mniejszenie obciążeń administracyjnych związanych z dokumentowaniem kosztów B+R</w:t>
      </w:r>
      <w:r w:rsidR="00520B89">
        <w:t>;</w:t>
      </w:r>
    </w:p>
    <w:p w14:paraId="3933ABFA" w14:textId="63C14999" w:rsidR="00B13BD0" w:rsidRPr="00B13BD0" w:rsidRDefault="00B13BD0" w:rsidP="000625AC">
      <w:pPr>
        <w:pStyle w:val="Akapitzlist"/>
        <w:numPr>
          <w:ilvl w:val="0"/>
          <w:numId w:val="46"/>
        </w:numPr>
      </w:pPr>
      <w:r w:rsidRPr="00EF534B">
        <w:rPr>
          <w:b/>
        </w:rPr>
        <w:t>Korzystniejsze warunki dla małych i średnich przedsiębiorstw (MŚP)</w:t>
      </w:r>
      <w:r w:rsidRPr="00B13BD0">
        <w:t xml:space="preserve"> </w:t>
      </w:r>
      <w:r w:rsidR="00D95E04">
        <w:t>–</w:t>
      </w:r>
      <w:r w:rsidRPr="00B13BD0">
        <w:t xml:space="preserve"> specjalne preferencje dla MŚP, które mogły odliczyć wyższy procent kosztów kwalifikowanych</w:t>
      </w:r>
      <w:r w:rsidR="00520B89">
        <w:t>;</w:t>
      </w:r>
    </w:p>
    <w:p w14:paraId="6659FDD0" w14:textId="0BEFC08F" w:rsidR="00B13BD0" w:rsidRPr="00B13BD0" w:rsidRDefault="00B13BD0" w:rsidP="000625AC">
      <w:pPr>
        <w:pStyle w:val="Akapitzlist"/>
        <w:numPr>
          <w:ilvl w:val="0"/>
          <w:numId w:val="46"/>
        </w:numPr>
      </w:pPr>
      <w:r w:rsidRPr="00EF534B">
        <w:rPr>
          <w:b/>
        </w:rPr>
        <w:t>Wsparcie dla startupów i nowych przedsiębiorstw</w:t>
      </w:r>
      <w:r w:rsidRPr="00B13BD0">
        <w:t xml:space="preserve"> </w:t>
      </w:r>
      <w:r w:rsidR="00D95E04">
        <w:t>–</w:t>
      </w:r>
      <w:r w:rsidRPr="00B13BD0">
        <w:t xml:space="preserve"> preferencyjne warunki: nowe firmy i startupy mogły skorzystać z dodatkowych ulg i programów wsparcia finansowego</w:t>
      </w:r>
      <w:r w:rsidR="00520B89">
        <w:t>;</w:t>
      </w:r>
    </w:p>
    <w:p w14:paraId="3D206847" w14:textId="05113433" w:rsidR="00B13BD0" w:rsidRPr="00B13BD0" w:rsidRDefault="00B13BD0" w:rsidP="000625AC">
      <w:pPr>
        <w:pStyle w:val="Akapitzlist"/>
        <w:numPr>
          <w:ilvl w:val="0"/>
          <w:numId w:val="46"/>
        </w:numPr>
      </w:pPr>
      <w:r w:rsidRPr="00EF534B">
        <w:rPr>
          <w:b/>
        </w:rPr>
        <w:t>Ułatwienia w procedurach patentowych oraz wsparcie w ochronie własności intelektualnej</w:t>
      </w:r>
      <w:r w:rsidR="00520B89">
        <w:t>;</w:t>
      </w:r>
    </w:p>
    <w:p w14:paraId="498BE982" w14:textId="7A990B20" w:rsidR="00726DAE" w:rsidRDefault="00B13BD0" w:rsidP="000625AC">
      <w:pPr>
        <w:pStyle w:val="Akapitzlist"/>
        <w:numPr>
          <w:ilvl w:val="0"/>
          <w:numId w:val="46"/>
        </w:numPr>
      </w:pPr>
      <w:r w:rsidRPr="00EF534B">
        <w:rPr>
          <w:b/>
          <w:bCs/>
        </w:rPr>
        <w:t>Wsparcie finansowe</w:t>
      </w:r>
      <w:r w:rsidR="00EF534B">
        <w:t xml:space="preserve"> –</w:t>
      </w:r>
      <w:r w:rsidRPr="00B13BD0">
        <w:t xml:space="preserve"> m.in. zwiększenie dostępności funduszy krajowych i unijnych na realizację projektów badawczo-rozwojowych</w:t>
      </w:r>
      <w:r w:rsidR="00EC7D24">
        <w:t>;</w:t>
      </w:r>
    </w:p>
    <w:p w14:paraId="2F4FD777" w14:textId="60A16EC1" w:rsidR="00B13BD0" w:rsidRPr="00B13BD0" w:rsidRDefault="00AC009C" w:rsidP="000625AC">
      <w:pPr>
        <w:pStyle w:val="Akapitzlist"/>
        <w:numPr>
          <w:ilvl w:val="0"/>
          <w:numId w:val="46"/>
        </w:numPr>
      </w:pPr>
      <w:r>
        <w:rPr>
          <w:b/>
          <w:bCs/>
        </w:rPr>
        <w:t>P</w:t>
      </w:r>
      <w:r w:rsidR="00726DAE">
        <w:rPr>
          <w:b/>
          <w:bCs/>
        </w:rPr>
        <w:t>rowadzenie prost</w:t>
      </w:r>
      <w:r w:rsidR="00D4791A">
        <w:rPr>
          <w:b/>
          <w:bCs/>
        </w:rPr>
        <w:t>ych spółek akc</w:t>
      </w:r>
      <w:r w:rsidR="00E162D1">
        <w:rPr>
          <w:b/>
          <w:bCs/>
        </w:rPr>
        <w:t xml:space="preserve">yjnych </w:t>
      </w:r>
      <w:r w:rsidR="00E162D1">
        <w:t>–</w:t>
      </w:r>
      <w:r w:rsidR="00FC7CB8">
        <w:t xml:space="preserve"> </w:t>
      </w:r>
      <w:r w:rsidR="00A73379">
        <w:t xml:space="preserve">formuła </w:t>
      </w:r>
      <w:r w:rsidR="003D1BB3">
        <w:t xml:space="preserve">pozwala </w:t>
      </w:r>
      <w:r w:rsidR="00E41D06">
        <w:t xml:space="preserve">m.in. </w:t>
      </w:r>
      <w:r w:rsidR="003D1BB3">
        <w:t xml:space="preserve">na </w:t>
      </w:r>
      <w:r w:rsidR="00337AC5">
        <w:t>to, aby</w:t>
      </w:r>
      <w:r w:rsidR="00D31999">
        <w:t xml:space="preserve"> </w:t>
      </w:r>
      <w:r w:rsidR="00D8183E">
        <w:t xml:space="preserve">akcje w spółce mogły objąć osoby, które </w:t>
      </w:r>
      <w:r w:rsidR="004B416C">
        <w:t xml:space="preserve">nie </w:t>
      </w:r>
      <w:r w:rsidR="0077113D">
        <w:t>dysponują</w:t>
      </w:r>
      <w:r w:rsidR="004B416C">
        <w:t xml:space="preserve"> </w:t>
      </w:r>
      <w:r w:rsidR="00C02733">
        <w:t>kapitał</w:t>
      </w:r>
      <w:r w:rsidR="0077113D">
        <w:t>em</w:t>
      </w:r>
      <w:r w:rsidR="00C02733">
        <w:t>, ale</w:t>
      </w:r>
      <w:r w:rsidR="004B416C">
        <w:t xml:space="preserve"> </w:t>
      </w:r>
      <w:r w:rsidR="00D8183E">
        <w:t>mają innowacyjny pomysł</w:t>
      </w:r>
      <w:r w:rsidR="00051345">
        <w:t>,</w:t>
      </w:r>
      <w:r w:rsidR="00D8183E">
        <w:t xml:space="preserve"> będą pracować na jego rozwijaniem </w:t>
      </w:r>
      <w:r w:rsidR="00BD6351">
        <w:t>i</w:t>
      </w:r>
      <w:r w:rsidR="00D8183E">
        <w:t xml:space="preserve"> wdrażaniem (</w:t>
      </w:r>
      <w:r w:rsidR="005B15DD">
        <w:t>specyfika star</w:t>
      </w:r>
      <w:r w:rsidR="006A0729">
        <w:t>t</w:t>
      </w:r>
      <w:r w:rsidR="005B15DD">
        <w:t>upów</w:t>
      </w:r>
      <w:r w:rsidR="00D8183E">
        <w:t>)</w:t>
      </w:r>
      <w:r w:rsidR="005B15DD">
        <w:t>, ja</w:t>
      </w:r>
      <w:r w:rsidR="00E84A99">
        <w:t xml:space="preserve">k również osoby, które gotowe są wnieść </w:t>
      </w:r>
      <w:r w:rsidR="00645976">
        <w:t>kapitał</w:t>
      </w:r>
      <w:r w:rsidR="0034078D">
        <w:t xml:space="preserve">, </w:t>
      </w:r>
      <w:r w:rsidR="008127B8">
        <w:t xml:space="preserve">umożliwiając </w:t>
      </w:r>
      <w:r w:rsidR="006558B3">
        <w:t>zarówno finansowanie, jak i</w:t>
      </w:r>
      <w:r w:rsidR="008127B8">
        <w:t xml:space="preserve"> </w:t>
      </w:r>
      <w:r w:rsidR="004526FD">
        <w:t xml:space="preserve">sprawiedliwe </w:t>
      </w:r>
      <w:r w:rsidR="00DE0CAD">
        <w:t>czerpanie korzyści</w:t>
      </w:r>
      <w:r w:rsidR="00B13BD0" w:rsidRPr="00B13BD0">
        <w:t>.</w:t>
      </w:r>
    </w:p>
    <w:p w14:paraId="2509C893" w14:textId="77777777" w:rsidR="00B13BD0" w:rsidRPr="00B13BD0" w:rsidRDefault="00B13BD0" w:rsidP="00CA6554">
      <w:pPr>
        <w:pStyle w:val="Bezodstpw"/>
      </w:pPr>
    </w:p>
    <w:p w14:paraId="036068CD" w14:textId="7D61318F" w:rsidR="00B13BD0" w:rsidRPr="00B13BD0" w:rsidRDefault="00B13BD0" w:rsidP="00B13BD0">
      <w:r w:rsidRPr="00B13BD0">
        <w:t>Dzięki tym</w:t>
      </w:r>
      <w:r w:rsidR="00E81317">
        <w:t xml:space="preserve"> rozwiązaniom</w:t>
      </w:r>
      <w:r w:rsidRPr="00B13BD0">
        <w:t xml:space="preserve"> polskie przedsiębiorstwa zyskały lepsze warunki do rozwoju innowacyjnych projektów, co przyczyniło się do wzrostu konkurencyjności i dynamicznego rozwoju sektora B+R </w:t>
      </w:r>
      <w:r w:rsidRPr="00B13BD0">
        <w:lastRenderedPageBreak/>
        <w:t>w</w:t>
      </w:r>
      <w:r w:rsidR="00B22B6D">
        <w:t> </w:t>
      </w:r>
      <w:r w:rsidRPr="00B13BD0">
        <w:t>Polsce</w:t>
      </w:r>
      <w:r w:rsidR="00520B89">
        <w:t>.</w:t>
      </w:r>
      <w:r w:rsidR="00C743AB">
        <w:t xml:space="preserve"> </w:t>
      </w:r>
      <w:r w:rsidR="00A20413">
        <w:t xml:space="preserve">Podejście będzie </w:t>
      </w:r>
      <w:r w:rsidR="0007374D">
        <w:t>kontynuowane,</w:t>
      </w:r>
      <w:r w:rsidR="00795B48">
        <w:t xml:space="preserve"> ale niezwykle istotne jest nadążanie regulacji </w:t>
      </w:r>
      <w:r w:rsidR="00AD1811">
        <w:t xml:space="preserve">oraz </w:t>
      </w:r>
      <w:r w:rsidR="008D231D">
        <w:t xml:space="preserve">instytucji wspierających </w:t>
      </w:r>
      <w:r w:rsidR="001C5A3E">
        <w:t>innowacyjność</w:t>
      </w:r>
      <w:r w:rsidR="008D231D">
        <w:t xml:space="preserve"> </w:t>
      </w:r>
      <w:r w:rsidR="00FE79D6">
        <w:t xml:space="preserve">za </w:t>
      </w:r>
      <w:r w:rsidR="000107D8">
        <w:t xml:space="preserve">zmieniającym się otoczeniem i </w:t>
      </w:r>
      <w:r w:rsidR="006A36FA">
        <w:t>globalnym rozwojem</w:t>
      </w:r>
      <w:r w:rsidR="007000EC">
        <w:t>.</w:t>
      </w:r>
      <w:r w:rsidR="008B5CBA">
        <w:t xml:space="preserve"> </w:t>
      </w:r>
    </w:p>
    <w:p w14:paraId="4CE55017" w14:textId="78BE3900" w:rsidR="00447655" w:rsidRDefault="00447655" w:rsidP="00C7191E">
      <w:pPr>
        <w:pStyle w:val="PaMs"/>
      </w:pPr>
      <w:r>
        <w:t>DZIAŁANIA</w:t>
      </w:r>
    </w:p>
    <w:p w14:paraId="19BFD797" w14:textId="14792B0B" w:rsidR="00C7191E" w:rsidRDefault="00C7191E" w:rsidP="000625AC">
      <w:pPr>
        <w:pStyle w:val="Akapitzlist"/>
        <w:numPr>
          <w:ilvl w:val="0"/>
          <w:numId w:val="127"/>
        </w:numPr>
      </w:pPr>
      <w:r w:rsidRPr="00C7191E">
        <w:fldChar w:fldCharType="begin"/>
      </w:r>
      <w:r w:rsidRPr="00C7191E">
        <w:instrText xml:space="preserve"> REF _Ref195891159 \h  \* MERGEFORMAT </w:instrText>
      </w:r>
      <w:r w:rsidRPr="00C7191E">
        <w:fldChar w:fldCharType="separate"/>
      </w:r>
      <w:r w:rsidR="00871DD5" w:rsidRPr="00871DD5">
        <w:rPr>
          <w:lang w:eastAsia="pl-PL"/>
        </w:rPr>
        <w:t xml:space="preserve">Działanie 153. </w:t>
      </w:r>
      <w:r w:rsidR="00871DD5" w:rsidRPr="00BA4DD1">
        <w:rPr>
          <w:lang w:eastAsia="pl-PL"/>
        </w:rPr>
        <w:t>Stopniowy wzrost nakładów i optymalne kierowanie środków na B+R (badania</w:t>
      </w:r>
      <w:r w:rsidR="00871DD5">
        <w:rPr>
          <w:lang w:eastAsia="pl-PL"/>
        </w:rPr>
        <w:t> </w:t>
      </w:r>
      <w:r w:rsidR="00871DD5" w:rsidRPr="00BA4DD1">
        <w:rPr>
          <w:lang w:eastAsia="pl-PL"/>
        </w:rPr>
        <w:t>i rozwój) w</w:t>
      </w:r>
      <w:r w:rsidR="00871DD5" w:rsidRPr="00BA4DD1">
        <w:rPr>
          <w:rFonts w:ascii="Arial" w:hAnsi="Arial" w:cs="Arial"/>
          <w:lang w:eastAsia="pl-PL"/>
        </w:rPr>
        <w:t> </w:t>
      </w:r>
      <w:r w:rsidR="00871DD5" w:rsidRPr="00BA4DD1">
        <w:rPr>
          <w:lang w:eastAsia="pl-PL"/>
        </w:rPr>
        <w:t>obszarach transformacji do gospodarki neutralnej klimatycznie</w:t>
      </w:r>
      <w:r w:rsidRPr="00C7191E">
        <w:fldChar w:fldCharType="end"/>
      </w:r>
    </w:p>
    <w:p w14:paraId="082523F3" w14:textId="02D0C26F" w:rsidR="00C42DE1" w:rsidRDefault="00C7191E" w:rsidP="00C42DE1">
      <w:pPr>
        <w:pStyle w:val="Akapitzlist"/>
        <w:numPr>
          <w:ilvl w:val="0"/>
          <w:numId w:val="127"/>
        </w:numPr>
      </w:pPr>
      <w:r w:rsidRPr="00C7191E">
        <w:fldChar w:fldCharType="begin"/>
      </w:r>
      <w:r w:rsidRPr="00C7191E">
        <w:instrText xml:space="preserve"> REF _Ref195891140 \h </w:instrText>
      </w:r>
      <w:r>
        <w:instrText xml:space="preserve"> \* MERGEFORMAT </w:instrText>
      </w:r>
      <w:r w:rsidRPr="00C7191E">
        <w:fldChar w:fldCharType="separate"/>
      </w:r>
      <w:r w:rsidR="00871DD5" w:rsidRPr="00871DD5">
        <w:rPr>
          <w:lang w:eastAsia="pl-PL"/>
        </w:rPr>
        <w:t>Działanie 154. Aktualizacja Polityki Naukowej Państwa</w:t>
      </w:r>
      <w:r w:rsidRPr="00C7191E">
        <w:fldChar w:fldCharType="end"/>
      </w:r>
    </w:p>
    <w:p w14:paraId="10D39946" w14:textId="23D79395" w:rsidR="00C7191E" w:rsidRPr="00C7191E" w:rsidRDefault="00C42DE1" w:rsidP="00517305">
      <w:pPr>
        <w:pStyle w:val="Akapitzlist"/>
        <w:numPr>
          <w:ilvl w:val="0"/>
          <w:numId w:val="127"/>
        </w:numPr>
      </w:pPr>
      <w:r w:rsidRPr="00C7191E">
        <w:fldChar w:fldCharType="begin"/>
      </w:r>
      <w:r w:rsidRPr="00C7191E">
        <w:instrText xml:space="preserve"> REF _Ref195890597 \h </w:instrText>
      </w:r>
      <w:r>
        <w:instrText xml:space="preserve"> \* MERGEFORMAT </w:instrText>
      </w:r>
      <w:r w:rsidRPr="00C7191E">
        <w:fldChar w:fldCharType="separate"/>
      </w:r>
      <w:r w:rsidR="00871DD5" w:rsidRPr="00871DD5">
        <w:rPr>
          <w:rStyle w:val="Nagwek6Znak"/>
          <w:rFonts w:ascii="Lato" w:hAnsi="Lato"/>
          <w:b w:val="0"/>
        </w:rPr>
        <w:t xml:space="preserve">Działanie </w:t>
      </w:r>
      <w:r w:rsidR="00871DD5" w:rsidRPr="00871DD5">
        <w:rPr>
          <w:lang w:eastAsia="pl-PL"/>
        </w:rPr>
        <w:t xml:space="preserve">159. </w:t>
      </w:r>
      <w:r w:rsidR="00871DD5" w:rsidRPr="004D6F82">
        <w:rPr>
          <w:lang w:eastAsia="pl-PL"/>
        </w:rPr>
        <w:t xml:space="preserve">Przygotowanie </w:t>
      </w:r>
      <w:r w:rsidR="00871DD5" w:rsidRPr="007B501E">
        <w:rPr>
          <w:lang w:eastAsia="pl-PL"/>
        </w:rPr>
        <w:t>planu</w:t>
      </w:r>
      <w:r w:rsidR="00871DD5" w:rsidRPr="004D6F82">
        <w:rPr>
          <w:lang w:eastAsia="pl-PL"/>
        </w:rPr>
        <w:t xml:space="preserve"> finansowego dla działań p</w:t>
      </w:r>
      <w:r w:rsidR="00871DD5">
        <w:rPr>
          <w:lang w:eastAsia="pl-PL"/>
        </w:rPr>
        <w:t xml:space="preserve">roponowanych </w:t>
      </w:r>
      <w:r w:rsidR="00871DD5" w:rsidRPr="004D6F82">
        <w:rPr>
          <w:lang w:eastAsia="pl-PL"/>
        </w:rPr>
        <w:t>w KPEiK</w:t>
      </w:r>
      <w:r w:rsidRPr="00C7191E">
        <w:fldChar w:fldCharType="end"/>
      </w:r>
    </w:p>
    <w:p w14:paraId="3A2A0072" w14:textId="535CA4D0" w:rsidR="009729C8" w:rsidRPr="00985B6A" w:rsidRDefault="009729C8" w:rsidP="009729C8">
      <w:pPr>
        <w:pStyle w:val="Nagwek4"/>
        <w:rPr>
          <w:color w:val="7B7B7B" w:themeColor="accent3" w:themeShade="BF"/>
        </w:rPr>
      </w:pPr>
      <w:bookmarkStart w:id="865" w:name="_Toc159598352"/>
      <w:bookmarkStart w:id="866" w:name="_Ref183788499"/>
      <w:bookmarkStart w:id="867" w:name="_Toc195897399"/>
      <w:bookmarkStart w:id="868" w:name="_Toc205203230"/>
      <w:r w:rsidRPr="00985B6A">
        <w:rPr>
          <w:color w:val="7B7B7B" w:themeColor="accent3" w:themeShade="BF"/>
        </w:rPr>
        <w:t xml:space="preserve">Rozwój </w:t>
      </w:r>
      <w:r w:rsidR="00373F4B">
        <w:rPr>
          <w:color w:val="7B7B7B" w:themeColor="accent3" w:themeShade="BF"/>
        </w:rPr>
        <w:t>innowacji i</w:t>
      </w:r>
      <w:r w:rsidRPr="00985B6A">
        <w:rPr>
          <w:color w:val="7B7B7B" w:themeColor="accent3" w:themeShade="BF"/>
        </w:rPr>
        <w:t xml:space="preserve"> </w:t>
      </w:r>
      <w:r w:rsidR="00AC69C6">
        <w:rPr>
          <w:color w:val="7B7B7B" w:themeColor="accent3" w:themeShade="BF"/>
        </w:rPr>
        <w:t>technologii</w:t>
      </w:r>
      <w:r w:rsidRPr="00985B6A">
        <w:rPr>
          <w:color w:val="7B7B7B" w:themeColor="accent3" w:themeShade="BF"/>
        </w:rPr>
        <w:t xml:space="preserve"> w obszarach spr</w:t>
      </w:r>
      <w:r w:rsidR="00C531E2">
        <w:rPr>
          <w:color w:val="7B7B7B" w:themeColor="accent3" w:themeShade="BF"/>
        </w:rPr>
        <w:t>zyjających</w:t>
      </w:r>
      <w:r w:rsidRPr="00985B6A">
        <w:rPr>
          <w:color w:val="7B7B7B" w:themeColor="accent3" w:themeShade="BF"/>
        </w:rPr>
        <w:t xml:space="preserve"> transformacji</w:t>
      </w:r>
      <w:r>
        <w:rPr>
          <w:color w:val="7B7B7B" w:themeColor="accent3" w:themeShade="BF"/>
        </w:rPr>
        <w:t xml:space="preserve"> do gospodarki neutralnej klimatycznie</w:t>
      </w:r>
      <w:bookmarkEnd w:id="865"/>
      <w:bookmarkEnd w:id="866"/>
      <w:bookmarkEnd w:id="867"/>
      <w:bookmarkEnd w:id="868"/>
      <w:r w:rsidR="003E2DE5">
        <w:rPr>
          <w:color w:val="7B7B7B" w:themeColor="accent3" w:themeShade="BF"/>
        </w:rPr>
        <w:t xml:space="preserve"> </w:t>
      </w:r>
    </w:p>
    <w:p w14:paraId="35CD9D23" w14:textId="6707490A" w:rsidR="00373F4B" w:rsidRDefault="00373F4B" w:rsidP="006A415D">
      <w:pPr>
        <w:pStyle w:val="Cele"/>
      </w:pPr>
      <w:r>
        <w:t xml:space="preserve">Celem tworzenie warunków do </w:t>
      </w:r>
      <w:r w:rsidRPr="006A415D">
        <w:rPr>
          <w:b/>
        </w:rPr>
        <w:t>rozwoju innowacji i</w:t>
      </w:r>
      <w:r w:rsidR="006A415D">
        <w:rPr>
          <w:b/>
          <w:bCs/>
        </w:rPr>
        <w:t> </w:t>
      </w:r>
      <w:r w:rsidRPr="006A415D">
        <w:rPr>
          <w:b/>
        </w:rPr>
        <w:t>technologii</w:t>
      </w:r>
      <w:r>
        <w:t>, któ</w:t>
      </w:r>
      <w:r w:rsidR="00B171C4">
        <w:t xml:space="preserve">re </w:t>
      </w:r>
      <w:r w:rsidR="00745B81">
        <w:t>przyczyniają się do realizacji sprawnej transformacji</w:t>
      </w:r>
      <w:r w:rsidR="00426BC5">
        <w:t xml:space="preserve"> klimatyczno-energetycznej</w:t>
      </w:r>
      <w:r w:rsidR="00745B81">
        <w:t xml:space="preserve">, </w:t>
      </w:r>
      <w:r w:rsidR="006E2B3E">
        <w:t xml:space="preserve">w warunkach </w:t>
      </w:r>
      <w:r w:rsidR="00F71841">
        <w:t xml:space="preserve">bezpieczeństwa </w:t>
      </w:r>
      <w:r w:rsidR="00146E5C">
        <w:t>energetycznego</w:t>
      </w:r>
      <w:r w:rsidR="00F71841">
        <w:t>,</w:t>
      </w:r>
      <w:r w:rsidR="00146E5C">
        <w:t xml:space="preserve"> </w:t>
      </w:r>
      <w:r w:rsidR="00F03228">
        <w:t xml:space="preserve">dążenia do </w:t>
      </w:r>
      <w:r w:rsidR="00D825CF">
        <w:t xml:space="preserve">wzrostu konkurencyjności </w:t>
      </w:r>
      <w:r w:rsidR="009B59D3">
        <w:t xml:space="preserve">gospodarki </w:t>
      </w:r>
      <w:r w:rsidR="009A0C16">
        <w:t>i </w:t>
      </w:r>
      <w:r w:rsidR="00490B41">
        <w:t>nie pozostawiając nikogo w tyle.</w:t>
      </w:r>
    </w:p>
    <w:p w14:paraId="0E8FF219" w14:textId="56D14840" w:rsidR="00545A04" w:rsidRDefault="00457245" w:rsidP="00C531E2">
      <w:r w:rsidRPr="00B75E80">
        <w:rPr>
          <w:i/>
        </w:rPr>
        <w:t xml:space="preserve">Polityka </w:t>
      </w:r>
      <w:r w:rsidR="002168A6" w:rsidRPr="00B75E80">
        <w:rPr>
          <w:i/>
        </w:rPr>
        <w:t>Naukowa Państwa</w:t>
      </w:r>
      <w:r w:rsidR="002168A6">
        <w:t xml:space="preserve"> podzielona jest na </w:t>
      </w:r>
      <w:r w:rsidR="008926AC">
        <w:t>priorytet</w:t>
      </w:r>
      <w:r w:rsidR="0060108F">
        <w:t>owe kierunki</w:t>
      </w:r>
      <w:r w:rsidR="00B2216F">
        <w:t xml:space="preserve">. Dla transformacji </w:t>
      </w:r>
      <w:r w:rsidR="00663BB9">
        <w:t xml:space="preserve">energetycznej </w:t>
      </w:r>
      <w:r w:rsidR="00B2216F">
        <w:t>szczególne znaczenie ma</w:t>
      </w:r>
      <w:r w:rsidR="0060108F">
        <w:t xml:space="preserve"> </w:t>
      </w:r>
      <w:r w:rsidR="00663BB9">
        <w:t xml:space="preserve">priorytet </w:t>
      </w:r>
      <w:r w:rsidR="00663BB9" w:rsidRPr="00B0679E">
        <w:rPr>
          <w:b/>
        </w:rPr>
        <w:t>Zasoby naturalne i środowisko</w:t>
      </w:r>
      <w:r w:rsidR="00EF7CD8">
        <w:t xml:space="preserve">, który dzieli się na </w:t>
      </w:r>
      <w:r w:rsidR="00545A04">
        <w:t>trzy obszary:</w:t>
      </w:r>
    </w:p>
    <w:p w14:paraId="4E1666CD" w14:textId="77777777" w:rsidR="00F63EBB" w:rsidRPr="00F63EBB" w:rsidRDefault="00F63EBB" w:rsidP="000625AC">
      <w:pPr>
        <w:pStyle w:val="Akapitzlist"/>
        <w:numPr>
          <w:ilvl w:val="0"/>
          <w:numId w:val="43"/>
        </w:numPr>
        <w:rPr>
          <w:i/>
          <w:iCs/>
        </w:rPr>
      </w:pPr>
      <w:r w:rsidRPr="00F63EBB">
        <w:rPr>
          <w:i/>
          <w:iCs/>
        </w:rPr>
        <w:t xml:space="preserve">Energia i klimat, </w:t>
      </w:r>
    </w:p>
    <w:p w14:paraId="4C729C44" w14:textId="77777777" w:rsidR="00F63EBB" w:rsidRPr="00F63EBB" w:rsidRDefault="00F63EBB" w:rsidP="000625AC">
      <w:pPr>
        <w:pStyle w:val="Akapitzlist"/>
        <w:numPr>
          <w:ilvl w:val="0"/>
          <w:numId w:val="43"/>
        </w:numPr>
        <w:rPr>
          <w:i/>
          <w:iCs/>
        </w:rPr>
      </w:pPr>
      <w:r w:rsidRPr="00F63EBB">
        <w:rPr>
          <w:i/>
          <w:iCs/>
        </w:rPr>
        <w:t xml:space="preserve">Zasoby i bioróżnorodność </w:t>
      </w:r>
    </w:p>
    <w:p w14:paraId="63E1B5B7" w14:textId="5AD1A863" w:rsidR="00F63EBB" w:rsidRDefault="00F63EBB" w:rsidP="000625AC">
      <w:pPr>
        <w:pStyle w:val="Akapitzlist"/>
        <w:numPr>
          <w:ilvl w:val="0"/>
          <w:numId w:val="43"/>
        </w:numPr>
      </w:pPr>
      <w:r w:rsidRPr="00F63EBB">
        <w:rPr>
          <w:i/>
          <w:iCs/>
        </w:rPr>
        <w:t>Żywność i biogospodarka</w:t>
      </w:r>
      <w:r w:rsidRPr="00F63EBB">
        <w:rPr>
          <w:iCs/>
        </w:rPr>
        <w:t xml:space="preserve"> </w:t>
      </w:r>
    </w:p>
    <w:p w14:paraId="00B0A060" w14:textId="77777777" w:rsidR="00FF772B" w:rsidRDefault="000D4011" w:rsidP="00C531E2">
      <w:r>
        <w:t xml:space="preserve">W ramach tych obszarów szczególne znaczenie mają </w:t>
      </w:r>
      <w:r w:rsidR="00B6296B">
        <w:t>pod</w:t>
      </w:r>
      <w:r w:rsidR="0007374D">
        <w:t>obszary zesta</w:t>
      </w:r>
      <w:r w:rsidR="00B6296B">
        <w:t xml:space="preserve">wione </w:t>
      </w:r>
      <w:r w:rsidR="0002625F">
        <w:t xml:space="preserve">w </w:t>
      </w:r>
      <w:r w:rsidR="007277C6">
        <w:t>tabeli</w:t>
      </w:r>
      <w:r w:rsidR="00B6296B">
        <w:t xml:space="preserve"> poniżej</w:t>
      </w:r>
      <w:r w:rsidR="009216B7">
        <w:t>, któ</w:t>
      </w:r>
      <w:r w:rsidR="00F30C32">
        <w:t>r</w:t>
      </w:r>
      <w:r w:rsidR="009216B7">
        <w:t xml:space="preserve">e </w:t>
      </w:r>
      <w:r w:rsidR="009216B7" w:rsidRPr="003D5216">
        <w:t xml:space="preserve">zostały uzupełnione o </w:t>
      </w:r>
      <w:r w:rsidR="00F30C32" w:rsidRPr="003D5216">
        <w:t>d</w:t>
      </w:r>
      <w:r w:rsidR="007277C6" w:rsidRPr="003D5216">
        <w:t>o</w:t>
      </w:r>
      <w:r w:rsidR="00F30C32" w:rsidRPr="003D5216">
        <w:t>d</w:t>
      </w:r>
      <w:r w:rsidR="007277C6">
        <w:t xml:space="preserve">atkowe elementy </w:t>
      </w:r>
      <w:r w:rsidR="00990431">
        <w:t xml:space="preserve">warte </w:t>
      </w:r>
      <w:r w:rsidR="00F678A3">
        <w:t>rozwijania i wspierania</w:t>
      </w:r>
      <w:r w:rsidR="00B6296B">
        <w:t xml:space="preserve">. </w:t>
      </w:r>
    </w:p>
    <w:p w14:paraId="6FD2C3EA" w14:textId="517694DA" w:rsidR="00F63EBB" w:rsidRDefault="009216B7" w:rsidP="00C531E2">
      <w:r>
        <w:t>Planowanie prac badawczych powinno obejmować te obszary całościowo i interdyscyplinarnie. Praktyczne wdrożenie rozwiązań może wymagać dużych przełomów technologicznych, dlatego istotne pozostaje tworzenie efektywnych mechanizmów koncentracji środków i zasobów ludzkich.</w:t>
      </w:r>
    </w:p>
    <w:p w14:paraId="5EFF251A" w14:textId="214C017A" w:rsidR="004B2355" w:rsidRDefault="000D6C95" w:rsidP="000D6C95">
      <w:pPr>
        <w:pStyle w:val="tyturys"/>
        <w:spacing w:before="360" w:after="120"/>
      </w:pPr>
      <w:r>
        <w:t>Obszary rozwoju</w:t>
      </w:r>
      <w:r w:rsidRPr="000D6C95">
        <w:t xml:space="preserve"> </w:t>
      </w:r>
      <w:r w:rsidRPr="006A415D">
        <w:t>innowacji i</w:t>
      </w:r>
      <w:r>
        <w:t> </w:t>
      </w:r>
      <w:r w:rsidRPr="006A415D">
        <w:t>technologii</w:t>
      </w:r>
      <w:r>
        <w:t xml:space="preserve"> dla transformacji energetycznej </w:t>
      </w:r>
    </w:p>
    <w:tbl>
      <w:tblPr>
        <w:tblStyle w:val="Tabelasiatki1jasnaakcent3"/>
        <w:tblW w:w="0" w:type="auto"/>
        <w:tblLook w:val="0480" w:firstRow="0" w:lastRow="0" w:firstColumn="1" w:lastColumn="0" w:noHBand="0" w:noVBand="1"/>
      </w:tblPr>
      <w:tblGrid>
        <w:gridCol w:w="3964"/>
        <w:gridCol w:w="5098"/>
      </w:tblGrid>
      <w:tr w:rsidR="005B35DF" w14:paraId="4AC3E863" w14:textId="77777777" w:rsidTr="005858BB">
        <w:trPr>
          <w:tblHeader/>
        </w:trPr>
        <w:tc>
          <w:tcPr>
            <w:cnfStyle w:val="001000000000" w:firstRow="0" w:lastRow="0" w:firstColumn="1" w:lastColumn="0" w:oddVBand="0" w:evenVBand="0" w:oddHBand="0" w:evenHBand="0" w:firstRowFirstColumn="0" w:firstRowLastColumn="0" w:lastRowFirstColumn="0" w:lastRowLastColumn="0"/>
            <w:tcW w:w="3964" w:type="dxa"/>
            <w:tcBorders>
              <w:right w:val="double" w:sz="6" w:space="0" w:color="DBDBDB" w:themeColor="accent3" w:themeTint="66"/>
            </w:tcBorders>
            <w:shd w:val="clear" w:color="auto" w:fill="BFBFBF" w:themeFill="background1" w:themeFillShade="BF"/>
            <w:vAlign w:val="center"/>
          </w:tcPr>
          <w:p w14:paraId="69F768DE" w14:textId="05D1F2E1" w:rsidR="005B35DF" w:rsidRPr="00B16265" w:rsidRDefault="00BB21E9" w:rsidP="00B16265">
            <w:pPr>
              <w:spacing w:before="120" w:after="120"/>
              <w:jc w:val="left"/>
            </w:pPr>
            <w:r w:rsidRPr="00B16265">
              <w:t>Energia i klimat</w:t>
            </w:r>
          </w:p>
        </w:tc>
        <w:tc>
          <w:tcPr>
            <w:tcW w:w="5098" w:type="dxa"/>
            <w:tcBorders>
              <w:left w:val="double" w:sz="6" w:space="0" w:color="DBDBDB" w:themeColor="accent3" w:themeTint="66"/>
            </w:tcBorders>
            <w:shd w:val="clear" w:color="auto" w:fill="D9D9D9" w:themeFill="background1" w:themeFillShade="D9"/>
            <w:vAlign w:val="center"/>
          </w:tcPr>
          <w:p w14:paraId="537F03DC" w14:textId="6FD2CF30" w:rsidR="005B35DF" w:rsidRPr="00BB21E9" w:rsidRDefault="00BB21E9" w:rsidP="00F701B8">
            <w:pPr>
              <w:spacing w:before="120" w:after="120"/>
              <w:jc w:val="center"/>
              <w:cnfStyle w:val="000000000000" w:firstRow="0" w:lastRow="0" w:firstColumn="0" w:lastColumn="0" w:oddVBand="0" w:evenVBand="0" w:oddHBand="0" w:evenHBand="0" w:firstRowFirstColumn="0" w:firstRowLastColumn="0" w:lastRowFirstColumn="0" w:lastRowLastColumn="0"/>
              <w:rPr>
                <w:b/>
              </w:rPr>
            </w:pPr>
            <w:r w:rsidRPr="00B16265">
              <w:rPr>
                <w:b/>
              </w:rPr>
              <w:t>Zasoby i bioróżnorodność</w:t>
            </w:r>
          </w:p>
        </w:tc>
      </w:tr>
      <w:tr w:rsidR="005B35DF" w14:paraId="46148E65" w14:textId="77777777" w:rsidTr="006B583C">
        <w:tc>
          <w:tcPr>
            <w:cnfStyle w:val="001000000000" w:firstRow="0" w:lastRow="0" w:firstColumn="1" w:lastColumn="0" w:oddVBand="0" w:evenVBand="0" w:oddHBand="0" w:evenHBand="0" w:firstRowFirstColumn="0" w:firstRowLastColumn="0" w:lastRowFirstColumn="0" w:lastRowLastColumn="0"/>
            <w:tcW w:w="3964" w:type="dxa"/>
            <w:vMerge w:val="restart"/>
            <w:tcBorders>
              <w:right w:val="double" w:sz="6" w:space="0" w:color="DBDBDB" w:themeColor="accent3" w:themeTint="66"/>
            </w:tcBorders>
          </w:tcPr>
          <w:p w14:paraId="40586AA2" w14:textId="29E9854C" w:rsidR="00BB21E9" w:rsidRPr="00BB21E9" w:rsidRDefault="00BB21E9" w:rsidP="000625AC">
            <w:pPr>
              <w:pStyle w:val="Akapitzlist"/>
              <w:numPr>
                <w:ilvl w:val="0"/>
                <w:numId w:val="44"/>
              </w:numPr>
              <w:spacing w:before="40" w:after="40"/>
              <w:ind w:left="318" w:hanging="284"/>
              <w:contextualSpacing w:val="0"/>
              <w:jc w:val="left"/>
              <w:rPr>
                <w:b w:val="0"/>
                <w:bCs w:val="0"/>
              </w:rPr>
            </w:pPr>
            <w:r w:rsidRPr="00BB21E9">
              <w:t xml:space="preserve">efektywność energetyczna </w:t>
            </w:r>
            <w:r w:rsidRPr="00BB21E9">
              <w:rPr>
                <w:b w:val="0"/>
                <w:bCs w:val="0"/>
              </w:rPr>
              <w:t>(zwiększenia efektywności energetycznej w przemyśle i</w:t>
            </w:r>
            <w:r w:rsidR="00D76081">
              <w:rPr>
                <w:b w:val="0"/>
                <w:bCs w:val="0"/>
              </w:rPr>
              <w:t> </w:t>
            </w:r>
            <w:r w:rsidRPr="00BB21E9">
              <w:rPr>
                <w:b w:val="0"/>
                <w:bCs w:val="0"/>
              </w:rPr>
              <w:t xml:space="preserve">budownictwie) oraz </w:t>
            </w:r>
            <w:r w:rsidRPr="00225EA8">
              <w:t>poszanowania energii</w:t>
            </w:r>
            <w:r w:rsidRPr="00BB21E9">
              <w:rPr>
                <w:b w:val="0"/>
                <w:bCs w:val="0"/>
              </w:rPr>
              <w:t>;</w:t>
            </w:r>
          </w:p>
          <w:p w14:paraId="0171D9CE" w14:textId="27A3AC1E" w:rsidR="00BB21E9" w:rsidRPr="00BB21E9" w:rsidRDefault="00BB21E9" w:rsidP="000625AC">
            <w:pPr>
              <w:pStyle w:val="Akapitzlist"/>
              <w:numPr>
                <w:ilvl w:val="0"/>
                <w:numId w:val="44"/>
              </w:numPr>
              <w:spacing w:before="40" w:after="40"/>
              <w:ind w:left="318" w:hanging="284"/>
              <w:contextualSpacing w:val="0"/>
              <w:jc w:val="left"/>
              <w:rPr>
                <w:b w:val="0"/>
                <w:bCs w:val="0"/>
              </w:rPr>
            </w:pPr>
            <w:r w:rsidRPr="00BB21E9">
              <w:t xml:space="preserve">neutralność klimatyczna przemysłu </w:t>
            </w:r>
            <w:r w:rsidRPr="00BB21E9">
              <w:rPr>
                <w:b w:val="0"/>
                <w:bCs w:val="0"/>
              </w:rPr>
              <w:t>(redukcja emisji procesowych, wychwyt emisji</w:t>
            </w:r>
            <w:r w:rsidR="00737C53">
              <w:rPr>
                <w:b w:val="0"/>
                <w:bCs w:val="0"/>
              </w:rPr>
              <w:t>)</w:t>
            </w:r>
            <w:r w:rsidRPr="00BB21E9">
              <w:rPr>
                <w:b w:val="0"/>
                <w:bCs w:val="0"/>
              </w:rPr>
              <w:t xml:space="preserve">; </w:t>
            </w:r>
          </w:p>
          <w:p w14:paraId="1AFF937C" w14:textId="1D89F8C6" w:rsidR="00BB21E9" w:rsidRPr="00BB21E9" w:rsidRDefault="00BB21E9" w:rsidP="000625AC">
            <w:pPr>
              <w:pStyle w:val="Akapitzlist"/>
              <w:numPr>
                <w:ilvl w:val="0"/>
                <w:numId w:val="44"/>
              </w:numPr>
              <w:spacing w:before="40" w:after="40"/>
              <w:ind w:left="318" w:hanging="284"/>
              <w:contextualSpacing w:val="0"/>
              <w:jc w:val="left"/>
              <w:rPr>
                <w:b w:val="0"/>
                <w:bCs w:val="0"/>
              </w:rPr>
            </w:pPr>
            <w:r w:rsidRPr="00BB21E9">
              <w:lastRenderedPageBreak/>
              <w:t>magazynowanie energii (</w:t>
            </w:r>
            <w:r w:rsidRPr="00BB21E9">
              <w:rPr>
                <w:b w:val="0"/>
                <w:bCs w:val="0"/>
              </w:rPr>
              <w:t xml:space="preserve">m.in. nowe materiały, wykorzystanie wodoru, </w:t>
            </w:r>
            <w:r w:rsidR="00076BC4">
              <w:rPr>
                <w:b w:val="0"/>
                <w:bCs w:val="0"/>
              </w:rPr>
              <w:t xml:space="preserve"> b</w:t>
            </w:r>
            <w:r w:rsidR="00C63BC6">
              <w:rPr>
                <w:b w:val="0"/>
                <w:bCs w:val="0"/>
              </w:rPr>
              <w:t>i</w:t>
            </w:r>
            <w:r w:rsidR="00076BC4">
              <w:rPr>
                <w:b w:val="0"/>
                <w:bCs w:val="0"/>
              </w:rPr>
              <w:t>ometanownie</w:t>
            </w:r>
            <w:r w:rsidRPr="00BB21E9">
              <w:rPr>
                <w:b w:val="0"/>
                <w:bCs w:val="0"/>
              </w:rPr>
              <w:t>);</w:t>
            </w:r>
          </w:p>
          <w:p w14:paraId="59C9AC39" w14:textId="002CE15E" w:rsidR="00BB21E9" w:rsidRPr="00BB21E9" w:rsidRDefault="00BB21E9" w:rsidP="000625AC">
            <w:pPr>
              <w:pStyle w:val="Akapitzlist"/>
              <w:numPr>
                <w:ilvl w:val="0"/>
                <w:numId w:val="44"/>
              </w:numPr>
              <w:spacing w:before="40" w:after="40"/>
              <w:ind w:left="318" w:hanging="284"/>
              <w:contextualSpacing w:val="0"/>
              <w:jc w:val="left"/>
            </w:pPr>
            <w:r w:rsidRPr="00BB21E9">
              <w:t>inteligentne sieci energetyczne i</w:t>
            </w:r>
            <w:r w:rsidR="00D76081">
              <w:t> </w:t>
            </w:r>
            <w:r w:rsidRPr="00BB21E9">
              <w:t xml:space="preserve">digitalizacja </w:t>
            </w:r>
            <w:r w:rsidRPr="00BB21E9">
              <w:rPr>
                <w:b w:val="0"/>
                <w:bCs w:val="0"/>
              </w:rPr>
              <w:t>(zwiększenie sprawności, inteligentne sterowanie i</w:t>
            </w:r>
            <w:r w:rsidR="00D76081">
              <w:rPr>
                <w:b w:val="0"/>
                <w:bCs w:val="0"/>
              </w:rPr>
              <w:t> </w:t>
            </w:r>
            <w:r w:rsidRPr="00BB21E9">
              <w:rPr>
                <w:b w:val="0"/>
                <w:bCs w:val="0"/>
              </w:rPr>
              <w:t>opomiarowanie, podłączanie do systemu źródeł rozproszonych i</w:t>
            </w:r>
            <w:r w:rsidR="00E618AB">
              <w:rPr>
                <w:b w:val="0"/>
                <w:bCs w:val="0"/>
              </w:rPr>
              <w:t> </w:t>
            </w:r>
            <w:r w:rsidRPr="00BB21E9">
              <w:rPr>
                <w:b w:val="0"/>
                <w:bCs w:val="0"/>
              </w:rPr>
              <w:t>„zielonej” energii);</w:t>
            </w:r>
          </w:p>
          <w:p w14:paraId="28E0FF0B" w14:textId="77777777" w:rsidR="00BB21E9" w:rsidRPr="00BB21E9" w:rsidRDefault="00BB21E9" w:rsidP="000625AC">
            <w:pPr>
              <w:pStyle w:val="Akapitzlist"/>
              <w:numPr>
                <w:ilvl w:val="0"/>
                <w:numId w:val="44"/>
              </w:numPr>
              <w:spacing w:before="40" w:after="40"/>
              <w:ind w:left="318" w:hanging="284"/>
              <w:contextualSpacing w:val="0"/>
              <w:jc w:val="left"/>
            </w:pPr>
            <w:r w:rsidRPr="00BB21E9">
              <w:t xml:space="preserve">technologie wytwarzania energii ze źródeł odnawialnych, </w:t>
            </w:r>
            <w:r w:rsidRPr="00BB21E9">
              <w:rPr>
                <w:b w:val="0"/>
                <w:bCs w:val="0"/>
              </w:rPr>
              <w:t>w tym bioenergii, energetyki wiatrowej, fotowoltaiki, geotermii;</w:t>
            </w:r>
          </w:p>
          <w:p w14:paraId="5AA517E5" w14:textId="77777777" w:rsidR="00BB21E9" w:rsidRPr="00BB21E9" w:rsidRDefault="00BB21E9" w:rsidP="000625AC">
            <w:pPr>
              <w:pStyle w:val="Akapitzlist"/>
              <w:numPr>
                <w:ilvl w:val="0"/>
                <w:numId w:val="44"/>
              </w:numPr>
              <w:spacing w:before="40" w:after="40"/>
              <w:ind w:left="318" w:hanging="284"/>
              <w:contextualSpacing w:val="0"/>
              <w:jc w:val="left"/>
            </w:pPr>
            <w:r w:rsidRPr="00BB21E9">
              <w:t xml:space="preserve">transport nisko- i zeroemisyjny </w:t>
            </w:r>
            <w:r w:rsidRPr="00BB21E9">
              <w:rPr>
                <w:b w:val="0"/>
                <w:bCs w:val="0"/>
              </w:rPr>
              <w:t>(elektromobilność, paliwa alternatywne, pojazdy na ogniwa paliwowe);</w:t>
            </w:r>
          </w:p>
          <w:p w14:paraId="0A92904D" w14:textId="77777777" w:rsidR="00BB21E9" w:rsidRPr="00BB21E9" w:rsidRDefault="00BB21E9" w:rsidP="000625AC">
            <w:pPr>
              <w:pStyle w:val="Akapitzlist"/>
              <w:numPr>
                <w:ilvl w:val="0"/>
                <w:numId w:val="44"/>
              </w:numPr>
              <w:spacing w:before="40" w:after="40"/>
              <w:ind w:left="318" w:hanging="284"/>
              <w:contextualSpacing w:val="0"/>
              <w:jc w:val="left"/>
              <w:rPr>
                <w:b w:val="0"/>
                <w:bCs w:val="0"/>
              </w:rPr>
            </w:pPr>
            <w:r w:rsidRPr="00BB21E9">
              <w:t xml:space="preserve">technologie wodorowe </w:t>
            </w:r>
            <w:r w:rsidRPr="00BB21E9">
              <w:rPr>
                <w:b w:val="0"/>
                <w:bCs w:val="0"/>
              </w:rPr>
              <w:t xml:space="preserve">(produkcja wodoru, w szczególności ze źródeł zeroemisyjnych, oczyszczanie wodoru, przesył, ogniwa paliwowe, wykorzystanie oraz obniżanie kosztów we wszystkich obszarach); </w:t>
            </w:r>
          </w:p>
          <w:p w14:paraId="33B680DD" w14:textId="77777777" w:rsidR="00BB21E9" w:rsidRPr="00BB21E9" w:rsidRDefault="00BB21E9" w:rsidP="000625AC">
            <w:pPr>
              <w:pStyle w:val="Akapitzlist"/>
              <w:numPr>
                <w:ilvl w:val="0"/>
                <w:numId w:val="44"/>
              </w:numPr>
              <w:spacing w:before="40" w:after="40"/>
              <w:ind w:left="318" w:hanging="284"/>
              <w:contextualSpacing w:val="0"/>
              <w:jc w:val="left"/>
              <w:rPr>
                <w:b w:val="0"/>
                <w:bCs w:val="0"/>
              </w:rPr>
            </w:pPr>
            <w:r w:rsidRPr="00BB21E9">
              <w:t>energetyka jądrowa (</w:t>
            </w:r>
            <w:r w:rsidRPr="00BB21E9">
              <w:rPr>
                <w:b w:val="0"/>
                <w:bCs w:val="0"/>
              </w:rPr>
              <w:t>nowe technologie reaktorowe III i IV generacji oraz rozwiązania modułowe czy wysokotemperaturowe);</w:t>
            </w:r>
          </w:p>
          <w:p w14:paraId="58B6F328" w14:textId="36064732" w:rsidR="005B35DF" w:rsidRDefault="00BB21E9" w:rsidP="000625AC">
            <w:pPr>
              <w:pStyle w:val="Akapitzlist"/>
              <w:numPr>
                <w:ilvl w:val="0"/>
                <w:numId w:val="44"/>
              </w:numPr>
              <w:spacing w:before="40" w:after="40"/>
              <w:ind w:left="318" w:hanging="284"/>
              <w:contextualSpacing w:val="0"/>
              <w:jc w:val="left"/>
            </w:pPr>
            <w:r w:rsidRPr="00BB21E9">
              <w:t>aspekty społeczne transformacji energetycznej (</w:t>
            </w:r>
            <w:r w:rsidRPr="00BB21E9">
              <w:rPr>
                <w:b w:val="0"/>
                <w:bCs w:val="0"/>
              </w:rPr>
              <w:t>zmniejszanie kosztów społecznych przechodzenia do gospodarki nisko- i zeroemisyjnej, przekształcania i</w:t>
            </w:r>
            <w:r>
              <w:rPr>
                <w:b w:val="0"/>
                <w:bCs w:val="0"/>
              </w:rPr>
              <w:t> </w:t>
            </w:r>
            <w:r w:rsidRPr="00BB21E9">
              <w:rPr>
                <w:b w:val="0"/>
                <w:bCs w:val="0"/>
              </w:rPr>
              <w:t>przemiany regionów pogórniczych).</w:t>
            </w:r>
          </w:p>
        </w:tc>
        <w:tc>
          <w:tcPr>
            <w:tcW w:w="5098" w:type="dxa"/>
            <w:tcBorders>
              <w:left w:val="double" w:sz="6" w:space="0" w:color="DBDBDB" w:themeColor="accent3" w:themeTint="66"/>
              <w:bottom w:val="double" w:sz="6" w:space="0" w:color="DBDBDB" w:themeColor="accent3" w:themeTint="66"/>
            </w:tcBorders>
          </w:tcPr>
          <w:p w14:paraId="21ACE3F4" w14:textId="7E75FCE7" w:rsidR="00BB21E9" w:rsidRDefault="00BB21E9" w:rsidP="000625AC">
            <w:pPr>
              <w:pStyle w:val="Akapitzlist"/>
              <w:numPr>
                <w:ilvl w:val="0"/>
                <w:numId w:val="44"/>
              </w:numPr>
              <w:spacing w:before="80" w:after="80"/>
              <w:ind w:left="312" w:hanging="284"/>
              <w:contextualSpacing w:val="0"/>
              <w:cnfStyle w:val="000000000000" w:firstRow="0" w:lastRow="0" w:firstColumn="0" w:lastColumn="0" w:oddVBand="0" w:evenVBand="0" w:oddHBand="0" w:evenHBand="0" w:firstRowFirstColumn="0" w:firstRowLastColumn="0" w:lastRowFirstColumn="0" w:lastRowLastColumn="0"/>
            </w:pPr>
            <w:r w:rsidRPr="00DE44E2">
              <w:rPr>
                <w:b/>
              </w:rPr>
              <w:lastRenderedPageBreak/>
              <w:t>przystosowanie do zmian klimatu</w:t>
            </w:r>
            <w:r>
              <w:t>, w tym ochrona przed suszą i powodzią</w:t>
            </w:r>
            <w:r w:rsidR="00194A82">
              <w:t>, rozwój niebiesko-zielonej infrastruktury</w:t>
            </w:r>
            <w:r>
              <w:t>;</w:t>
            </w:r>
          </w:p>
          <w:p w14:paraId="00B1D56C" w14:textId="54CE880C" w:rsidR="00BB21E9" w:rsidRDefault="00BB21E9" w:rsidP="000625AC">
            <w:pPr>
              <w:pStyle w:val="Akapitzlist"/>
              <w:numPr>
                <w:ilvl w:val="0"/>
                <w:numId w:val="44"/>
              </w:numPr>
              <w:spacing w:before="80" w:after="8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rsidRPr="00DE44E2">
              <w:rPr>
                <w:b/>
              </w:rPr>
              <w:t>zwiększenie potencjalnych warunków dla retencjonowania wód</w:t>
            </w:r>
            <w:r>
              <w:t>, czyli systemowej zdolności do gromadzenia zasobów wodnych i</w:t>
            </w:r>
            <w:r w:rsidR="00D76081">
              <w:t> </w:t>
            </w:r>
            <w:r>
              <w:t>przetrzymywania ich przez dłuższy czas w środowisku;</w:t>
            </w:r>
          </w:p>
          <w:p w14:paraId="784CA394" w14:textId="77777777" w:rsidR="00C62574" w:rsidRDefault="00BB21E9" w:rsidP="000625AC">
            <w:pPr>
              <w:pStyle w:val="Akapitzlist"/>
              <w:numPr>
                <w:ilvl w:val="0"/>
                <w:numId w:val="44"/>
              </w:numPr>
              <w:spacing w:before="80" w:after="80"/>
              <w:ind w:left="312" w:hanging="284"/>
              <w:contextualSpacing w:val="0"/>
              <w:cnfStyle w:val="000000000000" w:firstRow="0" w:lastRow="0" w:firstColumn="0" w:lastColumn="0" w:oddVBand="0" w:evenVBand="0" w:oddHBand="0" w:evenHBand="0" w:firstRowFirstColumn="0" w:firstRowLastColumn="0" w:lastRowFirstColumn="0" w:lastRowLastColumn="0"/>
            </w:pPr>
            <w:r w:rsidRPr="00DE44E2">
              <w:rPr>
                <w:b/>
              </w:rPr>
              <w:t>ochrona gleb</w:t>
            </w:r>
            <w:r>
              <w:t xml:space="preserve"> przed degradacją oraz </w:t>
            </w:r>
            <w:r w:rsidR="00C62574">
              <w:t>rekultywacja gleb zdegradowanych i zdewastowanych;</w:t>
            </w:r>
          </w:p>
          <w:p w14:paraId="4155322D" w14:textId="66DE1F3C" w:rsidR="00BB21E9" w:rsidRDefault="00C62574" w:rsidP="000625AC">
            <w:pPr>
              <w:pStyle w:val="Akapitzlist"/>
              <w:numPr>
                <w:ilvl w:val="0"/>
                <w:numId w:val="44"/>
              </w:numPr>
              <w:spacing w:before="80" w:after="80"/>
              <w:ind w:left="312" w:hanging="284"/>
              <w:contextualSpacing w:val="0"/>
              <w:cnfStyle w:val="000000000000" w:firstRow="0" w:lastRow="0" w:firstColumn="0" w:lastColumn="0" w:oddVBand="0" w:evenVBand="0" w:oddHBand="0" w:evenHBand="0" w:firstRowFirstColumn="0" w:firstRowLastColumn="0" w:lastRowFirstColumn="0" w:lastRowLastColumn="0"/>
            </w:pPr>
            <w:r w:rsidRPr="00C62574">
              <w:rPr>
                <w:b/>
                <w:bCs/>
              </w:rPr>
              <w:lastRenderedPageBreak/>
              <w:t>zapobieganie zanieczyszczeniom gleb</w:t>
            </w:r>
            <w:r>
              <w:t xml:space="preserve"> oraz</w:t>
            </w:r>
            <w:r w:rsidR="00974007">
              <w:t xml:space="preserve">  </w:t>
            </w:r>
            <w:r w:rsidR="00BB21E9">
              <w:t xml:space="preserve">remediacja gleb </w:t>
            </w:r>
            <w:r>
              <w:t>zanieczyszczonych</w:t>
            </w:r>
            <w:r w:rsidR="00BB21E9">
              <w:t>;</w:t>
            </w:r>
          </w:p>
          <w:p w14:paraId="7D9B3386" w14:textId="7BCB3C42" w:rsidR="005B35DF" w:rsidRDefault="00BB21E9" w:rsidP="000625AC">
            <w:pPr>
              <w:pStyle w:val="Akapitzlist"/>
              <w:numPr>
                <w:ilvl w:val="0"/>
                <w:numId w:val="44"/>
              </w:numPr>
              <w:spacing w:before="80" w:after="80"/>
              <w:ind w:left="312" w:hanging="284"/>
              <w:contextualSpacing w:val="0"/>
              <w:cnfStyle w:val="000000000000" w:firstRow="0" w:lastRow="0" w:firstColumn="0" w:lastColumn="0" w:oddVBand="0" w:evenVBand="0" w:oddHBand="0" w:evenHBand="0" w:firstRowFirstColumn="0" w:firstRowLastColumn="0" w:lastRowFirstColumn="0" w:lastRowLastColumn="0"/>
            </w:pPr>
            <w:r>
              <w:t xml:space="preserve">wsparcie rozwiązań w zakresie różnych </w:t>
            </w:r>
            <w:r w:rsidRPr="00DE44E2">
              <w:rPr>
                <w:b/>
              </w:rPr>
              <w:t>form retencji</w:t>
            </w:r>
            <w:r>
              <w:t xml:space="preserve"> (dużej i małej, glebowej i krajobrazowej), w tym retencji naturalnej (realizowanej za pomocą środków mających na celu ochronę zasobów wodnych przez przywracanie lub utrzymanie naturalnych ekosystemów).</w:t>
            </w:r>
          </w:p>
        </w:tc>
      </w:tr>
      <w:tr w:rsidR="005B35DF" w14:paraId="7E40DC67" w14:textId="77777777" w:rsidTr="3BACF426">
        <w:tc>
          <w:tcPr>
            <w:cnfStyle w:val="001000000000" w:firstRow="0" w:lastRow="0" w:firstColumn="1" w:lastColumn="0" w:oddVBand="0" w:evenVBand="0" w:oddHBand="0" w:evenHBand="0" w:firstRowFirstColumn="0" w:firstRowLastColumn="0" w:lastRowFirstColumn="0" w:lastRowLastColumn="0"/>
            <w:tcW w:w="3964" w:type="dxa"/>
            <w:vMerge/>
          </w:tcPr>
          <w:p w14:paraId="1DA79621" w14:textId="77777777" w:rsidR="005B35DF" w:rsidRPr="00BB21E9" w:rsidRDefault="005B35DF" w:rsidP="00BB21E9">
            <w:pPr>
              <w:jc w:val="left"/>
              <w:rPr>
                <w:b w:val="0"/>
              </w:rPr>
            </w:pPr>
          </w:p>
        </w:tc>
        <w:tc>
          <w:tcPr>
            <w:tcW w:w="5098" w:type="dxa"/>
            <w:tcBorders>
              <w:top w:val="double" w:sz="6" w:space="0" w:color="DBDBDB" w:themeColor="accent3" w:themeTint="66"/>
              <w:left w:val="double" w:sz="6" w:space="0" w:color="DBDBDB" w:themeColor="accent3" w:themeTint="66"/>
            </w:tcBorders>
            <w:shd w:val="clear" w:color="auto" w:fill="F2F2F2" w:themeFill="background1" w:themeFillShade="F2"/>
          </w:tcPr>
          <w:p w14:paraId="413736DF" w14:textId="664B0F95" w:rsidR="005B35DF" w:rsidRPr="00BB21E9" w:rsidRDefault="00BB21E9" w:rsidP="00B16265">
            <w:pPr>
              <w:spacing w:before="120" w:after="120"/>
              <w:jc w:val="left"/>
              <w:cnfStyle w:val="000000000000" w:firstRow="0" w:lastRow="0" w:firstColumn="0" w:lastColumn="0" w:oddVBand="0" w:evenVBand="0" w:oddHBand="0" w:evenHBand="0" w:firstRowFirstColumn="0" w:firstRowLastColumn="0" w:lastRowFirstColumn="0" w:lastRowLastColumn="0"/>
              <w:rPr>
                <w:b/>
              </w:rPr>
            </w:pPr>
            <w:r w:rsidRPr="00B16265">
              <w:rPr>
                <w:b/>
              </w:rPr>
              <w:t>Żywność i biogospodarka</w:t>
            </w:r>
          </w:p>
        </w:tc>
      </w:tr>
      <w:tr w:rsidR="005B35DF" w14:paraId="14B7086C" w14:textId="77777777" w:rsidTr="3BACF426">
        <w:tc>
          <w:tcPr>
            <w:cnfStyle w:val="001000000000" w:firstRow="0" w:lastRow="0" w:firstColumn="1" w:lastColumn="0" w:oddVBand="0" w:evenVBand="0" w:oddHBand="0" w:evenHBand="0" w:firstRowFirstColumn="0" w:firstRowLastColumn="0" w:lastRowFirstColumn="0" w:lastRowLastColumn="0"/>
            <w:tcW w:w="3964" w:type="dxa"/>
            <w:vMerge/>
          </w:tcPr>
          <w:p w14:paraId="195461FE" w14:textId="77777777" w:rsidR="005B35DF" w:rsidRPr="00BB21E9" w:rsidRDefault="005B35DF" w:rsidP="00BB21E9">
            <w:pPr>
              <w:jc w:val="left"/>
              <w:rPr>
                <w:b w:val="0"/>
              </w:rPr>
            </w:pPr>
          </w:p>
        </w:tc>
        <w:tc>
          <w:tcPr>
            <w:tcW w:w="5098" w:type="dxa"/>
            <w:tcBorders>
              <w:left w:val="double" w:sz="6" w:space="0" w:color="DBDBDB" w:themeColor="accent3" w:themeTint="66"/>
            </w:tcBorders>
          </w:tcPr>
          <w:p w14:paraId="529B5300" w14:textId="7DFCB258" w:rsidR="00BB21E9" w:rsidRDefault="00BB21E9" w:rsidP="000625AC">
            <w:pPr>
              <w:pStyle w:val="Akapitzlist"/>
              <w:numPr>
                <w:ilvl w:val="0"/>
                <w:numId w:val="45"/>
              </w:numPr>
              <w:spacing w:before="40" w:after="4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rsidRPr="00AF58A1">
              <w:rPr>
                <w:b/>
              </w:rPr>
              <w:t>zasoby biogospodarki</w:t>
            </w:r>
            <w:r>
              <w:t xml:space="preserve"> w rolnictwie, akwakulturze i</w:t>
            </w:r>
            <w:r w:rsidR="000D6C95">
              <w:t> </w:t>
            </w:r>
            <w:r>
              <w:t>leśnictwie oraz ich produktywności w kontekście rozwoju biogospodarki;</w:t>
            </w:r>
          </w:p>
          <w:p w14:paraId="2BCC1705" w14:textId="284AF869" w:rsidR="00BB21E9" w:rsidRDefault="00BB21E9" w:rsidP="000625AC">
            <w:pPr>
              <w:pStyle w:val="Akapitzlist"/>
              <w:numPr>
                <w:ilvl w:val="0"/>
                <w:numId w:val="45"/>
              </w:numPr>
              <w:spacing w:before="40" w:after="4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t xml:space="preserve">wytwarzanie i </w:t>
            </w:r>
            <w:r w:rsidRPr="00AF58A1">
              <w:rPr>
                <w:b/>
              </w:rPr>
              <w:t>wykorzystanie bioodpadów</w:t>
            </w:r>
            <w:r>
              <w:t xml:space="preserve"> z</w:t>
            </w:r>
            <w:r w:rsidR="00B16265">
              <w:t> </w:t>
            </w:r>
            <w:r>
              <w:t>rolnictwa, akwakultury i leśnictwa oraz bioodpadów ze sfery komunalnej, z uwagi na ich znaczenie w obiegu zamkniętym, w tym w</w:t>
            </w:r>
            <w:r w:rsidR="00B16265">
              <w:t> </w:t>
            </w:r>
            <w:r>
              <w:t>produkcji bioenergii</w:t>
            </w:r>
            <w:r w:rsidR="00B16265">
              <w:t xml:space="preserve"> (zwłaszcza biometanu)</w:t>
            </w:r>
            <w:r>
              <w:t>;</w:t>
            </w:r>
          </w:p>
          <w:p w14:paraId="4F9BE37F" w14:textId="6B5CBF63" w:rsidR="00BB21E9" w:rsidRDefault="00BB21E9" w:rsidP="000625AC">
            <w:pPr>
              <w:pStyle w:val="Akapitzlist"/>
              <w:numPr>
                <w:ilvl w:val="0"/>
                <w:numId w:val="45"/>
              </w:numPr>
              <w:spacing w:before="40" w:after="4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rsidRPr="00BB21E9">
              <w:rPr>
                <w:b/>
                <w:bCs/>
              </w:rPr>
              <w:t>potencjał produkcji biomasy z różnych źródeł</w:t>
            </w:r>
            <w:r>
              <w:t xml:space="preserve">, w tym odpadów oraz jej wykorzystania do produkcji bioenergii (zwłaszcza </w:t>
            </w:r>
            <w:r w:rsidR="00591848">
              <w:t>biometanu)</w:t>
            </w:r>
            <w:r>
              <w:t>;</w:t>
            </w:r>
          </w:p>
          <w:p w14:paraId="2A736052" w14:textId="7C7DB32C" w:rsidR="00BB21E9" w:rsidRDefault="00BB21E9" w:rsidP="000625AC">
            <w:pPr>
              <w:pStyle w:val="Akapitzlist"/>
              <w:numPr>
                <w:ilvl w:val="0"/>
                <w:numId w:val="45"/>
              </w:numPr>
              <w:spacing w:before="40" w:after="4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rsidRPr="00BB21E9">
              <w:rPr>
                <w:b/>
                <w:bCs/>
              </w:rPr>
              <w:t>wykorzystywanie zasobów naturalnych</w:t>
            </w:r>
            <w:r>
              <w:t>, w szczególności surowców lignocelulozowych;</w:t>
            </w:r>
          </w:p>
          <w:p w14:paraId="2742F3D2" w14:textId="06671663" w:rsidR="00BB21E9" w:rsidRDefault="00BB21E9" w:rsidP="000625AC">
            <w:pPr>
              <w:pStyle w:val="Akapitzlist"/>
              <w:numPr>
                <w:ilvl w:val="0"/>
                <w:numId w:val="45"/>
              </w:numPr>
              <w:spacing w:before="40" w:after="4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rsidRPr="00BB21E9">
              <w:rPr>
                <w:b/>
                <w:bCs/>
              </w:rPr>
              <w:t>wpływ biogospodarki</w:t>
            </w:r>
            <w:r>
              <w:t xml:space="preserve"> na ochronę klimatu, jakości wód i powietrza;</w:t>
            </w:r>
          </w:p>
          <w:p w14:paraId="55400971" w14:textId="12C1CC7D" w:rsidR="005B35DF" w:rsidRDefault="00BB21E9" w:rsidP="000625AC">
            <w:pPr>
              <w:pStyle w:val="Akapitzlist"/>
              <w:numPr>
                <w:ilvl w:val="0"/>
                <w:numId w:val="45"/>
              </w:numPr>
              <w:spacing w:before="40" w:after="240"/>
              <w:ind w:left="312" w:hanging="284"/>
              <w:contextualSpacing w:val="0"/>
              <w:jc w:val="left"/>
              <w:cnfStyle w:val="000000000000" w:firstRow="0" w:lastRow="0" w:firstColumn="0" w:lastColumn="0" w:oddVBand="0" w:evenVBand="0" w:oddHBand="0" w:evenHBand="0" w:firstRowFirstColumn="0" w:firstRowLastColumn="0" w:lastRowFirstColumn="0" w:lastRowLastColumn="0"/>
            </w:pPr>
            <w:r w:rsidRPr="00BB21E9">
              <w:rPr>
                <w:b/>
                <w:bCs/>
              </w:rPr>
              <w:t>gospodarka odpadami i efektywne wykorzystani</w:t>
            </w:r>
            <w:r w:rsidR="0068629D">
              <w:rPr>
                <w:b/>
                <w:bCs/>
              </w:rPr>
              <w:t>e</w:t>
            </w:r>
            <w:r w:rsidRPr="00BB21E9">
              <w:rPr>
                <w:b/>
                <w:bCs/>
              </w:rPr>
              <w:t xml:space="preserve"> zasobów</w:t>
            </w:r>
            <w:r>
              <w:t xml:space="preserve"> (m.in. selektywne zbieranie odpadów, recykling jako elementy gospodarki o obiegu zamkniętym) oraz kwestie dotyczących rozwoju infrastruktury służącej zapobieganiu powstawaniu odpadów i rozwoju systemu selektywnego zbierania odpadów komunalnych, który zapewni pozyskanie odpadów nadających się do recyklingu oraz rozwoju instalacji do przetwarzania bioodpadów.</w:t>
            </w:r>
          </w:p>
        </w:tc>
      </w:tr>
    </w:tbl>
    <w:p w14:paraId="224D758C" w14:textId="66FC874E" w:rsidR="00E3422B" w:rsidRDefault="00E3422B" w:rsidP="00E3422B"/>
    <w:p w14:paraId="5B721696" w14:textId="308CE900" w:rsidR="00E3422B" w:rsidRDefault="4F90F2D7" w:rsidP="00E3422B">
      <w:r>
        <w:t>Kluczowe będzie również podejmowanie działań związanych z rozwojem krajowych technologii, wykorz</w:t>
      </w:r>
      <w:r w:rsidR="526DDF41">
        <w:t>ystujących m.in. s</w:t>
      </w:r>
      <w:r>
        <w:t>urowce strategiczne i krytyczne</w:t>
      </w:r>
      <w:r w:rsidR="0AA11CE4">
        <w:t xml:space="preserve"> </w:t>
      </w:r>
      <w:r>
        <w:t>do produkcji</w:t>
      </w:r>
      <w:r w:rsidR="554364FF">
        <w:t xml:space="preserve"> m.in.:</w:t>
      </w:r>
      <w:r>
        <w:t xml:space="preserve"> baterii do magazynowania energi</w:t>
      </w:r>
      <w:r w:rsidR="66E43C17">
        <w:t xml:space="preserve">i, </w:t>
      </w:r>
      <w:r>
        <w:t>elektromobilności, urządzeń do produkcji i wykorzystania wodoru, urządzeń do wytwarzania energii ze źródeł odnawialnych,</w:t>
      </w:r>
      <w:r w:rsidR="406AEC54">
        <w:t xml:space="preserve"> </w:t>
      </w:r>
      <w:r w:rsidR="719DF8B2">
        <w:t>u</w:t>
      </w:r>
      <w:r w:rsidR="2F016485">
        <w:t>r</w:t>
      </w:r>
      <w:r w:rsidR="719DF8B2">
        <w:t xml:space="preserve">ządzeń </w:t>
      </w:r>
      <w:r w:rsidR="165B5934">
        <w:t>sprzyjających</w:t>
      </w:r>
      <w:r w:rsidR="719DF8B2">
        <w:t xml:space="preserve"> elektryfikacji ciepłownictwa i ogrzewnictwa (w</w:t>
      </w:r>
      <w:r w:rsidR="00E618AB">
        <w:t> </w:t>
      </w:r>
      <w:r w:rsidR="719DF8B2">
        <w:t xml:space="preserve">tym </w:t>
      </w:r>
      <w:r>
        <w:t>pomp ciepła</w:t>
      </w:r>
      <w:r w:rsidR="1F1CFEE3">
        <w:t>)</w:t>
      </w:r>
      <w:r>
        <w:t>, urządzeń do przesyłania i przechowywania danych, mobilnych urządzeń elektronicznych</w:t>
      </w:r>
      <w:r w:rsidR="00A3351D">
        <w:t xml:space="preserve"> czy</w:t>
      </w:r>
      <w:r>
        <w:t xml:space="preserve"> urządzeń do robotyki, </w:t>
      </w:r>
      <w:r w:rsidR="335267EF">
        <w:t>itp.</w:t>
      </w:r>
      <w:bookmarkStart w:id="869" w:name="_Hlk177461979"/>
    </w:p>
    <w:bookmarkEnd w:id="869"/>
    <w:p w14:paraId="454A4C28" w14:textId="59A83975" w:rsidR="0041319C" w:rsidRPr="0041319C" w:rsidRDefault="0041319C" w:rsidP="000D6C95">
      <w:pPr>
        <w:pStyle w:val="PaMs"/>
      </w:pPr>
      <w:r w:rsidRPr="0041319C">
        <w:t>DZIAŁANIA</w:t>
      </w:r>
    </w:p>
    <w:p w14:paraId="1C4B7F2F" w14:textId="1F11BF3E" w:rsidR="00B14271" w:rsidRDefault="00B14271" w:rsidP="000625AC">
      <w:pPr>
        <w:pStyle w:val="Akapitzlist"/>
        <w:numPr>
          <w:ilvl w:val="0"/>
          <w:numId w:val="125"/>
        </w:numPr>
      </w:pPr>
      <w:r w:rsidRPr="00B805DF">
        <w:rPr>
          <w:lang w:eastAsia="pl-PL"/>
        </w:rPr>
        <w:fldChar w:fldCharType="begin"/>
      </w:r>
      <w:r w:rsidRPr="00B805DF">
        <w:rPr>
          <w:lang w:eastAsia="pl-PL"/>
        </w:rPr>
        <w:instrText xml:space="preserve"> REF _Ref203388045 \h </w:instrText>
      </w:r>
      <w:r w:rsidR="00B805DF" w:rsidRPr="00B805DF">
        <w:rPr>
          <w:lang w:eastAsia="pl-PL"/>
        </w:rPr>
        <w:instrText xml:space="preserve"> \* MERGEFORMAT </w:instrText>
      </w:r>
      <w:r w:rsidRPr="00B805DF">
        <w:rPr>
          <w:lang w:eastAsia="pl-PL"/>
        </w:rPr>
      </w:r>
      <w:r w:rsidRPr="00B805DF">
        <w:rPr>
          <w:lang w:eastAsia="pl-PL"/>
        </w:rPr>
        <w:fldChar w:fldCharType="separate"/>
      </w:r>
      <w:r w:rsidR="00871DD5" w:rsidRPr="00871DD5">
        <w:rPr>
          <w:lang w:eastAsia="pl-PL"/>
        </w:rPr>
        <w:t xml:space="preserve">Działanie 153. </w:t>
      </w:r>
      <w:r w:rsidR="00871DD5" w:rsidRPr="00BA4DD1">
        <w:rPr>
          <w:lang w:eastAsia="pl-PL"/>
        </w:rPr>
        <w:t>Stopniowy wzrost nakładów i optymalne kierowanie środków na B+R (badania</w:t>
      </w:r>
      <w:r w:rsidR="00871DD5">
        <w:rPr>
          <w:lang w:eastAsia="pl-PL"/>
        </w:rPr>
        <w:t> </w:t>
      </w:r>
      <w:r w:rsidR="00871DD5" w:rsidRPr="00BA4DD1">
        <w:rPr>
          <w:lang w:eastAsia="pl-PL"/>
        </w:rPr>
        <w:t>i rozwój) w</w:t>
      </w:r>
      <w:r w:rsidR="00871DD5" w:rsidRPr="00871DD5">
        <w:rPr>
          <w:rFonts w:ascii="Arial" w:hAnsi="Arial" w:cs="Arial"/>
          <w:lang w:eastAsia="pl-PL"/>
        </w:rPr>
        <w:t> </w:t>
      </w:r>
      <w:r w:rsidR="00871DD5" w:rsidRPr="00BA4DD1">
        <w:rPr>
          <w:lang w:eastAsia="pl-PL"/>
        </w:rPr>
        <w:t>obszarach transformacji do gospodarki neutralnej klimatycznie</w:t>
      </w:r>
      <w:r w:rsidRPr="00B805DF">
        <w:rPr>
          <w:lang w:eastAsia="pl-PL"/>
        </w:rPr>
        <w:fldChar w:fldCharType="end"/>
      </w:r>
    </w:p>
    <w:p w14:paraId="3DA2D1F2" w14:textId="1544E46B" w:rsidR="002E69F5" w:rsidRDefault="002E69F5" w:rsidP="000625AC">
      <w:pPr>
        <w:pStyle w:val="Akapitzlist"/>
        <w:numPr>
          <w:ilvl w:val="0"/>
          <w:numId w:val="125"/>
        </w:numPr>
      </w:pPr>
      <w:r w:rsidRPr="00B805DF">
        <w:rPr>
          <w:lang w:eastAsia="pl-PL"/>
        </w:rPr>
        <w:fldChar w:fldCharType="begin"/>
      </w:r>
      <w:r w:rsidRPr="00B805DF">
        <w:rPr>
          <w:lang w:eastAsia="pl-PL"/>
        </w:rPr>
        <w:instrText xml:space="preserve"> REF _Ref203388066 \h </w:instrText>
      </w:r>
      <w:r w:rsidR="00B805DF" w:rsidRPr="00B805DF">
        <w:rPr>
          <w:lang w:eastAsia="pl-PL"/>
        </w:rPr>
        <w:instrText xml:space="preserve"> \* MERGEFORMAT </w:instrText>
      </w:r>
      <w:r w:rsidRPr="00B805DF">
        <w:rPr>
          <w:lang w:eastAsia="pl-PL"/>
        </w:rPr>
      </w:r>
      <w:r w:rsidRPr="00B805DF">
        <w:rPr>
          <w:lang w:eastAsia="pl-PL"/>
        </w:rPr>
        <w:fldChar w:fldCharType="separate"/>
      </w:r>
      <w:r w:rsidR="00871DD5" w:rsidRPr="00871DD5">
        <w:rPr>
          <w:lang w:eastAsia="pl-PL"/>
        </w:rPr>
        <w:t>Działanie 154. Aktualizacja Polityki Naukowej Państwa</w:t>
      </w:r>
      <w:r w:rsidRPr="00B805DF">
        <w:rPr>
          <w:lang w:eastAsia="pl-PL"/>
        </w:rPr>
        <w:fldChar w:fldCharType="end"/>
      </w:r>
    </w:p>
    <w:p w14:paraId="60491A53" w14:textId="4A0C8FFF" w:rsidR="006C7503" w:rsidRPr="0041319C" w:rsidRDefault="001E11C7" w:rsidP="000625AC">
      <w:pPr>
        <w:pStyle w:val="Akapitzlist"/>
        <w:numPr>
          <w:ilvl w:val="0"/>
          <w:numId w:val="125"/>
        </w:numPr>
      </w:pPr>
      <w:r w:rsidRPr="001E11C7">
        <w:fldChar w:fldCharType="begin"/>
      </w:r>
      <w:r w:rsidRPr="001E11C7">
        <w:instrText xml:space="preserve"> REF _Ref195890402 \h </w:instrText>
      </w:r>
      <w:r>
        <w:instrText xml:space="preserve"> \* MERGEFORMAT </w:instrText>
      </w:r>
      <w:r w:rsidRPr="001E11C7">
        <w:fldChar w:fldCharType="separate"/>
      </w:r>
      <w:r w:rsidR="00871DD5" w:rsidRPr="00871DD5">
        <w:rPr>
          <w:rStyle w:val="Nagwek6Znak"/>
          <w:rFonts w:ascii="Lato" w:hAnsi="Lato"/>
          <w:b w:val="0"/>
        </w:rPr>
        <w:t xml:space="preserve">Działanie </w:t>
      </w:r>
      <w:r w:rsidR="00871DD5" w:rsidRPr="00871DD5">
        <w:rPr>
          <w:lang w:eastAsia="pl-PL"/>
        </w:rPr>
        <w:t xml:space="preserve">155. </w:t>
      </w:r>
      <w:r w:rsidR="00871DD5" w:rsidRPr="004D6F82">
        <w:rPr>
          <w:lang w:eastAsia="pl-PL"/>
        </w:rPr>
        <w:t>Pilotaże i programy demonstracyjne wzorcowych rozwiązań transformacji energetyczno-klimatycznej</w:t>
      </w:r>
      <w:r w:rsidRPr="001E11C7">
        <w:fldChar w:fldCharType="end"/>
      </w:r>
    </w:p>
    <w:p w14:paraId="2F28E2F7" w14:textId="69655039" w:rsidR="002F27F1" w:rsidRPr="001E11C7" w:rsidRDefault="001E11C7" w:rsidP="006B130D">
      <w:pPr>
        <w:pStyle w:val="Akapitzlist"/>
        <w:numPr>
          <w:ilvl w:val="0"/>
          <w:numId w:val="125"/>
        </w:numPr>
      </w:pPr>
      <w:r w:rsidRPr="001E11C7">
        <w:lastRenderedPageBreak/>
        <w:fldChar w:fldCharType="begin"/>
      </w:r>
      <w:r w:rsidRPr="001E11C7">
        <w:instrText xml:space="preserve"> REF _Ref195890411 \h </w:instrText>
      </w:r>
      <w:r>
        <w:instrText xml:space="preserve"> \* MERGEFORMAT </w:instrText>
      </w:r>
      <w:r w:rsidRPr="001E11C7">
        <w:fldChar w:fldCharType="separate"/>
      </w:r>
      <w:r w:rsidR="00871DD5" w:rsidRPr="00871DD5">
        <w:rPr>
          <w:rStyle w:val="Nagwek6Znak"/>
          <w:rFonts w:ascii="Lato" w:hAnsi="Lato"/>
          <w:b w:val="0"/>
        </w:rPr>
        <w:t xml:space="preserve">Działanie </w:t>
      </w:r>
      <w:r w:rsidR="00871DD5" w:rsidRPr="00871DD5">
        <w:t xml:space="preserve">156. </w:t>
      </w:r>
      <w:r w:rsidR="00871DD5" w:rsidRPr="00BA4DD1">
        <w:t>Badania i projekty naukowe oraz edukacyjne w zakresie racjonalnej i niskoemisyjnej produkcji rolnej</w:t>
      </w:r>
      <w:r w:rsidRPr="001E11C7">
        <w:fldChar w:fldCharType="end"/>
      </w:r>
    </w:p>
    <w:p w14:paraId="3B6EEB13" w14:textId="04186DAA" w:rsidR="00C7191E" w:rsidRPr="0041319C" w:rsidRDefault="00C7191E" w:rsidP="000625AC">
      <w:pPr>
        <w:pStyle w:val="Akapitzlist"/>
        <w:numPr>
          <w:ilvl w:val="0"/>
          <w:numId w:val="125"/>
        </w:numPr>
      </w:pPr>
      <w:r w:rsidRPr="001E11C7">
        <w:fldChar w:fldCharType="begin"/>
      </w:r>
      <w:r w:rsidRPr="001E11C7">
        <w:instrText xml:space="preserve"> REF _Ref195890419 \h </w:instrText>
      </w:r>
      <w:r>
        <w:instrText xml:space="preserve"> \* MERGEFORMAT </w:instrText>
      </w:r>
      <w:r w:rsidRPr="001E11C7">
        <w:fldChar w:fldCharType="separate"/>
      </w:r>
      <w:r w:rsidR="00871DD5" w:rsidRPr="00871DD5">
        <w:rPr>
          <w:rStyle w:val="Nagwek6Znak"/>
          <w:rFonts w:ascii="Lato" w:hAnsi="Lato"/>
          <w:b w:val="0"/>
        </w:rPr>
        <w:t xml:space="preserve">Działanie </w:t>
      </w:r>
      <w:r w:rsidR="00871DD5" w:rsidRPr="00871DD5">
        <w:rPr>
          <w:lang w:eastAsia="pl-PL"/>
        </w:rPr>
        <w:t xml:space="preserve">157. </w:t>
      </w:r>
      <w:r w:rsidR="00871DD5" w:rsidRPr="002A7AB3">
        <w:rPr>
          <w:lang w:eastAsia="pl-PL"/>
        </w:rPr>
        <w:t>Instrument finansowy – Horyzont Europa</w:t>
      </w:r>
      <w:r w:rsidRPr="001E11C7">
        <w:fldChar w:fldCharType="end"/>
      </w:r>
    </w:p>
    <w:p w14:paraId="2CEA5210" w14:textId="7CDF7236" w:rsidR="006A30EE" w:rsidRPr="00C7191E" w:rsidRDefault="006A30EE" w:rsidP="000625AC">
      <w:pPr>
        <w:pStyle w:val="Akapitzlist"/>
        <w:numPr>
          <w:ilvl w:val="0"/>
          <w:numId w:val="125"/>
        </w:numPr>
        <w:rPr>
          <w:i/>
        </w:rPr>
      </w:pPr>
      <w:r w:rsidRPr="00C7191E">
        <w:rPr>
          <w:i/>
        </w:rPr>
        <w:t xml:space="preserve">Wszystkie inne </w:t>
      </w:r>
      <w:r w:rsidR="00C7191E" w:rsidRPr="00C7191E">
        <w:rPr>
          <w:i/>
          <w:iCs/>
        </w:rPr>
        <w:t>działania</w:t>
      </w:r>
      <w:r w:rsidRPr="00C7191E">
        <w:rPr>
          <w:i/>
        </w:rPr>
        <w:t xml:space="preserve"> wskazane w poszczególnych częściach dokumentu dotyczące m.in. </w:t>
      </w:r>
      <w:r w:rsidR="00C7191E" w:rsidRPr="00C7191E">
        <w:rPr>
          <w:i/>
          <w:iCs/>
        </w:rPr>
        <w:t>dekarbonizacji</w:t>
      </w:r>
      <w:r w:rsidRPr="00C7191E">
        <w:rPr>
          <w:i/>
          <w:iCs/>
        </w:rPr>
        <w:t xml:space="preserve"> poszczególnych branż przemysłu, </w:t>
      </w:r>
      <w:r w:rsidR="00C7191E" w:rsidRPr="00C7191E">
        <w:rPr>
          <w:i/>
          <w:iCs/>
        </w:rPr>
        <w:t>rozwoju CCS i technologii wodorowych, innowacyjności w transporcie, energetyce, obszarach ogólnośrodowiskowych.</w:t>
      </w:r>
    </w:p>
    <w:p w14:paraId="501A80E8" w14:textId="77777777" w:rsidR="0076313A" w:rsidRPr="00C7191E" w:rsidRDefault="0076313A" w:rsidP="0076313A">
      <w:pPr>
        <w:pStyle w:val="Akapitzlist"/>
        <w:rPr>
          <w:i/>
        </w:rPr>
      </w:pPr>
    </w:p>
    <w:p w14:paraId="7A658416" w14:textId="38727CF9" w:rsidR="00FD77A4" w:rsidRPr="00985B6A" w:rsidRDefault="00FD77A4" w:rsidP="00633B91">
      <w:pPr>
        <w:pStyle w:val="Nagwek4"/>
      </w:pPr>
      <w:bookmarkStart w:id="870" w:name="_Toc195897400"/>
      <w:bookmarkStart w:id="871" w:name="_Toc195899645"/>
      <w:bookmarkStart w:id="872" w:name="_Toc159598353"/>
      <w:bookmarkStart w:id="873" w:name="_Toc195897401"/>
      <w:bookmarkStart w:id="874" w:name="_Toc205203231"/>
      <w:bookmarkStart w:id="875" w:name="_Hlk194062733"/>
      <w:bookmarkEnd w:id="870"/>
      <w:bookmarkEnd w:id="871"/>
      <w:r w:rsidRPr="00985B6A">
        <w:t xml:space="preserve">Rozwój </w:t>
      </w:r>
      <w:r>
        <w:t>kompetencji kadrowych na potrzeby transformacji klimatyczno-energetycznej</w:t>
      </w:r>
      <w:bookmarkEnd w:id="872"/>
      <w:bookmarkEnd w:id="873"/>
      <w:bookmarkEnd w:id="874"/>
      <w:r w:rsidR="003E2DE5">
        <w:t xml:space="preserve"> </w:t>
      </w:r>
    </w:p>
    <w:p w14:paraId="50082E51" w14:textId="77777777" w:rsidR="005752FD" w:rsidRDefault="00FD77A4" w:rsidP="00993F4F">
      <w:r>
        <w:t xml:space="preserve">Przeprowadzenie odpowiedzialnej transformacji klimatyczno-energetycznej </w:t>
      </w:r>
      <w:r w:rsidR="00EA0B18">
        <w:t xml:space="preserve">to wieloletni proces, </w:t>
      </w:r>
      <w:r>
        <w:t>wymaga</w:t>
      </w:r>
      <w:r w:rsidR="00EA0B18">
        <w:t>jący również</w:t>
      </w:r>
      <w:r>
        <w:t xml:space="preserve"> </w:t>
      </w:r>
      <w:r w:rsidR="00993F4F">
        <w:t xml:space="preserve">dostosowania i </w:t>
      </w:r>
      <w:r>
        <w:t xml:space="preserve">budowania kadr </w:t>
      </w:r>
      <w:r w:rsidR="00993F4F">
        <w:t>oraz</w:t>
      </w:r>
      <w:r>
        <w:t xml:space="preserve"> rozwoju umiejętności, </w:t>
      </w:r>
      <w:r w:rsidR="00AA7CF5">
        <w:t>spójnych z</w:t>
      </w:r>
      <w:r w:rsidR="00925656">
        <w:t> </w:t>
      </w:r>
      <w:r w:rsidR="00993F4F">
        <w:t>priorytetowy</w:t>
      </w:r>
      <w:r w:rsidR="00AA7CF5">
        <w:t>mi</w:t>
      </w:r>
      <w:r w:rsidR="00993F4F">
        <w:t xml:space="preserve"> </w:t>
      </w:r>
      <w:r>
        <w:t>kierunk</w:t>
      </w:r>
      <w:r w:rsidR="00AA7CF5">
        <w:t>ami</w:t>
      </w:r>
      <w:r w:rsidR="00993F4F">
        <w:t xml:space="preserve"> rozwoju</w:t>
      </w:r>
      <w:r>
        <w:t>,</w:t>
      </w:r>
      <w:r w:rsidR="00993F4F">
        <w:t xml:space="preserve"> wyzwa</w:t>
      </w:r>
      <w:r w:rsidR="00AA7CF5">
        <w:t>niami</w:t>
      </w:r>
      <w:r w:rsidR="00993F4F">
        <w:t xml:space="preserve"> i potrzeb</w:t>
      </w:r>
      <w:r w:rsidR="00AA7CF5">
        <w:t>ami</w:t>
      </w:r>
      <w:r w:rsidR="00993F4F">
        <w:t xml:space="preserve"> sektorow</w:t>
      </w:r>
      <w:r w:rsidR="00AA7CF5">
        <w:t>ymi</w:t>
      </w:r>
      <w:r w:rsidR="00993F4F">
        <w:t xml:space="preserve"> oraz postępując</w:t>
      </w:r>
      <w:r w:rsidR="00AA7CF5">
        <w:t>ym</w:t>
      </w:r>
      <w:r w:rsidR="00993F4F">
        <w:t xml:space="preserve"> rozwoj</w:t>
      </w:r>
      <w:r w:rsidR="00AA7CF5">
        <w:t>em</w:t>
      </w:r>
      <w:r w:rsidR="00993F4F">
        <w:t xml:space="preserve"> technologii. </w:t>
      </w:r>
      <w:r w:rsidRPr="00FD77A4">
        <w:t>Umiejętności mają zasadnicze znaczenie dla rozwoju społecznego</w:t>
      </w:r>
      <w:r>
        <w:t>, przemysłowego</w:t>
      </w:r>
      <w:r w:rsidRPr="00FD77A4">
        <w:t xml:space="preserve"> i</w:t>
      </w:r>
      <w:r w:rsidR="00AA7CF5">
        <w:t> </w:t>
      </w:r>
      <w:r w:rsidRPr="00FD77A4">
        <w:t>gospodarczego</w:t>
      </w:r>
      <w:r>
        <w:t xml:space="preserve">, jak również dla pozyskania większej akceptacji </w:t>
      </w:r>
      <w:r w:rsidR="00993F4F">
        <w:t xml:space="preserve">społecznej dla przeprowadzenia zmian, </w:t>
      </w:r>
      <w:r w:rsidR="00993F4F" w:rsidRPr="00EA0B18">
        <w:t xml:space="preserve">zwłaszcza w społecznościach i regionach narażonych na negatywne skutki transformacji energetycznej. </w:t>
      </w:r>
    </w:p>
    <w:p w14:paraId="3FFFA114" w14:textId="32ADDB79" w:rsidR="00823B2E" w:rsidRDefault="00925656" w:rsidP="00993F4F">
      <w:r>
        <w:t xml:space="preserve">Zapotrzebowanie na kadry w procesie transformacji jest ogromne, zwłaszcza w aspekcie równolegle prowadzonych procesów i inwestycji w analogicznych obszarach niskoemisyjnego rozwoju w wielu krajach europejskich (np. technologii OZE, </w:t>
      </w:r>
      <w:r w:rsidR="00EE28D9">
        <w:t xml:space="preserve">energetyki jądrowej, </w:t>
      </w:r>
      <w:r>
        <w:t xml:space="preserve">magazynowania energii, technologii bilansowania, utrzymania konwencjonalnych jednostek wytwórczych, technologii wodorowych, zarządzania energią, termomodernizacji budynków, infrastruktury sieciowej, elektromobilności, automatyzacji i cyfryzacji rozwiązań </w:t>
      </w:r>
      <w:r w:rsidR="002C3B82">
        <w:t>oraz</w:t>
      </w:r>
      <w:r w:rsidR="00EE28D9">
        <w:t xml:space="preserve"> innych nowoczesnych rozwiązań energetycznych</w:t>
      </w:r>
      <w:r w:rsidR="0038355E">
        <w:t xml:space="preserve"> oraz pozostałych </w:t>
      </w:r>
      <w:r w:rsidR="0048250B">
        <w:t xml:space="preserve">obszarów wskazanych w </w:t>
      </w:r>
      <w:r w:rsidR="008D37F4">
        <w:fldChar w:fldCharType="begin"/>
      </w:r>
      <w:r w:rsidR="008D37F4">
        <w:instrText xml:space="preserve"> REF _Ref183788499 \r \h </w:instrText>
      </w:r>
      <w:r w:rsidR="008D37F4">
        <w:fldChar w:fldCharType="separate"/>
      </w:r>
      <w:r w:rsidR="00871DD5">
        <w:t>Cel 5.1.2</w:t>
      </w:r>
      <w:r w:rsidR="008D37F4">
        <w:fldChar w:fldCharType="end"/>
      </w:r>
      <w:r>
        <w:t xml:space="preserve">). </w:t>
      </w:r>
    </w:p>
    <w:p w14:paraId="62F92EBD" w14:textId="596156E0" w:rsidR="00B957AA" w:rsidRDefault="00925656" w:rsidP="00993F4F">
      <w:r>
        <w:t>Niedobór wykwalifikowanych kadr może stanowić jedno z</w:t>
      </w:r>
      <w:r w:rsidR="00EE28D9">
        <w:t> </w:t>
      </w:r>
      <w:r>
        <w:t xml:space="preserve">kluczowych wąskich gardeł transformacji energetycznej. </w:t>
      </w:r>
      <w:r w:rsidR="00823B2E">
        <w:t>Je</w:t>
      </w:r>
      <w:r w:rsidR="006A49FF">
        <w:t xml:space="preserve">dnocześnie przyspieszenie </w:t>
      </w:r>
      <w:r w:rsidR="00834A01">
        <w:t xml:space="preserve">dostosowania oferty edukacyjnej do potrzeb </w:t>
      </w:r>
      <w:r w:rsidR="004D35AE">
        <w:t xml:space="preserve">intensywnego tempa transformacji nie może negatywnie oddziaływać na </w:t>
      </w:r>
      <w:r w:rsidR="00A36F5B">
        <w:t>jakość edukacji.</w:t>
      </w:r>
    </w:p>
    <w:p w14:paraId="023F0E81" w14:textId="77777777" w:rsidR="007C194F" w:rsidRDefault="007C194F" w:rsidP="00993F4F"/>
    <w:p w14:paraId="0DC8B44A" w14:textId="74CE19C7" w:rsidR="00A36F5B" w:rsidRDefault="00E30DB3" w:rsidP="00A36F5B">
      <w:pPr>
        <w:pStyle w:val="Cele"/>
        <w:spacing w:after="120"/>
      </w:pPr>
      <w:r>
        <w:t xml:space="preserve">Celem jest </w:t>
      </w:r>
      <w:r w:rsidR="00FD7BC4" w:rsidRPr="00E30DB3">
        <w:rPr>
          <w:b/>
          <w:bCs/>
        </w:rPr>
        <w:t>rozbudow</w:t>
      </w:r>
      <w:r>
        <w:rPr>
          <w:b/>
          <w:bCs/>
        </w:rPr>
        <w:t>anie</w:t>
      </w:r>
      <w:r w:rsidR="00FD7BC4" w:rsidRPr="00E30DB3">
        <w:rPr>
          <w:b/>
          <w:bCs/>
        </w:rPr>
        <w:t xml:space="preserve"> </w:t>
      </w:r>
      <w:r w:rsidR="000D6C95" w:rsidRPr="00E30DB3">
        <w:rPr>
          <w:b/>
          <w:bCs/>
        </w:rPr>
        <w:t>oferty edukacyjnej</w:t>
      </w:r>
      <w:r w:rsidR="000D6C95" w:rsidRPr="000D6C95">
        <w:t xml:space="preserve"> </w:t>
      </w:r>
      <w:r w:rsidR="003A18E8">
        <w:t>dostosowanej</w:t>
      </w:r>
      <w:r w:rsidR="006A6681">
        <w:t xml:space="preserve"> </w:t>
      </w:r>
      <w:r w:rsidR="00764C5A">
        <w:t>do potrzeb wdrażania transformacji klimatyczno-energetycznej</w:t>
      </w:r>
      <w:r w:rsidR="00EA723D">
        <w:t xml:space="preserve">. </w:t>
      </w:r>
    </w:p>
    <w:p w14:paraId="0197B00A" w14:textId="68A259F5" w:rsidR="00B510A9" w:rsidRDefault="00EA723D" w:rsidP="00764C5A">
      <w:pPr>
        <w:pStyle w:val="Cele"/>
      </w:pPr>
      <w:r>
        <w:t xml:space="preserve">Ponadto system </w:t>
      </w:r>
      <w:r w:rsidR="00D1117F">
        <w:t xml:space="preserve">edukacji </w:t>
      </w:r>
      <w:r w:rsidR="005F4A15">
        <w:t>musi zapewniać odpowiednio wysokie standardy</w:t>
      </w:r>
      <w:r w:rsidR="000D6C95">
        <w:t xml:space="preserve"> kształcenia</w:t>
      </w:r>
      <w:r w:rsidR="005F4A15">
        <w:t>, a liczb</w:t>
      </w:r>
      <w:r w:rsidR="003215CE">
        <w:t>a wyk</w:t>
      </w:r>
      <w:r w:rsidR="00EB2AB0">
        <w:t>w</w:t>
      </w:r>
      <w:r w:rsidR="003215CE">
        <w:t>a</w:t>
      </w:r>
      <w:r w:rsidR="007F21E0">
        <w:t xml:space="preserve">lifikowanych </w:t>
      </w:r>
      <w:r w:rsidR="003215CE">
        <w:t xml:space="preserve">pracowników </w:t>
      </w:r>
      <w:r w:rsidR="007F21E0">
        <w:t>umożliwiać sprawną realizację</w:t>
      </w:r>
      <w:r w:rsidR="00D1117F">
        <w:t xml:space="preserve"> </w:t>
      </w:r>
      <w:r w:rsidR="000D0CF6">
        <w:t>transformacji</w:t>
      </w:r>
      <w:r w:rsidR="00FC1184">
        <w:t xml:space="preserve">. </w:t>
      </w:r>
    </w:p>
    <w:p w14:paraId="2CE29E39" w14:textId="774994F5" w:rsidR="00D5674F" w:rsidRDefault="005C0E83" w:rsidP="00DE6A0E">
      <w:pPr>
        <w:pStyle w:val="PaMs"/>
      </w:pPr>
      <w:r>
        <w:t>POLITYKA</w:t>
      </w:r>
    </w:p>
    <w:p w14:paraId="05448A1A" w14:textId="0205EFE0" w:rsidR="003D2020" w:rsidRDefault="00BF4A66" w:rsidP="005B7B7D">
      <w:pPr>
        <w:spacing w:after="80"/>
      </w:pPr>
      <w:r>
        <w:t xml:space="preserve">Realizacja </w:t>
      </w:r>
      <w:r w:rsidR="003D2020">
        <w:t xml:space="preserve">polityki w obszarze zapewnienia </w:t>
      </w:r>
      <w:r w:rsidR="003B08CC">
        <w:t xml:space="preserve">kadr </w:t>
      </w:r>
      <w:r w:rsidR="003D2020">
        <w:t xml:space="preserve">i rozwoju kompetencji </w:t>
      </w:r>
      <w:r w:rsidR="003B08CC">
        <w:t>mających na celu spraw</w:t>
      </w:r>
      <w:r w:rsidR="003942EA">
        <w:t>n</w:t>
      </w:r>
      <w:r w:rsidR="003B08CC">
        <w:t xml:space="preserve">ą realizację </w:t>
      </w:r>
      <w:r w:rsidR="003942EA">
        <w:t xml:space="preserve">transformacji energetyczno-klimatycznej będzie nastawiona </w:t>
      </w:r>
      <w:r w:rsidR="0069293B">
        <w:t>na:</w:t>
      </w:r>
    </w:p>
    <w:p w14:paraId="1E0EE0AF" w14:textId="77777777" w:rsidR="00E30DB3" w:rsidRDefault="00E30DB3" w:rsidP="000625AC">
      <w:pPr>
        <w:pStyle w:val="Akapitzlist"/>
        <w:numPr>
          <w:ilvl w:val="0"/>
          <w:numId w:val="47"/>
        </w:numPr>
        <w:spacing w:line="256" w:lineRule="auto"/>
        <w:ind w:left="426"/>
      </w:pPr>
      <w:r>
        <w:t>dostosowanie wykazu zawodów, w których kształcenie jest realizowane w szkołach ponadpodstawowych (realizuje minister właściwy ds. oświaty i wychowania na wniosek właściwego ministra),</w:t>
      </w:r>
    </w:p>
    <w:p w14:paraId="3BCE4F39" w14:textId="77777777" w:rsidR="00E30DB3" w:rsidRDefault="00E30DB3" w:rsidP="000625AC">
      <w:pPr>
        <w:pStyle w:val="Akapitzlist"/>
        <w:numPr>
          <w:ilvl w:val="0"/>
          <w:numId w:val="47"/>
        </w:numPr>
        <w:spacing w:line="256" w:lineRule="auto"/>
        <w:ind w:left="426"/>
      </w:pPr>
      <w:r>
        <w:t>promowanie zawodów, które mogą być kształcone na poziomie szkolnictwa wyższego,</w:t>
      </w:r>
    </w:p>
    <w:p w14:paraId="1681DABE" w14:textId="236A7507" w:rsidR="00585680" w:rsidRDefault="00E30DB3" w:rsidP="000625AC">
      <w:pPr>
        <w:pStyle w:val="Akapitzlist"/>
        <w:numPr>
          <w:ilvl w:val="0"/>
          <w:numId w:val="47"/>
        </w:numPr>
        <w:spacing w:line="256" w:lineRule="auto"/>
        <w:ind w:left="426"/>
      </w:pPr>
      <w:r>
        <w:t>zapewnienie odpowiednich standardów edukacji poprzez dbałość o właściwą jakość kształcenia</w:t>
      </w:r>
      <w:r w:rsidR="0034203F">
        <w:t>.</w:t>
      </w:r>
      <w:r w:rsidR="00F114E9">
        <w:t xml:space="preserve"> </w:t>
      </w:r>
    </w:p>
    <w:p w14:paraId="5052E92F" w14:textId="327B0DB0" w:rsidR="004C0BDA" w:rsidRDefault="00827A11" w:rsidP="005B7B7D">
      <w:pPr>
        <w:spacing w:before="240" w:after="80"/>
      </w:pPr>
      <w:r>
        <w:t xml:space="preserve">Kształcenie będzie obywać się </w:t>
      </w:r>
      <w:r w:rsidR="004C0BDA">
        <w:t>w:</w:t>
      </w:r>
    </w:p>
    <w:p w14:paraId="02ECACDB" w14:textId="33B7F786" w:rsidR="004C0BDA" w:rsidRDefault="004C0BDA" w:rsidP="000625AC">
      <w:pPr>
        <w:pStyle w:val="Akapitzlist"/>
        <w:numPr>
          <w:ilvl w:val="0"/>
          <w:numId w:val="48"/>
        </w:numPr>
      </w:pPr>
      <w:r>
        <w:t>szkołach ponadpodstawowych</w:t>
      </w:r>
      <w:r w:rsidR="00E30DB3">
        <w:t xml:space="preserve"> oraz </w:t>
      </w:r>
      <w:r>
        <w:t>w formach pozaszkolnych</w:t>
      </w:r>
      <w:r w:rsidR="00E30DB3">
        <w:t>,</w:t>
      </w:r>
      <w:r>
        <w:t xml:space="preserve"> </w:t>
      </w:r>
    </w:p>
    <w:p w14:paraId="015E6676" w14:textId="496179D3" w:rsidR="004C0BDA" w:rsidRDefault="004C0BDA" w:rsidP="000625AC">
      <w:pPr>
        <w:pStyle w:val="Akapitzlist"/>
        <w:numPr>
          <w:ilvl w:val="0"/>
          <w:numId w:val="48"/>
        </w:numPr>
      </w:pPr>
      <w:r>
        <w:t>w ramach edukacji na poziomie uczelni wyższych.</w:t>
      </w:r>
    </w:p>
    <w:p w14:paraId="48BE1023" w14:textId="04B1C6AF" w:rsidR="0086253A" w:rsidRDefault="0086253A" w:rsidP="0086253A">
      <w:r>
        <w:lastRenderedPageBreak/>
        <w:t xml:space="preserve">Niezwykle ważnym narzędziem jest </w:t>
      </w:r>
      <w:r w:rsidR="006E61B2" w:rsidRPr="003A590D">
        <w:rPr>
          <w:b/>
          <w:bCs/>
        </w:rPr>
        <w:t>Zintegrowany System Kwalifikacji</w:t>
      </w:r>
      <w:r w:rsidR="003A590D">
        <w:rPr>
          <w:rStyle w:val="Odwoanieprzypisudolnego"/>
          <w:b/>
          <w:bCs/>
        </w:rPr>
        <w:footnoteReference w:id="137"/>
      </w:r>
      <w:r w:rsidR="006E61B2">
        <w:t xml:space="preserve">, który </w:t>
      </w:r>
      <w:r w:rsidR="006E61B2" w:rsidRPr="0086253A">
        <w:t>porządkuje system kwalifikacji w Polsce</w:t>
      </w:r>
      <w:r w:rsidR="006E61B2">
        <w:t xml:space="preserve">, </w:t>
      </w:r>
      <w:r w:rsidR="008647D2">
        <w:t xml:space="preserve">wpływa na jej standaryzację i jakość, </w:t>
      </w:r>
      <w:r w:rsidR="003A590D">
        <w:t xml:space="preserve">a zainteresowanym kształceniem </w:t>
      </w:r>
      <w:r w:rsidR="006E61B2">
        <w:t>zapewnia dostęp do wiedzy co obe</w:t>
      </w:r>
      <w:r w:rsidR="008647D2">
        <w:t xml:space="preserve">jmuje </w:t>
      </w:r>
      <w:r w:rsidR="003A590D">
        <w:t>dany zawód.</w:t>
      </w:r>
      <w:r w:rsidR="00E30DB3">
        <w:t xml:space="preserve"> </w:t>
      </w:r>
      <w:r w:rsidR="00E30DB3" w:rsidRPr="00E30DB3">
        <w:t>Zintegrowany System Kwalifikacji umożliwia także tworzenie oferty kwalifikacji z edukacji pozaformalnej (kwalifikacji sektorowych i kwalifikacji wolnorynkowych), umożliwiających obywatelom wiarygodne potwierdzanie umiejętności, w tym umiejętności przydatnych w procesie transformacji klimatyczno-energetycznej.</w:t>
      </w:r>
    </w:p>
    <w:p w14:paraId="3FE57B7E" w14:textId="31098882" w:rsidR="0065438F" w:rsidRPr="00224613" w:rsidRDefault="0065438F" w:rsidP="009F2A6C">
      <w:pPr>
        <w:rPr>
          <w:b/>
        </w:rPr>
      </w:pPr>
      <w:r w:rsidRPr="00224613">
        <w:rPr>
          <w:b/>
        </w:rPr>
        <w:t xml:space="preserve">Kształcenie w szkołach ponadpodstawowych oraz w formach </w:t>
      </w:r>
      <w:r w:rsidR="00031C95" w:rsidRPr="00224613">
        <w:rPr>
          <w:b/>
        </w:rPr>
        <w:t>po</w:t>
      </w:r>
      <w:r w:rsidR="0004591E" w:rsidRPr="00224613">
        <w:rPr>
          <w:b/>
        </w:rPr>
        <w:t>za</w:t>
      </w:r>
      <w:r w:rsidR="00031C95" w:rsidRPr="00224613">
        <w:rPr>
          <w:b/>
        </w:rPr>
        <w:t>szkolnych</w:t>
      </w:r>
    </w:p>
    <w:p w14:paraId="1972300C" w14:textId="5E682E6A" w:rsidR="00413C7E" w:rsidRDefault="00413C7E" w:rsidP="00E30DB3">
      <w:pPr>
        <w:spacing w:after="80"/>
      </w:pPr>
      <w:r>
        <w:t xml:space="preserve">Kształcenie </w:t>
      </w:r>
      <w:r w:rsidR="00B303A4">
        <w:t>na potrzeby</w:t>
      </w:r>
      <w:r>
        <w:t xml:space="preserve"> transformacji energetyczno-klimatycznej prowadzone jest </w:t>
      </w:r>
      <w:r w:rsidR="00816082">
        <w:t>w</w:t>
      </w:r>
      <w:r w:rsidR="007B2114">
        <w:t xml:space="preserve"> </w:t>
      </w:r>
      <w:r w:rsidR="00816082">
        <w:t xml:space="preserve">szkołach ponadpodstawowych oraz w formach pozaszkolnych, w zawodach określonych w klasyfikacji zawodów szkolnictwa branżowego </w:t>
      </w:r>
      <w:r>
        <w:t xml:space="preserve">w szczególności w zawodach: </w:t>
      </w:r>
    </w:p>
    <w:p w14:paraId="5A6FA909" w14:textId="77777777" w:rsidR="00E30DB3" w:rsidRDefault="00E30DB3" w:rsidP="000625AC">
      <w:pPr>
        <w:pStyle w:val="Akapitzlist"/>
        <w:numPr>
          <w:ilvl w:val="0"/>
          <w:numId w:val="49"/>
        </w:numPr>
        <w:spacing w:line="256" w:lineRule="auto"/>
        <w:ind w:left="426"/>
        <w:sectPr w:rsidR="00E30DB3" w:rsidSect="005209BA">
          <w:pgSz w:w="11906" w:h="16838"/>
          <w:pgMar w:top="1417" w:right="1417" w:bottom="1417" w:left="1417" w:header="708" w:footer="708" w:gutter="0"/>
          <w:cols w:space="708"/>
          <w:docGrid w:linePitch="360"/>
        </w:sectPr>
      </w:pPr>
    </w:p>
    <w:p w14:paraId="47253AD4" w14:textId="77777777" w:rsidR="00E30DB3" w:rsidRDefault="00E30DB3" w:rsidP="000625AC">
      <w:pPr>
        <w:pStyle w:val="Akapitzlist"/>
        <w:numPr>
          <w:ilvl w:val="0"/>
          <w:numId w:val="49"/>
        </w:numPr>
        <w:spacing w:line="256" w:lineRule="auto"/>
        <w:ind w:left="426"/>
        <w:jc w:val="left"/>
      </w:pPr>
      <w:r>
        <w:t xml:space="preserve">technik urządzeń i systemów energetyki odnawialnej, </w:t>
      </w:r>
    </w:p>
    <w:p w14:paraId="7A4EB6FF" w14:textId="77777777" w:rsidR="00E30DB3" w:rsidRDefault="00E30DB3" w:rsidP="000625AC">
      <w:pPr>
        <w:pStyle w:val="Akapitzlist"/>
        <w:numPr>
          <w:ilvl w:val="0"/>
          <w:numId w:val="49"/>
        </w:numPr>
        <w:spacing w:line="256" w:lineRule="auto"/>
        <w:ind w:left="426"/>
        <w:jc w:val="left"/>
      </w:pPr>
      <w:r>
        <w:t xml:space="preserve">technik energetyk, </w:t>
      </w:r>
    </w:p>
    <w:p w14:paraId="38CF48A0" w14:textId="77777777" w:rsidR="00E30DB3" w:rsidRDefault="00E30DB3" w:rsidP="000625AC">
      <w:pPr>
        <w:pStyle w:val="Akapitzlist"/>
        <w:numPr>
          <w:ilvl w:val="0"/>
          <w:numId w:val="49"/>
        </w:numPr>
        <w:spacing w:line="256" w:lineRule="auto"/>
        <w:ind w:left="426"/>
        <w:jc w:val="left"/>
      </w:pPr>
      <w:r>
        <w:t>elektryk,</w:t>
      </w:r>
    </w:p>
    <w:p w14:paraId="032202DD" w14:textId="77777777" w:rsidR="00E30DB3" w:rsidRDefault="00E30DB3" w:rsidP="000625AC">
      <w:pPr>
        <w:pStyle w:val="Akapitzlist"/>
        <w:numPr>
          <w:ilvl w:val="0"/>
          <w:numId w:val="49"/>
        </w:numPr>
        <w:spacing w:line="256" w:lineRule="auto"/>
        <w:ind w:left="426"/>
        <w:jc w:val="left"/>
      </w:pPr>
      <w:r>
        <w:t>technik elektryk,</w:t>
      </w:r>
    </w:p>
    <w:p w14:paraId="4AD47881" w14:textId="77777777" w:rsidR="00E30DB3" w:rsidRDefault="00E30DB3" w:rsidP="000625AC">
      <w:pPr>
        <w:pStyle w:val="Akapitzlist"/>
        <w:numPr>
          <w:ilvl w:val="0"/>
          <w:numId w:val="49"/>
        </w:numPr>
        <w:spacing w:line="256" w:lineRule="auto"/>
        <w:ind w:left="426"/>
        <w:jc w:val="left"/>
      </w:pPr>
      <w:r>
        <w:t>mechatronik,</w:t>
      </w:r>
    </w:p>
    <w:p w14:paraId="541FCAC0" w14:textId="77777777" w:rsidR="00E30DB3" w:rsidRDefault="00E30DB3" w:rsidP="000625AC">
      <w:pPr>
        <w:pStyle w:val="Akapitzlist"/>
        <w:numPr>
          <w:ilvl w:val="0"/>
          <w:numId w:val="49"/>
        </w:numPr>
        <w:spacing w:line="256" w:lineRule="auto"/>
        <w:ind w:left="426"/>
        <w:jc w:val="left"/>
      </w:pPr>
      <w:r>
        <w:t>technik mechatronik,</w:t>
      </w:r>
    </w:p>
    <w:p w14:paraId="62B20914" w14:textId="77777777" w:rsidR="00E30DB3" w:rsidRDefault="00E30DB3" w:rsidP="000625AC">
      <w:pPr>
        <w:pStyle w:val="Akapitzlist"/>
        <w:numPr>
          <w:ilvl w:val="0"/>
          <w:numId w:val="49"/>
        </w:numPr>
        <w:spacing w:line="256" w:lineRule="auto"/>
        <w:ind w:left="426"/>
        <w:jc w:val="left"/>
      </w:pPr>
      <w:r>
        <w:t xml:space="preserve">technik chłodnictwa i klimatyzacji, </w:t>
      </w:r>
    </w:p>
    <w:p w14:paraId="63134298" w14:textId="77777777" w:rsidR="00E30DB3" w:rsidRDefault="00E30DB3" w:rsidP="000625AC">
      <w:pPr>
        <w:pStyle w:val="Akapitzlist"/>
        <w:numPr>
          <w:ilvl w:val="0"/>
          <w:numId w:val="49"/>
        </w:numPr>
        <w:spacing w:line="256" w:lineRule="auto"/>
        <w:ind w:left="426"/>
        <w:jc w:val="left"/>
      </w:pPr>
      <w:r>
        <w:t xml:space="preserve">technik gazownictwa, </w:t>
      </w:r>
    </w:p>
    <w:p w14:paraId="74EEA47F" w14:textId="77777777" w:rsidR="00E30DB3" w:rsidRDefault="00E30DB3" w:rsidP="000625AC">
      <w:pPr>
        <w:pStyle w:val="Akapitzlist"/>
        <w:numPr>
          <w:ilvl w:val="0"/>
          <w:numId w:val="49"/>
        </w:numPr>
        <w:spacing w:line="256" w:lineRule="auto"/>
        <w:ind w:left="426"/>
        <w:jc w:val="left"/>
      </w:pPr>
      <w:r>
        <w:t xml:space="preserve">monter sieci i instalacji sanitarnych, </w:t>
      </w:r>
    </w:p>
    <w:p w14:paraId="02298FD5" w14:textId="77777777" w:rsidR="00E30DB3" w:rsidRDefault="00E30DB3" w:rsidP="000625AC">
      <w:pPr>
        <w:pStyle w:val="Akapitzlist"/>
        <w:numPr>
          <w:ilvl w:val="0"/>
          <w:numId w:val="49"/>
        </w:numPr>
        <w:spacing w:line="256" w:lineRule="auto"/>
        <w:ind w:left="426"/>
        <w:jc w:val="left"/>
      </w:pPr>
      <w:r>
        <w:t xml:space="preserve">wiertacz, </w:t>
      </w:r>
    </w:p>
    <w:p w14:paraId="0F7F7CE1" w14:textId="77777777" w:rsidR="00E30DB3" w:rsidRDefault="00E30DB3" w:rsidP="000625AC">
      <w:pPr>
        <w:pStyle w:val="Akapitzlist"/>
        <w:numPr>
          <w:ilvl w:val="0"/>
          <w:numId w:val="49"/>
        </w:numPr>
        <w:spacing w:line="256" w:lineRule="auto"/>
        <w:ind w:left="426"/>
        <w:jc w:val="left"/>
      </w:pPr>
      <w:r>
        <w:t xml:space="preserve">technik wiertnik, </w:t>
      </w:r>
    </w:p>
    <w:p w14:paraId="28E67472" w14:textId="77777777" w:rsidR="00E30DB3" w:rsidRDefault="00E30DB3" w:rsidP="000625AC">
      <w:pPr>
        <w:pStyle w:val="Akapitzlist"/>
        <w:numPr>
          <w:ilvl w:val="0"/>
          <w:numId w:val="49"/>
        </w:numPr>
        <w:spacing w:line="256" w:lineRule="auto"/>
        <w:ind w:left="426"/>
        <w:jc w:val="left"/>
      </w:pPr>
      <w:r>
        <w:t xml:space="preserve">operator maszyn i urządzeń w gospodarce odpadami, </w:t>
      </w:r>
    </w:p>
    <w:p w14:paraId="2C0E0671" w14:textId="77777777" w:rsidR="00E30DB3" w:rsidRDefault="00E30DB3" w:rsidP="000625AC">
      <w:pPr>
        <w:pStyle w:val="Akapitzlist"/>
        <w:numPr>
          <w:ilvl w:val="0"/>
          <w:numId w:val="49"/>
        </w:numPr>
        <w:spacing w:line="256" w:lineRule="auto"/>
        <w:ind w:left="426"/>
        <w:jc w:val="left"/>
      </w:pPr>
      <w:r>
        <w:t xml:space="preserve">pracownik pomocniczy w gospodarce odpadami, </w:t>
      </w:r>
    </w:p>
    <w:p w14:paraId="3119EC67" w14:textId="77777777" w:rsidR="00E30DB3" w:rsidRDefault="00E30DB3" w:rsidP="000625AC">
      <w:pPr>
        <w:pStyle w:val="Akapitzlist"/>
        <w:numPr>
          <w:ilvl w:val="0"/>
          <w:numId w:val="49"/>
        </w:numPr>
        <w:spacing w:line="256" w:lineRule="auto"/>
        <w:ind w:left="426"/>
        <w:jc w:val="left"/>
      </w:pPr>
      <w:r>
        <w:t xml:space="preserve">technik gospodarki odpadami, </w:t>
      </w:r>
    </w:p>
    <w:p w14:paraId="08B4A8AC" w14:textId="3525D0CC" w:rsidR="00E30DB3" w:rsidRDefault="00E30DB3" w:rsidP="000625AC">
      <w:pPr>
        <w:pStyle w:val="Akapitzlist"/>
        <w:numPr>
          <w:ilvl w:val="0"/>
          <w:numId w:val="49"/>
        </w:numPr>
        <w:spacing w:line="256" w:lineRule="auto"/>
        <w:ind w:left="426"/>
        <w:jc w:val="left"/>
        <w:sectPr w:rsidR="00E30DB3" w:rsidSect="00E30DB3">
          <w:type w:val="continuous"/>
          <w:pgSz w:w="11906" w:h="16838"/>
          <w:pgMar w:top="1417" w:right="1417" w:bottom="1417" w:left="1417" w:header="708" w:footer="708" w:gutter="0"/>
          <w:cols w:num="2" w:space="708"/>
          <w:docGrid w:linePitch="360"/>
        </w:sectPr>
      </w:pPr>
      <w:r>
        <w:t>technik elektromobilności.</w:t>
      </w:r>
    </w:p>
    <w:p w14:paraId="70DE3AEC" w14:textId="10F691E6" w:rsidR="001F7DAC" w:rsidRDefault="007B2114" w:rsidP="00E30DB3">
      <w:pPr>
        <w:spacing w:before="240" w:line="256" w:lineRule="auto"/>
      </w:pPr>
      <w:r>
        <w:t xml:space="preserve">Ministrowie będą </w:t>
      </w:r>
      <w:r w:rsidR="00B41880">
        <w:t xml:space="preserve">aktywniej </w:t>
      </w:r>
      <w:r w:rsidRPr="00E7293E">
        <w:rPr>
          <w:b/>
          <w:bCs/>
        </w:rPr>
        <w:t>monitorować potrzeby rynku pracy</w:t>
      </w:r>
      <w:r>
        <w:t xml:space="preserve"> związane z transformacją energetyczną – zgodnie ze swoją właściwością</w:t>
      </w:r>
      <w:r w:rsidR="00451A65">
        <w:t>.</w:t>
      </w:r>
      <w:r>
        <w:t> </w:t>
      </w:r>
      <w:r w:rsidR="00451A65">
        <w:t>N</w:t>
      </w:r>
      <w:r>
        <w:t>astępnie będę składać wnioski do ministr</w:t>
      </w:r>
      <w:r w:rsidR="00B41880">
        <w:t>a</w:t>
      </w:r>
      <w:r>
        <w:t xml:space="preserve"> właściw</w:t>
      </w:r>
      <w:r w:rsidR="00B41880">
        <w:t>ego</w:t>
      </w:r>
      <w:r>
        <w:t xml:space="preserve"> do spraw oświaty i wychowania</w:t>
      </w:r>
      <w:r w:rsidR="00B41880">
        <w:t xml:space="preserve">, </w:t>
      </w:r>
      <w:r w:rsidR="003B101D">
        <w:t>który</w:t>
      </w:r>
      <w:r>
        <w:t xml:space="preserve"> określa zawody w klasyfikacji zawodów szkolnictwa branżowego</w:t>
      </w:r>
      <w:r>
        <w:rPr>
          <w:rStyle w:val="Odwoanieprzypisudolnego"/>
        </w:rPr>
        <w:footnoteReference w:id="138"/>
      </w:r>
      <w:r w:rsidR="00451A65">
        <w:t xml:space="preserve"> – aby dostosować kwalifikacje w ramach istniejących zawodów do potrzeb rynku, jak również w celu wprowadzenia nowych zawodów</w:t>
      </w:r>
      <w:r>
        <w:t>. Ważną rolę w tym obszarze ma minister właściwy do spraw energii i</w:t>
      </w:r>
      <w:r w:rsidR="005A6173">
        <w:t> </w:t>
      </w:r>
      <w:r>
        <w:t xml:space="preserve">klimatu, ale również minister właściwy do spraw </w:t>
      </w:r>
      <w:r w:rsidRPr="00A263AD">
        <w:t xml:space="preserve">właściwy do </w:t>
      </w:r>
      <w:r w:rsidR="005A6173" w:rsidRPr="005A6173">
        <w:t>spraw budownictwa, planowania i</w:t>
      </w:r>
      <w:r w:rsidR="00E7293E">
        <w:t> </w:t>
      </w:r>
      <w:r w:rsidR="005A6173" w:rsidRPr="005A6173">
        <w:t>zagospodarowania przestrzennego oraz mieszkalnictwa, oraz minister właściwy do spraw infrastruktury. Ważna jest w tym obszarze współpraca z rynkiem i organizacjami branżowymi, które są istotnym ogniwem procesu rozbudowy bazy kwalifikacji, oraz intensyfikacja współpracy przedsiębiorców, instytucji i szkół prowadzących kształcenie zawodowe w odniesieniu do nowych zawodów</w:t>
      </w:r>
      <w:r w:rsidR="00E35E45">
        <w:t>.</w:t>
      </w:r>
    </w:p>
    <w:p w14:paraId="016C6423" w14:textId="25FA4ACF" w:rsidR="00B413AB" w:rsidRDefault="00DD0C55" w:rsidP="00656F91">
      <w:r>
        <w:t xml:space="preserve">Obok wiodących działań ministrów </w:t>
      </w:r>
      <w:r w:rsidRPr="00DD0C55">
        <w:t>dla poszczególnych zawodów</w:t>
      </w:r>
      <w:r>
        <w:t>,</w:t>
      </w:r>
      <w:r w:rsidRPr="00DD0C55">
        <w:t xml:space="preserve"> </w:t>
      </w:r>
      <w:r>
        <w:t>k</w:t>
      </w:r>
      <w:r w:rsidR="0070709C">
        <w:t>onieczn</w:t>
      </w:r>
      <w:r>
        <w:t>a jest</w:t>
      </w:r>
      <w:r w:rsidR="0070709C">
        <w:t xml:space="preserve"> </w:t>
      </w:r>
      <w:r w:rsidR="00B5405D" w:rsidRPr="00DD0C55">
        <w:rPr>
          <w:b/>
          <w:bCs/>
        </w:rPr>
        <w:t>aktywn</w:t>
      </w:r>
      <w:r w:rsidRPr="00DD0C55">
        <w:rPr>
          <w:b/>
          <w:bCs/>
        </w:rPr>
        <w:t xml:space="preserve">a </w:t>
      </w:r>
      <w:r w:rsidR="00BF0A9F" w:rsidRPr="00DD0C55">
        <w:rPr>
          <w:b/>
          <w:bCs/>
        </w:rPr>
        <w:t>rol</w:t>
      </w:r>
      <w:r w:rsidRPr="00DD0C55">
        <w:rPr>
          <w:b/>
          <w:bCs/>
        </w:rPr>
        <w:t>a</w:t>
      </w:r>
      <w:r w:rsidR="0070709C" w:rsidRPr="00DD0C55">
        <w:rPr>
          <w:b/>
          <w:bCs/>
        </w:rPr>
        <w:t xml:space="preserve"> ministra właściwego do spraw oświaty i</w:t>
      </w:r>
      <w:r w:rsidR="0082742C" w:rsidRPr="00DD0C55">
        <w:rPr>
          <w:b/>
          <w:bCs/>
        </w:rPr>
        <w:t> </w:t>
      </w:r>
      <w:r w:rsidR="0070709C" w:rsidRPr="00DD0C55">
        <w:rPr>
          <w:b/>
          <w:bCs/>
        </w:rPr>
        <w:t>wychowania</w:t>
      </w:r>
      <w:r w:rsidR="0070709C">
        <w:t xml:space="preserve"> </w:t>
      </w:r>
      <w:r w:rsidR="00BF0A9F">
        <w:t>w</w:t>
      </w:r>
      <w:r>
        <w:t xml:space="preserve"> </w:t>
      </w:r>
      <w:r w:rsidR="00BF0A9F">
        <w:t>obszarze</w:t>
      </w:r>
      <w:r w:rsidR="00DB4B6A">
        <w:t xml:space="preserve"> zapewniania </w:t>
      </w:r>
      <w:r w:rsidR="005E4DD4">
        <w:t xml:space="preserve">możliwie </w:t>
      </w:r>
      <w:r w:rsidR="001D21F1">
        <w:t xml:space="preserve">najbardziej </w:t>
      </w:r>
      <w:r w:rsidR="00DB4B6A">
        <w:t xml:space="preserve">kompletnej bazy </w:t>
      </w:r>
      <w:r w:rsidR="001D21F1">
        <w:t xml:space="preserve">zawodów na potrzeby rozwoju gospodarki i </w:t>
      </w:r>
      <w:r w:rsidR="00C93365">
        <w:t>transformacji energetyczno-klimaty</w:t>
      </w:r>
      <w:r w:rsidR="00560D93">
        <w:t>c</w:t>
      </w:r>
      <w:r w:rsidR="00C93365">
        <w:t>znej</w:t>
      </w:r>
      <w:r w:rsidR="008E09D7">
        <w:t xml:space="preserve">. </w:t>
      </w:r>
      <w:r w:rsidR="0082742C">
        <w:t>Obok</w:t>
      </w:r>
      <w:r w:rsidR="00E618AB">
        <w:t> </w:t>
      </w:r>
      <w:r w:rsidR="0082742C">
        <w:t xml:space="preserve">opiniowania wniosków, zasadne jest </w:t>
      </w:r>
      <w:r w:rsidR="00BC5557">
        <w:t>weryfikowanie czy</w:t>
      </w:r>
      <w:r w:rsidR="00B957AA">
        <w:t xml:space="preserve"> te</w:t>
      </w:r>
      <w:r w:rsidR="00BC5557">
        <w:t xml:space="preserve"> branże</w:t>
      </w:r>
      <w:r w:rsidR="00562C45">
        <w:t xml:space="preserve">, które </w:t>
      </w:r>
      <w:r w:rsidR="00B957AA">
        <w:t>powinny</w:t>
      </w:r>
      <w:r w:rsidR="00562C45">
        <w:t xml:space="preserve"> się rozwijać</w:t>
      </w:r>
      <w:r w:rsidR="00BC5557">
        <w:t xml:space="preserve"> posiadają </w:t>
      </w:r>
      <w:r w:rsidR="001A74C8">
        <w:t>kompletny system edukacji</w:t>
      </w:r>
      <w:r w:rsidR="00B957AA">
        <w:t>. Istotna jest również</w:t>
      </w:r>
      <w:r w:rsidR="00562C45">
        <w:t xml:space="preserve"> dalsza komunikacja z przedsiębiorcami, </w:t>
      </w:r>
      <w:r w:rsidR="00B957AA" w:rsidRPr="00B957AA">
        <w:t>skutkująca opracowaniem wniosków o włączenie nowych zawodów do systemu oświaty lub dostosowanie istniejących do najnowszych potrzeb rynku pracy</w:t>
      </w:r>
      <w:r w:rsidR="00ED50C2">
        <w:t>.</w:t>
      </w:r>
    </w:p>
    <w:p w14:paraId="4AC46869" w14:textId="08D3BA54" w:rsidR="002E3837" w:rsidRDefault="00373F8E" w:rsidP="00656F91">
      <w:r>
        <w:t>W tym kontekście n</w:t>
      </w:r>
      <w:r w:rsidR="002E3837">
        <w:t xml:space="preserve">iezbędne jest odbudowanie </w:t>
      </w:r>
      <w:r w:rsidRPr="00F22407">
        <w:rPr>
          <w:b/>
          <w:bCs/>
        </w:rPr>
        <w:t>d</w:t>
      </w:r>
      <w:r w:rsidRPr="00B957AA">
        <w:rPr>
          <w:b/>
          <w:bCs/>
        </w:rPr>
        <w:t xml:space="preserve">obrego wizerunku szkół </w:t>
      </w:r>
      <w:r w:rsidR="00B957AA" w:rsidRPr="00B957AA">
        <w:rPr>
          <w:b/>
          <w:bCs/>
        </w:rPr>
        <w:t>prowadzących kształcenie zawodowe</w:t>
      </w:r>
      <w:r w:rsidR="00A06CE2" w:rsidRPr="00B957AA">
        <w:rPr>
          <w:b/>
          <w:bCs/>
        </w:rPr>
        <w:t xml:space="preserve">, </w:t>
      </w:r>
      <w:r w:rsidR="00666E67" w:rsidRPr="00B957AA">
        <w:rPr>
          <w:b/>
          <w:bCs/>
        </w:rPr>
        <w:t>w oparciu o wizję ciekawej</w:t>
      </w:r>
      <w:r w:rsidR="00A05EFC" w:rsidRPr="00B957AA">
        <w:rPr>
          <w:b/>
          <w:bCs/>
        </w:rPr>
        <w:t>, szanowanej</w:t>
      </w:r>
      <w:r w:rsidR="00666E67" w:rsidRPr="00B957AA">
        <w:rPr>
          <w:b/>
          <w:bCs/>
        </w:rPr>
        <w:t xml:space="preserve"> i </w:t>
      </w:r>
      <w:r w:rsidR="003D01CA" w:rsidRPr="00B957AA">
        <w:rPr>
          <w:b/>
          <w:bCs/>
        </w:rPr>
        <w:t>dobrze wynagradzanej pracy</w:t>
      </w:r>
      <w:r w:rsidR="00A05EFC">
        <w:t>.</w:t>
      </w:r>
      <w:r w:rsidR="006F0832">
        <w:t xml:space="preserve"> </w:t>
      </w:r>
      <w:r w:rsidR="0072059C">
        <w:t xml:space="preserve">Zasadne w tym kontekście jest także zintensyfikowanie </w:t>
      </w:r>
      <w:r w:rsidR="0072059C" w:rsidRPr="0072059C">
        <w:t>bada</w:t>
      </w:r>
      <w:r w:rsidR="0072059C">
        <w:t>ń</w:t>
      </w:r>
      <w:r w:rsidR="0072059C" w:rsidRPr="0072059C">
        <w:t xml:space="preserve"> predyspozycji uczniów i kierunkowanie ich dalszej ścieżki kształcenia pod kątem przyszłej kariery zawodowej</w:t>
      </w:r>
      <w:r w:rsidR="0072059C">
        <w:t xml:space="preserve">, tak aby </w:t>
      </w:r>
      <w:r w:rsidR="009D3445">
        <w:t>zniwelować ryzyko niepodjęcia pracy w</w:t>
      </w:r>
      <w:r w:rsidR="00B957AA">
        <w:t> </w:t>
      </w:r>
      <w:r w:rsidR="00BC5E2B">
        <w:t xml:space="preserve">wyuczonym </w:t>
      </w:r>
      <w:r w:rsidR="009D3445">
        <w:t>zawodzie</w:t>
      </w:r>
      <w:r w:rsidR="00BC5E2B">
        <w:t>.</w:t>
      </w:r>
    </w:p>
    <w:p w14:paraId="61614689" w14:textId="77777777" w:rsidR="00F168E9" w:rsidRPr="00B957AA" w:rsidRDefault="00F168E9" w:rsidP="00F168E9">
      <w:pPr>
        <w:spacing w:before="360" w:after="80"/>
      </w:pPr>
      <w:r w:rsidRPr="00B957AA">
        <w:t xml:space="preserve">W celu wskazania w jakim kierunku powinna rozwijać się oferta szkolnictwa branżowego i na jakie zawody będzie największe zapotrzebowanie na krajowymi i wojewódzkim rynku pracy w kolejnych latach, od 2019 r. corocznie minister właściwy do spraw oświaty i wychowania </w:t>
      </w:r>
      <w:r w:rsidRPr="00B957AA">
        <w:rPr>
          <w:b/>
          <w:bCs/>
        </w:rPr>
        <w:t>ogłasza prognozę zapotrzebowania na pracowników w zawodach szkolnictwa branżowego na krajowym i wojewódzkim rynku pracy. Prognoza określa zapotrzebowanie na pracowników w poszczególnych zawodach</w:t>
      </w:r>
      <w:r w:rsidRPr="00B957AA">
        <w:t xml:space="preserve">. Dzięki </w:t>
      </w:r>
      <w:r w:rsidRPr="00B957AA">
        <w:lastRenderedPageBreak/>
        <w:t>prognozie szkoły i organy prowadzące mogą zaplanować zawody, które będą uruchamiane w nowym roku szkolnym. Co istotne, decyzje podejmowane w tym zakresie uwzględnią zróżnicowany sposób finansowania tych zawodów tj.:</w:t>
      </w:r>
    </w:p>
    <w:p w14:paraId="6BDBCD82" w14:textId="77777777" w:rsidR="00F168E9" w:rsidRPr="00B957AA" w:rsidRDefault="00F168E9" w:rsidP="000625AC">
      <w:pPr>
        <w:numPr>
          <w:ilvl w:val="0"/>
          <w:numId w:val="77"/>
        </w:numPr>
        <w:spacing w:after="80"/>
        <w:ind w:left="426"/>
      </w:pPr>
      <w:r w:rsidRPr="00B957AA">
        <w:t>więcej pieniędzy do szkół kształcących w zawodach z „listy krajowej” oraz w zawodach o szczególnie istotnym zapotrzebowaniu z „listy wojewódzkiej”,</w:t>
      </w:r>
    </w:p>
    <w:p w14:paraId="6A67E8F6" w14:textId="77777777" w:rsidR="00F168E9" w:rsidRPr="00B957AA" w:rsidRDefault="00F168E9" w:rsidP="000625AC">
      <w:pPr>
        <w:numPr>
          <w:ilvl w:val="0"/>
          <w:numId w:val="77"/>
        </w:numPr>
        <w:ind w:left="426"/>
      </w:pPr>
      <w:r w:rsidRPr="00B957AA">
        <w:t>więcej pieniędzy dla pracodawców na kształcenie młodocianych pracowników w zawodach z „listy krajowej” oraz w zawodach o szczególnie istotnym zapotrzebowaniu z „listy wojewódzkiej”.</w:t>
      </w:r>
    </w:p>
    <w:p w14:paraId="0B920E57" w14:textId="0E14B7C0" w:rsidR="00F168E9" w:rsidRDefault="00F168E9" w:rsidP="00656F91">
      <w:r w:rsidRPr="00B957AA">
        <w:t xml:space="preserve">Zwiększenie finansowania dotyczy uczniów rozpoczynających naukę w danym zawodzie i ma zastosowanie przez cały cykl ich kształcenia. Takie rozwiązanie zapewnia stabilność finansową samorządów w kształceniu zawodowym. Mają dzięki temu pewność, że decyzja o uruchomieniu kształcenia w zawodzie z </w:t>
      </w:r>
      <w:r w:rsidRPr="00B957AA">
        <w:rPr>
          <w:i/>
          <w:iCs/>
        </w:rPr>
        <w:t>listy zawodów o szczególnym znaczeniu dla rozwoju państwa</w:t>
      </w:r>
      <w:r w:rsidRPr="00B957AA">
        <w:t xml:space="preserve"> przełoży się na wyższe finansowanie w ramach subwencji przez wszystkie lata nauki.</w:t>
      </w:r>
      <w:r>
        <w:t xml:space="preserve"> </w:t>
      </w:r>
      <w:r w:rsidRPr="00B957AA">
        <w:t>Na liście zawodów, dla których, ze</w:t>
      </w:r>
      <w:r w:rsidR="00E618AB">
        <w:t> </w:t>
      </w:r>
      <w:r w:rsidRPr="00B957AA">
        <w:t>względu na znaczenie dla rozwoju państwa, jest prognozowane szczególne zapotrzebowanie na rynku pracy znajdują się również zawody istotne ze względu na potrzeby transformacji energetyczno-klimatycznej.</w:t>
      </w:r>
    </w:p>
    <w:p w14:paraId="17321917" w14:textId="4BD9FE57" w:rsidR="005262D9" w:rsidRDefault="007D1090" w:rsidP="00F168E9">
      <w:pPr>
        <w:spacing w:before="360"/>
      </w:pPr>
      <w:r w:rsidRPr="007D1090">
        <w:t xml:space="preserve">W ramach systemu oświaty funkcjonuje system </w:t>
      </w:r>
      <w:r w:rsidRPr="007D1090">
        <w:rPr>
          <w:b/>
          <w:bCs/>
        </w:rPr>
        <w:t>kształcenia w formach pozaszkolnych powiązanych z</w:t>
      </w:r>
      <w:r>
        <w:rPr>
          <w:b/>
          <w:bCs/>
        </w:rPr>
        <w:t> </w:t>
      </w:r>
      <w:r w:rsidRPr="007D1090">
        <w:rPr>
          <w:b/>
          <w:bCs/>
        </w:rPr>
        <w:t>systemem szkolnictwa branżowego.</w:t>
      </w:r>
      <w:r w:rsidRPr="007D1090">
        <w:t xml:space="preserve"> Jednostki systemu oświaty (szkoły prowadzące kształcenie zawodowe, placówki kształcenia ustawicznego, centra kształcenia zawodowego i branżowe centra umiejętności) mogą konstruować ofertę edukacyjną kształcenia w formach pozaszkolnych (na kursach) adekwatnie do potrzeb rynku pracy. Kształcenie w formach pozaszkolnych jest dedykowane, co do zasady, osobom dorosłym zainteresowanym uzyskaniem kwalifikacji zawodowych lub przekwalifikowaniem. Jednostki systemu oświaty w porozumieniu z pracodawcami mogą także realizować kursy i szkolenia w</w:t>
      </w:r>
      <w:r>
        <w:t> </w:t>
      </w:r>
      <w:r w:rsidRPr="007D1090">
        <w:t xml:space="preserve">celu doskonalenia zawodowego pracowników. </w:t>
      </w:r>
      <w:r>
        <w:t>Ten element systemu edukacji może mieć kluczowe znaczenie dla potrzebujących przebranżowienia pracowników branż związanych z</w:t>
      </w:r>
      <w:r w:rsidR="00E618AB">
        <w:t> </w:t>
      </w:r>
      <w:r w:rsidR="006604F3">
        <w:t xml:space="preserve">paliwami </w:t>
      </w:r>
      <w:r w:rsidR="005262D9">
        <w:t>kopalnymi</w:t>
      </w:r>
      <w:r w:rsidR="006604F3">
        <w:t>.</w:t>
      </w:r>
      <w:r w:rsidR="005262D9">
        <w:t xml:space="preserve"> Warto podkreślić także niszę związaną z efektywnością energetyczną – opracowanie świadectw charakterystyki energetycznej budynków wymaga odpowiedniego wykształcenia i wpisu do rejestru. Opracowanie audytów energetycznych wymaga z kolei spełnienia szeregu warunków związanych z doświadczeniem i wykształceniem. </w:t>
      </w:r>
    </w:p>
    <w:p w14:paraId="1FD10C03" w14:textId="7C3DB651" w:rsidR="007D1090" w:rsidRDefault="005262D9" w:rsidP="00F168E9">
      <w:pPr>
        <w:spacing w:before="360"/>
      </w:pPr>
      <w:r>
        <w:t>Tym sam</w:t>
      </w:r>
      <w:r w:rsidR="0029531E">
        <w:t>y</w:t>
      </w:r>
      <w:r>
        <w:t xml:space="preserve">m – dzięki odpowiednim wymaganiom i jakości kształcenia możliwe jest przeprowadzanie transformacji w sposób skuteczny </w:t>
      </w:r>
      <w:r w:rsidR="0029531E">
        <w:t xml:space="preserve">i z zapewnieniem odpowiedniej jakości. </w:t>
      </w:r>
    </w:p>
    <w:p w14:paraId="3029FFFC" w14:textId="77CB8819" w:rsidR="00EA5EAC" w:rsidRPr="00F765AF" w:rsidRDefault="00EA5EAC" w:rsidP="00F765AF">
      <w:pPr>
        <w:rPr>
          <w:b/>
        </w:rPr>
      </w:pPr>
      <w:r w:rsidRPr="00F765AF">
        <w:rPr>
          <w:b/>
        </w:rPr>
        <w:t xml:space="preserve">Kształcenie </w:t>
      </w:r>
      <w:r w:rsidR="003F0D77" w:rsidRPr="00F765AF">
        <w:rPr>
          <w:b/>
        </w:rPr>
        <w:t>na uczelniach wyższych</w:t>
      </w:r>
    </w:p>
    <w:p w14:paraId="2F7653CB" w14:textId="59489C1B" w:rsidR="00B13BD0" w:rsidRPr="00EA0B18" w:rsidRDefault="00B13BD0" w:rsidP="00993F4F">
      <w:r w:rsidRPr="00B13BD0">
        <w:t>Polskie uczelnie kształcą zgodnie z zasadą autonomii programowej, która pozwala im swobodnie kształtować ofertę dydaktyczną dostosowaną do potrzeb gospodarki. Rozwiązania prawne kładą duży nacisk na promowanie współpracy uczelni z otoczeniem społeczno-gospodarczym, zwłaszcza w zakresie kształcenia na kierunkach studiów, na które istnieje zapotrzebowanie na lokalnych rynkach pracy. System</w:t>
      </w:r>
      <w:r w:rsidR="00E618AB">
        <w:t> </w:t>
      </w:r>
      <w:r w:rsidRPr="00B13BD0">
        <w:t>szkolnictwa wyższego i nauki zapewnia uczelniom autonomię oraz narzędzia, z których mogą korzystać, aby dostosować działalność dydaktyczną do potrzeb rozwoju gospodarczego i zmieniających się wymagań współczesnego rynku pracy, jak również do zacieśniania współpracy z pracodawcami. W</w:t>
      </w:r>
      <w:r w:rsidR="00E618AB">
        <w:t> </w:t>
      </w:r>
      <w:r w:rsidRPr="00B13BD0">
        <w:t>tym</w:t>
      </w:r>
      <w:r w:rsidR="00E618AB">
        <w:t> </w:t>
      </w:r>
      <w:r w:rsidRPr="00B13BD0">
        <w:t>kontekście</w:t>
      </w:r>
      <w:r w:rsidR="00685AF1">
        <w:t xml:space="preserve"> możliwe jest </w:t>
      </w:r>
      <w:r w:rsidRPr="00B13BD0">
        <w:t>sprofilowanie kształcenia</w:t>
      </w:r>
      <w:r w:rsidR="00685AF1">
        <w:t>, co</w:t>
      </w:r>
      <w:r w:rsidRPr="00B13BD0">
        <w:t xml:space="preserve"> przybliża ofertę dydaktyczną do potrzeb rynku pracy. W</w:t>
      </w:r>
      <w:r w:rsidR="00685AF1">
        <w:t> </w:t>
      </w:r>
      <w:r w:rsidRPr="00B13BD0">
        <w:t xml:space="preserve">programie studiów o profilu praktycznym ponad połowa punktów ECTS jest przypisana zajęciom kształtującym umiejętności praktyczne, umożliwiającym wykonywanie czynności praktycznych przez studentów w warunkach właściwych dla danego zawodu. Na studiach o profilu praktycznym istnieje obowiązek organizowania praktyk zawodowych: co najmniej 6 miesięcy na studiach pierwszego stopnia </w:t>
      </w:r>
      <w:r w:rsidR="001F7F05">
        <w:t>i </w:t>
      </w:r>
      <w:r w:rsidRPr="00B13BD0">
        <w:t xml:space="preserve">jednolitych magisterskich oraz co najmniej 3 miesięcy na studiach drugiego stopnia. Ważny jest także udział praktyków w procesie kształcenia, zwłaszcza przy realizacji zajęć rozwijających umiejętności praktyczne. Uczelnie mogą prowadzić studia z udziałem pracodawców, w tym studia dualne (łączące zajęcia teoretyczne z praktykami) oraz studia we współpracy z instytucjami nadającymi uprawnienia do wykonywania określonych zawodów. Pracodawcy mogą współtworzyć programy studiów, organizować </w:t>
      </w:r>
      <w:r w:rsidRPr="00B13BD0">
        <w:lastRenderedPageBreak/>
        <w:t xml:space="preserve">praktyki, prowadzić zajęcia oraz opiniować kierunki rozwoju uczelni. Istnieje również </w:t>
      </w:r>
      <w:r w:rsidRPr="007D1090">
        <w:rPr>
          <w:b/>
          <w:bCs/>
        </w:rPr>
        <w:t>Program Doktoratu Wdrożeniowego</w:t>
      </w:r>
      <w:r w:rsidRPr="00B13BD0">
        <w:t>, który wspiera rozwój współpracy uczelni z otoczeniem społeczno-gospodarczym poprzez kształcenie doktorantów we współpracy z przedsiębiorcami, co prowadzi do wdrażania wyników badań naukowych w tych podmiotach.</w:t>
      </w:r>
    </w:p>
    <w:p w14:paraId="7047D5A9" w14:textId="2C9E56C3" w:rsidR="00AA7CF5" w:rsidRDefault="00925656" w:rsidP="00C531E2">
      <w:r>
        <w:t>W związku z powyższym, ł</w:t>
      </w:r>
      <w:r w:rsidR="00993F4F">
        <w:t>ącznie z wyznaczeniem celów, polityk i działań transformacyjnych w</w:t>
      </w:r>
      <w:r w:rsidR="00026BE2">
        <w:t> </w:t>
      </w:r>
      <w:r w:rsidR="00993F4F">
        <w:t xml:space="preserve">poszczególnych sektorach gospodarki </w:t>
      </w:r>
      <w:r>
        <w:t xml:space="preserve">(o których mowa w powyższych rozdziałach) </w:t>
      </w:r>
      <w:r w:rsidR="00993F4F">
        <w:t xml:space="preserve">prowadzone będą działania </w:t>
      </w:r>
      <w:r w:rsidR="00201145">
        <w:t>w obszarze</w:t>
      </w:r>
      <w:r w:rsidR="00993F4F">
        <w:t xml:space="preserve"> dostosowania </w:t>
      </w:r>
      <w:r w:rsidR="00AA7CF5">
        <w:t xml:space="preserve">profilów </w:t>
      </w:r>
      <w:r w:rsidR="00993F4F">
        <w:t xml:space="preserve">edukacji, rozwoju </w:t>
      </w:r>
      <w:r w:rsidR="00EA0B18">
        <w:t xml:space="preserve">umiejętności i </w:t>
      </w:r>
      <w:r w:rsidR="00993F4F">
        <w:t>kompetencji</w:t>
      </w:r>
      <w:r w:rsidR="00CC0A04">
        <w:t xml:space="preserve"> do potrzeb zmieniającej się gospodarki.</w:t>
      </w:r>
      <w:r w:rsidR="00C25A22">
        <w:t xml:space="preserve"> P</w:t>
      </w:r>
      <w:r w:rsidR="00993F4F" w:rsidRPr="00993F4F">
        <w:t xml:space="preserve">rzyczyni się </w:t>
      </w:r>
      <w:r w:rsidR="00C25A22">
        <w:t xml:space="preserve">to </w:t>
      </w:r>
      <w:r w:rsidR="00993F4F" w:rsidRPr="00993F4F">
        <w:t>do</w:t>
      </w:r>
      <w:r w:rsidR="00AA7CF5">
        <w:t xml:space="preserve"> </w:t>
      </w:r>
      <w:r w:rsidR="00AA7CF5" w:rsidRPr="00993F4F">
        <w:t>pozyskani</w:t>
      </w:r>
      <w:r w:rsidR="00AA7CF5">
        <w:t>a</w:t>
      </w:r>
      <w:r w:rsidR="00AA7CF5" w:rsidRPr="00993F4F">
        <w:t xml:space="preserve"> wysoko wykwalifikowanych kadr</w:t>
      </w:r>
      <w:r w:rsidR="00AA7CF5">
        <w:t xml:space="preserve">, rozwoju przemysłu i tworzenia miejsc pracy o wysokiej wartości dodanej dla krajowej gospodarki. </w:t>
      </w:r>
      <w:r w:rsidR="00EA0B18" w:rsidRPr="00EA0B18">
        <w:t>Jest</w:t>
      </w:r>
      <w:r w:rsidR="00E618AB">
        <w:t> </w:t>
      </w:r>
      <w:r w:rsidR="00EA0B18" w:rsidRPr="00EA0B18">
        <w:t>to</w:t>
      </w:r>
      <w:r w:rsidR="00E618AB">
        <w:t> </w:t>
      </w:r>
      <w:r w:rsidR="00EA0B18" w:rsidRPr="00EA0B18">
        <w:t xml:space="preserve">inwestycja w przyszłość, ponieważ </w:t>
      </w:r>
      <w:r w:rsidR="00EA0B18">
        <w:t xml:space="preserve">cennym </w:t>
      </w:r>
      <w:r w:rsidR="00EA0B18" w:rsidRPr="00EA0B18">
        <w:t xml:space="preserve">aktywem jest </w:t>
      </w:r>
      <w:r w:rsidR="00EA0B18">
        <w:t xml:space="preserve">również </w:t>
      </w:r>
      <w:r w:rsidR="00EA0B18" w:rsidRPr="00EA0B18">
        <w:t>ludzkie know-how.</w:t>
      </w:r>
      <w:r w:rsidR="00EA0B18">
        <w:t xml:space="preserve"> </w:t>
      </w:r>
      <w:r w:rsidR="006A2F2E">
        <w:t>Powyższe</w:t>
      </w:r>
      <w:r w:rsidR="00E618AB">
        <w:t> </w:t>
      </w:r>
      <w:r w:rsidR="006A2F2E">
        <w:t>działania pozwolą na optymalną i efektywną</w:t>
      </w:r>
      <w:r w:rsidR="006A2F2E" w:rsidRPr="00993F4F">
        <w:t xml:space="preserve"> realizacj</w:t>
      </w:r>
      <w:r w:rsidR="006A2F2E">
        <w:t xml:space="preserve">ę </w:t>
      </w:r>
      <w:r w:rsidR="006A2F2E" w:rsidRPr="00993F4F">
        <w:t>zadań w</w:t>
      </w:r>
      <w:r w:rsidR="00F14D65">
        <w:t> </w:t>
      </w:r>
      <w:r w:rsidR="006A2F2E" w:rsidRPr="00993F4F">
        <w:t>obszarze polityki klimatyczno-energetycznej</w:t>
      </w:r>
      <w:r w:rsidR="006A2F2E">
        <w:t>, wykorzystanie przewag konkurencyjnych Polski i</w:t>
      </w:r>
      <w:r w:rsidR="00F14D65">
        <w:t> </w:t>
      </w:r>
      <w:r w:rsidR="006A2F2E">
        <w:t>wzmacnianie jej konkurencyjności</w:t>
      </w:r>
      <w:r w:rsidR="00993F4F" w:rsidRPr="00993F4F">
        <w:t xml:space="preserve">. Stworzenie bazy specjalistów z różnych dziedzin umożliwi </w:t>
      </w:r>
      <w:r w:rsidR="00EA0B18">
        <w:t xml:space="preserve">odpowiedź </w:t>
      </w:r>
      <w:r w:rsidR="00993F4F" w:rsidRPr="00993F4F">
        <w:t>na wyzwania, które czekają polską energetykę</w:t>
      </w:r>
      <w:r w:rsidR="00EA0B18">
        <w:t xml:space="preserve"> w</w:t>
      </w:r>
      <w:r w:rsidR="00026BE2">
        <w:t> </w:t>
      </w:r>
      <w:r w:rsidR="00EA0B18">
        <w:t>najbliższych dekadach.</w:t>
      </w:r>
    </w:p>
    <w:bookmarkEnd w:id="875"/>
    <w:p w14:paraId="796E538C" w14:textId="359A1584" w:rsidR="001E11C7" w:rsidRDefault="001E11C7" w:rsidP="00C7191E">
      <w:pPr>
        <w:pStyle w:val="PaMs"/>
      </w:pPr>
      <w:r>
        <w:t>DZIAŁANIA</w:t>
      </w:r>
    </w:p>
    <w:p w14:paraId="3AE56512" w14:textId="24273E2B" w:rsidR="001E11C7" w:rsidRDefault="001E11C7" w:rsidP="000625AC">
      <w:pPr>
        <w:pStyle w:val="Akapitzlist"/>
        <w:numPr>
          <w:ilvl w:val="0"/>
          <w:numId w:val="126"/>
        </w:numPr>
      </w:pPr>
      <w:r w:rsidRPr="00C7191E">
        <w:fldChar w:fldCharType="begin"/>
      </w:r>
      <w:r w:rsidRPr="00C7191E">
        <w:instrText xml:space="preserve"> REF _Ref195890501 \h </w:instrText>
      </w:r>
      <w:r w:rsidR="00C7191E">
        <w:instrText xml:space="preserve"> \* MERGEFORMAT </w:instrText>
      </w:r>
      <w:r w:rsidRPr="00C7191E">
        <w:fldChar w:fldCharType="separate"/>
      </w:r>
      <w:r w:rsidR="00871DD5" w:rsidRPr="00871DD5">
        <w:rPr>
          <w:rStyle w:val="Nagwek6Znak"/>
          <w:rFonts w:ascii="Lato" w:hAnsi="Lato"/>
          <w:b w:val="0"/>
        </w:rPr>
        <w:t xml:space="preserve">Działanie </w:t>
      </w:r>
      <w:r w:rsidR="00871DD5" w:rsidRPr="00871DD5">
        <w:rPr>
          <w:lang w:eastAsia="pl-PL"/>
        </w:rPr>
        <w:t xml:space="preserve">158. </w:t>
      </w:r>
      <w:r w:rsidR="00871DD5" w:rsidRPr="002A7AB3">
        <w:rPr>
          <w:lang w:eastAsia="pl-PL"/>
        </w:rPr>
        <w:t>Kształcenie i doskonalenie zawodowe kadr dla gospodarki w zakresie transformacji energetyczno-klimatycznej</w:t>
      </w:r>
      <w:r w:rsidRPr="00C7191E">
        <w:fldChar w:fldCharType="end"/>
      </w:r>
    </w:p>
    <w:p w14:paraId="701DED91" w14:textId="77777777" w:rsidR="00BE5053" w:rsidRDefault="00BE5053" w:rsidP="00C531E2"/>
    <w:p w14:paraId="5A9936A5" w14:textId="693095CE" w:rsidR="00BE5053" w:rsidRDefault="00BE5053" w:rsidP="00AE3FA9"/>
    <w:p w14:paraId="04AD8230" w14:textId="03F0B8E9" w:rsidR="00AA7CF5" w:rsidRPr="00FD77A4" w:rsidRDefault="00AA7CF5" w:rsidP="00AA7CF5">
      <w:pPr>
        <w:tabs>
          <w:tab w:val="left" w:pos="0"/>
        </w:tabs>
        <w:sectPr w:rsidR="00AA7CF5" w:rsidRPr="00FD77A4" w:rsidSect="00E30DB3">
          <w:type w:val="continuous"/>
          <w:pgSz w:w="11906" w:h="16838"/>
          <w:pgMar w:top="1417" w:right="1417" w:bottom="1417" w:left="1417" w:header="708" w:footer="708" w:gutter="0"/>
          <w:cols w:space="708"/>
          <w:docGrid w:linePitch="360"/>
        </w:sectPr>
      </w:pPr>
    </w:p>
    <w:p w14:paraId="68B26012" w14:textId="4981E31F" w:rsidR="00A4361E" w:rsidRDefault="005F4621" w:rsidP="00A147C6">
      <w:pPr>
        <w:pStyle w:val="Nagwek1"/>
      </w:pPr>
      <w:bookmarkStart w:id="876" w:name="_Toc159598354"/>
      <w:bookmarkStart w:id="877" w:name="_Toc195897402"/>
      <w:bookmarkStart w:id="878" w:name="_Toc205203232"/>
      <w:r w:rsidRPr="005F4621">
        <w:rPr>
          <w:noProof/>
          <w:lang w:eastAsia="pl-PL"/>
        </w:rPr>
        <w:lastRenderedPageBreak/>
        <w:drawing>
          <wp:anchor distT="0" distB="0" distL="114300" distR="114300" simplePos="0" relativeHeight="251446784" behindDoc="0" locked="0" layoutInCell="1" allowOverlap="1" wp14:anchorId="2EAF3F33" wp14:editId="56C818A5">
            <wp:simplePos x="0" y="0"/>
            <wp:positionH relativeFrom="margin">
              <wp:align>center</wp:align>
            </wp:positionH>
            <wp:positionV relativeFrom="paragraph">
              <wp:posOffset>-572694</wp:posOffset>
            </wp:positionV>
            <wp:extent cx="6982865" cy="7519670"/>
            <wp:effectExtent l="0" t="0" r="8890" b="5080"/>
            <wp:wrapNone/>
            <wp:docPr id="1655160849" name="Obraz 1655160849" descr="Obraz zawierający ubrania, chłopiec, osoba, piłka&#10;&#10;Opis wygenerowany automatycznie">
              <a:extLst xmlns:a="http://schemas.openxmlformats.org/drawingml/2006/main">
                <a:ext uri="{FF2B5EF4-FFF2-40B4-BE49-F238E27FC236}">
                  <a16:creationId xmlns:a16="http://schemas.microsoft.com/office/drawing/2014/main" id="{1BBB49B9-A656-248F-3AAA-3E05B0153D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9" descr="Obraz zawierający ubrania, chłopiec, osoba, piłka&#10;&#10;Opis wygenerowany automatycznie">
                      <a:extLst>
                        <a:ext uri="{FF2B5EF4-FFF2-40B4-BE49-F238E27FC236}">
                          <a16:creationId xmlns:a16="http://schemas.microsoft.com/office/drawing/2014/main" id="{1BBB49B9-A656-248F-3AAA-3E05B0153D3A}"/>
                        </a:ext>
                      </a:extLst>
                    </pic:cNvPr>
                    <pic:cNvPicPr>
                      <a:picLocks noChangeAspect="1"/>
                    </pic:cNvPicPr>
                  </pic:nvPicPr>
                  <pic:blipFill rotWithShape="1">
                    <a:blip r:embed="rId101" cstate="print">
                      <a:extLst>
                        <a:ext uri="{28A0092B-C50C-407E-A947-70E740481C1C}">
                          <a14:useLocalDpi xmlns:a14="http://schemas.microsoft.com/office/drawing/2010/main" val="0"/>
                        </a:ext>
                      </a:extLst>
                    </a:blip>
                    <a:srcRect/>
                    <a:stretch/>
                  </pic:blipFill>
                  <pic:spPr bwMode="auto">
                    <a:xfrm>
                      <a:off x="0" y="0"/>
                      <a:ext cx="6984000" cy="7520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5BED">
        <w:t>DZIAŁANIA</w:t>
      </w:r>
      <w:bookmarkEnd w:id="876"/>
      <w:bookmarkEnd w:id="877"/>
      <w:bookmarkEnd w:id="878"/>
    </w:p>
    <w:p w14:paraId="4498E9D9" w14:textId="12724D71" w:rsidR="005F4621" w:rsidRDefault="005F4621" w:rsidP="005F4621"/>
    <w:p w14:paraId="4E75C5F9" w14:textId="77777777" w:rsidR="005F4621" w:rsidRDefault="005F4621" w:rsidP="005F4621"/>
    <w:p w14:paraId="62C22EC0" w14:textId="29FAA2F7" w:rsidR="005F4621" w:rsidRDefault="00DE0CED" w:rsidP="005F4621">
      <w:r>
        <w:rPr>
          <w:noProof/>
          <w:lang w:eastAsia="pl-PL"/>
        </w:rPr>
        <mc:AlternateContent>
          <mc:Choice Requires="wps">
            <w:drawing>
              <wp:anchor distT="0" distB="0" distL="114300" distR="114300" simplePos="0" relativeHeight="251409920" behindDoc="0" locked="0" layoutInCell="1" allowOverlap="1" wp14:anchorId="734B41EE" wp14:editId="497040CE">
                <wp:simplePos x="0" y="0"/>
                <wp:positionH relativeFrom="column">
                  <wp:posOffset>151130</wp:posOffset>
                </wp:positionH>
                <wp:positionV relativeFrom="paragraph">
                  <wp:posOffset>6967855</wp:posOffset>
                </wp:positionV>
                <wp:extent cx="5606415" cy="1029335"/>
                <wp:effectExtent l="0" t="0" r="0" b="0"/>
                <wp:wrapNone/>
                <wp:docPr id="85765783"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1029335"/>
                        </a:xfrm>
                        <a:prstGeom prst="rect">
                          <a:avLst/>
                        </a:prstGeom>
                      </wps:spPr>
                      <wps:txbx>
                        <w:txbxContent>
                          <w:p w14:paraId="5E3D3D51" w14:textId="1B3EAF11" w:rsidR="00C36C5C" w:rsidRDefault="00C36C5C" w:rsidP="005F4621">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wdrażające 5 wymiarów unii energetycznej</w:t>
                            </w:r>
                          </w:p>
                        </w:txbxContent>
                      </wps:txbx>
                      <wps:bodyPr vert="horz" lIns="91440" tIns="45720" rIns="91440" bIns="45720" rtlCol="0" anchor="ctr">
                        <a:normAutofit/>
                      </wps:bodyPr>
                    </wps:wsp>
                  </a:graphicData>
                </a:graphic>
                <wp14:sizeRelH relativeFrom="page">
                  <wp14:pctWidth>0</wp14:pctWidth>
                </wp14:sizeRelH>
                <wp14:sizeRelV relativeFrom="page">
                  <wp14:pctHeight>0</wp14:pctHeight>
                </wp14:sizeRelV>
              </wp:anchor>
            </w:drawing>
          </mc:Choice>
          <mc:Fallback>
            <w:pict>
              <v:shape w14:anchorId="734B41EE" id="Pole tekstowe 8" o:spid="_x0000_s1133" type="#_x0000_t202" style="position:absolute;left:0;text-align:left;margin-left:11.9pt;margin-top:548.65pt;width:441.45pt;height:81.05pt;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" filled="f" stroked="f">
                <v:textbox>
                  <w:txbxContent>
                    <w:p w14:paraId="5E3D3D51" w14:textId="1B3EAF11" w:rsidR="00C36C5C" w:rsidRDefault="00C36C5C" w:rsidP="005F4621">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wdrażające 5 wymiarów unii energetycznej</w:t>
                      </w:r>
                    </w:p>
                  </w:txbxContent>
                </v:textbox>
              </v:shape>
            </w:pict>
          </mc:Fallback>
        </mc:AlternateContent>
      </w:r>
      <w:r>
        <w:rPr>
          <w:noProof/>
          <w:lang w:eastAsia="pl-PL"/>
        </w:rPr>
        <mc:AlternateContent>
          <mc:Choice Requires="wps">
            <w:drawing>
              <wp:anchor distT="0" distB="0" distL="114300" distR="114300" simplePos="0" relativeHeight="251406848" behindDoc="0" locked="0" layoutInCell="1" allowOverlap="1" wp14:anchorId="4F53034A" wp14:editId="28D689C6">
                <wp:simplePos x="0" y="0"/>
                <wp:positionH relativeFrom="margin">
                  <wp:align>center</wp:align>
                </wp:positionH>
                <wp:positionV relativeFrom="paragraph">
                  <wp:posOffset>6393815</wp:posOffset>
                </wp:positionV>
                <wp:extent cx="5606415" cy="1029335"/>
                <wp:effectExtent l="0" t="0" r="0" b="0"/>
                <wp:wrapNone/>
                <wp:docPr id="1198914306"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1029335"/>
                        </a:xfrm>
                        <a:prstGeom prst="rect">
                          <a:avLst/>
                        </a:prstGeom>
                      </wps:spPr>
                      <wps:txbx>
                        <w:txbxContent>
                          <w:p w14:paraId="1738C929" w14:textId="2A042E87" w:rsidR="00C36C5C" w:rsidRPr="0026186D" w:rsidRDefault="00C36C5C" w:rsidP="005F4621">
                            <w:pPr>
                              <w:jc w:val="center"/>
                              <w:rPr>
                                <w:rFonts w:ascii="Bahnschrift" w:hAnsi="Bahnschrift"/>
                                <w:b/>
                                <w:bCs/>
                                <w:color w:val="444661"/>
                                <w:kern w:val="24"/>
                                <w:sz w:val="72"/>
                                <w:szCs w:val="72"/>
                                <w14:ligatures w14:val="none"/>
                              </w:rPr>
                            </w:pPr>
                            <w:r>
                              <w:rPr>
                                <w:rFonts w:ascii="Bahnschrift" w:hAnsi="Bahnschrift"/>
                                <w:b/>
                                <w:bCs/>
                                <w:color w:val="444661"/>
                                <w:kern w:val="24"/>
                                <w:sz w:val="72"/>
                                <w:szCs w:val="72"/>
                              </w:rPr>
                              <w:t xml:space="preserve">III. </w:t>
                            </w:r>
                            <w:r w:rsidRPr="0026186D">
                              <w:rPr>
                                <w:rFonts w:ascii="Bahnschrift" w:hAnsi="Bahnschrift"/>
                                <w:b/>
                                <w:bCs/>
                                <w:color w:val="444661"/>
                                <w:kern w:val="24"/>
                                <w:sz w:val="72"/>
                                <w:szCs w:val="72"/>
                              </w:rPr>
                              <w:t>DZIAŁANIA</w:t>
                            </w:r>
                          </w:p>
                        </w:txbxContent>
                      </wps:txbx>
                      <wps:bodyPr vert="horz" lIns="91440" tIns="45720" rIns="91440" bIns="45720" rtlCol="0" anchor="ctr">
                        <a:normAutofit/>
                      </wps:bodyPr>
                    </wps:wsp>
                  </a:graphicData>
                </a:graphic>
                <wp14:sizeRelH relativeFrom="page">
                  <wp14:pctWidth>0</wp14:pctWidth>
                </wp14:sizeRelH>
                <wp14:sizeRelV relativeFrom="page">
                  <wp14:pctHeight>0</wp14:pctHeight>
                </wp14:sizeRelV>
              </wp:anchor>
            </w:drawing>
          </mc:Choice>
          <mc:Fallback>
            <w:pict>
              <v:shape w14:anchorId="4F53034A" id="Pole tekstowe 7" o:spid="_x0000_s1134" type="#_x0000_t202" style="position:absolute;left:0;text-align:left;margin-left:0;margin-top:503.45pt;width:441.45pt;height:81.05pt;z-index:25140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" filled="f" stroked="f">
                <v:textbox>
                  <w:txbxContent>
                    <w:p w14:paraId="1738C929" w14:textId="2A042E87" w:rsidR="00C36C5C" w:rsidRPr="0026186D" w:rsidRDefault="00C36C5C" w:rsidP="005F4621">
                      <w:pPr>
                        <w:jc w:val="center"/>
                        <w:rPr>
                          <w:rFonts w:ascii="Bahnschrift" w:hAnsi="Bahnschrift"/>
                          <w:b/>
                          <w:bCs/>
                          <w:color w:val="444661"/>
                          <w:kern w:val="24"/>
                          <w:sz w:val="72"/>
                          <w:szCs w:val="72"/>
                          <w14:ligatures w14:val="none"/>
                        </w:rPr>
                      </w:pPr>
                      <w:r>
                        <w:rPr>
                          <w:rFonts w:ascii="Bahnschrift" w:hAnsi="Bahnschrift"/>
                          <w:b/>
                          <w:bCs/>
                          <w:color w:val="444661"/>
                          <w:kern w:val="24"/>
                          <w:sz w:val="72"/>
                          <w:szCs w:val="72"/>
                        </w:rPr>
                        <w:t xml:space="preserve">III. </w:t>
                      </w:r>
                      <w:r w:rsidRPr="0026186D">
                        <w:rPr>
                          <w:rFonts w:ascii="Bahnschrift" w:hAnsi="Bahnschrift"/>
                          <w:b/>
                          <w:bCs/>
                          <w:color w:val="444661"/>
                          <w:kern w:val="24"/>
                          <w:sz w:val="72"/>
                          <w:szCs w:val="72"/>
                        </w:rPr>
                        <w:t>DZIAŁANIA</w:t>
                      </w:r>
                    </w:p>
                  </w:txbxContent>
                </v:textbox>
                <w10:wrap anchorx="margin"/>
              </v:shape>
            </w:pict>
          </mc:Fallback>
        </mc:AlternateContent>
      </w:r>
      <w:r>
        <w:rPr>
          <w:noProof/>
          <w:lang w:eastAsia="pl-PL"/>
        </w:rPr>
        <mc:AlternateContent>
          <mc:Choice Requires="wps">
            <w:drawing>
              <wp:anchor distT="0" distB="0" distL="114300" distR="114300" simplePos="0" relativeHeight="251403776" behindDoc="0" locked="0" layoutInCell="1" allowOverlap="1" wp14:anchorId="39C7D3BA" wp14:editId="21071C54">
                <wp:simplePos x="0" y="0"/>
                <wp:positionH relativeFrom="column">
                  <wp:posOffset>-598805</wp:posOffset>
                </wp:positionH>
                <wp:positionV relativeFrom="paragraph">
                  <wp:posOffset>6018530</wp:posOffset>
                </wp:positionV>
                <wp:extent cx="6983730" cy="2291080"/>
                <wp:effectExtent l="0" t="0" r="0" b="0"/>
                <wp:wrapNone/>
                <wp:docPr id="1377140744"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229108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761381" id="Prostokąt 6" o:spid="_x0000_s1026" style="position:absolute;margin-left:-47.15pt;margin-top:473.9pt;width:549.9pt;height:180.4pt;z-index:2514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" fillcolor="#e7e6e6 [3214]" stroked="f" strokeweight="1pt"/>
            </w:pict>
          </mc:Fallback>
        </mc:AlternateContent>
      </w:r>
      <w:r w:rsidR="005F4621">
        <w:br w:type="page"/>
      </w:r>
    </w:p>
    <w:p w14:paraId="03AAC032" w14:textId="7B026FEE" w:rsidR="005F4621" w:rsidRPr="005F4621" w:rsidRDefault="005F4621" w:rsidP="005F4621">
      <w:pPr>
        <w:sectPr w:rsidR="005F4621" w:rsidRPr="005F4621" w:rsidSect="005209BA">
          <w:pgSz w:w="11906" w:h="16838"/>
          <w:pgMar w:top="1417" w:right="1417" w:bottom="1417" w:left="1417" w:header="708" w:footer="708" w:gutter="0"/>
          <w:cols w:space="708"/>
          <w:docGrid w:linePitch="360"/>
        </w:sectPr>
      </w:pPr>
    </w:p>
    <w:bookmarkStart w:id="879" w:name="_Toc159598355"/>
    <w:bookmarkStart w:id="880" w:name="_Toc195897403"/>
    <w:bookmarkStart w:id="881" w:name="_Toc205203233"/>
    <w:p w14:paraId="7027691A" w14:textId="15187333" w:rsidR="006D2F10" w:rsidRPr="00F543D4" w:rsidRDefault="00103429" w:rsidP="00103429">
      <w:pPr>
        <w:pStyle w:val="Nagwek2"/>
      </w:pPr>
      <w:r>
        <w:rPr>
          <w:noProof/>
          <w:lang w:eastAsia="pl-PL"/>
        </w:rPr>
        <w:lastRenderedPageBreak/>
        <mc:AlternateContent>
          <mc:Choice Requires="wps">
            <w:drawing>
              <wp:anchor distT="0" distB="0" distL="114300" distR="114300" simplePos="0" relativeHeight="251430400" behindDoc="0" locked="0" layoutInCell="1" allowOverlap="1" wp14:anchorId="2366DCAB" wp14:editId="6608243F">
                <wp:simplePos x="0" y="0"/>
                <wp:positionH relativeFrom="margin">
                  <wp:align>center</wp:align>
                </wp:positionH>
                <wp:positionV relativeFrom="paragraph">
                  <wp:posOffset>-629980</wp:posOffset>
                </wp:positionV>
                <wp:extent cx="6984000" cy="1836000"/>
                <wp:effectExtent l="0" t="0" r="7620" b="0"/>
                <wp:wrapNone/>
                <wp:docPr id="1492077722"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000" cy="1836000"/>
                        </a:xfrm>
                        <a:prstGeom prst="rect">
                          <a:avLst/>
                        </a:prstGeom>
                        <a:solidFill>
                          <a:srgbClr val="70AD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654B71" w14:textId="77992551" w:rsidR="00C36C5C" w:rsidRPr="00936E90" w:rsidRDefault="00C36C5C" w:rsidP="00936E90">
                            <w:pPr>
                              <w:spacing w:after="0"/>
                              <w:ind w:left="993" w:right="706"/>
                              <w:jc w:val="left"/>
                              <w:rPr>
                                <w:rFonts w:ascii="Bahnschrift" w:hAnsi="Bahnschrift"/>
                                <w:color w:val="FFFFFF" w:themeColor="light1"/>
                                <w:kern w:val="24"/>
                                <w:sz w:val="56"/>
                                <w:szCs w:val="56"/>
                                <w14:ligatures w14:val="none"/>
                              </w:rPr>
                            </w:pPr>
                            <w:r w:rsidRPr="00936E90">
                              <w:rPr>
                                <w:rFonts w:ascii="Bahnschrift" w:hAnsi="Bahnschrift"/>
                                <w:color w:val="FFFFFF" w:themeColor="light1"/>
                                <w:kern w:val="24"/>
                                <w:sz w:val="56"/>
                                <w:szCs w:val="56"/>
                              </w:rPr>
                              <w:t>Wymiar 1.</w:t>
                            </w:r>
                            <w:r w:rsidRPr="00936E90">
                              <w:rPr>
                                <w:rFonts w:ascii="Bahnschrift" w:hAnsi="Bahnschrift"/>
                                <w:color w:val="FFFFFF" w:themeColor="light1"/>
                                <w:kern w:val="24"/>
                                <w:sz w:val="72"/>
                                <w:szCs w:val="72"/>
                              </w:rPr>
                              <w:br/>
                            </w:r>
                            <w:r w:rsidRPr="00936E90">
                              <w:rPr>
                                <w:rFonts w:ascii="Bahnschrift" w:hAnsi="Bahnschrift"/>
                                <w:b/>
                                <w:bCs/>
                                <w:color w:val="FFFFFF" w:themeColor="light1"/>
                                <w:kern w:val="24"/>
                                <w:sz w:val="64"/>
                                <w:szCs w:val="64"/>
                              </w:rPr>
                              <w:t>Obniżenie emisyjności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66DCAB" id="Prostokąt 5" o:spid="_x0000_s1135" style="position:absolute;left:0;text-align:left;margin-left:0;margin-top:-49.6pt;width:549.9pt;height:144.55pt;z-index:25143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" fillcolor="#70ad47" stroked="f" strokeweight="1pt">
                <v:textbox>
                  <w:txbxContent>
                    <w:p w14:paraId="32654B71" w14:textId="77992551" w:rsidR="00C36C5C" w:rsidRPr="00936E90" w:rsidRDefault="00C36C5C" w:rsidP="00936E90">
                      <w:pPr>
                        <w:spacing w:after="0"/>
                        <w:ind w:left="993" w:right="706"/>
                        <w:jc w:val="left"/>
                        <w:rPr>
                          <w:rFonts w:ascii="Bahnschrift" w:hAnsi="Bahnschrift"/>
                          <w:color w:val="FFFFFF" w:themeColor="light1"/>
                          <w:kern w:val="24"/>
                          <w:sz w:val="56"/>
                          <w:szCs w:val="56"/>
                          <w14:ligatures w14:val="none"/>
                        </w:rPr>
                      </w:pPr>
                      <w:r w:rsidRPr="00936E90">
                        <w:rPr>
                          <w:rFonts w:ascii="Bahnschrift" w:hAnsi="Bahnschrift"/>
                          <w:color w:val="FFFFFF" w:themeColor="light1"/>
                          <w:kern w:val="24"/>
                          <w:sz w:val="56"/>
                          <w:szCs w:val="56"/>
                        </w:rPr>
                        <w:t>Wymiar 1.</w:t>
                      </w:r>
                      <w:r w:rsidRPr="00936E90">
                        <w:rPr>
                          <w:rFonts w:ascii="Bahnschrift" w:hAnsi="Bahnschrift"/>
                          <w:color w:val="FFFFFF" w:themeColor="light1"/>
                          <w:kern w:val="24"/>
                          <w:sz w:val="72"/>
                          <w:szCs w:val="72"/>
                        </w:rPr>
                        <w:br/>
                      </w:r>
                      <w:r w:rsidRPr="00936E90">
                        <w:rPr>
                          <w:rFonts w:ascii="Bahnschrift" w:hAnsi="Bahnschrift"/>
                          <w:b/>
                          <w:bCs/>
                          <w:color w:val="FFFFFF" w:themeColor="light1"/>
                          <w:kern w:val="24"/>
                          <w:sz w:val="64"/>
                          <w:szCs w:val="64"/>
                        </w:rPr>
                        <w:t>Obniżenie emisyjności</w:t>
                      </w:r>
                    </w:p>
                  </w:txbxContent>
                </v:textbox>
                <w10:wrap anchorx="margin"/>
              </v:rect>
            </w:pict>
          </mc:Fallback>
        </mc:AlternateContent>
      </w:r>
      <w:r w:rsidR="0057223B" w:rsidRPr="00F543D4">
        <w:t>Obniżenie emisyjności</w:t>
      </w:r>
      <w:bookmarkEnd w:id="879"/>
      <w:bookmarkEnd w:id="880"/>
      <w:bookmarkEnd w:id="881"/>
    </w:p>
    <w:p w14:paraId="6BF4CB24" w14:textId="30CBCA30" w:rsidR="006D2F10" w:rsidRPr="00F543D4" w:rsidRDefault="006D2F10" w:rsidP="006D2F10">
      <w:pPr>
        <w:rPr>
          <w:b/>
        </w:rPr>
      </w:pPr>
    </w:p>
    <w:p w14:paraId="1D72145B" w14:textId="0BC13F60" w:rsidR="006D2F10" w:rsidRDefault="006D2F10" w:rsidP="006D2F10"/>
    <w:p w14:paraId="241939E9" w14:textId="19021C16" w:rsidR="006D2F10" w:rsidRDefault="006D2F10" w:rsidP="006D2F10"/>
    <w:tbl>
      <w:tblPr>
        <w:tblStyle w:val="Tabela-Siatka"/>
        <w:tblW w:w="9356" w:type="dxa"/>
        <w:tblInd w:w="-14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987AA2" w14:paraId="1EEC0D28" w14:textId="77777777" w:rsidTr="00BA27CD">
        <w:tc>
          <w:tcPr>
            <w:tcW w:w="9356" w:type="dxa"/>
          </w:tcPr>
          <w:p w14:paraId="17407598" w14:textId="7E2C69F8" w:rsidR="00987AA2" w:rsidRPr="00987AA2" w:rsidRDefault="00987AA2" w:rsidP="00987AA2">
            <w:pPr>
              <w:spacing w:before="240" w:after="240"/>
              <w:jc w:val="center"/>
              <w:rPr>
                <w:b/>
                <w:bCs/>
                <w:sz w:val="48"/>
                <w:szCs w:val="48"/>
              </w:rPr>
            </w:pPr>
            <w:r w:rsidRPr="00BA27CD">
              <w:rPr>
                <w:b/>
                <w:bCs/>
                <w:color w:val="808080" w:themeColor="background1" w:themeShade="80"/>
                <w:sz w:val="48"/>
                <w:szCs w:val="48"/>
              </w:rPr>
              <w:t>Działania horyzontalne</w:t>
            </w:r>
          </w:p>
        </w:tc>
      </w:tr>
    </w:tbl>
    <w:p w14:paraId="44E98F59" w14:textId="6959E2EE" w:rsidR="00491705" w:rsidRPr="008A084B" w:rsidRDefault="00491705" w:rsidP="00D523F3">
      <w:pPr>
        <w:pStyle w:val="Nagwek6"/>
      </w:pPr>
      <w:bookmarkStart w:id="882" w:name="_Toc195856519"/>
      <w:bookmarkStart w:id="883" w:name="_Ref195878948"/>
      <w:bookmarkStart w:id="884" w:name="_Ref195879437"/>
      <w:bookmarkStart w:id="885" w:name="_Ref195881549"/>
      <w:bookmarkStart w:id="886" w:name="_Ref195882436"/>
      <w:bookmarkStart w:id="887" w:name="_Ref195884372"/>
      <w:r w:rsidRPr="008A084B">
        <w:rPr>
          <w:rStyle w:val="Nagwek6Znak"/>
          <w:b/>
        </w:rPr>
        <w:t xml:space="preserve">Działanie </w:t>
      </w:r>
      <w:r w:rsidRPr="008A084B">
        <w:rPr>
          <w:rStyle w:val="Nagwek6Znak"/>
          <w:b/>
        </w:rPr>
        <w:fldChar w:fldCharType="begin"/>
      </w:r>
      <w:r w:rsidRPr="008A084B">
        <w:rPr>
          <w:rStyle w:val="Nagwek6Znak"/>
          <w:b/>
        </w:rPr>
        <w:instrText xml:space="preserve"> SEQ Działanie \* ARABIC </w:instrText>
      </w:r>
      <w:r w:rsidRPr="008A084B">
        <w:rPr>
          <w:rStyle w:val="Nagwek6Znak"/>
          <w:b/>
        </w:rPr>
        <w:fldChar w:fldCharType="separate"/>
      </w:r>
      <w:r w:rsidR="00871DD5">
        <w:rPr>
          <w:rStyle w:val="Nagwek6Znak"/>
          <w:b/>
          <w:noProof/>
        </w:rPr>
        <w:t>1</w:t>
      </w:r>
      <w:r w:rsidRPr="008A084B">
        <w:rPr>
          <w:rStyle w:val="Nagwek6Znak"/>
          <w:b/>
        </w:rPr>
        <w:fldChar w:fldCharType="end"/>
      </w:r>
      <w:r w:rsidRPr="008A084B">
        <w:rPr>
          <w:rStyle w:val="Nagwek6Znak"/>
          <w:b/>
        </w:rPr>
        <w:t>.</w:t>
      </w:r>
      <w:r w:rsidRPr="008A084B">
        <w:t xml:space="preserve"> Uczestnictwo w systemie handlu emisjami EU-ETS</w:t>
      </w:r>
      <w:bookmarkEnd w:id="882"/>
      <w:bookmarkEnd w:id="883"/>
      <w:bookmarkEnd w:id="884"/>
      <w:bookmarkEnd w:id="885"/>
      <w:bookmarkEnd w:id="886"/>
      <w:bookmarkEnd w:id="887"/>
    </w:p>
    <w:p w14:paraId="4F2D233F" w14:textId="433AA944" w:rsidR="00491705" w:rsidRPr="00BB38A3" w:rsidRDefault="00491705" w:rsidP="00987AA2">
      <w:pPr>
        <w:rPr>
          <w:rFonts w:ascii="Times New Roman" w:hAnsi="Times New Roman"/>
          <w:sz w:val="24"/>
          <w:szCs w:val="24"/>
          <w:lang w:eastAsia="pl-PL"/>
        </w:rPr>
      </w:pPr>
      <w:r w:rsidRPr="00BB38A3">
        <w:rPr>
          <w:lang w:eastAsia="pl-PL"/>
        </w:rPr>
        <w:t>System handlu uprawnieniami do emisji funkcjonujący w UE od 2005 r. obejmuje instalacje z sektorów gospodarki emitujących gazy cieplarniane (energetyka, przemysł) oraz operatorów statków powietrznych (loty w ramach UE i EOG) oraz morskie przedsiębiorstwa żeglugowe (rejsy w ramach UE i EOG). Każda</w:t>
      </w:r>
      <w:r w:rsidR="00E618AB">
        <w:rPr>
          <w:lang w:eastAsia="pl-PL"/>
        </w:rPr>
        <w:t> </w:t>
      </w:r>
      <w:r w:rsidRPr="00BB38A3">
        <w:rPr>
          <w:lang w:eastAsia="pl-PL"/>
        </w:rPr>
        <w:t>instalacja, operator statków powietrznych lub morskie przedsiębiorstwo żeglugowe objęte systemem musi corocznie rozliczać swoje emisje gazów cieplarnianych uprawnieniami do emisji (EUA). Konieczność zakupu uprawnień motywuje podmioty zobowiązane do uczestnictwa w systemie do działań dekarbonizacyjnych.</w:t>
      </w:r>
      <w:r w:rsidR="003E2DE5">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38A3" w14:paraId="0F7590FE" w14:textId="77777777" w:rsidTr="00F04173">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11AE0088" w14:textId="77777777" w:rsidR="00491705" w:rsidRPr="00BB38A3" w:rsidRDefault="00491705">
            <w:pPr>
              <w:spacing w:after="0" w:line="240" w:lineRule="auto"/>
              <w:textAlignment w:val="baseline"/>
              <w:rPr>
                <w:rFonts w:ascii="Times New Roman" w:eastAsia="Times New Roman" w:hAnsi="Times New Roman" w:cs="Times New Roman"/>
                <w:sz w:val="24"/>
                <w:szCs w:val="24"/>
                <w:lang w:eastAsia="pl-PL"/>
              </w:rPr>
            </w:pPr>
            <w:r w:rsidRPr="00BB38A3">
              <w:rPr>
                <w:rFonts w:ascii="Times New Roman" w:eastAsia="Times New Roman" w:hAnsi="Times New Roman" w:cs="Times New Roman"/>
                <w:noProof/>
                <w:sz w:val="24"/>
                <w:szCs w:val="24"/>
                <w:lang w:eastAsia="pl-PL"/>
              </w:rPr>
              <w:drawing>
                <wp:inline distT="0" distB="0" distL="0" distR="0" wp14:anchorId="1314BAED" wp14:editId="1D53CB86">
                  <wp:extent cx="622300" cy="622300"/>
                  <wp:effectExtent l="0" t="0" r="6350" b="6350"/>
                  <wp:docPr id="233936856"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38A3">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B57104F" w14:textId="77777777" w:rsidR="00491705" w:rsidRPr="00BB38A3" w:rsidRDefault="00491705">
            <w:pPr>
              <w:spacing w:after="0" w:line="240" w:lineRule="auto"/>
              <w:textAlignment w:val="baseline"/>
              <w:rPr>
                <w:rFonts w:ascii="Times New Roman" w:eastAsia="Times New Roman" w:hAnsi="Times New Roman" w:cs="Times New Roman"/>
                <w:sz w:val="24"/>
                <w:szCs w:val="24"/>
                <w:lang w:eastAsia="pl-PL"/>
              </w:rPr>
            </w:pPr>
            <w:r w:rsidRPr="00BB38A3">
              <w:rPr>
                <w:rFonts w:eastAsia="Times New Roman" w:cs="Times New Roman"/>
                <w:b/>
                <w:bCs/>
                <w:smallCaps/>
                <w:sz w:val="18"/>
                <w:szCs w:val="18"/>
                <w:lang w:eastAsia="pl-PL"/>
              </w:rPr>
              <w:t>PODMIOT WIODĄCY</w:t>
            </w:r>
            <w:r w:rsidRPr="00BB38A3">
              <w:rPr>
                <w:rFonts w:eastAsia="Times New Roman" w:cs="Times New Roman"/>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6199BAA" w14:textId="77777777" w:rsidR="00491705" w:rsidRPr="00BB38A3" w:rsidRDefault="00491705">
            <w:pPr>
              <w:spacing w:after="0" w:line="240" w:lineRule="auto"/>
              <w:textAlignment w:val="baseline"/>
              <w:rPr>
                <w:rFonts w:ascii="Times New Roman" w:eastAsia="Times New Roman" w:hAnsi="Times New Roman" w:cs="Times New Roman"/>
                <w:sz w:val="24"/>
                <w:szCs w:val="24"/>
                <w:lang w:eastAsia="pl-PL"/>
              </w:rPr>
            </w:pPr>
            <w:r w:rsidRPr="00BB38A3">
              <w:rPr>
                <w:rFonts w:eastAsia="Times New Roman" w:cs="Times New Roman"/>
                <w:b/>
                <w:bCs/>
                <w:sz w:val="18"/>
                <w:szCs w:val="18"/>
                <w:lang w:eastAsia="pl-PL"/>
              </w:rPr>
              <w:t>PODMIOTY WSPÓŁPRACUJĄCE</w:t>
            </w:r>
            <w:r w:rsidRPr="00BB38A3">
              <w:rPr>
                <w:rFonts w:eastAsia="Times New Roman" w:cs="Times New Roman"/>
                <w:sz w:val="18"/>
                <w:szCs w:val="18"/>
                <w:lang w:eastAsia="pl-PL"/>
              </w:rPr>
              <w:t> </w:t>
            </w:r>
          </w:p>
        </w:tc>
      </w:tr>
      <w:tr w:rsidR="003B6773" w:rsidRPr="00BB38A3" w14:paraId="2BDCD4F7"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C4817A6" w14:textId="77777777" w:rsidR="00491705" w:rsidRPr="00BB38A3"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4BFF7B2" w14:textId="77777777" w:rsidR="00491705" w:rsidRPr="00BB38A3" w:rsidRDefault="00491705">
            <w:pPr>
              <w:spacing w:after="0" w:line="240" w:lineRule="auto"/>
              <w:textAlignment w:val="baseline"/>
              <w:rPr>
                <w:rFonts w:ascii="Times New Roman" w:eastAsia="Times New Roman" w:hAnsi="Times New Roman" w:cs="Times New Roman"/>
                <w:sz w:val="24"/>
                <w:szCs w:val="24"/>
                <w:lang w:eastAsia="pl-PL"/>
              </w:rPr>
            </w:pPr>
            <w:r w:rsidRPr="00BB38A3">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38E50F0" w14:textId="77777777" w:rsidR="00491705" w:rsidRPr="00986124" w:rsidRDefault="00491705">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energii </w:t>
            </w:r>
          </w:p>
          <w:p w14:paraId="75C3E8E4" w14:textId="77777777" w:rsidR="00491705" w:rsidRPr="00986124" w:rsidRDefault="00491705">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transportu </w:t>
            </w:r>
          </w:p>
          <w:p w14:paraId="4310C7C8" w14:textId="77777777" w:rsidR="0088053D" w:rsidRDefault="00491705">
            <w:pPr>
              <w:spacing w:after="0" w:line="240" w:lineRule="auto"/>
              <w:textAlignment w:val="baseline"/>
            </w:pPr>
            <w:r w:rsidRPr="00BB38A3">
              <w:rPr>
                <w:rFonts w:eastAsia="Times New Roman" w:cs="Times New Roman"/>
                <w:color w:val="808080"/>
                <w:sz w:val="18"/>
                <w:szCs w:val="18"/>
                <w:lang w:eastAsia="pl-PL"/>
              </w:rPr>
              <w:t>minister wł. ds. gospodarki</w:t>
            </w:r>
            <w:r w:rsidR="0088053D">
              <w:t xml:space="preserve"> </w:t>
            </w:r>
          </w:p>
          <w:p w14:paraId="77CA6DA2" w14:textId="63154BFB" w:rsidR="00491705" w:rsidRPr="00BB38A3" w:rsidRDefault="0088053D">
            <w:pPr>
              <w:spacing w:after="0" w:line="240" w:lineRule="auto"/>
              <w:textAlignment w:val="baseline"/>
              <w:rPr>
                <w:rFonts w:ascii="Times New Roman" w:eastAsia="Times New Roman" w:hAnsi="Times New Roman" w:cs="Times New Roman"/>
                <w:sz w:val="24"/>
                <w:szCs w:val="24"/>
                <w:lang w:eastAsia="pl-PL"/>
              </w:rPr>
            </w:pPr>
            <w:r w:rsidRPr="0088053D">
              <w:rPr>
                <w:rFonts w:eastAsia="Times New Roman" w:cs="Times New Roman"/>
                <w:color w:val="808080"/>
                <w:sz w:val="18"/>
                <w:szCs w:val="18"/>
                <w:lang w:eastAsia="pl-PL"/>
              </w:rPr>
              <w:t>minister wł. ds. gospodarki morskiej</w:t>
            </w:r>
            <w:r w:rsidR="00491705" w:rsidRPr="00BB38A3">
              <w:rPr>
                <w:rFonts w:eastAsia="Times New Roman" w:cs="Times New Roman"/>
                <w:color w:val="808080"/>
                <w:sz w:val="18"/>
                <w:szCs w:val="18"/>
                <w:lang w:eastAsia="pl-PL"/>
              </w:rPr>
              <w:t> </w:t>
            </w:r>
          </w:p>
        </w:tc>
      </w:tr>
    </w:tbl>
    <w:p w14:paraId="51E2DDF9" w14:textId="1BE947B9" w:rsidR="00491705" w:rsidRPr="00077D7F" w:rsidRDefault="00491705" w:rsidP="00D523F3">
      <w:pPr>
        <w:pStyle w:val="Nagwek6"/>
        <w:rPr>
          <w:i/>
          <w:iCs/>
          <w:color w:val="595959"/>
        </w:rPr>
      </w:pPr>
      <w:bookmarkStart w:id="888" w:name="_Toc195856520"/>
      <w:bookmarkStart w:id="889" w:name="_Ref195879022"/>
      <w:bookmarkStart w:id="890" w:name="_Ref195879462"/>
      <w:bookmarkStart w:id="891" w:name="_Ref195881562"/>
      <w:bookmarkStart w:id="892" w:name="_Ref195882440"/>
      <w:bookmarkStart w:id="893" w:name="_Ref195884408"/>
      <w:bookmarkStart w:id="894" w:name="_Ref195892608"/>
      <w:r w:rsidRPr="008A084B">
        <w:rPr>
          <w:rStyle w:val="Nagwek6Znak"/>
          <w:b/>
        </w:rPr>
        <w:t xml:space="preserve">Działanie </w:t>
      </w:r>
      <w:r w:rsidRPr="008A084B">
        <w:rPr>
          <w:rStyle w:val="Nagwek6Znak"/>
          <w:b/>
        </w:rPr>
        <w:fldChar w:fldCharType="begin"/>
      </w:r>
      <w:r w:rsidRPr="008A084B">
        <w:rPr>
          <w:rStyle w:val="Nagwek6Znak"/>
          <w:b/>
        </w:rPr>
        <w:instrText xml:space="preserve"> SEQ Działanie \* ARABIC </w:instrText>
      </w:r>
      <w:r w:rsidRPr="008A084B">
        <w:rPr>
          <w:rStyle w:val="Nagwek6Znak"/>
          <w:b/>
        </w:rPr>
        <w:fldChar w:fldCharType="separate"/>
      </w:r>
      <w:r w:rsidR="00871DD5">
        <w:rPr>
          <w:rStyle w:val="Nagwek6Znak"/>
          <w:b/>
          <w:noProof/>
        </w:rPr>
        <w:t>2</w:t>
      </w:r>
      <w:r w:rsidRPr="008A084B">
        <w:rPr>
          <w:rStyle w:val="Nagwek6Znak"/>
          <w:b/>
        </w:rPr>
        <w:fldChar w:fldCharType="end"/>
      </w:r>
      <w:r w:rsidRPr="008A084B">
        <w:rPr>
          <w:rStyle w:val="Nagwek6Znak"/>
          <w:b/>
        </w:rPr>
        <w:t xml:space="preserve">. </w:t>
      </w:r>
      <w:r w:rsidRPr="00077D7F">
        <w:t>Instrument finansowy – Fundusz Modernizacyjny</w:t>
      </w:r>
      <w:bookmarkEnd w:id="888"/>
      <w:bookmarkEnd w:id="889"/>
      <w:bookmarkEnd w:id="890"/>
      <w:bookmarkEnd w:id="891"/>
      <w:bookmarkEnd w:id="892"/>
      <w:bookmarkEnd w:id="893"/>
      <w:bookmarkEnd w:id="894"/>
      <w:r w:rsidRPr="00077D7F">
        <w:rPr>
          <w:i/>
          <w:iCs/>
        </w:rPr>
        <w:t> </w:t>
      </w:r>
    </w:p>
    <w:p w14:paraId="076A75EC" w14:textId="6FB51DCE" w:rsidR="00491705" w:rsidRPr="00077D7F" w:rsidRDefault="00491705" w:rsidP="000F67C6">
      <w:pPr>
        <w:rPr>
          <w:rFonts w:ascii="Times New Roman" w:hAnsi="Times New Roman"/>
          <w:sz w:val="24"/>
          <w:szCs w:val="24"/>
          <w:lang w:eastAsia="pl-PL"/>
        </w:rPr>
      </w:pPr>
      <w:r w:rsidRPr="00077D7F">
        <w:rPr>
          <w:lang w:eastAsia="pl-PL"/>
        </w:rPr>
        <w:t>W ramach Funduszu Modernizacyjnego możliwe jest dofinansowanie realizacji szerokiego spektrum inwestycji mających na celu modernizację krajowego systemu energetycznego oraz poprawę efektywności energetycznej w ramach obszarów priorytetowych i niepriorytetowych wskazanych w</w:t>
      </w:r>
      <w:r w:rsidRPr="000F67C6">
        <w:t> </w:t>
      </w:r>
      <w:r w:rsidRPr="00077D7F">
        <w:rPr>
          <w:lang w:eastAsia="pl-PL"/>
        </w:rPr>
        <w:t>dyrektywie ETS. F</w:t>
      </w:r>
      <w:r w:rsidR="00FA2A6A">
        <w:rPr>
          <w:lang w:eastAsia="pl-PL"/>
        </w:rPr>
        <w:t xml:space="preserve">undusz </w:t>
      </w:r>
      <w:r w:rsidRPr="00077D7F">
        <w:rPr>
          <w:lang w:eastAsia="pl-PL"/>
        </w:rPr>
        <w:t>M</w:t>
      </w:r>
      <w:r w:rsidR="00FA2A6A">
        <w:rPr>
          <w:lang w:eastAsia="pl-PL"/>
        </w:rPr>
        <w:t>odernizacyjny</w:t>
      </w:r>
      <w:r w:rsidRPr="00077D7F">
        <w:rPr>
          <w:lang w:eastAsia="pl-PL"/>
        </w:rPr>
        <w:t xml:space="preserve"> b</w:t>
      </w:r>
      <w:r w:rsidRPr="00077D7F">
        <w:rPr>
          <w:rFonts w:cs="Lato"/>
          <w:lang w:eastAsia="pl-PL"/>
        </w:rPr>
        <w:t>ę</w:t>
      </w:r>
      <w:r w:rsidRPr="00077D7F">
        <w:rPr>
          <w:lang w:eastAsia="pl-PL"/>
        </w:rPr>
        <w:t>dzie funkcjonowa</w:t>
      </w:r>
      <w:r w:rsidRPr="00077D7F">
        <w:rPr>
          <w:rFonts w:cs="Lato"/>
          <w:lang w:eastAsia="pl-PL"/>
        </w:rPr>
        <w:t>ł</w:t>
      </w:r>
      <w:r w:rsidRPr="00077D7F">
        <w:rPr>
          <w:lang w:eastAsia="pl-PL"/>
        </w:rPr>
        <w:t xml:space="preserve"> do 2030 r. i w jego ramach tworzone b</w:t>
      </w:r>
      <w:r w:rsidRPr="00077D7F">
        <w:rPr>
          <w:rFonts w:cs="Lato"/>
          <w:lang w:eastAsia="pl-PL"/>
        </w:rPr>
        <w:t>ę</w:t>
      </w:r>
      <w:r w:rsidRPr="00077D7F">
        <w:rPr>
          <w:lang w:eastAsia="pl-PL"/>
        </w:rPr>
        <w:t>d</w:t>
      </w:r>
      <w:r w:rsidRPr="00077D7F">
        <w:rPr>
          <w:rFonts w:cs="Lato"/>
          <w:lang w:eastAsia="pl-PL"/>
        </w:rPr>
        <w:t>ą</w:t>
      </w:r>
      <w:r w:rsidRPr="00077D7F">
        <w:rPr>
          <w:lang w:eastAsia="pl-PL"/>
        </w:rPr>
        <w:t xml:space="preserve"> kolejne programy priorytetowe oferuj</w:t>
      </w:r>
      <w:r w:rsidRPr="00077D7F">
        <w:rPr>
          <w:rFonts w:cs="Lato"/>
          <w:lang w:eastAsia="pl-PL"/>
        </w:rPr>
        <w:t>ą</w:t>
      </w:r>
      <w:r w:rsidRPr="00077D7F">
        <w:rPr>
          <w:lang w:eastAsia="pl-PL"/>
        </w:rPr>
        <w:t>ce wsparcie dla inwestycji wpisuj</w:t>
      </w:r>
      <w:r w:rsidRPr="00077D7F">
        <w:rPr>
          <w:rFonts w:cs="Lato"/>
          <w:lang w:eastAsia="pl-PL"/>
        </w:rPr>
        <w:t>ą</w:t>
      </w:r>
      <w:r w:rsidRPr="00077D7F">
        <w:rPr>
          <w:lang w:eastAsia="pl-PL"/>
        </w:rPr>
        <w:t>cych si</w:t>
      </w:r>
      <w:r w:rsidRPr="00077D7F">
        <w:rPr>
          <w:rFonts w:cs="Lato"/>
          <w:lang w:eastAsia="pl-PL"/>
        </w:rPr>
        <w:t>ę</w:t>
      </w:r>
      <w:r w:rsidRPr="00077D7F">
        <w:rPr>
          <w:lang w:eastAsia="pl-PL"/>
        </w:rPr>
        <w:t xml:space="preserve"> te obszary.</w:t>
      </w:r>
      <w:r w:rsidRPr="00077D7F">
        <w:rPr>
          <w:rFonts w:cs="Lato"/>
          <w:lang w:eastAsia="pl-PL"/>
        </w:rPr>
        <w:t> </w:t>
      </w:r>
    </w:p>
    <w:p w14:paraId="1A3A97C2" w14:textId="4E18100D" w:rsidR="00491705" w:rsidRPr="00077D7F" w:rsidRDefault="00491705" w:rsidP="007E1076">
      <w:pPr>
        <w:rPr>
          <w:rFonts w:ascii="Times New Roman" w:hAnsi="Times New Roman"/>
          <w:sz w:val="24"/>
          <w:szCs w:val="24"/>
          <w:lang w:eastAsia="pl-PL"/>
        </w:rPr>
      </w:pPr>
      <w:r w:rsidRPr="00077D7F">
        <w:rPr>
          <w:lang w:eastAsia="pl-PL"/>
        </w:rPr>
        <w:t>W ramach innych działań zostały przedstawione istotne z</w:t>
      </w:r>
      <w:r w:rsidRPr="000F67C6">
        <w:t> </w:t>
      </w:r>
      <w:r w:rsidRPr="00077D7F">
        <w:rPr>
          <w:lang w:eastAsia="pl-PL"/>
        </w:rPr>
        <w:t>perspektywy Krajowego planu dzia</w:t>
      </w:r>
      <w:r w:rsidRPr="00077D7F">
        <w:rPr>
          <w:rFonts w:cs="Lato"/>
          <w:lang w:eastAsia="pl-PL"/>
        </w:rPr>
        <w:t>ł</w:t>
      </w:r>
      <w:r w:rsidRPr="00077D7F">
        <w:rPr>
          <w:lang w:eastAsia="pl-PL"/>
        </w:rPr>
        <w:t>ania finansowane przez Fundusz Modernizacyjny. Zakres wspieranych projektów powinien być zgodny z</w:t>
      </w:r>
      <w:r w:rsidR="00FA2A6A">
        <w:rPr>
          <w:lang w:eastAsia="pl-PL"/>
        </w:rPr>
        <w:t> </w:t>
      </w:r>
      <w:r w:rsidRPr="00077D7F">
        <w:rPr>
          <w:lang w:eastAsia="pl-PL"/>
        </w:rPr>
        <w:t>działaniami KPEiK.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7737A816" w14:textId="77777777" w:rsidTr="00F0417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4DCA9B8"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32B39AB6" wp14:editId="2F431973">
                  <wp:extent cx="622300" cy="622300"/>
                  <wp:effectExtent l="0" t="0" r="6350" b="6350"/>
                  <wp:docPr id="1257037777"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067D32F"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A1D75AA"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17E2E43A"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D385013" w14:textId="77777777" w:rsidR="00491705" w:rsidRPr="00077D7F"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464BAF2"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764D226"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 </w:t>
            </w:r>
          </w:p>
          <w:p w14:paraId="5FD50A61" w14:textId="77777777" w:rsidR="00491705" w:rsidRDefault="00491705" w:rsidP="000F67C6">
            <w:pPr>
              <w:spacing w:after="0" w:line="240" w:lineRule="auto"/>
              <w:jc w:val="left"/>
              <w:textAlignment w:val="baseline"/>
              <w:rPr>
                <w:rFonts w:eastAsia="Times New Roman" w:cs="Times New Roman"/>
                <w:color w:val="808080"/>
                <w:sz w:val="18"/>
                <w:szCs w:val="18"/>
                <w:lang w:eastAsia="pl-PL"/>
              </w:rPr>
            </w:pPr>
            <w:r w:rsidRPr="00077D7F">
              <w:rPr>
                <w:rFonts w:eastAsia="Times New Roman" w:cs="Times New Roman"/>
                <w:color w:val="808080"/>
                <w:sz w:val="18"/>
                <w:szCs w:val="18"/>
                <w:lang w:eastAsia="pl-PL"/>
              </w:rPr>
              <w:t>minister wł. ds. gospodarki surowcami energetycznymi </w:t>
            </w:r>
          </w:p>
          <w:p w14:paraId="41DEB56D" w14:textId="0DB62CE1" w:rsidR="00491705" w:rsidRPr="00077D7F" w:rsidRDefault="00491705" w:rsidP="000F67C6">
            <w:pPr>
              <w:spacing w:after="0" w:line="240" w:lineRule="auto"/>
              <w:jc w:val="left"/>
              <w:textAlignment w:val="baseline"/>
              <w:rPr>
                <w:rFonts w:ascii="Times New Roman" w:eastAsia="Times New Roman" w:hAnsi="Times New Roman" w:cs="Times New Roman"/>
                <w:sz w:val="24"/>
                <w:szCs w:val="24"/>
                <w:lang w:eastAsia="pl-PL"/>
              </w:rPr>
            </w:pPr>
          </w:p>
        </w:tc>
      </w:tr>
    </w:tbl>
    <w:p w14:paraId="765A3F70" w14:textId="6B256D16" w:rsidR="00491705" w:rsidRPr="008A084B" w:rsidRDefault="00491705" w:rsidP="00D523F3">
      <w:pPr>
        <w:pStyle w:val="Nagwek6"/>
      </w:pPr>
      <w:bookmarkStart w:id="895" w:name="_Toc195856521"/>
      <w:bookmarkStart w:id="896" w:name="_Ref195880698"/>
      <w:bookmarkStart w:id="897" w:name="_Ref195886830"/>
      <w:r w:rsidRPr="008A084B">
        <w:rPr>
          <w:rStyle w:val="Nagwek6Znak"/>
          <w:b/>
        </w:rPr>
        <w:t xml:space="preserve">Działanie </w:t>
      </w:r>
      <w:r w:rsidRPr="008A084B">
        <w:rPr>
          <w:rStyle w:val="Nagwek6Znak"/>
          <w:b/>
        </w:rPr>
        <w:fldChar w:fldCharType="begin"/>
      </w:r>
      <w:r w:rsidRPr="008A084B">
        <w:rPr>
          <w:rStyle w:val="Nagwek6Znak"/>
          <w:b/>
        </w:rPr>
        <w:instrText xml:space="preserve"> SEQ Działanie \* ARABIC </w:instrText>
      </w:r>
      <w:r w:rsidRPr="008A084B">
        <w:rPr>
          <w:rStyle w:val="Nagwek6Znak"/>
          <w:b/>
        </w:rPr>
        <w:fldChar w:fldCharType="separate"/>
      </w:r>
      <w:r w:rsidR="00871DD5">
        <w:rPr>
          <w:rStyle w:val="Nagwek6Znak"/>
          <w:b/>
          <w:noProof/>
        </w:rPr>
        <w:t>3</w:t>
      </w:r>
      <w:r w:rsidRPr="008A084B">
        <w:rPr>
          <w:rStyle w:val="Nagwek6Znak"/>
          <w:b/>
        </w:rPr>
        <w:fldChar w:fldCharType="end"/>
      </w:r>
      <w:r w:rsidRPr="008A084B">
        <w:rPr>
          <w:rStyle w:val="Nagwek6Znak"/>
          <w:b/>
        </w:rPr>
        <w:t>. Ograniczanie</w:t>
      </w:r>
      <w:r w:rsidRPr="008A084B">
        <w:t xml:space="preserve"> stosowani</w:t>
      </w:r>
      <w:r>
        <w:t>a</w:t>
      </w:r>
      <w:r w:rsidRPr="008A084B">
        <w:t xml:space="preserve"> fluorowanych gazów cieplarnianych.</w:t>
      </w:r>
      <w:bookmarkEnd w:id="895"/>
      <w:bookmarkEnd w:id="896"/>
      <w:bookmarkEnd w:id="897"/>
      <w:r w:rsidRPr="008A084B">
        <w:t> </w:t>
      </w:r>
    </w:p>
    <w:p w14:paraId="7F4098A1" w14:textId="32FACB9F" w:rsidR="00491705" w:rsidRPr="00BB495A" w:rsidRDefault="00491705" w:rsidP="000F67C6">
      <w:pPr>
        <w:spacing w:after="80"/>
        <w:rPr>
          <w:rFonts w:ascii="Times New Roman" w:hAnsi="Times New Roman"/>
          <w:sz w:val="24"/>
          <w:szCs w:val="24"/>
          <w:lang w:eastAsia="pl-PL"/>
        </w:rPr>
      </w:pPr>
      <w:r w:rsidRPr="00BB495A">
        <w:rPr>
          <w:lang w:eastAsia="pl-PL"/>
        </w:rPr>
        <w:t>Działanie dotyczy ograniczenia emisji fluorowanych gazów cieplarnianych (F-gazów) poprzez:</w:t>
      </w:r>
      <w:r w:rsidR="003E2DE5">
        <w:rPr>
          <w:rFonts w:eastAsia="Times New Roman" w:cs="Times New Roman"/>
          <w:lang w:eastAsia="pl-PL"/>
        </w:rPr>
        <w:t xml:space="preserve"> </w:t>
      </w:r>
    </w:p>
    <w:p w14:paraId="6C2C5CE2" w14:textId="28D38330" w:rsidR="00491705" w:rsidRPr="00BB495A" w:rsidRDefault="00491705" w:rsidP="000625AC">
      <w:pPr>
        <w:pStyle w:val="Akapitzlist"/>
        <w:numPr>
          <w:ilvl w:val="0"/>
          <w:numId w:val="136"/>
        </w:numPr>
        <w:tabs>
          <w:tab w:val="clear" w:pos="1069"/>
        </w:tabs>
        <w:ind w:left="567"/>
        <w:rPr>
          <w:lang w:eastAsia="pl-PL"/>
        </w:rPr>
      </w:pPr>
      <w:r w:rsidRPr="00BB495A">
        <w:rPr>
          <w:lang w:eastAsia="pl-PL"/>
        </w:rPr>
        <w:t xml:space="preserve">ograniczenie </w:t>
      </w:r>
      <w:r w:rsidRPr="009255E9">
        <w:rPr>
          <w:lang w:eastAsia="pl-PL"/>
        </w:rPr>
        <w:t xml:space="preserve">wprowadzenia do obrotu wodorofluorowęglowodorów (HFC), </w:t>
      </w:r>
      <w:r w:rsidRPr="00AD13AB">
        <w:rPr>
          <w:lang w:eastAsia="pl-PL"/>
        </w:rPr>
        <w:t>perfluorowęglo</w:t>
      </w:r>
      <w:r w:rsidR="00FA2A6A" w:rsidRPr="00AD13AB">
        <w:rPr>
          <w:lang w:eastAsia="pl-PL"/>
        </w:rPr>
        <w:t>-</w:t>
      </w:r>
      <w:r w:rsidRPr="00AD13AB">
        <w:rPr>
          <w:lang w:eastAsia="pl-PL"/>
        </w:rPr>
        <w:t xml:space="preserve">wodorów (PFC) i </w:t>
      </w:r>
      <w:r w:rsidRPr="009255E9">
        <w:rPr>
          <w:lang w:eastAsia="pl-PL"/>
        </w:rPr>
        <w:t>heksafluorku siarki (SF6), ale także innych fluorowanych substancji luzem oraz</w:t>
      </w:r>
      <w:r w:rsidR="00E618AB">
        <w:rPr>
          <w:lang w:eastAsia="pl-PL"/>
        </w:rPr>
        <w:t> </w:t>
      </w:r>
      <w:r w:rsidRPr="009255E9">
        <w:rPr>
          <w:lang w:eastAsia="pl-PL"/>
        </w:rPr>
        <w:t>zawartych w urzą</w:t>
      </w:r>
      <w:r w:rsidRPr="00BB495A">
        <w:rPr>
          <w:lang w:eastAsia="pl-PL"/>
        </w:rPr>
        <w:t>dzeniach i systemach,</w:t>
      </w:r>
      <w:r w:rsidR="00974007">
        <w:rPr>
          <w:rFonts w:eastAsia="Times New Roman" w:cs="Times New Roman"/>
          <w:lang w:eastAsia="pl-PL"/>
        </w:rPr>
        <w:t xml:space="preserve">  </w:t>
      </w:r>
    </w:p>
    <w:p w14:paraId="7CF448CD" w14:textId="555C8847" w:rsidR="00491705" w:rsidRPr="00BB495A" w:rsidRDefault="00491705" w:rsidP="000625AC">
      <w:pPr>
        <w:pStyle w:val="Akapitzlist"/>
        <w:numPr>
          <w:ilvl w:val="0"/>
          <w:numId w:val="136"/>
        </w:numPr>
        <w:tabs>
          <w:tab w:val="clear" w:pos="1069"/>
        </w:tabs>
        <w:ind w:left="567"/>
        <w:rPr>
          <w:lang w:eastAsia="pl-PL"/>
        </w:rPr>
      </w:pPr>
      <w:r w:rsidRPr="00BB495A">
        <w:rPr>
          <w:lang w:eastAsia="pl-PL"/>
        </w:rPr>
        <w:lastRenderedPageBreak/>
        <w:t>wymóg prawny dotyczący prowadzenia terminowych kontroli szczelności oraz dokumentacji (w</w:t>
      </w:r>
      <w:r w:rsidR="00FA2A6A">
        <w:rPr>
          <w:lang w:eastAsia="pl-PL"/>
        </w:rPr>
        <w:t> </w:t>
      </w:r>
      <w:r w:rsidRPr="00BB495A">
        <w:rPr>
          <w:lang w:eastAsia="pl-PL"/>
        </w:rPr>
        <w:t>Centralnym Rejestrze Operatorów),</w:t>
      </w:r>
      <w:r w:rsidR="00974007">
        <w:rPr>
          <w:rFonts w:eastAsia="Times New Roman" w:cs="Times New Roman"/>
          <w:lang w:eastAsia="pl-PL"/>
        </w:rPr>
        <w:t xml:space="preserve">  </w:t>
      </w:r>
    </w:p>
    <w:p w14:paraId="4299E6AB" w14:textId="59E4DC57" w:rsidR="00491705" w:rsidRPr="00BB495A" w:rsidRDefault="00491705" w:rsidP="000625AC">
      <w:pPr>
        <w:pStyle w:val="Akapitzlist"/>
        <w:numPr>
          <w:ilvl w:val="0"/>
          <w:numId w:val="136"/>
        </w:numPr>
        <w:tabs>
          <w:tab w:val="clear" w:pos="1069"/>
        </w:tabs>
        <w:ind w:left="567"/>
        <w:rPr>
          <w:lang w:eastAsia="pl-PL"/>
        </w:rPr>
      </w:pPr>
      <w:r w:rsidRPr="00BB495A">
        <w:rPr>
          <w:lang w:eastAsia="pl-PL"/>
        </w:rPr>
        <w:t>zakaz obrotu F-gazów w pojemnikach jednorazowego użytku,</w:t>
      </w:r>
      <w:r w:rsidR="00974007">
        <w:rPr>
          <w:rFonts w:eastAsia="Times New Roman" w:cs="Times New Roman"/>
          <w:lang w:eastAsia="pl-PL"/>
        </w:rPr>
        <w:t xml:space="preserve">  </w:t>
      </w:r>
    </w:p>
    <w:p w14:paraId="25331440" w14:textId="3BE5D98F" w:rsidR="00491705" w:rsidRPr="00BB495A" w:rsidRDefault="00491705" w:rsidP="000625AC">
      <w:pPr>
        <w:pStyle w:val="Akapitzlist"/>
        <w:numPr>
          <w:ilvl w:val="0"/>
          <w:numId w:val="136"/>
        </w:numPr>
        <w:tabs>
          <w:tab w:val="clear" w:pos="1069"/>
        </w:tabs>
        <w:ind w:left="567"/>
        <w:rPr>
          <w:lang w:eastAsia="pl-PL"/>
        </w:rPr>
      </w:pPr>
      <w:r w:rsidRPr="00BB495A">
        <w:rPr>
          <w:lang w:eastAsia="pl-PL"/>
        </w:rPr>
        <w:t>wymóg odzysku F-gazów przez certyfikowany personel,</w:t>
      </w:r>
      <w:r w:rsidR="00974007">
        <w:rPr>
          <w:rFonts w:eastAsia="Times New Roman" w:cs="Times New Roman"/>
          <w:lang w:eastAsia="pl-PL"/>
        </w:rPr>
        <w:t xml:space="preserve">  </w:t>
      </w:r>
    </w:p>
    <w:p w14:paraId="339CA4D5" w14:textId="5B924B6D" w:rsidR="00491705" w:rsidRPr="00BB495A" w:rsidRDefault="00491705" w:rsidP="000625AC">
      <w:pPr>
        <w:pStyle w:val="Akapitzlist"/>
        <w:numPr>
          <w:ilvl w:val="0"/>
          <w:numId w:val="136"/>
        </w:numPr>
        <w:tabs>
          <w:tab w:val="clear" w:pos="1069"/>
        </w:tabs>
        <w:ind w:left="567"/>
        <w:rPr>
          <w:lang w:eastAsia="pl-PL"/>
        </w:rPr>
      </w:pPr>
      <w:r w:rsidRPr="00BB495A">
        <w:rPr>
          <w:lang w:eastAsia="pl-PL"/>
        </w:rPr>
        <w:t>stosowanie czynników pochodzących z regeneracji lub recyklingu zamiast czynników pierwotnych,</w:t>
      </w:r>
      <w:r w:rsidR="003E2DE5">
        <w:rPr>
          <w:rFonts w:eastAsia="Times New Roman" w:cs="Times New Roman"/>
          <w:lang w:eastAsia="pl-PL"/>
        </w:rPr>
        <w:t xml:space="preserve"> </w:t>
      </w:r>
    </w:p>
    <w:p w14:paraId="1B6C4118" w14:textId="166477BB" w:rsidR="00491705" w:rsidRPr="00BB495A" w:rsidRDefault="00491705" w:rsidP="000625AC">
      <w:pPr>
        <w:pStyle w:val="Akapitzlist"/>
        <w:numPr>
          <w:ilvl w:val="0"/>
          <w:numId w:val="136"/>
        </w:numPr>
        <w:tabs>
          <w:tab w:val="clear" w:pos="1069"/>
        </w:tabs>
        <w:ind w:left="567"/>
        <w:rPr>
          <w:lang w:eastAsia="pl-PL"/>
        </w:rPr>
      </w:pPr>
      <w:r w:rsidRPr="00BB495A">
        <w:rPr>
          <w:lang w:eastAsia="pl-PL"/>
        </w:rPr>
        <w:t>obowiązek certyfikacji personelu i podmiotów gospodarczych,</w:t>
      </w:r>
      <w:r w:rsidR="003E2DE5">
        <w:rPr>
          <w:rFonts w:eastAsia="Times New Roman" w:cs="Times New Roman"/>
          <w:lang w:eastAsia="pl-PL"/>
        </w:rPr>
        <w:t xml:space="preserve"> </w:t>
      </w:r>
    </w:p>
    <w:p w14:paraId="2309F4A9" w14:textId="77777777" w:rsidR="00491705" w:rsidRPr="00BB495A" w:rsidRDefault="00491705" w:rsidP="000625AC">
      <w:pPr>
        <w:pStyle w:val="Akapitzlist"/>
        <w:numPr>
          <w:ilvl w:val="0"/>
          <w:numId w:val="136"/>
        </w:numPr>
        <w:tabs>
          <w:tab w:val="clear" w:pos="1069"/>
        </w:tabs>
        <w:ind w:left="567"/>
        <w:rPr>
          <w:lang w:eastAsia="pl-PL"/>
        </w:rPr>
      </w:pPr>
      <w:r w:rsidRPr="00BB495A">
        <w:rPr>
          <w:lang w:eastAsia="pl-PL"/>
        </w:rPr>
        <w:t>wymogów sprawozdawczości (krajowej i unijnej), </w:t>
      </w:r>
    </w:p>
    <w:p w14:paraId="4FFBC10C" w14:textId="77777777" w:rsidR="00491705" w:rsidRPr="00BB495A" w:rsidRDefault="00491705" w:rsidP="000625AC">
      <w:pPr>
        <w:pStyle w:val="Akapitzlist"/>
        <w:numPr>
          <w:ilvl w:val="0"/>
          <w:numId w:val="136"/>
        </w:numPr>
        <w:tabs>
          <w:tab w:val="clear" w:pos="1069"/>
        </w:tabs>
        <w:ind w:left="567"/>
        <w:rPr>
          <w:lang w:eastAsia="pl-PL"/>
        </w:rPr>
      </w:pPr>
      <w:r w:rsidRPr="00BB495A">
        <w:rPr>
          <w:lang w:eastAsia="pl-PL"/>
        </w:rPr>
        <w:t>obowiązek licencjonowania, </w:t>
      </w:r>
    </w:p>
    <w:p w14:paraId="0829D868" w14:textId="7BD828A0" w:rsidR="00491705" w:rsidRPr="00BB495A" w:rsidRDefault="00491705" w:rsidP="000625AC">
      <w:pPr>
        <w:pStyle w:val="Akapitzlist"/>
        <w:numPr>
          <w:ilvl w:val="0"/>
          <w:numId w:val="136"/>
        </w:numPr>
        <w:tabs>
          <w:tab w:val="clear" w:pos="1069"/>
        </w:tabs>
        <w:ind w:left="567"/>
        <w:rPr>
          <w:lang w:eastAsia="pl-PL"/>
        </w:rPr>
      </w:pPr>
      <w:r w:rsidRPr="00BB495A">
        <w:rPr>
          <w:lang w:eastAsia="pl-PL"/>
        </w:rPr>
        <w:t>obowiązek etykietowania,</w:t>
      </w:r>
      <w:r w:rsidR="00974007">
        <w:rPr>
          <w:rFonts w:eastAsia="Times New Roman" w:cs="Times New Roman"/>
          <w:lang w:eastAsia="pl-PL"/>
        </w:rPr>
        <w:t xml:space="preserve">  </w:t>
      </w:r>
    </w:p>
    <w:p w14:paraId="485FC89A" w14:textId="2E9B6E9F" w:rsidR="00491705" w:rsidRPr="00BB495A" w:rsidRDefault="00491705" w:rsidP="000625AC">
      <w:pPr>
        <w:pStyle w:val="Akapitzlist"/>
        <w:numPr>
          <w:ilvl w:val="0"/>
          <w:numId w:val="136"/>
        </w:numPr>
        <w:tabs>
          <w:tab w:val="clear" w:pos="1069"/>
        </w:tabs>
        <w:ind w:left="567"/>
        <w:rPr>
          <w:lang w:eastAsia="pl-PL"/>
        </w:rPr>
      </w:pPr>
      <w:r w:rsidRPr="00BB495A">
        <w:rPr>
          <w:lang w:eastAsia="pl-PL"/>
        </w:rPr>
        <w:t>mechanizm przydziału kontyngentów na F-gazy,</w:t>
      </w:r>
      <w:r w:rsidR="00974007">
        <w:rPr>
          <w:rFonts w:eastAsia="Times New Roman" w:cs="Times New Roman"/>
          <w:lang w:eastAsia="pl-PL"/>
        </w:rPr>
        <w:t xml:space="preserve">  </w:t>
      </w:r>
    </w:p>
    <w:p w14:paraId="0BE38CFC" w14:textId="780B1E70" w:rsidR="00491705" w:rsidRPr="00E07C7E" w:rsidRDefault="00491705" w:rsidP="000625AC">
      <w:pPr>
        <w:pStyle w:val="Akapitzlist"/>
        <w:numPr>
          <w:ilvl w:val="0"/>
          <w:numId w:val="136"/>
        </w:numPr>
        <w:tabs>
          <w:tab w:val="clear" w:pos="1069"/>
        </w:tabs>
        <w:ind w:left="567"/>
        <w:rPr>
          <w:lang w:eastAsia="pl-PL"/>
        </w:rPr>
      </w:pPr>
      <w:r w:rsidRPr="00BB495A">
        <w:rPr>
          <w:lang w:eastAsia="pl-PL"/>
        </w:rPr>
        <w:t>zakaz stosowania F-gazów pierwotnych o określonym GWP (</w:t>
      </w:r>
      <w:r w:rsidR="002223C2">
        <w:rPr>
          <w:lang w:eastAsia="pl-PL"/>
        </w:rPr>
        <w:t>wskaźnik</w:t>
      </w:r>
      <w:r w:rsidR="002223C2" w:rsidRPr="00BB495A">
        <w:rPr>
          <w:lang w:eastAsia="pl-PL"/>
        </w:rPr>
        <w:t xml:space="preserve"> </w:t>
      </w:r>
      <w:r w:rsidRPr="00BB495A">
        <w:rPr>
          <w:lang w:eastAsia="pl-PL"/>
        </w:rPr>
        <w:t>globalnego ocieplenia, ang.</w:t>
      </w:r>
      <w:r w:rsidR="00E618AB">
        <w:rPr>
          <w:lang w:eastAsia="pl-PL"/>
        </w:rPr>
        <w:t> </w:t>
      </w:r>
      <w:r w:rsidRPr="00FA2A6A">
        <w:rPr>
          <w:i/>
          <w:iCs/>
          <w:lang w:eastAsia="pl-PL"/>
        </w:rPr>
        <w:t>global warming potential</w:t>
      </w:r>
      <w:r w:rsidRPr="00BB495A">
        <w:rPr>
          <w:lang w:eastAsia="pl-PL"/>
        </w:rPr>
        <w:t>) do serwisowania lub konserwacji m.in. urządzeń chłodniczych, a</w:t>
      </w:r>
      <w:r w:rsidR="00E618AB">
        <w:rPr>
          <w:lang w:eastAsia="pl-PL"/>
        </w:rPr>
        <w:t> </w:t>
      </w:r>
      <w:r w:rsidRPr="00BB495A">
        <w:rPr>
          <w:lang w:eastAsia="pl-PL"/>
        </w:rPr>
        <w:t>także urządzeń klimatyzacyjnych i pomp ciepła oraz innych, zgodnie z załącznikiem nr 4 do</w:t>
      </w:r>
      <w:r w:rsidR="00E618AB">
        <w:rPr>
          <w:lang w:eastAsia="pl-PL"/>
        </w:rPr>
        <w:t> </w:t>
      </w:r>
      <w:r w:rsidRPr="00BB495A">
        <w:rPr>
          <w:lang w:eastAsia="pl-PL"/>
        </w:rPr>
        <w:t xml:space="preserve">rozporządzenia </w:t>
      </w:r>
      <w:r w:rsidR="00FA2A6A">
        <w:rPr>
          <w:lang w:eastAsia="pl-PL"/>
        </w:rPr>
        <w:t xml:space="preserve">PE </w:t>
      </w:r>
      <w:r w:rsidRPr="00BB495A">
        <w:rPr>
          <w:lang w:eastAsia="pl-PL"/>
        </w:rPr>
        <w:t>i Rady (UE) 2024/573 z dnia 7 lutego 2024 r. w sprawie fluorowanych gazów cieplarnianych.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276E16D4" w14:textId="77777777" w:rsidTr="00F0417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33A445C3" w14:textId="77777777" w:rsidR="00491705" w:rsidRPr="00E07C7E" w:rsidRDefault="00491705" w:rsidP="007C7AF9">
            <w:pPr>
              <w:spacing w:after="0" w:line="240" w:lineRule="auto"/>
              <w:textAlignment w:val="baseline"/>
              <w:rPr>
                <w:rFonts w:ascii="Times New Roman" w:eastAsia="Times New Roman" w:hAnsi="Times New Roman" w:cs="Times New Roman"/>
                <w:sz w:val="24"/>
                <w:szCs w:val="24"/>
                <w:lang w:eastAsia="pl-PL"/>
              </w:rPr>
            </w:pPr>
            <w:r w:rsidRPr="00BB495A">
              <w:rPr>
                <w:noProof/>
                <w:lang w:eastAsia="pl-PL"/>
              </w:rPr>
              <w:drawing>
                <wp:inline distT="0" distB="0" distL="0" distR="0" wp14:anchorId="3C3428BE" wp14:editId="380BE44E">
                  <wp:extent cx="622300" cy="622300"/>
                  <wp:effectExtent l="0" t="0" r="6350" b="6350"/>
                  <wp:docPr id="587436600"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E07C7E">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01515B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3EFF3F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565182" w14:paraId="5F334782"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56E9849"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ED4F71F" w14:textId="7DA82BD2"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xml:space="preserve">minister wł. ds. </w:t>
            </w:r>
            <w:r w:rsidR="006E44DA" w:rsidRPr="006E44DA">
              <w:rPr>
                <w:rFonts w:eastAsia="Times New Roman" w:cs="Times New Roman"/>
                <w:color w:val="808080"/>
                <w:sz w:val="18"/>
                <w:szCs w:val="18"/>
                <w:lang w:eastAsia="pl-PL"/>
              </w:rPr>
              <w:t>klimatu</w:t>
            </w:r>
            <w:r w:rsidR="00974007">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B19287F" w14:textId="673808F5" w:rsidR="00491705" w:rsidRPr="00565182" w:rsidRDefault="009B3492">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w:t>
            </w:r>
          </w:p>
        </w:tc>
      </w:tr>
    </w:tbl>
    <w:p w14:paraId="4D4B28FB" w14:textId="4C03D74B" w:rsidR="00491705" w:rsidRDefault="00491705" w:rsidP="003A7777">
      <w:pPr>
        <w:spacing w:before="240" w:line="240" w:lineRule="auto"/>
        <w:textAlignment w:val="baseline"/>
        <w:rPr>
          <w:rFonts w:eastAsia="Times New Roman" w:cs="Times New Roman"/>
          <w:lang w:eastAsia="pl-PL"/>
        </w:rPr>
      </w:pPr>
    </w:p>
    <w:tbl>
      <w:tblPr>
        <w:tblStyle w:val="Tabela-Siatka"/>
        <w:tblW w:w="9356" w:type="dxa"/>
        <w:tblInd w:w="-14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0B2576" w14:paraId="4CEEBBDE" w14:textId="77777777" w:rsidTr="007F5B1D">
        <w:tc>
          <w:tcPr>
            <w:tcW w:w="9356" w:type="dxa"/>
          </w:tcPr>
          <w:p w14:paraId="10F61E22" w14:textId="7195B768" w:rsidR="000B2576" w:rsidRPr="00987AA2" w:rsidRDefault="000B2576" w:rsidP="007F5B1D">
            <w:pPr>
              <w:spacing w:before="240" w:after="240"/>
              <w:jc w:val="center"/>
              <w:rPr>
                <w:b/>
                <w:bCs/>
                <w:sz w:val="48"/>
                <w:szCs w:val="48"/>
              </w:rPr>
            </w:pPr>
            <w:r>
              <w:rPr>
                <w:b/>
                <w:bCs/>
                <w:color w:val="808080" w:themeColor="background1" w:themeShade="80"/>
                <w:sz w:val="48"/>
                <w:szCs w:val="48"/>
              </w:rPr>
              <w:t>Elektroenergetyka, ciepłownictwo</w:t>
            </w:r>
          </w:p>
        </w:tc>
      </w:tr>
    </w:tbl>
    <w:p w14:paraId="2BF4707D" w14:textId="2ADA3090" w:rsidR="00491705" w:rsidRPr="00544917" w:rsidRDefault="00491705" w:rsidP="00D523F3">
      <w:pPr>
        <w:pStyle w:val="Nagwek6"/>
      </w:pPr>
      <w:bookmarkStart w:id="898" w:name="_Toc195856522"/>
      <w:bookmarkStart w:id="899" w:name="_Ref195879032"/>
      <w:bookmarkStart w:id="900" w:name="_Ref195881624"/>
      <w:r w:rsidRPr="00544917">
        <w:rPr>
          <w:rStyle w:val="Nagwek6Znak"/>
          <w:b/>
        </w:rPr>
        <w:t xml:space="preserve">Działanie </w:t>
      </w:r>
      <w:r w:rsidRPr="00544917">
        <w:rPr>
          <w:rStyle w:val="Nagwek6Znak"/>
          <w:b/>
        </w:rPr>
        <w:fldChar w:fldCharType="begin"/>
      </w:r>
      <w:r w:rsidRPr="00544917">
        <w:rPr>
          <w:rStyle w:val="Nagwek6Znak"/>
          <w:b/>
        </w:rPr>
        <w:instrText xml:space="preserve"> SEQ Działanie \* ARABIC </w:instrText>
      </w:r>
      <w:r w:rsidRPr="00544917">
        <w:rPr>
          <w:rStyle w:val="Nagwek6Znak"/>
          <w:b/>
        </w:rPr>
        <w:fldChar w:fldCharType="separate"/>
      </w:r>
      <w:r w:rsidR="00871DD5">
        <w:rPr>
          <w:rStyle w:val="Nagwek6Znak"/>
          <w:b/>
          <w:noProof/>
        </w:rPr>
        <w:t>4</w:t>
      </w:r>
      <w:r w:rsidRPr="00544917">
        <w:rPr>
          <w:rStyle w:val="Nagwek6Znak"/>
          <w:b/>
        </w:rPr>
        <w:fldChar w:fldCharType="end"/>
      </w:r>
      <w:r>
        <w:rPr>
          <w:rStyle w:val="Nagwek6Znak"/>
          <w:b/>
        </w:rPr>
        <w:t>.</w:t>
      </w:r>
      <w:r w:rsidRPr="00544917">
        <w:t xml:space="preserve"> Instrument finansowy – obowiązek zakupu energii elektrycznej wytwarzanej w</w:t>
      </w:r>
      <w:r w:rsidRPr="00544917">
        <w:rPr>
          <w:rFonts w:ascii="Arial" w:hAnsi="Arial" w:cs="Arial"/>
        </w:rPr>
        <w:t> </w:t>
      </w:r>
      <w:r w:rsidRPr="00544917">
        <w:t>instalacjach OZE (z określonym progiem mocy)</w:t>
      </w:r>
      <w:bookmarkEnd w:id="898"/>
      <w:bookmarkEnd w:id="899"/>
      <w:bookmarkEnd w:id="900"/>
      <w:r w:rsidRPr="00544917">
        <w:t> </w:t>
      </w:r>
    </w:p>
    <w:p w14:paraId="5B8C4612" w14:textId="5D9B98B6" w:rsidR="00491705" w:rsidRPr="0096716D" w:rsidRDefault="00491705" w:rsidP="003A7777">
      <w:pPr>
        <w:rPr>
          <w:rFonts w:ascii="Times New Roman" w:hAnsi="Times New Roman"/>
          <w:sz w:val="24"/>
          <w:szCs w:val="24"/>
          <w:lang w:eastAsia="pl-PL"/>
        </w:rPr>
      </w:pPr>
      <w:r w:rsidRPr="0096716D">
        <w:rPr>
          <w:lang w:eastAsia="pl-PL"/>
        </w:rPr>
        <w:t xml:space="preserve">Działanie polega na obowiązku zakupu energii z instalacji OZE poniżej 500 kW przez zobowiązanego sprzedawcę. Sprzedawcą zobowiązanym określamy podmiot, który musi kupić i rozliczyć energię </w:t>
      </w:r>
      <w:r w:rsidR="00935603">
        <w:rPr>
          <w:lang w:eastAsia="pl-PL"/>
        </w:rPr>
        <w:t xml:space="preserve">elektryczną </w:t>
      </w:r>
      <w:r w:rsidRPr="0096716D">
        <w:rPr>
          <w:lang w:eastAsia="pl-PL"/>
        </w:rPr>
        <w:t>pochodzącą z odnawialnych źródeł energii. Listę sprzedawców zobowiązanych publikuje co</w:t>
      </w:r>
      <w:r w:rsidR="00E618AB">
        <w:rPr>
          <w:lang w:eastAsia="pl-PL"/>
        </w:rPr>
        <w:t> </w:t>
      </w:r>
      <w:r w:rsidRPr="0096716D">
        <w:rPr>
          <w:lang w:eastAsia="pl-PL"/>
        </w:rPr>
        <w:t>roku Prezes Urzędu Regulacji Energetyki.</w:t>
      </w:r>
      <w:r w:rsidR="003E2DE5">
        <w:rPr>
          <w:rFonts w:eastAsia="Times New Roman" w:cs="Times New Roman"/>
          <w:lang w:eastAsia="pl-PL"/>
        </w:rPr>
        <w:t xml:space="preserve"> </w:t>
      </w:r>
    </w:p>
    <w:p w14:paraId="2F691880" w14:textId="6BBC8C19" w:rsidR="00491705" w:rsidRPr="0096716D" w:rsidRDefault="00491705" w:rsidP="000B2576">
      <w:pPr>
        <w:rPr>
          <w:rFonts w:ascii="Times New Roman" w:hAnsi="Times New Roman"/>
          <w:sz w:val="24"/>
          <w:szCs w:val="24"/>
          <w:lang w:eastAsia="pl-PL"/>
        </w:rPr>
      </w:pPr>
      <w:r w:rsidRPr="0096716D">
        <w:rPr>
          <w:lang w:eastAsia="pl-PL"/>
        </w:rPr>
        <w:t>W związku ze zmianą przepisów rozporządzenia Komisji (UE) 2023/1315 z dnia 23 czerwca 2023 r. zmieniającego rozporządzenie (UE) nr 651/2014 uznającego niektóre rodzaje pomocy za zgodne z</w:t>
      </w:r>
      <w:r w:rsidRPr="0096716D">
        <w:rPr>
          <w:rFonts w:ascii="Arial" w:hAnsi="Arial" w:cs="Arial"/>
          <w:lang w:eastAsia="pl-PL"/>
        </w:rPr>
        <w:t> </w:t>
      </w:r>
      <w:r w:rsidRPr="0096716D">
        <w:rPr>
          <w:lang w:eastAsia="pl-PL"/>
        </w:rPr>
        <w:t>rynkiem wewn</w:t>
      </w:r>
      <w:r w:rsidRPr="0096716D">
        <w:rPr>
          <w:rFonts w:cs="Lato"/>
          <w:lang w:eastAsia="pl-PL"/>
        </w:rPr>
        <w:t>ę</w:t>
      </w:r>
      <w:r w:rsidRPr="0096716D">
        <w:rPr>
          <w:lang w:eastAsia="pl-PL"/>
        </w:rPr>
        <w:t>trznym w zastosowaniu art. 107 i 108 Traktatu oraz rozporz</w:t>
      </w:r>
      <w:r w:rsidRPr="0096716D">
        <w:rPr>
          <w:rFonts w:cs="Lato"/>
          <w:lang w:eastAsia="pl-PL"/>
        </w:rPr>
        <w:t>ą</w:t>
      </w:r>
      <w:r w:rsidRPr="0096716D">
        <w:rPr>
          <w:lang w:eastAsia="pl-PL"/>
        </w:rPr>
        <w:t>dzenia (UE) 2022/2473 planowane jest obni</w:t>
      </w:r>
      <w:r w:rsidRPr="0096716D">
        <w:rPr>
          <w:rFonts w:cs="Lato"/>
          <w:lang w:eastAsia="pl-PL"/>
        </w:rPr>
        <w:t>ż</w:t>
      </w:r>
      <w:r w:rsidRPr="0096716D">
        <w:rPr>
          <w:lang w:eastAsia="pl-PL"/>
        </w:rPr>
        <w:t>enie progu mocy zainstalowanej elektrycznej dla instalacji obj</w:t>
      </w:r>
      <w:r w:rsidRPr="0096716D">
        <w:rPr>
          <w:rFonts w:cs="Lato"/>
          <w:lang w:eastAsia="pl-PL"/>
        </w:rPr>
        <w:t>ę</w:t>
      </w:r>
      <w:r w:rsidRPr="0096716D">
        <w:rPr>
          <w:lang w:eastAsia="pl-PL"/>
        </w:rPr>
        <w:t>tej tym mechanizmem z 400 kW do 200 kW od dnia 1 stycznia 2026 r.</w:t>
      </w:r>
      <w:r w:rsidR="003E2DE5">
        <w:rPr>
          <w:rFonts w:eastAsia="Times New Roman" w:cs="Lato"/>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96716D" w14:paraId="0EFAD12D" w14:textId="77777777" w:rsidTr="00F0417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DDDB8E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111BA378" wp14:editId="6C5AE8C4">
                  <wp:extent cx="617220" cy="617220"/>
                  <wp:effectExtent l="0" t="0" r="0" b="0"/>
                  <wp:docPr id="44" name="Obraz 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E0C081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E9ED915"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2DF3086F"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73756F5"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10FC3E8"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4DB5906"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Prezes URE </w:t>
            </w:r>
          </w:p>
        </w:tc>
      </w:tr>
    </w:tbl>
    <w:p w14:paraId="5F974837" w14:textId="0E093159"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01" w:name="_Toc195856523"/>
      <w:bookmarkStart w:id="902" w:name="_Ref195879037"/>
      <w:bookmarkStart w:id="903" w:name="_Ref195881636"/>
      <w:r>
        <w:t xml:space="preserve">Działanie </w:t>
      </w:r>
      <w:r>
        <w:fldChar w:fldCharType="begin"/>
      </w:r>
      <w:r>
        <w:instrText>SEQ Działanie \* ARABIC</w:instrText>
      </w:r>
      <w:r>
        <w:fldChar w:fldCharType="separate"/>
      </w:r>
      <w:r w:rsidR="00871DD5">
        <w:rPr>
          <w:noProof/>
        </w:rPr>
        <w:t>5</w:t>
      </w:r>
      <w:r>
        <w:fldChar w:fldCharType="end"/>
      </w:r>
      <w:r>
        <w:t xml:space="preserve">. </w:t>
      </w:r>
      <w:r w:rsidRPr="00AF1A69">
        <w:t>Instrument finansowy – system świadectw pochodzenia OZE</w:t>
      </w:r>
      <w:bookmarkEnd w:id="901"/>
      <w:bookmarkEnd w:id="902"/>
      <w:bookmarkEnd w:id="903"/>
      <w:r w:rsidRPr="0096716D">
        <w:rPr>
          <w:rFonts w:eastAsia="Times New Roman" w:cs="Times New Roman"/>
          <w:bCs/>
          <w:color w:val="000000"/>
          <w:lang w:eastAsia="pl-PL"/>
        </w:rPr>
        <w:t xml:space="preserve"> </w:t>
      </w:r>
    </w:p>
    <w:p w14:paraId="49BA412B" w14:textId="353E58DB" w:rsidR="00491705" w:rsidRPr="0096716D" w:rsidRDefault="00491705" w:rsidP="000B2576">
      <w:pPr>
        <w:rPr>
          <w:rFonts w:ascii="Times New Roman" w:hAnsi="Times New Roman"/>
          <w:sz w:val="24"/>
          <w:szCs w:val="24"/>
          <w:lang w:eastAsia="pl-PL"/>
        </w:rPr>
      </w:pPr>
      <w:r w:rsidRPr="0096716D">
        <w:rPr>
          <w:lang w:eastAsia="pl-PL"/>
        </w:rPr>
        <w:t>Wytwórcy energii w OZE, którzy uruchomili swoje instalacje przed 1 lipca 2016 r., są uprawnieni do</w:t>
      </w:r>
      <w:r w:rsidR="00FD4D6D">
        <w:rPr>
          <w:lang w:eastAsia="pl-PL"/>
        </w:rPr>
        <w:t> </w:t>
      </w:r>
      <w:r w:rsidRPr="0096716D">
        <w:rPr>
          <w:lang w:eastAsia="pl-PL"/>
        </w:rPr>
        <w:t xml:space="preserve">otrzymania wsparcia w postaci tzw. certyfikatów, czyli </w:t>
      </w:r>
      <w:r w:rsidRPr="00B84310">
        <w:rPr>
          <w:i/>
          <w:iCs/>
          <w:lang w:eastAsia="pl-PL"/>
        </w:rPr>
        <w:t>praw majątkowych</w:t>
      </w:r>
      <w:r w:rsidRPr="0096716D">
        <w:rPr>
          <w:lang w:eastAsia="pl-PL"/>
        </w:rPr>
        <w:t xml:space="preserve"> do świadectw pochodzenia </w:t>
      </w:r>
      <w:r w:rsidR="00F04173">
        <w:rPr>
          <w:lang w:eastAsia="pl-PL"/>
        </w:rPr>
        <w:t xml:space="preserve">energii elektrycznej z </w:t>
      </w:r>
      <w:r w:rsidRPr="0096716D">
        <w:rPr>
          <w:lang w:eastAsia="pl-PL"/>
        </w:rPr>
        <w:t>OZE. Certyfikaty powstają w wyniku rejestracji tychże świadectw w</w:t>
      </w:r>
      <w:r w:rsidR="00F04173">
        <w:rPr>
          <w:lang w:eastAsia="pl-PL"/>
        </w:rPr>
        <w:t> </w:t>
      </w:r>
      <w:r w:rsidRPr="0096716D">
        <w:rPr>
          <w:lang w:eastAsia="pl-PL"/>
        </w:rPr>
        <w:t xml:space="preserve">rejestrze prowadzonym przez Towarową Giełdę Energii. Certyfikaty podlegają również obrotowi na Towarowej Giełdzie Energii, gdzie są kupowane przez odbiorców i przedsiębiorstwa energetyczne zobowiązane </w:t>
      </w:r>
      <w:r w:rsidRPr="0096716D">
        <w:rPr>
          <w:lang w:eastAsia="pl-PL"/>
        </w:rPr>
        <w:lastRenderedPageBreak/>
        <w:t>ustawowo do umorzenia świadectw pochodzenia OZE. Wysokość obowiązku jest ustalana rozporządzeniem ministra właściwego ds. energii względem energii zużytej na własne potrzeby lub sprzedanej odbiorcom końcowym. Wsparcie w postaci certyfikatów przysługuje wytwórcom przez okres maksymalnie 15 lat, nie</w:t>
      </w:r>
      <w:r w:rsidRPr="000B2576">
        <w:rPr>
          <w:rFonts w:ascii="Arial" w:hAnsi="Arial"/>
        </w:rPr>
        <w:t> </w:t>
      </w:r>
      <w:r w:rsidRPr="0096716D">
        <w:rPr>
          <w:lang w:eastAsia="pl-PL"/>
        </w:rPr>
        <w:t>d</w:t>
      </w:r>
      <w:r w:rsidRPr="0096716D">
        <w:rPr>
          <w:rFonts w:cs="Lato"/>
          <w:lang w:eastAsia="pl-PL"/>
        </w:rPr>
        <w:t>ł</w:t>
      </w:r>
      <w:r w:rsidRPr="0096716D">
        <w:rPr>
          <w:lang w:eastAsia="pl-PL"/>
        </w:rPr>
        <w:t>u</w:t>
      </w:r>
      <w:r w:rsidRPr="0096716D">
        <w:rPr>
          <w:rFonts w:cs="Lato"/>
          <w:lang w:eastAsia="pl-PL"/>
        </w:rPr>
        <w:t>ż</w:t>
      </w:r>
      <w:r w:rsidRPr="0096716D">
        <w:rPr>
          <w:lang w:eastAsia="pl-PL"/>
        </w:rPr>
        <w:t>ej ni</w:t>
      </w:r>
      <w:r w:rsidRPr="0096716D">
        <w:rPr>
          <w:rFonts w:cs="Lato"/>
          <w:lang w:eastAsia="pl-PL"/>
        </w:rPr>
        <w:t>ż</w:t>
      </w:r>
      <w:r w:rsidRPr="0096716D">
        <w:rPr>
          <w:lang w:eastAsia="pl-PL"/>
        </w:rPr>
        <w:t xml:space="preserve"> do 30 czerwca 2031 r.</w:t>
      </w:r>
      <w:r w:rsidRPr="0096716D">
        <w:rPr>
          <w:rFonts w:cs="Lato"/>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96716D" w14:paraId="4B9F0BC9" w14:textId="77777777" w:rsidTr="00F0417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962EAA3"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76A08D8D" wp14:editId="08635F39">
                  <wp:extent cx="617220" cy="617220"/>
                  <wp:effectExtent l="0" t="0" r="0" b="0"/>
                  <wp:docPr id="45" name="Obraz 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right w:val="dashSmallGap" w:sz="4" w:space="0" w:color="D9D9D9"/>
            </w:tcBorders>
            <w:hideMark/>
          </w:tcPr>
          <w:p w14:paraId="32D024C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bottom w:val="dashSmallGap" w:sz="4" w:space="0" w:color="D9D9D9"/>
              <w:right w:val="dashed" w:sz="12" w:space="0" w:color="FFFFFF"/>
            </w:tcBorders>
            <w:hideMark/>
          </w:tcPr>
          <w:p w14:paraId="76202E59"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49DC900F"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F93F6D0"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left w:val="dashed" w:sz="12" w:space="0" w:color="FFFFFF"/>
              <w:bottom w:val="dashed" w:sz="12" w:space="0" w:color="FFFFFF"/>
              <w:right w:val="dashSmallGap" w:sz="4" w:space="0" w:color="D9D9D9"/>
            </w:tcBorders>
            <w:hideMark/>
          </w:tcPr>
          <w:p w14:paraId="5A70466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left w:val="dashSmallGap" w:sz="4" w:space="0" w:color="D9D9D9"/>
              <w:bottom w:val="dashed" w:sz="12" w:space="0" w:color="FFFFFF"/>
              <w:right w:val="dashed" w:sz="12" w:space="0" w:color="FFFFFF"/>
            </w:tcBorders>
            <w:hideMark/>
          </w:tcPr>
          <w:p w14:paraId="2049CA2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Prezes URE </w:t>
            </w:r>
          </w:p>
        </w:tc>
      </w:tr>
    </w:tbl>
    <w:p w14:paraId="2D8F6625" w14:textId="4BC3FC91"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04" w:name="_Toc195856524"/>
      <w:bookmarkStart w:id="905" w:name="_Ref195879040"/>
      <w:bookmarkStart w:id="906" w:name="_Ref195881646"/>
      <w:r>
        <w:t xml:space="preserve">Działanie </w:t>
      </w:r>
      <w:r>
        <w:fldChar w:fldCharType="begin"/>
      </w:r>
      <w:r>
        <w:instrText>SEQ Działanie \* ARABIC</w:instrText>
      </w:r>
      <w:r>
        <w:fldChar w:fldCharType="separate"/>
      </w:r>
      <w:r w:rsidR="00871DD5">
        <w:rPr>
          <w:noProof/>
        </w:rPr>
        <w:t>6</w:t>
      </w:r>
      <w:r>
        <w:fldChar w:fldCharType="end"/>
      </w:r>
      <w:r>
        <w:t xml:space="preserve">. </w:t>
      </w:r>
      <w:r w:rsidRPr="0052561B">
        <w:t>Instrument finansowy – aukcyjny system OZE</w:t>
      </w:r>
      <w:bookmarkEnd w:id="904"/>
      <w:bookmarkEnd w:id="905"/>
      <w:bookmarkEnd w:id="906"/>
      <w:r w:rsidRPr="00057FAB">
        <w:rPr>
          <w:color w:val="000000"/>
        </w:rPr>
        <w:t xml:space="preserve"> </w:t>
      </w:r>
    </w:p>
    <w:p w14:paraId="714E52FC" w14:textId="33E3A220" w:rsidR="00491705" w:rsidRPr="0096716D" w:rsidRDefault="00491705" w:rsidP="000B2576">
      <w:pPr>
        <w:rPr>
          <w:rFonts w:ascii="Times New Roman" w:hAnsi="Times New Roman"/>
          <w:sz w:val="24"/>
          <w:szCs w:val="24"/>
          <w:lang w:eastAsia="pl-PL"/>
        </w:rPr>
      </w:pPr>
      <w:r w:rsidRPr="0096716D">
        <w:rPr>
          <w:lang w:eastAsia="pl-PL"/>
        </w:rPr>
        <w:t>System aukcyjny stanowi kluczowy element wsparcia rozwoju odnawialnych źródeł energii w</w:t>
      </w:r>
      <w:r w:rsidR="00F04173">
        <w:rPr>
          <w:lang w:eastAsia="pl-PL"/>
        </w:rPr>
        <w:t> </w:t>
      </w:r>
      <w:r w:rsidRPr="0096716D">
        <w:rPr>
          <w:lang w:eastAsia="pl-PL"/>
        </w:rPr>
        <w:t>Polsce. Zgodnie z nowymi wytycznymi Unii Europejskiej zawartymi w Net-Zero Industry Act, od 30</w:t>
      </w:r>
      <w:r w:rsidR="00F04173">
        <w:rPr>
          <w:lang w:eastAsia="pl-PL"/>
        </w:rPr>
        <w:t> </w:t>
      </w:r>
      <w:r w:rsidRPr="0096716D">
        <w:rPr>
          <w:lang w:eastAsia="pl-PL"/>
        </w:rPr>
        <w:t>grudnia 2025</w:t>
      </w:r>
      <w:r w:rsidR="00180BB8">
        <w:rPr>
          <w:lang w:eastAsia="pl-PL"/>
        </w:rPr>
        <w:t> </w:t>
      </w:r>
      <w:r w:rsidRPr="0096716D">
        <w:rPr>
          <w:lang w:eastAsia="pl-PL"/>
        </w:rPr>
        <w:t>r</w:t>
      </w:r>
      <w:r w:rsidR="00E07C7E">
        <w:rPr>
          <w:lang w:eastAsia="pl-PL"/>
        </w:rPr>
        <w:t>.</w:t>
      </w:r>
      <w:r w:rsidRPr="0096716D">
        <w:rPr>
          <w:lang w:eastAsia="pl-PL"/>
        </w:rPr>
        <w:t xml:space="preserve"> wymagane będzie uwzględnianie w aukcjach OZE również kryteriów pozacenowych. Należy również zwiększyć w aukcyjnym systemie OZE znaczenie stabilności systemu energetycznego przez uwzględnienie technologii magazynowania energii oraz – w razie potrzeby i możliwości – źródeł szczytowych (sterowalnych). System aukcyjny powinien szczególnie premiować systemy zapewniające możliwie najwyższy współczynnik wykorzystania mocy zainstalowanej. Takie podejście pozwoli na maksymalizację efektywności inwestycji oraz efektywną pracę krajowej sieci elektroenergetycznej. Preferowanie aukcji skierowanych na systemy hybrydowe (hybrydowe instalacje OZE, instalacje OZE połączone z magazynami oraz inne </w:t>
      </w:r>
      <w:r w:rsidR="008B4EC9" w:rsidRPr="0096716D">
        <w:rPr>
          <w:lang w:eastAsia="pl-PL"/>
        </w:rPr>
        <w:t>rozwiązania</w:t>
      </w:r>
      <w:r w:rsidRPr="0096716D">
        <w:rPr>
          <w:lang w:eastAsia="pl-PL"/>
        </w:rPr>
        <w:t>) nie wyklucza jednocześnie prowadzenia aukcji OZE według dotychczasowych zasad. Tradycyjne aukcje powinny być kontynuowane jako uzupełnienie dla</w:t>
      </w:r>
      <w:r w:rsidR="00FD4D6D">
        <w:rPr>
          <w:lang w:eastAsia="pl-PL"/>
        </w:rPr>
        <w:t> </w:t>
      </w:r>
      <w:r w:rsidRPr="0096716D">
        <w:rPr>
          <w:lang w:eastAsia="pl-PL"/>
        </w:rPr>
        <w:t>aukcji dla bardziej rozwiniętych rozwiązań.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42"/>
        <w:gridCol w:w="3870"/>
        <w:gridCol w:w="3960"/>
      </w:tblGrid>
      <w:tr w:rsidR="003B6773" w:rsidRPr="0096716D" w14:paraId="443E367C" w14:textId="77777777" w:rsidTr="00F04173">
        <w:trPr>
          <w:trHeight w:val="300"/>
        </w:trPr>
        <w:tc>
          <w:tcPr>
            <w:tcW w:w="1049" w:type="dxa"/>
            <w:vMerge w:val="restart"/>
            <w:tcBorders>
              <w:top w:val="dashed" w:sz="12" w:space="0" w:color="FFFFFF"/>
              <w:left w:val="dashed" w:sz="12" w:space="0" w:color="FFFFFF"/>
              <w:bottom w:val="dashed" w:sz="12" w:space="0" w:color="FFFFFF"/>
              <w:right w:val="dashed" w:sz="12" w:space="0" w:color="FFFFFF"/>
            </w:tcBorders>
            <w:hideMark/>
          </w:tcPr>
          <w:p w14:paraId="64D27A9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r w:rsidRPr="0096716D">
              <w:rPr>
                <w:rFonts w:ascii="Times New Roman" w:eastAsia="Times New Roman" w:hAnsi="Times New Roman" w:cs="Times New Roman"/>
                <w:noProof/>
                <w:sz w:val="24"/>
                <w:szCs w:val="24"/>
                <w:lang w:eastAsia="pl-PL"/>
              </w:rPr>
              <w:drawing>
                <wp:inline distT="0" distB="0" distL="0" distR="0" wp14:anchorId="6748D111" wp14:editId="6F895E54">
                  <wp:extent cx="617220" cy="617220"/>
                  <wp:effectExtent l="0" t="0" r="0" b="0"/>
                  <wp:docPr id="46"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right w:val="dashSmallGap" w:sz="4" w:space="0" w:color="D9D9D9"/>
            </w:tcBorders>
            <w:hideMark/>
          </w:tcPr>
          <w:p w14:paraId="79B4F19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bottom w:val="dashSmallGap" w:sz="4" w:space="0" w:color="D9D9D9"/>
              <w:right w:val="dashed" w:sz="12" w:space="0" w:color="FFFFFF"/>
            </w:tcBorders>
            <w:hideMark/>
          </w:tcPr>
          <w:p w14:paraId="2DA5947C"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319D90BC"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1BCF9EE"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left w:val="dashed" w:sz="12" w:space="0" w:color="FFFFFF"/>
              <w:bottom w:val="dashed" w:sz="12" w:space="0" w:color="FFFFFF"/>
              <w:right w:val="dashSmallGap" w:sz="4" w:space="0" w:color="D9D9D9"/>
            </w:tcBorders>
            <w:hideMark/>
          </w:tcPr>
          <w:p w14:paraId="69CCF2D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left w:val="dashSmallGap" w:sz="4" w:space="0" w:color="D9D9D9"/>
              <w:bottom w:val="dashed" w:sz="12" w:space="0" w:color="FFFFFF"/>
              <w:right w:val="dashed" w:sz="12" w:space="0" w:color="FFFFFF"/>
            </w:tcBorders>
            <w:hideMark/>
          </w:tcPr>
          <w:p w14:paraId="2FB9208F" w14:textId="50F87677" w:rsidR="00491705" w:rsidRDefault="00491705">
            <w:pPr>
              <w:spacing w:after="0" w:line="240" w:lineRule="auto"/>
              <w:textAlignment w:val="baseline"/>
              <w:rPr>
                <w:rFonts w:eastAsia="Times New Roman" w:cs="Times New Roman"/>
                <w:color w:val="808080"/>
                <w:sz w:val="18"/>
                <w:szCs w:val="18"/>
                <w:lang w:eastAsia="pl-PL"/>
              </w:rPr>
            </w:pPr>
            <w:r w:rsidRPr="0096716D">
              <w:rPr>
                <w:rFonts w:eastAsia="Times New Roman" w:cs="Times New Roman"/>
                <w:color w:val="808080"/>
                <w:sz w:val="18"/>
                <w:szCs w:val="18"/>
                <w:lang w:eastAsia="pl-PL"/>
              </w:rPr>
              <w:t>Prezes URE</w:t>
            </w:r>
            <w:r w:rsidR="003E2DE5">
              <w:rPr>
                <w:rFonts w:eastAsia="Times New Roman" w:cs="Times New Roman"/>
                <w:color w:val="808080"/>
                <w:sz w:val="18"/>
                <w:szCs w:val="18"/>
                <w:lang w:eastAsia="pl-PL"/>
              </w:rPr>
              <w:t xml:space="preserve"> </w:t>
            </w:r>
          </w:p>
          <w:p w14:paraId="768D9BC3" w14:textId="7808F653" w:rsidR="00B64F42" w:rsidRPr="0096716D" w:rsidRDefault="00B64F42">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Zarządca Rozliczeń S.A.</w:t>
            </w:r>
          </w:p>
        </w:tc>
      </w:tr>
    </w:tbl>
    <w:p w14:paraId="04C650BF" w14:textId="46CC2DB4"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07" w:name="_Ref198634424"/>
      <w:bookmarkStart w:id="908" w:name="_Toc195856525"/>
      <w:bookmarkStart w:id="909" w:name="_Ref195879045"/>
      <w:bookmarkStart w:id="910" w:name="_Ref195881655"/>
      <w:r>
        <w:t xml:space="preserve">Działanie </w:t>
      </w:r>
      <w:r>
        <w:fldChar w:fldCharType="begin"/>
      </w:r>
      <w:r>
        <w:instrText>SEQ Działanie \* ARABIC</w:instrText>
      </w:r>
      <w:r>
        <w:fldChar w:fldCharType="separate"/>
      </w:r>
      <w:r w:rsidR="00871DD5">
        <w:rPr>
          <w:noProof/>
        </w:rPr>
        <w:t>7</w:t>
      </w:r>
      <w:r>
        <w:fldChar w:fldCharType="end"/>
      </w:r>
      <w:bookmarkEnd w:id="907"/>
      <w:r>
        <w:t xml:space="preserve">. </w:t>
      </w:r>
      <w:r w:rsidRPr="00474B9E">
        <w:t xml:space="preserve">Instrument finansowy – kontrakty różnicowe </w:t>
      </w:r>
      <w:r w:rsidR="00F150F4">
        <w:t xml:space="preserve">na wytwarzanie </w:t>
      </w:r>
      <w:r w:rsidRPr="00474B9E">
        <w:t>energii elektrycznej w morskich farmach wiatrowych</w:t>
      </w:r>
      <w:bookmarkEnd w:id="908"/>
      <w:bookmarkEnd w:id="909"/>
      <w:bookmarkEnd w:id="910"/>
    </w:p>
    <w:p w14:paraId="471457B3" w14:textId="3ECF73ED" w:rsidR="00491705" w:rsidRPr="0096716D" w:rsidDel="009C1DA4" w:rsidRDefault="00491705" w:rsidP="003A08DE">
      <w:pPr>
        <w:rPr>
          <w:rFonts w:ascii="Times New Roman" w:hAnsi="Times New Roman"/>
          <w:sz w:val="24"/>
          <w:szCs w:val="24"/>
          <w:lang w:eastAsia="pl-PL"/>
        </w:rPr>
      </w:pPr>
      <w:r w:rsidRPr="0096716D" w:rsidDel="009C1DA4">
        <w:rPr>
          <w:lang w:eastAsia="pl-PL"/>
        </w:rPr>
        <w:t>Działanie polega na wsparciu wytwórców energii elektrycznej w morskich farmach wiatrowych. Dzięki</w:t>
      </w:r>
      <w:r w:rsidR="00FD4D6D">
        <w:rPr>
          <w:lang w:eastAsia="pl-PL"/>
        </w:rPr>
        <w:t> </w:t>
      </w:r>
      <w:r w:rsidRPr="0096716D" w:rsidDel="009C1DA4">
        <w:rPr>
          <w:lang w:eastAsia="pl-PL"/>
        </w:rPr>
        <w:t xml:space="preserve">niemu uzyskają prawo do pokrycia ujemnego salda ceny wytworzonej energii elektrycznej. </w:t>
      </w:r>
      <w:r w:rsidRPr="0096716D" w:rsidDel="002950E2">
        <w:rPr>
          <w:lang w:eastAsia="pl-PL"/>
        </w:rPr>
        <w:t xml:space="preserve">Oznacza to pokrycie różnicy pomiędzy rynkową ceną energii a ceną umożliwiającą wytwórcom pokrycie kosztów wytwarzania energii elektrycznej </w:t>
      </w:r>
      <w:r w:rsidRPr="0096716D" w:rsidDel="0043087A">
        <w:rPr>
          <w:lang w:eastAsia="pl-PL"/>
        </w:rPr>
        <w:t>na</w:t>
      </w:r>
      <w:r w:rsidR="008811A4" w:rsidDel="0043087A">
        <w:rPr>
          <w:lang w:eastAsia="pl-PL"/>
        </w:rPr>
        <w:t xml:space="preserve"> </w:t>
      </w:r>
      <w:r w:rsidRPr="0096716D" w:rsidDel="0043087A">
        <w:rPr>
          <w:lang w:eastAsia="pl-PL"/>
        </w:rPr>
        <w:t>morzu</w:t>
      </w:r>
      <w:r w:rsidRPr="0096716D" w:rsidDel="002950E2">
        <w:rPr>
          <w:lang w:eastAsia="pl-PL"/>
        </w:rPr>
        <w:t>. </w:t>
      </w:r>
    </w:p>
    <w:p w14:paraId="5D2547F8" w14:textId="1BEFA434" w:rsidR="3B7FC575" w:rsidRDefault="00491705" w:rsidP="002B7247">
      <w:pPr>
        <w:rPr>
          <w:rFonts w:eastAsia="Times New Roman" w:cs="Times New Roman"/>
          <w:lang w:eastAsia="pl-PL"/>
        </w:rPr>
      </w:pPr>
      <w:r w:rsidRPr="0096716D">
        <w:rPr>
          <w:lang w:eastAsia="pl-PL"/>
        </w:rPr>
        <w:t>System wsparcia instalacji służącym do produkcji energii elektrycznej z energii wiatru na morzu opiera się na koncepcji dwustronnego kontraktu różnicowego. Wytwórcy energii elektrycznej w morskich farmach wiatrowych, którzy zostaną dopuszczeni do systemu wsparcia, uzyskają prawo do pokrycia ujemnego salda. Wielkość udzielonego wsparcia wyznaczana jest jako iloczyn planowanej mocy zainstalowanej morskiej farmy wiatrowej i 100 000 godzin. Takie rozwiązanie pozwala na optymalne rozłożenie wsparcia w czasie, w którym będzie ono udzielane, czyli przez maksymalnie 25 lat.</w:t>
      </w:r>
      <w:r w:rsidR="00974007">
        <w:rPr>
          <w:lang w:eastAsia="pl-PL"/>
        </w:rPr>
        <w:t xml:space="preserve">  </w:t>
      </w:r>
      <w:r w:rsidR="3B7FC575" w:rsidRPr="3B7FC575">
        <w:rPr>
          <w:rFonts w:eastAsia="Lato" w:cs="Lato"/>
          <w:szCs w:val="20"/>
        </w:rPr>
        <w:t>Wsparcie jest przyznawane w</w:t>
      </w:r>
      <w:r w:rsidR="00960A18">
        <w:rPr>
          <w:rFonts w:eastAsia="Lato" w:cs="Lato"/>
          <w:szCs w:val="20"/>
        </w:rPr>
        <w:t> </w:t>
      </w:r>
      <w:r w:rsidR="3B7FC575" w:rsidRPr="3B7FC575">
        <w:rPr>
          <w:rFonts w:eastAsia="Lato" w:cs="Lato"/>
          <w:szCs w:val="20"/>
        </w:rPr>
        <w:t>drodze aukcji. Aukcje dla morskiej energetyki wiatrowej o łącznej mocy instalacji nieprzekraczającej 12</w:t>
      </w:r>
      <w:r w:rsidR="00FD4D6D">
        <w:rPr>
          <w:rFonts w:eastAsia="Lato" w:cs="Lato"/>
          <w:szCs w:val="20"/>
        </w:rPr>
        <w:t> </w:t>
      </w:r>
      <w:r w:rsidR="3B7FC575" w:rsidRPr="3B7FC575">
        <w:rPr>
          <w:rFonts w:eastAsia="Lato" w:cs="Lato"/>
          <w:szCs w:val="20"/>
        </w:rPr>
        <w:t>GW zaplanowano na lata 2025, 2027, 2029 i 2031. Aukcje w kolejnych latach będą przeprowadzane w zależności od postępu rozwoju technologii.</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02E168D2" w14:textId="77777777" w:rsidTr="00F0417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38C23B5"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03F49E9A" wp14:editId="5A752494">
                  <wp:extent cx="622300" cy="622300"/>
                  <wp:effectExtent l="0" t="0" r="6350" b="6350"/>
                  <wp:docPr id="54" name="Obraz 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right w:val="dashSmallGap" w:sz="4" w:space="0" w:color="D9D9D9"/>
            </w:tcBorders>
            <w:hideMark/>
          </w:tcPr>
          <w:p w14:paraId="02429626"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bottom w:val="dashSmallGap" w:sz="4" w:space="0" w:color="D9D9D9"/>
              <w:right w:val="dashed" w:sz="12" w:space="0" w:color="FFFFFF"/>
            </w:tcBorders>
            <w:hideMark/>
          </w:tcPr>
          <w:p w14:paraId="4F86D68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729D62E2" w14:textId="77777777" w:rsidTr="00F0417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C7EEDFF"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left w:val="dashed" w:sz="12" w:space="0" w:color="FFFFFF"/>
              <w:bottom w:val="dashed" w:sz="12" w:space="0" w:color="FFFFFF"/>
              <w:right w:val="dashSmallGap" w:sz="4" w:space="0" w:color="D9D9D9"/>
            </w:tcBorders>
            <w:hideMark/>
          </w:tcPr>
          <w:p w14:paraId="4C7D21D6"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left w:val="dashSmallGap" w:sz="4" w:space="0" w:color="D9D9D9"/>
              <w:bottom w:val="dashed" w:sz="12" w:space="0" w:color="FFFFFF"/>
              <w:right w:val="dashed" w:sz="12" w:space="0" w:color="FFFFFF"/>
            </w:tcBorders>
            <w:hideMark/>
          </w:tcPr>
          <w:p w14:paraId="7787E32F"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057FAB">
              <w:rPr>
                <w:color w:val="808080"/>
                <w:sz w:val="18"/>
              </w:rPr>
              <w:t>Prezes URE </w:t>
            </w:r>
          </w:p>
          <w:p w14:paraId="3323771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057FAB">
              <w:rPr>
                <w:color w:val="808080"/>
                <w:sz w:val="18"/>
              </w:rPr>
              <w:t>Zarządca Rozliczeń S.A. </w:t>
            </w:r>
          </w:p>
        </w:tc>
      </w:tr>
    </w:tbl>
    <w:p w14:paraId="394D64B5" w14:textId="3C2A2D20"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11" w:name="_Toc195856526"/>
      <w:bookmarkStart w:id="912" w:name="_Ref195879051"/>
      <w:bookmarkStart w:id="913" w:name="_Ref195881674"/>
      <w:r>
        <w:lastRenderedPageBreak/>
        <w:t xml:space="preserve">Działanie </w:t>
      </w:r>
      <w:r>
        <w:fldChar w:fldCharType="begin"/>
      </w:r>
      <w:r>
        <w:instrText>SEQ Działanie \* ARABIC</w:instrText>
      </w:r>
      <w:r>
        <w:fldChar w:fldCharType="separate"/>
      </w:r>
      <w:r w:rsidR="00871DD5">
        <w:rPr>
          <w:noProof/>
        </w:rPr>
        <w:t>8</w:t>
      </w:r>
      <w:r>
        <w:fldChar w:fldCharType="end"/>
      </w:r>
      <w:r>
        <w:t xml:space="preserve">. </w:t>
      </w:r>
      <w:r w:rsidRPr="00C467FB">
        <w:t>Pakiet wsparcia rozwoju morskiej energetyki wiatrowej</w:t>
      </w:r>
      <w:bookmarkEnd w:id="911"/>
      <w:bookmarkEnd w:id="912"/>
      <w:bookmarkEnd w:id="913"/>
    </w:p>
    <w:p w14:paraId="691D41D4" w14:textId="75A76FD5" w:rsidR="00491705" w:rsidRPr="0096716D" w:rsidRDefault="00491705" w:rsidP="006218AF">
      <w:pPr>
        <w:rPr>
          <w:rFonts w:ascii="Times New Roman" w:hAnsi="Times New Roman"/>
          <w:sz w:val="24"/>
          <w:szCs w:val="24"/>
          <w:lang w:eastAsia="pl-PL"/>
        </w:rPr>
      </w:pPr>
      <w:r w:rsidRPr="0096716D">
        <w:rPr>
          <w:lang w:eastAsia="pl-PL"/>
        </w:rPr>
        <w:t>Działanie polega na zapewnieniu rozwiązań zmierzających do osiągnięcia efektywnego i</w:t>
      </w:r>
      <w:r w:rsidRPr="006218AF">
        <w:rPr>
          <w:rFonts w:ascii="Arial" w:hAnsi="Arial"/>
        </w:rPr>
        <w:t> </w:t>
      </w:r>
      <w:r w:rsidRPr="0096716D">
        <w:rPr>
          <w:lang w:eastAsia="pl-PL"/>
        </w:rPr>
        <w:t>zr</w:t>
      </w:r>
      <w:r w:rsidRPr="0096716D">
        <w:rPr>
          <w:rFonts w:cs="Lato"/>
          <w:lang w:eastAsia="pl-PL"/>
        </w:rPr>
        <w:t>ó</w:t>
      </w:r>
      <w:r w:rsidRPr="0096716D">
        <w:rPr>
          <w:lang w:eastAsia="pl-PL"/>
        </w:rPr>
        <w:t>wnowa</w:t>
      </w:r>
      <w:r w:rsidRPr="0096716D">
        <w:rPr>
          <w:rFonts w:cs="Lato"/>
          <w:lang w:eastAsia="pl-PL"/>
        </w:rPr>
        <w:t>ż</w:t>
      </w:r>
      <w:r w:rsidRPr="0096716D">
        <w:rPr>
          <w:lang w:eastAsia="pl-PL"/>
        </w:rPr>
        <w:t>onego rozwoju morskiej energetyki wiatrowej w Polsce</w:t>
      </w:r>
      <w:r w:rsidR="00FF0EFA">
        <w:rPr>
          <w:lang w:eastAsia="pl-PL"/>
        </w:rPr>
        <w:t>.</w:t>
      </w:r>
      <w:r w:rsidRPr="0096716D">
        <w:rPr>
          <w:lang w:eastAsia="pl-PL"/>
        </w:rPr>
        <w:t xml:space="preserve"> Dotyczy m.in. ram regulacyjnych, kształcenia kadr, budowania świadomości, budowania krajowego łańcucha dostaw materiałów i usług czy wydawania pozwoleń i</w:t>
      </w:r>
      <w:r w:rsidR="009040E5">
        <w:rPr>
          <w:lang w:eastAsia="pl-PL"/>
        </w:rPr>
        <w:t> </w:t>
      </w:r>
      <w:r w:rsidRPr="0096716D">
        <w:rPr>
          <w:lang w:eastAsia="pl-PL"/>
        </w:rPr>
        <w:t>uzgodnień, w tym środowiskowych.</w:t>
      </w:r>
      <w:r w:rsidR="003E2DE5">
        <w:rPr>
          <w:rFonts w:eastAsia="Times New Roman" w:cs="Times New Roman"/>
          <w:lang w:eastAsia="pl-PL"/>
        </w:rPr>
        <w:t xml:space="preserve"> </w:t>
      </w:r>
    </w:p>
    <w:p w14:paraId="22734632" w14:textId="6E47C925" w:rsidR="00491705" w:rsidRPr="0096716D" w:rsidRDefault="00491705" w:rsidP="009040E5">
      <w:pPr>
        <w:spacing w:after="240"/>
        <w:rPr>
          <w:rFonts w:ascii="Times New Roman" w:eastAsia="Times New Roman" w:hAnsi="Times New Roman" w:cs="Times New Roman"/>
          <w:sz w:val="24"/>
          <w:szCs w:val="24"/>
          <w:lang w:eastAsia="pl-PL"/>
        </w:rPr>
      </w:pPr>
      <w:r w:rsidRPr="0096716D">
        <w:rPr>
          <w:rFonts w:eastAsia="Times New Roman" w:cs="Times New Roman"/>
          <w:lang w:eastAsia="pl-PL"/>
        </w:rPr>
        <w:t>Pakiet zakłada skuteczne przeprowadzenie aukcji dla inwestycji morskich farm wiatrowych i kontynuację wprowadzania usprawnień procesu realizacji budowy morskich farm wiatrowych w Polsce poprzez poprawę efektywności i elastyc</w:t>
      </w:r>
      <w:r w:rsidRPr="00C84962">
        <w:t>zności procedur związanych z budową i eksploatacją tych inwestycji. Działania obejmować będą również</w:t>
      </w:r>
      <w:r w:rsidRPr="0096716D">
        <w:rPr>
          <w:rFonts w:eastAsia="Times New Roman" w:cs="Times New Roman"/>
          <w:lang w:eastAsia="pl-PL"/>
        </w:rPr>
        <w:t xml:space="preserve"> wdrożenie do krajowego porządku prawnego wymagań wynikających z rozporządzeniu unijnego Net-Zero Industry Act, tak aby zwiększać rolę polskich przedsiębiorstw w</w:t>
      </w:r>
      <w:r w:rsidR="00FD4D6D">
        <w:t> </w:t>
      </w:r>
      <w:r w:rsidRPr="0096716D">
        <w:rPr>
          <w:rFonts w:eastAsia="Times New Roman" w:cs="Times New Roman"/>
          <w:lang w:eastAsia="pl-PL"/>
        </w:rPr>
        <w:t xml:space="preserve">budowie i eksploatacji farm wiatrowych na morzu poprzez ich aktywny udział w łańcuchu dostaw materiałów i usług </w:t>
      </w:r>
      <w:r w:rsidR="00DC50C4">
        <w:rPr>
          <w:rFonts w:eastAsia="Times New Roman" w:cs="Times New Roman"/>
          <w:lang w:eastAsia="pl-PL"/>
        </w:rPr>
        <w:t xml:space="preserve">(tzw. </w:t>
      </w:r>
      <w:r w:rsidR="00DC50C4" w:rsidRPr="00DC50C4">
        <w:rPr>
          <w:rFonts w:eastAsia="Times New Roman" w:cs="Times New Roman"/>
          <w:i/>
          <w:iCs/>
          <w:lang w:eastAsia="pl-PL"/>
        </w:rPr>
        <w:t>local cont</w:t>
      </w:r>
      <w:r w:rsidR="00343664">
        <w:rPr>
          <w:rFonts w:eastAsia="Times New Roman" w:cs="Times New Roman"/>
          <w:i/>
          <w:iCs/>
          <w:lang w:eastAsia="pl-PL"/>
        </w:rPr>
        <w:t>e</w:t>
      </w:r>
      <w:r w:rsidR="00DC50C4" w:rsidRPr="00DC50C4">
        <w:rPr>
          <w:rFonts w:eastAsia="Times New Roman" w:cs="Times New Roman"/>
          <w:i/>
          <w:iCs/>
          <w:lang w:eastAsia="pl-PL"/>
        </w:rPr>
        <w:t>nt</w:t>
      </w:r>
      <w:r w:rsidR="00DC50C4">
        <w:rPr>
          <w:rFonts w:eastAsia="Times New Roman" w:cs="Times New Roman"/>
          <w:lang w:eastAsia="pl-PL"/>
        </w:rPr>
        <w:t xml:space="preserve">) </w:t>
      </w:r>
      <w:r w:rsidRPr="0096716D">
        <w:rPr>
          <w:rFonts w:eastAsia="Times New Roman" w:cs="Times New Roman"/>
          <w:lang w:eastAsia="pl-PL"/>
        </w:rPr>
        <w:t>– od produkcji komponentów po montaż, serwis i innowacyjne rozwiązania technologiczne</w:t>
      </w:r>
      <w:r w:rsidR="00DC50C4">
        <w:rPr>
          <w:rFonts w:eastAsia="Times New Roman" w:cs="Times New Roman"/>
          <w:lang w:eastAsia="pl-PL"/>
        </w:rPr>
        <w:t xml:space="preserve"> –</w:t>
      </w:r>
      <w:r w:rsidRPr="0096716D">
        <w:rPr>
          <w:rFonts w:eastAsia="Times New Roman" w:cs="Times New Roman"/>
          <w:lang w:eastAsia="pl-PL"/>
        </w:rPr>
        <w:t xml:space="preserve"> a przy tym uniknąć nadmiernego obciążenia odbiorców końcowych.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2111626A" w14:textId="77777777" w:rsidTr="00C84962">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3B58C06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5B09292A" wp14:editId="097D2393">
                  <wp:extent cx="622300" cy="622300"/>
                  <wp:effectExtent l="0" t="0" r="6350" b="6350"/>
                  <wp:docPr id="55" name="Obraz 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right w:val="dashSmallGap" w:sz="4" w:space="0" w:color="D9D9D9"/>
            </w:tcBorders>
            <w:hideMark/>
          </w:tcPr>
          <w:p w14:paraId="56D94FBC"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bottom w:val="dashSmallGap" w:sz="4" w:space="0" w:color="D9D9D9"/>
              <w:right w:val="dashed" w:sz="12" w:space="0" w:color="FFFFFF"/>
            </w:tcBorders>
            <w:hideMark/>
          </w:tcPr>
          <w:p w14:paraId="69D4BAD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164ADC3A" w14:textId="77777777" w:rsidTr="00C84962">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2F943D7"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left w:val="dashed" w:sz="12" w:space="0" w:color="FFFFFF"/>
              <w:bottom w:val="dashed" w:sz="12" w:space="0" w:color="FFFFFF"/>
              <w:right w:val="dashSmallGap" w:sz="4" w:space="0" w:color="D9D9D9"/>
            </w:tcBorders>
            <w:hideMark/>
          </w:tcPr>
          <w:p w14:paraId="1FAC65F3"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left w:val="dashSmallGap" w:sz="4" w:space="0" w:color="D9D9D9"/>
              <w:bottom w:val="dashed" w:sz="12" w:space="0" w:color="FFFFFF"/>
              <w:right w:val="dashed" w:sz="12" w:space="0" w:color="FFFFFF"/>
            </w:tcBorders>
            <w:hideMark/>
          </w:tcPr>
          <w:p w14:paraId="33CFE2C3" w14:textId="06A172EB"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gospodarki</w:t>
            </w:r>
            <w:r w:rsidR="003E2DE5">
              <w:rPr>
                <w:rFonts w:eastAsia="Times New Roman" w:cs="Times New Roman"/>
                <w:color w:val="808080"/>
                <w:sz w:val="18"/>
                <w:szCs w:val="18"/>
                <w:lang w:eastAsia="pl-PL"/>
              </w:rPr>
              <w:t xml:space="preserve"> </w:t>
            </w:r>
          </w:p>
          <w:p w14:paraId="493B1141" w14:textId="7AC26601"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7A11D036" w14:textId="0ED01CE4"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gospodarki morskiej</w:t>
            </w:r>
            <w:r w:rsidR="003E2DE5">
              <w:rPr>
                <w:rFonts w:eastAsia="Times New Roman" w:cs="Times New Roman"/>
                <w:color w:val="808080"/>
                <w:sz w:val="18"/>
                <w:szCs w:val="18"/>
                <w:lang w:eastAsia="pl-PL"/>
              </w:rPr>
              <w:t xml:space="preserve"> </w:t>
            </w:r>
          </w:p>
          <w:p w14:paraId="186DB383" w14:textId="60F1194A"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rybołówstwa</w:t>
            </w:r>
            <w:r w:rsidR="003E2DE5">
              <w:rPr>
                <w:rFonts w:eastAsia="Times New Roman" w:cs="Times New Roman"/>
                <w:color w:val="808080"/>
                <w:sz w:val="18"/>
                <w:szCs w:val="18"/>
                <w:lang w:eastAsia="pl-PL"/>
              </w:rPr>
              <w:t xml:space="preserve"> </w:t>
            </w:r>
          </w:p>
          <w:p w14:paraId="438C60DC" w14:textId="1C640A25"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057FAB">
              <w:rPr>
                <w:color w:val="808080"/>
                <w:sz w:val="18"/>
              </w:rPr>
              <w:t>minister wł. ds. obrony narodowej</w:t>
            </w:r>
            <w:r w:rsidR="003E2DE5">
              <w:rPr>
                <w:rFonts w:eastAsia="Times New Roman" w:cs="Times New Roman"/>
                <w:color w:val="808080"/>
                <w:sz w:val="18"/>
                <w:szCs w:val="18"/>
                <w:lang w:eastAsia="pl-PL"/>
              </w:rPr>
              <w:t xml:space="preserve"> </w:t>
            </w:r>
          </w:p>
          <w:p w14:paraId="7B6CC19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wewnętrznych </w:t>
            </w:r>
          </w:p>
        </w:tc>
      </w:tr>
    </w:tbl>
    <w:p w14:paraId="50EF5CFC" w14:textId="77777777" w:rsidR="00491705" w:rsidRPr="0096716D" w:rsidRDefault="00491705" w:rsidP="00491705">
      <w:pPr>
        <w:spacing w:line="240" w:lineRule="auto"/>
        <w:ind w:left="705"/>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p>
    <w:p w14:paraId="09CF0711" w14:textId="3678F050" w:rsidR="00491705" w:rsidRPr="0096716D" w:rsidRDefault="00491705" w:rsidP="00D523F3">
      <w:pPr>
        <w:pStyle w:val="Nagwek6"/>
        <w:rPr>
          <w:rFonts w:ascii="Times New Roman" w:eastAsia="Times New Roman" w:hAnsi="Times New Roman" w:cs="Times New Roman"/>
          <w:sz w:val="24"/>
          <w:szCs w:val="24"/>
          <w:lang w:eastAsia="pl-PL"/>
        </w:rPr>
      </w:pPr>
      <w:bookmarkStart w:id="914" w:name="_Toc195856527"/>
      <w:bookmarkStart w:id="915" w:name="_Ref195879056"/>
      <w:bookmarkStart w:id="916" w:name="_Ref195881678"/>
      <w:bookmarkStart w:id="917" w:name="_Ref200465346"/>
      <w:r>
        <w:t xml:space="preserve">Działanie </w:t>
      </w:r>
      <w:r>
        <w:fldChar w:fldCharType="begin"/>
      </w:r>
      <w:r>
        <w:instrText>SEQ Działanie \* ARABIC</w:instrText>
      </w:r>
      <w:r>
        <w:fldChar w:fldCharType="separate"/>
      </w:r>
      <w:r w:rsidR="00871DD5">
        <w:rPr>
          <w:noProof/>
        </w:rPr>
        <w:t>9</w:t>
      </w:r>
      <w:r>
        <w:fldChar w:fldCharType="end"/>
      </w:r>
      <w:r>
        <w:t xml:space="preserve">. </w:t>
      </w:r>
      <w:r w:rsidRPr="0053520E">
        <w:t>Przyspieszenie rozwoju lądowej energetyki wiatrowej</w:t>
      </w:r>
      <w:bookmarkEnd w:id="914"/>
      <w:bookmarkEnd w:id="915"/>
      <w:bookmarkEnd w:id="916"/>
      <w:bookmarkEnd w:id="917"/>
    </w:p>
    <w:p w14:paraId="664ED0A5" w14:textId="6E91E101" w:rsidR="00491705" w:rsidRPr="0096716D" w:rsidRDefault="00491705" w:rsidP="006218AF">
      <w:pPr>
        <w:rPr>
          <w:rFonts w:ascii="Times New Roman" w:hAnsi="Times New Roman"/>
          <w:sz w:val="24"/>
          <w:szCs w:val="24"/>
          <w:lang w:eastAsia="pl-PL"/>
        </w:rPr>
      </w:pPr>
      <w:r w:rsidRPr="0096716D">
        <w:rPr>
          <w:lang w:eastAsia="pl-PL"/>
        </w:rPr>
        <w:t>Energetyka wiatrowa to najtańsze źródło energii w Polsce. Jej rozwój, po latach zastoju, jest kluczowy dla stabilności systemu energetycznego, dostarczania taniej i bezpiecznej energii oraz zwiększenia odporności kraju poprzez budowę rozproszonego systemu energetycznego. Reformy administracyjne, infrastrukturalne i legislacyjne mogą przyspieszyć rozwój tego sektora, przynosząc korzyści gospodarce i</w:t>
      </w:r>
      <w:r w:rsidR="005C3C47">
        <w:rPr>
          <w:lang w:eastAsia="pl-PL"/>
        </w:rPr>
        <w:t> </w:t>
      </w:r>
      <w:r w:rsidRPr="0096716D">
        <w:rPr>
          <w:lang w:eastAsia="pl-PL"/>
        </w:rPr>
        <w:t>obywatelom. </w:t>
      </w:r>
    </w:p>
    <w:p w14:paraId="78A72FFE" w14:textId="3E246A13" w:rsidR="00491705" w:rsidRPr="0096716D" w:rsidRDefault="00491705" w:rsidP="006218AF">
      <w:pPr>
        <w:rPr>
          <w:rFonts w:ascii="Times New Roman" w:hAnsi="Times New Roman"/>
          <w:sz w:val="24"/>
          <w:szCs w:val="24"/>
          <w:lang w:eastAsia="pl-PL"/>
        </w:rPr>
      </w:pPr>
      <w:r w:rsidRPr="0096716D" w:rsidDel="00343664">
        <w:rPr>
          <w:lang w:eastAsia="pl-PL"/>
        </w:rPr>
        <w:t>Należy zoptymalizować</w:t>
      </w:r>
      <w:r w:rsidRPr="0096716D" w:rsidDel="002F38F5">
        <w:rPr>
          <w:lang w:eastAsia="pl-PL"/>
        </w:rPr>
        <w:t xml:space="preserve"> proces inwestycyjny, skrócić procedury administracyjne oraz wdrożyć obszary</w:t>
      </w:r>
      <w:r w:rsidRPr="0096716D" w:rsidDel="00443BEE">
        <w:rPr>
          <w:lang w:eastAsia="pl-PL"/>
        </w:rPr>
        <w:t xml:space="preserve"> </w:t>
      </w:r>
      <w:r w:rsidRPr="0096716D">
        <w:rPr>
          <w:lang w:eastAsia="pl-PL"/>
        </w:rPr>
        <w:t>przyspieszonego rozwoju OZE zgodnie z dyrektywą RED III.</w:t>
      </w:r>
      <w:r>
        <w:rPr>
          <w:rFonts w:eastAsia="Times New Roman" w:cs="Times New Roman"/>
          <w:lang w:eastAsia="pl-PL"/>
        </w:rPr>
        <w:t xml:space="preserve"> </w:t>
      </w:r>
    </w:p>
    <w:p w14:paraId="40E90C40" w14:textId="52FC71B3" w:rsidR="00491705" w:rsidRPr="0096716D" w:rsidRDefault="00491705" w:rsidP="006218AF">
      <w:pPr>
        <w:rPr>
          <w:rFonts w:ascii="Times New Roman" w:hAnsi="Times New Roman"/>
          <w:sz w:val="24"/>
          <w:szCs w:val="24"/>
          <w:lang w:eastAsia="pl-PL"/>
        </w:rPr>
      </w:pPr>
      <w:r w:rsidRPr="0096716D" w:rsidDel="006B440E">
        <w:rPr>
          <w:lang w:eastAsia="pl-PL"/>
        </w:rPr>
        <w:t xml:space="preserve">Należy poprawić warunki </w:t>
      </w:r>
      <w:r w:rsidRPr="0096716D">
        <w:rPr>
          <w:lang w:eastAsia="pl-PL"/>
        </w:rPr>
        <w:t xml:space="preserve">uzyskiwania przyłączenia do sieci elektroenergetycznej, w tym </w:t>
      </w:r>
      <w:r w:rsidRPr="0096716D" w:rsidDel="001E49CC">
        <w:rPr>
          <w:lang w:eastAsia="pl-PL"/>
        </w:rPr>
        <w:t>ujednol</w:t>
      </w:r>
      <w:r w:rsidRPr="0096716D" w:rsidDel="006B440E">
        <w:rPr>
          <w:lang w:eastAsia="pl-PL"/>
        </w:rPr>
        <w:t xml:space="preserve">icić </w:t>
      </w:r>
      <w:r w:rsidRPr="0096716D" w:rsidDel="001E49CC">
        <w:rPr>
          <w:lang w:eastAsia="pl-PL"/>
        </w:rPr>
        <w:t>i</w:t>
      </w:r>
      <w:r w:rsidR="00FD4D6D">
        <w:rPr>
          <w:lang w:eastAsia="pl-PL"/>
        </w:rPr>
        <w:t> </w:t>
      </w:r>
      <w:r w:rsidRPr="0096716D" w:rsidDel="001E49CC">
        <w:rPr>
          <w:lang w:eastAsia="pl-PL"/>
        </w:rPr>
        <w:t>upro</w:t>
      </w:r>
      <w:r w:rsidRPr="0096716D" w:rsidDel="006B440E">
        <w:rPr>
          <w:lang w:eastAsia="pl-PL"/>
        </w:rPr>
        <w:t>ścić</w:t>
      </w:r>
      <w:r w:rsidRPr="0096716D" w:rsidDel="001E49CC">
        <w:rPr>
          <w:lang w:eastAsia="pl-PL"/>
        </w:rPr>
        <w:t xml:space="preserve"> wniosk</w:t>
      </w:r>
      <w:r w:rsidRPr="0096716D" w:rsidDel="006B440E">
        <w:rPr>
          <w:lang w:eastAsia="pl-PL"/>
        </w:rPr>
        <w:t>i</w:t>
      </w:r>
      <w:r w:rsidRPr="0096716D" w:rsidDel="001E49CC">
        <w:rPr>
          <w:lang w:eastAsia="pl-PL"/>
        </w:rPr>
        <w:t xml:space="preserve"> oraz zwiększyć transparentność </w:t>
      </w:r>
      <w:r w:rsidRPr="0096716D">
        <w:rPr>
          <w:lang w:eastAsia="pl-PL"/>
        </w:rPr>
        <w:t>procesów przyłączeniowych. Konieczne jest również umożliwienie elektronicznego składania wniosków i</w:t>
      </w:r>
      <w:r w:rsidRPr="0096716D" w:rsidDel="001E49CC">
        <w:rPr>
          <w:lang w:eastAsia="pl-PL"/>
        </w:rPr>
        <w:t xml:space="preserve"> </w:t>
      </w:r>
      <w:r w:rsidRPr="0096716D">
        <w:rPr>
          <w:lang w:eastAsia="pl-PL"/>
        </w:rPr>
        <w:t>monitorowania ich rozpatrywania. </w:t>
      </w:r>
    </w:p>
    <w:p w14:paraId="4787B928" w14:textId="39A2B12D" w:rsidR="00491705" w:rsidRPr="0096716D" w:rsidRDefault="00491705" w:rsidP="006218AF">
      <w:pPr>
        <w:rPr>
          <w:rFonts w:ascii="Times New Roman" w:hAnsi="Times New Roman"/>
          <w:sz w:val="24"/>
          <w:szCs w:val="24"/>
          <w:lang w:eastAsia="pl-PL"/>
        </w:rPr>
      </w:pPr>
      <w:r w:rsidRPr="0096716D" w:rsidDel="001E49CC">
        <w:rPr>
          <w:lang w:eastAsia="pl-PL"/>
        </w:rPr>
        <w:t>Konieczne</w:t>
      </w:r>
      <w:r w:rsidR="001E49CC" w:rsidRPr="0096716D">
        <w:rPr>
          <w:lang w:eastAsia="pl-PL"/>
        </w:rPr>
        <w:t xml:space="preserve"> </w:t>
      </w:r>
      <w:r w:rsidRPr="0096716D">
        <w:rPr>
          <w:lang w:eastAsia="pl-PL"/>
        </w:rPr>
        <w:t>jest także promowanie hybrydyzacji farm wiatrowych poprzez ich integrację z magazynami energii i innymi technologiami OZE oraz rozwój systemu</w:t>
      </w:r>
      <w:r w:rsidR="00CA3097">
        <w:rPr>
          <w:lang w:eastAsia="pl-PL"/>
        </w:rPr>
        <w:t xml:space="preserve"> </w:t>
      </w:r>
      <w:r w:rsidRPr="00A31A31">
        <w:rPr>
          <w:i/>
          <w:lang w:eastAsia="pl-PL"/>
        </w:rPr>
        <w:t>cable pooling</w:t>
      </w:r>
      <w:r w:rsidRPr="0096716D">
        <w:rPr>
          <w:lang w:eastAsia="pl-PL"/>
        </w:rPr>
        <w:t>. Dzięki temu zwiększy się</w:t>
      </w:r>
      <w:r w:rsidR="00FD4D6D">
        <w:rPr>
          <w:lang w:eastAsia="pl-PL"/>
        </w:rPr>
        <w:t> </w:t>
      </w:r>
      <w:r w:rsidRPr="0096716D">
        <w:rPr>
          <w:lang w:eastAsia="pl-PL"/>
        </w:rPr>
        <w:t>elastyczność systemu elektroenergetycznego. </w:t>
      </w:r>
    </w:p>
    <w:p w14:paraId="3CD71F6E" w14:textId="77777777" w:rsidR="00491705" w:rsidRPr="0096716D" w:rsidRDefault="00491705" w:rsidP="006218AF">
      <w:pPr>
        <w:rPr>
          <w:rFonts w:ascii="Times New Roman" w:hAnsi="Times New Roman"/>
          <w:sz w:val="24"/>
          <w:szCs w:val="24"/>
          <w:lang w:eastAsia="pl-PL"/>
        </w:rPr>
      </w:pPr>
      <w:r w:rsidRPr="0096716D">
        <w:rPr>
          <w:lang w:eastAsia="pl-PL"/>
        </w:rPr>
        <w:t>Konieczne jest prowadzenie ogólnopolskich kampanii edukacyjnych przeciwdziałających dezinformacji. Współpraca mediów, organizacji pozarządowych i samorządów umożliwi rzetelne przekazywanie informacji o inwestycjach w energetykę odnawialną. </w:t>
      </w:r>
    </w:p>
    <w:p w14:paraId="23DD8805" w14:textId="37B6230F" w:rsidR="00491705" w:rsidRPr="0096716D" w:rsidRDefault="00491705" w:rsidP="006218AF">
      <w:pPr>
        <w:spacing w:after="80"/>
        <w:rPr>
          <w:rFonts w:ascii="Times New Roman" w:hAnsi="Times New Roman"/>
          <w:sz w:val="24"/>
          <w:szCs w:val="24"/>
          <w:lang w:eastAsia="pl-PL"/>
        </w:rPr>
      </w:pPr>
      <w:r w:rsidRPr="0096716D">
        <w:rPr>
          <w:lang w:eastAsia="pl-PL"/>
        </w:rPr>
        <w:t>Aby zwiększyć potencjał zainstalowanych mocy wytwórczych</w:t>
      </w:r>
      <w:r w:rsidRPr="0096716D" w:rsidDel="00443BEE">
        <w:rPr>
          <w:lang w:eastAsia="pl-PL"/>
        </w:rPr>
        <w:t xml:space="preserve">, należy rozważyć </w:t>
      </w:r>
      <w:r w:rsidRPr="0096716D">
        <w:rPr>
          <w:lang w:eastAsia="pl-PL"/>
        </w:rPr>
        <w:t>następujące działania: </w:t>
      </w:r>
    </w:p>
    <w:p w14:paraId="04B7DF1E" w14:textId="3BD33C85" w:rsidR="00491705" w:rsidRPr="0096716D" w:rsidRDefault="005615F8" w:rsidP="000625AC">
      <w:pPr>
        <w:pStyle w:val="Akapitzlist"/>
        <w:numPr>
          <w:ilvl w:val="0"/>
          <w:numId w:val="171"/>
        </w:numPr>
        <w:rPr>
          <w:lang w:eastAsia="pl-PL"/>
        </w:rPr>
      </w:pPr>
      <w:r>
        <w:rPr>
          <w:lang w:eastAsia="pl-PL"/>
        </w:rPr>
        <w:t>Rewizja</w:t>
      </w:r>
      <w:r w:rsidR="00797CA5">
        <w:rPr>
          <w:lang w:eastAsia="pl-PL"/>
        </w:rPr>
        <w:t xml:space="preserve"> </w:t>
      </w:r>
      <w:r w:rsidR="00491705" w:rsidRPr="0096716D">
        <w:rPr>
          <w:lang w:eastAsia="pl-PL"/>
        </w:rPr>
        <w:t>zasad ochronnych wokół lotnisk i radarów meteorologicznych, </w:t>
      </w:r>
    </w:p>
    <w:p w14:paraId="1CF73753" w14:textId="3173DA53" w:rsidR="00491705" w:rsidRPr="0096716D" w:rsidRDefault="008B4EC9" w:rsidP="000625AC">
      <w:pPr>
        <w:pStyle w:val="Akapitzlist"/>
        <w:numPr>
          <w:ilvl w:val="0"/>
          <w:numId w:val="171"/>
        </w:numPr>
        <w:rPr>
          <w:lang w:eastAsia="pl-PL"/>
        </w:rPr>
      </w:pPr>
      <w:r>
        <w:rPr>
          <w:lang w:eastAsia="pl-PL"/>
        </w:rPr>
        <w:t>u</w:t>
      </w:r>
      <w:r w:rsidR="00491705" w:rsidRPr="0096716D">
        <w:rPr>
          <w:lang w:eastAsia="pl-PL"/>
        </w:rPr>
        <w:t>dostępnienie pod pewnymi warunkami części gruntów klasy III pod farmy wiatrowe bez</w:t>
      </w:r>
      <w:r w:rsidR="00FD4D6D">
        <w:rPr>
          <w:lang w:eastAsia="pl-PL"/>
        </w:rPr>
        <w:t> </w:t>
      </w:r>
      <w:r w:rsidR="00491705" w:rsidRPr="0096716D">
        <w:rPr>
          <w:lang w:eastAsia="pl-PL"/>
        </w:rPr>
        <w:t>konieczności ich odrolnienia, </w:t>
      </w:r>
    </w:p>
    <w:p w14:paraId="5312322F" w14:textId="6EEB9293" w:rsidR="00491705" w:rsidRPr="0096716D" w:rsidRDefault="008B4EC9" w:rsidP="000625AC">
      <w:pPr>
        <w:pStyle w:val="Akapitzlist"/>
        <w:numPr>
          <w:ilvl w:val="0"/>
          <w:numId w:val="171"/>
        </w:numPr>
        <w:rPr>
          <w:lang w:eastAsia="pl-PL"/>
        </w:rPr>
      </w:pPr>
      <w:r>
        <w:rPr>
          <w:lang w:eastAsia="pl-PL"/>
        </w:rPr>
        <w:t>w</w:t>
      </w:r>
      <w:r w:rsidR="00491705" w:rsidRPr="0096716D">
        <w:rPr>
          <w:lang w:eastAsia="pl-PL"/>
        </w:rPr>
        <w:t>ykorzystanie części terenów leśnych zgodnie z zasadami ochrony środowiska. </w:t>
      </w:r>
    </w:p>
    <w:p w14:paraId="7C1C1667" w14:textId="448B66DD" w:rsidR="00491705" w:rsidRPr="0096716D" w:rsidRDefault="00491705" w:rsidP="006218AF">
      <w:pPr>
        <w:rPr>
          <w:rFonts w:ascii="Times New Roman" w:hAnsi="Times New Roman"/>
          <w:sz w:val="24"/>
          <w:szCs w:val="24"/>
          <w:lang w:eastAsia="pl-PL"/>
        </w:rPr>
      </w:pPr>
      <w:r w:rsidRPr="0096716D">
        <w:rPr>
          <w:lang w:eastAsia="pl-PL"/>
        </w:rPr>
        <w:t xml:space="preserve">Dodatkowo należy wspierać rozwój polskich technologii w sektorze OZE poprzez krajowe programy badawczo-rozwojowe, finansowanie badań nad nowoczesnymi turbinami wiatrowymi, systemami </w:t>
      </w:r>
      <w:r w:rsidRPr="0096716D">
        <w:rPr>
          <w:lang w:eastAsia="pl-PL"/>
        </w:rPr>
        <w:lastRenderedPageBreak/>
        <w:t>magazynowania energii i inteligentnymi sieciami elektroenergetycznymi. Rozwój krajowej produkcji komponentów dla energetyki wiatrowej zwiększy udział polskich firm w procesie transformacji, co</w:t>
      </w:r>
      <w:r w:rsidR="00FD4D6D">
        <w:rPr>
          <w:lang w:eastAsia="pl-PL"/>
        </w:rPr>
        <w:t> </w:t>
      </w:r>
      <w:r w:rsidRPr="0096716D">
        <w:rPr>
          <w:lang w:eastAsia="pl-PL"/>
        </w:rPr>
        <w:t>przyczyni się do rozwoju gospodarki.</w:t>
      </w:r>
      <w:r w:rsidR="003E2DE5">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72DD966A" w14:textId="77777777" w:rsidTr="00C84962">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C946BBF"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20CA86C9" wp14:editId="14A19255">
                  <wp:extent cx="622300" cy="622300"/>
                  <wp:effectExtent l="0" t="0" r="6350" b="6350"/>
                  <wp:docPr id="18" name="Obraz 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4F661D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B136A30" w14:textId="2F6F86EE"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2812D9D5" w14:textId="77777777" w:rsidTr="00C84962">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9E05EB0"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F9D5B4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2C3AEBA" w14:textId="0CCEF842" w:rsidR="00491705" w:rsidRPr="0096716D" w:rsidRDefault="005664AC">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 xml:space="preserve">minister wł. ds. </w:t>
            </w:r>
            <w:r w:rsidR="00D95D79">
              <w:rPr>
                <w:rFonts w:eastAsia="Times New Roman" w:cs="Times New Roman"/>
                <w:color w:val="808080"/>
                <w:sz w:val="18"/>
                <w:szCs w:val="18"/>
                <w:lang w:eastAsia="pl-PL"/>
              </w:rPr>
              <w:t>gospodarki</w:t>
            </w:r>
          </w:p>
        </w:tc>
      </w:tr>
    </w:tbl>
    <w:p w14:paraId="763B8610" w14:textId="62CAD3B7" w:rsidR="00491705" w:rsidRPr="0096716D" w:rsidRDefault="00491705" w:rsidP="00D523F3">
      <w:pPr>
        <w:pStyle w:val="Nagwek6"/>
        <w:rPr>
          <w:rFonts w:ascii="Times New Roman" w:eastAsia="Times New Roman" w:hAnsi="Times New Roman" w:cs="Times New Roman"/>
          <w:sz w:val="24"/>
          <w:szCs w:val="24"/>
          <w:lang w:eastAsia="pl-PL"/>
        </w:rPr>
      </w:pPr>
      <w:bookmarkStart w:id="918" w:name="_Toc195856528"/>
      <w:bookmarkStart w:id="919" w:name="_Ref195879061"/>
      <w:bookmarkStart w:id="920" w:name="_Ref195881682"/>
      <w:bookmarkStart w:id="921" w:name="_Ref200465443"/>
      <w:r>
        <w:t xml:space="preserve">Działanie </w:t>
      </w:r>
      <w:r>
        <w:fldChar w:fldCharType="begin"/>
      </w:r>
      <w:r>
        <w:instrText>SEQ Działanie \* ARABIC</w:instrText>
      </w:r>
      <w:r>
        <w:fldChar w:fldCharType="separate"/>
      </w:r>
      <w:r w:rsidR="00871DD5">
        <w:rPr>
          <w:noProof/>
        </w:rPr>
        <w:t>10</w:t>
      </w:r>
      <w:r>
        <w:fldChar w:fldCharType="end"/>
      </w:r>
      <w:r>
        <w:t xml:space="preserve">. </w:t>
      </w:r>
      <w:r w:rsidRPr="00796696">
        <w:t>Przyspieszenie rozwoju fotowoltaik</w:t>
      </w:r>
      <w:r>
        <w:t>i</w:t>
      </w:r>
      <w:bookmarkEnd w:id="918"/>
      <w:bookmarkEnd w:id="919"/>
      <w:bookmarkEnd w:id="920"/>
      <w:bookmarkEnd w:id="921"/>
      <w:r w:rsidRPr="00057FAB">
        <w:rPr>
          <w:color w:val="000000"/>
        </w:rPr>
        <w:t xml:space="preserve"> </w:t>
      </w:r>
    </w:p>
    <w:p w14:paraId="649301CE" w14:textId="77777777" w:rsidR="00491705" w:rsidRPr="0096716D" w:rsidRDefault="00491705" w:rsidP="006218AF">
      <w:pPr>
        <w:rPr>
          <w:rFonts w:ascii="Times New Roman" w:hAnsi="Times New Roman"/>
          <w:sz w:val="24"/>
          <w:szCs w:val="24"/>
          <w:lang w:eastAsia="pl-PL"/>
        </w:rPr>
      </w:pPr>
      <w:r w:rsidRPr="0096716D">
        <w:rPr>
          <w:lang w:eastAsia="pl-PL"/>
        </w:rPr>
        <w:t>Rozwój wielkoskalowej fotowoltaiki jest niezwykle ważny dla transformacji energetycznej. Aby w pełni wykorzystać potencjał energetyki słonecznej, konieczne jest wyeliminowanie szeregu barier administracyjnych i prawnych, a także modernizacja sieci oraz wdrożenie mechanizmów elastyczności, pozwalających na optymalne wykorzystanie dostępnych mocy przyłączeniowych. </w:t>
      </w:r>
    </w:p>
    <w:p w14:paraId="76B92E8C" w14:textId="32F5F56B" w:rsidR="00491705" w:rsidRPr="0096716D" w:rsidRDefault="00491705" w:rsidP="006218AF">
      <w:pPr>
        <w:rPr>
          <w:rFonts w:ascii="Times New Roman" w:hAnsi="Times New Roman"/>
          <w:sz w:val="24"/>
          <w:szCs w:val="24"/>
          <w:lang w:eastAsia="pl-PL"/>
        </w:rPr>
      </w:pPr>
      <w:r w:rsidRPr="0096716D">
        <w:rPr>
          <w:lang w:eastAsia="pl-PL"/>
        </w:rPr>
        <w:t xml:space="preserve">Kluczowym krokiem jest szersze wykorzystanie mechanizmu </w:t>
      </w:r>
      <w:r w:rsidR="005664AC">
        <w:rPr>
          <w:lang w:eastAsia="pl-PL"/>
        </w:rPr>
        <w:t>współdzielenia przyłącza (</w:t>
      </w:r>
      <w:r w:rsidRPr="0096716D">
        <w:rPr>
          <w:lang w:eastAsia="pl-PL"/>
        </w:rPr>
        <w:t>cable pooling</w:t>
      </w:r>
      <w:r w:rsidR="005664AC">
        <w:rPr>
          <w:lang w:eastAsia="pl-PL"/>
        </w:rPr>
        <w:t>)</w:t>
      </w:r>
      <w:r w:rsidRPr="0096716D">
        <w:rPr>
          <w:lang w:eastAsia="pl-PL"/>
        </w:rPr>
        <w:t xml:space="preserve"> na</w:t>
      </w:r>
      <w:r w:rsidR="00FD4D6D">
        <w:rPr>
          <w:lang w:eastAsia="pl-PL"/>
        </w:rPr>
        <w:t> </w:t>
      </w:r>
      <w:r w:rsidRPr="0096716D">
        <w:rPr>
          <w:lang w:eastAsia="pl-PL"/>
        </w:rPr>
        <w:t>istniejących przyłączeniach, co umożliwi rozbudowę już funkcjonujących instalacji fotowoltaicznych o</w:t>
      </w:r>
      <w:r w:rsidR="001875B5">
        <w:rPr>
          <w:lang w:eastAsia="pl-PL"/>
        </w:rPr>
        <w:t> </w:t>
      </w:r>
      <w:r w:rsidRPr="0096716D">
        <w:rPr>
          <w:lang w:eastAsia="pl-PL"/>
        </w:rPr>
        <w:t>magazyny energii elektrycznej oraz inne instalacje OZE. Takie podejście pozwoli na bardziej efektywne wykorzystanie dostępnej infrastruktury sieciowej, optymalizację produkcji i magazynowania energii, a</w:t>
      </w:r>
      <w:r w:rsidR="001875B5">
        <w:rPr>
          <w:lang w:eastAsia="pl-PL"/>
        </w:rPr>
        <w:t> </w:t>
      </w:r>
      <w:r w:rsidRPr="0096716D">
        <w:rPr>
          <w:lang w:eastAsia="pl-PL"/>
        </w:rPr>
        <w:t>także zwiększenie elastyczności systemu elektroenergetycznego. </w:t>
      </w:r>
    </w:p>
    <w:p w14:paraId="393BB496" w14:textId="68050245" w:rsidR="00491705" w:rsidRPr="0096716D" w:rsidRDefault="00491705" w:rsidP="006218AF">
      <w:pPr>
        <w:rPr>
          <w:rFonts w:ascii="Times New Roman" w:hAnsi="Times New Roman"/>
          <w:sz w:val="24"/>
          <w:szCs w:val="24"/>
          <w:lang w:eastAsia="pl-PL"/>
        </w:rPr>
      </w:pPr>
      <w:r w:rsidRPr="0096716D">
        <w:rPr>
          <w:lang w:eastAsia="pl-PL"/>
        </w:rPr>
        <w:t>Niezbędne są również szeroko zakrojone działania na rzecz uproszczenia, uelastycznienia i</w:t>
      </w:r>
      <w:r w:rsidR="001875B5">
        <w:rPr>
          <w:lang w:eastAsia="pl-PL"/>
        </w:rPr>
        <w:t> </w:t>
      </w:r>
      <w:r w:rsidRPr="0096716D">
        <w:rPr>
          <w:lang w:eastAsia="pl-PL"/>
        </w:rPr>
        <w:t>uporządkowania procesu inwestycyjnego. Konieczne jest wprowadzenie wytycznych ujednolicających stosowanie prawa przez organy administracyjne, państwowe osoby prawne i operatorów sieci w skali całego kraju. Aby dostosować się do zmian rynkowych i technologicznych, inwestorzy powinni mieć większe możliwości optymalizacji projektów w trakcie procesu inwestycyjnego. </w:t>
      </w:r>
    </w:p>
    <w:p w14:paraId="014E930B" w14:textId="23350236" w:rsidR="00491705" w:rsidRPr="00C84962" w:rsidRDefault="00491705" w:rsidP="006218AF">
      <w:pPr>
        <w:rPr>
          <w:rFonts w:ascii="Times New Roman" w:hAnsi="Times New Roman"/>
          <w:sz w:val="24"/>
          <w:szCs w:val="24"/>
          <w:lang w:eastAsia="pl-PL"/>
        </w:rPr>
      </w:pPr>
      <w:r w:rsidRPr="0096716D">
        <w:rPr>
          <w:lang w:eastAsia="pl-PL"/>
        </w:rPr>
        <w:t>Należy również rozwijać agrofotowoltaikę, szczególnie na terenach, które obecnie nie są dopuszczone do tego rodzaju inwestycji. Umożliwi to jednoczesną produkcję energii i prowadzenie działalności rolniczej bez konieczności trwałego wyłączania tych terenów z użytkowania rolnego. Dodatkowo należy w</w:t>
      </w:r>
      <w:r w:rsidR="001875B5">
        <w:rPr>
          <w:lang w:eastAsia="pl-PL"/>
        </w:rPr>
        <w:t> </w:t>
      </w:r>
      <w:r w:rsidRPr="0096716D">
        <w:rPr>
          <w:lang w:eastAsia="pl-PL"/>
        </w:rPr>
        <w:t>szerszym zakresie umożliwić lokalizację instalacji fotowoltaicznych na terenach poprzemysłowych, stawach rybnych, zbiornikach przemysłowych i innych podobnych obszarach znacząco przekształconych przez człowieka.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2B27EC18" w14:textId="77777777" w:rsidTr="00C84962">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3E6BBE39"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15777B08" wp14:editId="23B7A592">
                  <wp:extent cx="622300" cy="622300"/>
                  <wp:effectExtent l="0" t="0" r="6350" b="6350"/>
                  <wp:docPr id="17" name="Obraz 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66D778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08EA39F"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666AA996" w14:textId="77777777" w:rsidTr="00C84962">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5992CC3"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056F8B9"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390C0C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rolnictwa </w:t>
            </w:r>
          </w:p>
          <w:p w14:paraId="5340578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rozwoju regionalnego </w:t>
            </w:r>
          </w:p>
        </w:tc>
      </w:tr>
    </w:tbl>
    <w:p w14:paraId="77F5C080" w14:textId="508DE341" w:rsidR="00491705" w:rsidRPr="0096716D" w:rsidRDefault="00491705" w:rsidP="00D523F3">
      <w:pPr>
        <w:pStyle w:val="Nagwek6"/>
        <w:rPr>
          <w:rFonts w:ascii="Times New Roman" w:eastAsia="Times New Roman" w:hAnsi="Times New Roman" w:cs="Times New Roman"/>
          <w:sz w:val="24"/>
          <w:szCs w:val="24"/>
          <w:lang w:eastAsia="pl-PL"/>
        </w:rPr>
      </w:pPr>
      <w:bookmarkStart w:id="922" w:name="_Toc195856529"/>
      <w:bookmarkStart w:id="923" w:name="_Ref195879074"/>
      <w:bookmarkStart w:id="924" w:name="_Ref195881691"/>
      <w:bookmarkStart w:id="925" w:name="_Ref195891798"/>
      <w:bookmarkStart w:id="926" w:name="_Ref195893942"/>
      <w:r>
        <w:t xml:space="preserve">Działanie </w:t>
      </w:r>
      <w:r>
        <w:fldChar w:fldCharType="begin"/>
      </w:r>
      <w:r>
        <w:instrText>SEQ Działanie \* ARABIC</w:instrText>
      </w:r>
      <w:r>
        <w:fldChar w:fldCharType="separate"/>
      </w:r>
      <w:r w:rsidR="00871DD5">
        <w:rPr>
          <w:noProof/>
        </w:rPr>
        <w:t>11</w:t>
      </w:r>
      <w:r>
        <w:fldChar w:fldCharType="end"/>
      </w:r>
      <w:r>
        <w:t xml:space="preserve">. </w:t>
      </w:r>
      <w:r w:rsidRPr="009D065B">
        <w:t>Instrument finansowy – system taryf gwarantowanych i dopłat do cen rynkowych</w:t>
      </w:r>
      <w:bookmarkEnd w:id="922"/>
      <w:bookmarkEnd w:id="923"/>
      <w:bookmarkEnd w:id="924"/>
      <w:bookmarkEnd w:id="925"/>
      <w:bookmarkEnd w:id="926"/>
      <w:r w:rsidRPr="0096716D">
        <w:rPr>
          <w:rFonts w:eastAsia="Times New Roman" w:cs="Times New Roman"/>
          <w:bCs/>
          <w:color w:val="000000"/>
          <w:lang w:eastAsia="pl-PL"/>
        </w:rPr>
        <w:t xml:space="preserve"> </w:t>
      </w:r>
    </w:p>
    <w:p w14:paraId="29E6E9FC" w14:textId="71D08833" w:rsidR="00491705" w:rsidRPr="00C260B4" w:rsidRDefault="00C84962" w:rsidP="00C260B4">
      <w:r w:rsidRPr="00C84962">
        <w:rPr>
          <w:lang w:eastAsia="pl-PL"/>
        </w:rPr>
        <w:t>System wsparcia dla małych instalacji OZE opiera się na taryfach gwarantowanych</w:t>
      </w:r>
      <w:r>
        <w:rPr>
          <w:rFonts w:eastAsia="Times New Roman" w:cs="Times New Roman"/>
          <w:lang w:eastAsia="pl-PL"/>
        </w:rPr>
        <w:t xml:space="preserve"> </w:t>
      </w:r>
      <w:r w:rsidRPr="00C84962">
        <w:rPr>
          <w:lang w:eastAsia="pl-PL"/>
        </w:rPr>
        <w:t>w</w:t>
      </w:r>
      <w:r w:rsidRPr="00C260B4">
        <w:rPr>
          <w:rFonts w:ascii="Arial" w:hAnsi="Arial"/>
        </w:rPr>
        <w:t> </w:t>
      </w:r>
      <w:r w:rsidRPr="00C84962">
        <w:rPr>
          <w:lang w:eastAsia="pl-PL"/>
        </w:rPr>
        <w:t>postaci FIT (ang.</w:t>
      </w:r>
      <w:r>
        <w:rPr>
          <w:lang w:eastAsia="pl-PL"/>
        </w:rPr>
        <w:t> </w:t>
      </w:r>
      <w:r w:rsidRPr="00C84962">
        <w:rPr>
          <w:i/>
          <w:iCs/>
          <w:lang w:eastAsia="pl-PL"/>
        </w:rPr>
        <w:t>feed-in tariff</w:t>
      </w:r>
      <w:r w:rsidRPr="00C84962">
        <w:rPr>
          <w:lang w:eastAsia="pl-PL"/>
        </w:rPr>
        <w:t>) oraz dop</w:t>
      </w:r>
      <w:r w:rsidRPr="00C84962">
        <w:rPr>
          <w:rFonts w:cs="Lato"/>
          <w:lang w:eastAsia="pl-PL"/>
        </w:rPr>
        <w:t>ł</w:t>
      </w:r>
      <w:r w:rsidRPr="00C84962">
        <w:rPr>
          <w:lang w:eastAsia="pl-PL"/>
        </w:rPr>
        <w:t xml:space="preserve">atach do cen rynkowych FIP (ang. </w:t>
      </w:r>
      <w:r w:rsidRPr="00C84962">
        <w:rPr>
          <w:i/>
          <w:iCs/>
          <w:lang w:eastAsia="pl-PL"/>
        </w:rPr>
        <w:t>feed-in premium</w:t>
      </w:r>
      <w:r w:rsidRPr="00C84962">
        <w:rPr>
          <w:lang w:eastAsia="pl-PL"/>
        </w:rPr>
        <w:t>). Obydwa systemy przewidziane s</w:t>
      </w:r>
      <w:r w:rsidRPr="00C84962">
        <w:rPr>
          <w:rFonts w:cs="Lato"/>
          <w:lang w:eastAsia="pl-PL"/>
        </w:rPr>
        <w:t>ą</w:t>
      </w:r>
      <w:r w:rsidRPr="00C84962">
        <w:rPr>
          <w:lang w:eastAsia="pl-PL"/>
        </w:rPr>
        <w:t xml:space="preserve"> obecnie do wytwarzania energii elektrycznej w instalacjach biogazowych, biomasowych i</w:t>
      </w:r>
      <w:r>
        <w:rPr>
          <w:lang w:eastAsia="pl-PL"/>
        </w:rPr>
        <w:t> </w:t>
      </w:r>
      <w:r w:rsidRPr="00C84962">
        <w:rPr>
          <w:lang w:eastAsia="pl-PL"/>
        </w:rPr>
        <w:t>wodnych. Z</w:t>
      </w:r>
      <w:r>
        <w:rPr>
          <w:lang w:eastAsia="pl-PL"/>
        </w:rPr>
        <w:t> </w:t>
      </w:r>
      <w:r w:rsidRPr="00C84962">
        <w:rPr>
          <w:lang w:eastAsia="pl-PL"/>
        </w:rPr>
        <w:t>uwzgl</w:t>
      </w:r>
      <w:r w:rsidRPr="00C84962">
        <w:rPr>
          <w:rFonts w:cs="Lato"/>
          <w:lang w:eastAsia="pl-PL"/>
        </w:rPr>
        <w:t>ę</w:t>
      </w:r>
      <w:r w:rsidRPr="00C84962">
        <w:rPr>
          <w:lang w:eastAsia="pl-PL"/>
        </w:rPr>
        <w:t>dnieniem okresu przej</w:t>
      </w:r>
      <w:r w:rsidRPr="00C84962">
        <w:rPr>
          <w:rFonts w:cs="Lato"/>
          <w:lang w:eastAsia="pl-PL"/>
        </w:rPr>
        <w:t>ś</w:t>
      </w:r>
      <w:r w:rsidRPr="00C84962">
        <w:rPr>
          <w:lang w:eastAsia="pl-PL"/>
        </w:rPr>
        <w:t>ciowego rekomenduje si</w:t>
      </w:r>
      <w:r w:rsidRPr="00C84962">
        <w:rPr>
          <w:rFonts w:cs="Lato"/>
          <w:lang w:eastAsia="pl-PL"/>
        </w:rPr>
        <w:t>ę</w:t>
      </w:r>
      <w:r w:rsidRPr="00C84962">
        <w:rPr>
          <w:lang w:eastAsia="pl-PL"/>
        </w:rPr>
        <w:t xml:space="preserve"> wygaszanie wsparcia dla nowych instalacji spalania biomasy. W systemie FIP wsparcie jest udzielane tak</w:t>
      </w:r>
      <w:r w:rsidRPr="00C84962">
        <w:rPr>
          <w:rFonts w:cs="Lato"/>
          <w:lang w:eastAsia="pl-PL"/>
        </w:rPr>
        <w:t>ż</w:t>
      </w:r>
      <w:r w:rsidRPr="00C84962">
        <w:rPr>
          <w:lang w:eastAsia="pl-PL"/>
        </w:rPr>
        <w:t>e dla instalacji wytwarzania biometanu o mocy ekwiwalentnej do 1 MW</w:t>
      </w:r>
      <w:r w:rsidRPr="00C260B4">
        <w:rPr>
          <w:vertAlign w:val="subscript"/>
        </w:rPr>
        <w:t>el</w:t>
      </w:r>
      <w:r w:rsidRPr="00C260B4">
        <w:t xml:space="preserve"> pod warunkiem wprowadzenia biometanu do sieci </w:t>
      </w:r>
      <w:r w:rsidRPr="00C84962">
        <w:rPr>
          <w:lang w:eastAsia="pl-PL"/>
        </w:rPr>
        <w:t>gazowej.</w:t>
      </w:r>
    </w:p>
    <w:p w14:paraId="4124395B" w14:textId="77777777" w:rsidR="00B15345" w:rsidRPr="00C260B4" w:rsidRDefault="00B15345" w:rsidP="00C260B4"/>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47"/>
        <w:gridCol w:w="3870"/>
        <w:gridCol w:w="3960"/>
      </w:tblGrid>
      <w:tr w:rsidR="003B6773" w:rsidRPr="0096716D" w14:paraId="2ED29B68" w14:textId="77777777" w:rsidTr="00C84962">
        <w:trPr>
          <w:trHeight w:val="300"/>
        </w:trPr>
        <w:tc>
          <w:tcPr>
            <w:tcW w:w="1122" w:type="dxa"/>
            <w:vMerge w:val="restart"/>
            <w:tcBorders>
              <w:top w:val="dashed" w:sz="12" w:space="0" w:color="FFFFFF"/>
              <w:left w:val="dashed" w:sz="12" w:space="0" w:color="FFFFFF"/>
              <w:bottom w:val="dashed" w:sz="12" w:space="0" w:color="FFFFFF"/>
              <w:right w:val="dashed" w:sz="12" w:space="0" w:color="FFFFFF"/>
            </w:tcBorders>
            <w:hideMark/>
          </w:tcPr>
          <w:p w14:paraId="1AAB2936" w14:textId="77777777" w:rsidR="00C84962" w:rsidRPr="0096716D" w:rsidRDefault="00C84962" w:rsidP="00C84962">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r w:rsidRPr="0096716D">
              <w:rPr>
                <w:rFonts w:ascii="Times New Roman" w:eastAsia="Times New Roman" w:hAnsi="Times New Roman" w:cs="Times New Roman"/>
                <w:noProof/>
                <w:sz w:val="24"/>
                <w:szCs w:val="24"/>
                <w:lang w:eastAsia="pl-PL"/>
              </w:rPr>
              <w:drawing>
                <wp:inline distT="0" distB="0" distL="0" distR="0" wp14:anchorId="57578657" wp14:editId="53C98934">
                  <wp:extent cx="617220" cy="617220"/>
                  <wp:effectExtent l="0" t="0" r="0" b="0"/>
                  <wp:docPr id="47"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96716D">
              <w:rPr>
                <w:rFonts w:eastAsia="Times New Roman" w:cs="Times New Roman"/>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358CD17" w14:textId="3811724F" w:rsidR="00C84962" w:rsidRPr="0096716D" w:rsidRDefault="00C84962" w:rsidP="00C84962">
            <w:pPr>
              <w:spacing w:after="0" w:line="240" w:lineRule="auto"/>
              <w:textAlignment w:val="baseline"/>
              <w:rPr>
                <w:rFonts w:ascii="Times New Roman" w:eastAsia="Times New Roman" w:hAnsi="Times New Roman" w:cs="Times New Roman"/>
                <w:sz w:val="24"/>
                <w:szCs w:val="24"/>
                <w:lang w:eastAsia="pl-PL"/>
              </w:rPr>
            </w:pPr>
            <w:r w:rsidRPr="00C260B4">
              <w:rPr>
                <w:b/>
                <w:smallCaps/>
                <w:color w:val="000000"/>
                <w:sz w:val="18"/>
              </w:rPr>
              <w:t>PODMIOT WIODĄCY</w:t>
            </w:r>
            <w:r w:rsidRPr="00C260B4">
              <w:rPr>
                <w:color w:val="000000"/>
                <w:sz w:val="18"/>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0C0C857" w14:textId="136EE24A" w:rsidR="00C84962" w:rsidRPr="0096716D" w:rsidRDefault="00C84962" w:rsidP="00C84962">
            <w:pPr>
              <w:spacing w:after="0" w:line="240" w:lineRule="auto"/>
              <w:textAlignment w:val="baseline"/>
              <w:rPr>
                <w:rFonts w:ascii="Times New Roman" w:eastAsia="Times New Roman" w:hAnsi="Times New Roman" w:cs="Times New Roman"/>
                <w:sz w:val="24"/>
                <w:szCs w:val="24"/>
                <w:lang w:eastAsia="pl-PL"/>
              </w:rPr>
            </w:pPr>
            <w:r w:rsidRPr="00C260B4">
              <w:rPr>
                <w:b/>
                <w:color w:val="000000"/>
                <w:sz w:val="18"/>
              </w:rPr>
              <w:t>PODMIOTY WSPÓŁPRACUJĄCE</w:t>
            </w:r>
            <w:r w:rsidRPr="00C260B4">
              <w:rPr>
                <w:color w:val="000000"/>
                <w:sz w:val="18"/>
              </w:rPr>
              <w:t> </w:t>
            </w:r>
          </w:p>
        </w:tc>
      </w:tr>
      <w:tr w:rsidR="003B6773" w:rsidRPr="0096716D" w14:paraId="022D275B" w14:textId="77777777" w:rsidTr="00C84962">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0A0AA8A"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EBB4E19"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2AFC00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Prezes URE </w:t>
            </w:r>
          </w:p>
          <w:p w14:paraId="4B40709D" w14:textId="710B6C3D"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Zarządca Rozliczeń S.A. </w:t>
            </w:r>
          </w:p>
        </w:tc>
      </w:tr>
    </w:tbl>
    <w:p w14:paraId="194B8C40" w14:textId="21FD995F" w:rsidR="00491705" w:rsidRDefault="00491705" w:rsidP="00D523F3">
      <w:pPr>
        <w:pStyle w:val="Nagwek6"/>
        <w:rPr>
          <w:rFonts w:eastAsia="Times New Roman" w:cs="Times New Roman"/>
          <w:bCs/>
          <w:color w:val="000000"/>
          <w:lang w:eastAsia="pl-PL"/>
        </w:rPr>
      </w:pPr>
      <w:bookmarkStart w:id="927" w:name="_Toc195856530"/>
      <w:bookmarkStart w:id="928" w:name="_Ref195879110"/>
      <w:bookmarkStart w:id="929" w:name="_Ref195880331"/>
      <w:bookmarkStart w:id="930" w:name="_Ref195880337"/>
      <w:bookmarkStart w:id="931" w:name="_Ref195881697"/>
      <w:bookmarkStart w:id="932" w:name="_Ref195891432"/>
      <w:bookmarkStart w:id="933" w:name="_Ref195891822"/>
      <w:bookmarkStart w:id="934" w:name="_Ref195892408"/>
      <w:bookmarkStart w:id="935" w:name="_Ref195892877"/>
      <w:bookmarkStart w:id="936" w:name="_Ref195892913"/>
      <w:bookmarkStart w:id="937" w:name="_Ref203397900"/>
      <w:bookmarkStart w:id="938" w:name="_Hlk195765500"/>
      <w:r>
        <w:t xml:space="preserve">Działanie </w:t>
      </w:r>
      <w:r>
        <w:fldChar w:fldCharType="begin"/>
      </w:r>
      <w:r>
        <w:instrText>SEQ Działanie \* ARABIC</w:instrText>
      </w:r>
      <w:r>
        <w:fldChar w:fldCharType="separate"/>
      </w:r>
      <w:r w:rsidR="00871DD5">
        <w:rPr>
          <w:noProof/>
        </w:rPr>
        <w:t>12</w:t>
      </w:r>
      <w:r>
        <w:fldChar w:fldCharType="end"/>
      </w:r>
      <w:r>
        <w:t xml:space="preserve">. </w:t>
      </w:r>
      <w:r w:rsidRPr="00B178F3">
        <w:t>Pakiet wsparcia rozwoju rynku biometanu i biogazu</w:t>
      </w:r>
      <w:bookmarkEnd w:id="927"/>
      <w:bookmarkEnd w:id="928"/>
      <w:bookmarkEnd w:id="929"/>
      <w:bookmarkEnd w:id="930"/>
      <w:bookmarkEnd w:id="931"/>
      <w:bookmarkEnd w:id="932"/>
      <w:bookmarkEnd w:id="933"/>
      <w:bookmarkEnd w:id="934"/>
      <w:bookmarkEnd w:id="935"/>
      <w:bookmarkEnd w:id="936"/>
      <w:bookmarkEnd w:id="937"/>
      <w:r w:rsidRPr="0096716D">
        <w:rPr>
          <w:rFonts w:eastAsia="Times New Roman" w:cs="Times New Roman"/>
          <w:bCs/>
          <w:color w:val="000000"/>
          <w:lang w:eastAsia="pl-PL"/>
        </w:rPr>
        <w:t xml:space="preserve"> </w:t>
      </w:r>
    </w:p>
    <w:p w14:paraId="51134FD5" w14:textId="59409A5A" w:rsidR="00AC1924" w:rsidRPr="00AC1924" w:rsidRDefault="00AC1924" w:rsidP="00AC1924">
      <w:pPr>
        <w:rPr>
          <w:lang w:eastAsia="pl-PL"/>
        </w:rPr>
      </w:pPr>
      <w:r>
        <w:rPr>
          <w:lang w:eastAsia="pl-PL"/>
        </w:rPr>
        <w:t>Na pakiet składają się następujące elementy:</w:t>
      </w:r>
    </w:p>
    <w:p w14:paraId="2F6676A4" w14:textId="7ABD647C" w:rsidR="00C84962" w:rsidRPr="00DE777A"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DE777A">
        <w:rPr>
          <w:rFonts w:eastAsia="Times New Roman" w:cs="Times New Roman"/>
          <w:b/>
          <w:bCs/>
          <w:lang w:eastAsia="pl-PL"/>
        </w:rPr>
        <w:t>Uruchomienie mechanizmu wsparcia operacyjnego w formie aukcji dla biometanu</w:t>
      </w:r>
      <w:r w:rsidRPr="00DE777A">
        <w:rPr>
          <w:rFonts w:eastAsia="Times New Roman" w:cs="Times New Roman"/>
          <w:lang w:eastAsia="pl-PL"/>
        </w:rPr>
        <w:t xml:space="preserve"> wytworzonego w instalacjach o wydajności produkcji biometanu netto powyżej 20 GWh rocznie w odniesieniu do</w:t>
      </w:r>
      <w:r w:rsidR="00FD4D6D">
        <w:rPr>
          <w:rFonts w:eastAsia="Times New Roman" w:cs="Times New Roman"/>
          <w:lang w:eastAsia="pl-PL"/>
        </w:rPr>
        <w:t> </w:t>
      </w:r>
      <w:r w:rsidRPr="00DE777A">
        <w:rPr>
          <w:rFonts w:eastAsia="Times New Roman" w:cs="Times New Roman"/>
          <w:lang w:eastAsia="pl-PL"/>
        </w:rPr>
        <w:t>energii chemicznej paliwa (co odpowiada ekwiwalentowi mocy zainstalowanej powyżej 1 MW</w:t>
      </w:r>
      <w:r w:rsidRPr="00DE777A">
        <w:rPr>
          <w:rFonts w:eastAsia="Times New Roman" w:cs="Times New Roman"/>
          <w:vertAlign w:val="subscript"/>
          <w:lang w:eastAsia="pl-PL"/>
        </w:rPr>
        <w:t>el</w:t>
      </w:r>
      <w:r w:rsidRPr="00DE777A">
        <w:rPr>
          <w:rFonts w:eastAsia="Times New Roman" w:cs="Times New Roman"/>
          <w:lang w:eastAsia="pl-PL"/>
        </w:rPr>
        <w:t>).</w:t>
      </w:r>
      <w:r w:rsidR="00974007">
        <w:rPr>
          <w:rFonts w:eastAsia="Times New Roman" w:cs="Times New Roman"/>
          <w:lang w:eastAsia="pl-PL"/>
        </w:rPr>
        <w:t xml:space="preserve">  </w:t>
      </w:r>
    </w:p>
    <w:p w14:paraId="08E23624" w14:textId="4B95D9BB" w:rsidR="00C84962" w:rsidRPr="00AA1F74"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DE777A">
        <w:rPr>
          <w:rFonts w:eastAsia="Times New Roman" w:cs="Times New Roman"/>
          <w:lang w:eastAsia="pl-PL"/>
        </w:rPr>
        <w:t xml:space="preserve">Zgodnie z nowymi wytycznymi UE od 30 grudnia 2025 r. (Net- Zero Industry Act) wymagane będzie uwzględnianie w aukcjach także </w:t>
      </w:r>
      <w:r w:rsidRPr="00DE777A">
        <w:rPr>
          <w:rFonts w:eastAsia="Times New Roman" w:cs="Times New Roman"/>
          <w:b/>
          <w:bCs/>
          <w:lang w:eastAsia="pl-PL"/>
        </w:rPr>
        <w:t xml:space="preserve">kryteriów </w:t>
      </w:r>
      <w:r w:rsidRPr="00AA1F74">
        <w:rPr>
          <w:rFonts w:eastAsia="Times New Roman" w:cs="Times New Roman"/>
          <w:b/>
          <w:bCs/>
          <w:lang w:eastAsia="pl-PL"/>
        </w:rPr>
        <w:t>pozacenowych</w:t>
      </w:r>
      <w:r w:rsidRPr="00AA1F74">
        <w:rPr>
          <w:rFonts w:eastAsia="Times New Roman" w:cs="Times New Roman"/>
          <w:lang w:eastAsia="pl-PL"/>
        </w:rPr>
        <w:t>. Rekomenduje się</w:t>
      </w:r>
      <w:r w:rsidR="00083563" w:rsidRPr="00AA1F74">
        <w:rPr>
          <w:rFonts w:eastAsia="Times New Roman" w:cs="Times New Roman"/>
          <w:lang w:eastAsia="pl-PL"/>
        </w:rPr>
        <w:t>,</w:t>
      </w:r>
      <w:r w:rsidRPr="00AA1F74">
        <w:rPr>
          <w:rFonts w:eastAsia="Times New Roman" w:cs="Times New Roman"/>
          <w:lang w:eastAsia="pl-PL"/>
        </w:rPr>
        <w:t xml:space="preserve"> by dla nowych instalacji wytwarzania biometanu uwzględnić wymaganie bezodorowości instalacji oraz minimalizacji emisji biometanu do atmosfery. Rekomendacje dotyczą także biogazu i biogazu rolniczego. </w:t>
      </w:r>
    </w:p>
    <w:p w14:paraId="6943BE45" w14:textId="4EC4DE62" w:rsidR="00C84962" w:rsidRPr="00DE777A"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AA1F74">
        <w:rPr>
          <w:rFonts w:eastAsia="Times New Roman" w:cs="Times New Roman"/>
          <w:lang w:eastAsia="pl-PL"/>
        </w:rPr>
        <w:t xml:space="preserve">Rekomenduje się by w kolejnych latach na podstawie wniosków z przeprowadzenia pierwszych aukcji i obserwacji rozwoju rynku biometanu wprowadzić </w:t>
      </w:r>
      <w:r w:rsidRPr="00AA1F74">
        <w:rPr>
          <w:rFonts w:eastAsia="Times New Roman" w:cs="Times New Roman"/>
          <w:b/>
          <w:bCs/>
          <w:lang w:eastAsia="pl-PL"/>
        </w:rPr>
        <w:t>elastyczność w zakresie kształtowania koszyków aukcyjnych</w:t>
      </w:r>
      <w:r w:rsidRPr="00AA1F74">
        <w:rPr>
          <w:b/>
        </w:rPr>
        <w:t xml:space="preserve"> w odniesieniu do skali instalacji</w:t>
      </w:r>
      <w:r w:rsidRPr="00AA1F74">
        <w:rPr>
          <w:rFonts w:eastAsia="Times New Roman" w:cs="Times New Roman"/>
          <w:lang w:eastAsia="pl-PL"/>
        </w:rPr>
        <w:t>. Należy dążyć do objęcia systemem aukcyjnym także biometanu dostarczanego do krajowej sieci gazowej w inny sposób niż za pomocą bezpośredniego przyłącza instalacji do sieci gazowej</w:t>
      </w:r>
      <w:r w:rsidRPr="00DE777A">
        <w:rPr>
          <w:rFonts w:eastAsia="Times New Roman" w:cs="Times New Roman"/>
          <w:lang w:eastAsia="pl-PL"/>
        </w:rPr>
        <w:t>.</w:t>
      </w:r>
      <w:r w:rsidR="00974007">
        <w:rPr>
          <w:rFonts w:eastAsia="Times New Roman" w:cs="Times New Roman"/>
          <w:lang w:eastAsia="pl-PL"/>
        </w:rPr>
        <w:t xml:space="preserve">  </w:t>
      </w:r>
    </w:p>
    <w:p w14:paraId="66E749EF" w14:textId="535E6F0A" w:rsidR="00C84962" w:rsidRPr="00DE777A"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DE777A">
        <w:rPr>
          <w:rFonts w:eastAsia="Times New Roman" w:cs="Times New Roman"/>
          <w:b/>
          <w:bCs/>
          <w:lang w:eastAsia="pl-PL"/>
        </w:rPr>
        <w:t>Zmniejszenie obciążeń i skrócenie terminów postępowań</w:t>
      </w:r>
      <w:r w:rsidRPr="00C260B4">
        <w:rPr>
          <w:b/>
        </w:rPr>
        <w:t xml:space="preserve"> </w:t>
      </w:r>
      <w:r w:rsidRPr="00DE777A">
        <w:rPr>
          <w:rFonts w:eastAsia="Times New Roman" w:cs="Times New Roman"/>
          <w:lang w:eastAsia="pl-PL"/>
        </w:rPr>
        <w:t>realizacji inwestycji i poprawa warunków prowadzenia działalności wytwórczej na etapie eksploatacyjnym.</w:t>
      </w:r>
      <w:r w:rsidRPr="00C260B4">
        <w:rPr>
          <w:rFonts w:ascii="Arial" w:hAnsi="Arial"/>
        </w:rPr>
        <w:t> </w:t>
      </w:r>
      <w:r w:rsidRPr="00DE777A">
        <w:rPr>
          <w:rFonts w:eastAsia="Times New Roman" w:cs="Times New Roman"/>
          <w:lang w:eastAsia="pl-PL"/>
        </w:rPr>
        <w:t xml:space="preserve"> </w:t>
      </w:r>
    </w:p>
    <w:p w14:paraId="520C531B" w14:textId="68D6AC05" w:rsidR="00C84962" w:rsidRPr="00DE777A" w:rsidRDefault="00C84962" w:rsidP="000625AC">
      <w:pPr>
        <w:pStyle w:val="Akapitzlist"/>
        <w:numPr>
          <w:ilvl w:val="0"/>
          <w:numId w:val="137"/>
        </w:numPr>
        <w:spacing w:after="80" w:line="240" w:lineRule="auto"/>
        <w:ind w:left="425" w:hanging="357"/>
        <w:contextualSpacing w:val="0"/>
        <w:textAlignment w:val="baseline"/>
        <w:rPr>
          <w:rFonts w:eastAsia="Times New Roman" w:cs="Times New Roman"/>
          <w:lang w:eastAsia="pl-PL"/>
        </w:rPr>
      </w:pPr>
      <w:r w:rsidRPr="00DE777A">
        <w:rPr>
          <w:rFonts w:eastAsia="Times New Roman" w:cs="Times New Roman"/>
          <w:lang w:eastAsia="pl-PL"/>
        </w:rPr>
        <w:t xml:space="preserve">Stworzenie regulacji mających na celu </w:t>
      </w:r>
      <w:r w:rsidRPr="00DE777A">
        <w:rPr>
          <w:rFonts w:eastAsia="Times New Roman" w:cs="Times New Roman"/>
          <w:b/>
          <w:bCs/>
          <w:lang w:eastAsia="pl-PL"/>
        </w:rPr>
        <w:t>efektywną współpracę</w:t>
      </w:r>
      <w:r w:rsidRPr="00C260B4">
        <w:rPr>
          <w:b/>
        </w:rPr>
        <w:t xml:space="preserve"> </w:t>
      </w:r>
      <w:r w:rsidRPr="00DE777A">
        <w:rPr>
          <w:rFonts w:eastAsia="Times New Roman" w:cs="Times New Roman"/>
          <w:b/>
          <w:bCs/>
          <w:lang w:eastAsia="pl-PL"/>
        </w:rPr>
        <w:t>operatorów gazociągów przesyłowych i dystrybucyjnych z wytwórcami biometanu</w:t>
      </w:r>
      <w:r w:rsidRPr="00DE777A">
        <w:rPr>
          <w:rFonts w:eastAsia="Times New Roman" w:cs="Times New Roman"/>
          <w:lang w:eastAsia="pl-PL"/>
        </w:rPr>
        <w:t xml:space="preserve">. W szczególności: </w:t>
      </w:r>
    </w:p>
    <w:p w14:paraId="3DDD0142" w14:textId="719440D2" w:rsidR="00C84962" w:rsidRPr="00DE777A" w:rsidRDefault="00C84962" w:rsidP="000625AC">
      <w:pPr>
        <w:pStyle w:val="Akapitzlist"/>
        <w:numPr>
          <w:ilvl w:val="1"/>
          <w:numId w:val="137"/>
        </w:numPr>
        <w:spacing w:after="80" w:line="240" w:lineRule="auto"/>
        <w:ind w:left="851"/>
        <w:contextualSpacing w:val="0"/>
        <w:textAlignment w:val="baseline"/>
        <w:rPr>
          <w:rFonts w:eastAsia="Times New Roman" w:cs="Times New Roman"/>
          <w:lang w:eastAsia="pl-PL"/>
        </w:rPr>
      </w:pPr>
      <w:r w:rsidRPr="00DE777A">
        <w:rPr>
          <w:rFonts w:eastAsia="Times New Roman" w:cs="Times New Roman"/>
          <w:lang w:eastAsia="pl-PL"/>
        </w:rPr>
        <w:t>zapewnienie stałej zdolności przesyłu dla instalacji biometanu podłączonych do sieci gazowej</w:t>
      </w:r>
      <w:r w:rsidR="00C81D02">
        <w:rPr>
          <w:rFonts w:eastAsia="Times New Roman" w:cs="Times New Roman"/>
          <w:lang w:eastAsia="pl-PL"/>
        </w:rPr>
        <w:t>,</w:t>
      </w:r>
      <w:r w:rsidR="00974007">
        <w:rPr>
          <w:rFonts w:eastAsia="Times New Roman" w:cs="Times New Roman"/>
          <w:lang w:eastAsia="pl-PL"/>
        </w:rPr>
        <w:t xml:space="preserve">  </w:t>
      </w:r>
    </w:p>
    <w:p w14:paraId="628621A2" w14:textId="50825694" w:rsidR="00C84962" w:rsidRPr="00DE777A" w:rsidRDefault="00C84962" w:rsidP="000625AC">
      <w:pPr>
        <w:pStyle w:val="Akapitzlist"/>
        <w:numPr>
          <w:ilvl w:val="1"/>
          <w:numId w:val="137"/>
        </w:numPr>
        <w:spacing w:line="240" w:lineRule="auto"/>
        <w:ind w:left="851"/>
        <w:contextualSpacing w:val="0"/>
        <w:textAlignment w:val="baseline"/>
        <w:rPr>
          <w:rFonts w:eastAsia="Times New Roman" w:cs="Times New Roman"/>
          <w:lang w:eastAsia="pl-PL"/>
        </w:rPr>
      </w:pPr>
      <w:r w:rsidRPr="00DE777A">
        <w:rPr>
          <w:rFonts w:eastAsia="Times New Roman" w:cs="Times New Roman"/>
          <w:lang w:eastAsia="pl-PL"/>
        </w:rPr>
        <w:t>wdrożenie obowiązków w zakresie transparentnego kształtowania planów rozwoju (OSP</w:t>
      </w:r>
      <w:r w:rsidR="00A46DBB">
        <w:rPr>
          <w:rFonts w:eastAsia="Times New Roman" w:cs="Times New Roman"/>
          <w:lang w:eastAsia="pl-PL"/>
        </w:rPr>
        <w:t>g</w:t>
      </w:r>
      <w:r w:rsidRPr="00DE777A">
        <w:rPr>
          <w:rFonts w:eastAsia="Times New Roman" w:cs="Times New Roman"/>
          <w:lang w:eastAsia="pl-PL"/>
        </w:rPr>
        <w:t>) i</w:t>
      </w:r>
      <w:r w:rsidR="00DE777A">
        <w:rPr>
          <w:rFonts w:eastAsia="Times New Roman" w:cs="Times New Roman"/>
          <w:lang w:eastAsia="pl-PL"/>
        </w:rPr>
        <w:t> </w:t>
      </w:r>
      <w:r w:rsidRPr="00DE777A">
        <w:rPr>
          <w:rFonts w:eastAsia="Times New Roman" w:cs="Times New Roman"/>
          <w:lang w:eastAsia="pl-PL"/>
        </w:rPr>
        <w:t>likwidacji (OSD</w:t>
      </w:r>
      <w:r w:rsidR="00A46DBB">
        <w:rPr>
          <w:rFonts w:eastAsia="Times New Roman" w:cs="Times New Roman"/>
          <w:lang w:eastAsia="pl-PL"/>
        </w:rPr>
        <w:t>g</w:t>
      </w:r>
      <w:r w:rsidRPr="00DE777A">
        <w:rPr>
          <w:rFonts w:eastAsia="Times New Roman" w:cs="Times New Roman"/>
          <w:lang w:eastAsia="pl-PL"/>
        </w:rPr>
        <w:t>) sieci gazowych uwzględniającego obowiązki konsultacji ze wszystkimi ważnymi interesariuszami, w szczególności uwzględnienia planowanych inwestycji w</w:t>
      </w:r>
      <w:r w:rsidR="00A46DBB">
        <w:rPr>
          <w:rFonts w:eastAsia="Times New Roman" w:cs="Times New Roman"/>
          <w:lang w:eastAsia="pl-PL"/>
        </w:rPr>
        <w:t> </w:t>
      </w:r>
      <w:r w:rsidRPr="00DE777A">
        <w:rPr>
          <w:rFonts w:eastAsia="Times New Roman" w:cs="Times New Roman"/>
          <w:lang w:eastAsia="pl-PL"/>
        </w:rPr>
        <w:t>infrastrukturę wytwarzania biometanu</w:t>
      </w:r>
      <w:r w:rsidR="00A46DBB" w:rsidRPr="00A46DBB">
        <w:rPr>
          <w:rFonts w:eastAsia="Times New Roman" w:cs="Times New Roman"/>
          <w:lang w:eastAsia="pl-PL"/>
        </w:rPr>
        <w:t xml:space="preserve"> </w:t>
      </w:r>
      <w:r w:rsidR="00A46DBB" w:rsidRPr="00DE777A">
        <w:rPr>
          <w:rFonts w:eastAsia="Times New Roman" w:cs="Times New Roman"/>
          <w:lang w:eastAsia="pl-PL"/>
        </w:rPr>
        <w:t>w planach operatora</w:t>
      </w:r>
      <w:r w:rsidR="00A46DBB">
        <w:rPr>
          <w:rFonts w:eastAsia="Times New Roman" w:cs="Times New Roman"/>
          <w:lang w:eastAsia="pl-PL"/>
        </w:rPr>
        <w:t>.</w:t>
      </w:r>
    </w:p>
    <w:p w14:paraId="4EC529D4" w14:textId="12D6C046" w:rsidR="00C84962" w:rsidRPr="00DE777A"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DE777A">
        <w:rPr>
          <w:rFonts w:eastAsia="Times New Roman" w:cs="Times New Roman"/>
          <w:lang w:eastAsia="pl-PL"/>
        </w:rPr>
        <w:t>Podjęcie działań kierunkowych mających na celu zbadanie możliwości wprowadzania do sieci biometanu, który osiągnął ciepło spalania 38 MJ/m</w:t>
      </w:r>
      <w:r w:rsidRPr="00DE777A">
        <w:rPr>
          <w:rFonts w:eastAsia="Times New Roman" w:cs="Times New Roman"/>
          <w:vertAlign w:val="superscript"/>
          <w:lang w:eastAsia="pl-PL"/>
        </w:rPr>
        <w:t>3</w:t>
      </w:r>
      <w:r w:rsidRPr="00DE777A">
        <w:rPr>
          <w:rFonts w:eastAsia="Times New Roman" w:cs="Times New Roman"/>
          <w:lang w:eastAsia="pl-PL"/>
        </w:rPr>
        <w:t xml:space="preserve">, </w:t>
      </w:r>
      <w:r w:rsidRPr="00DE777A">
        <w:rPr>
          <w:rFonts w:eastAsia="Times New Roman" w:cs="Times New Roman"/>
          <w:b/>
          <w:bCs/>
          <w:lang w:eastAsia="pl-PL"/>
        </w:rPr>
        <w:t>bez konieczności dalszego podnoszenia jego kaloryczności</w:t>
      </w:r>
      <w:r w:rsidRPr="00DE777A">
        <w:rPr>
          <w:rFonts w:eastAsia="Times New Roman" w:cs="Times New Roman"/>
          <w:lang w:eastAsia="pl-PL"/>
        </w:rPr>
        <w:t xml:space="preserve">, pod warunkiem spełnienia pozostałych wymaganych parametrów jakościowych. </w:t>
      </w:r>
    </w:p>
    <w:p w14:paraId="7CE28C05" w14:textId="5F87B5B8" w:rsidR="00C84962" w:rsidRPr="00DE777A"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DE777A">
        <w:rPr>
          <w:rFonts w:eastAsia="Times New Roman" w:cs="Times New Roman"/>
          <w:lang w:eastAsia="pl-PL"/>
        </w:rPr>
        <w:t xml:space="preserve">Rekomenduje się uruchomienie </w:t>
      </w:r>
      <w:r w:rsidRPr="00DE777A">
        <w:rPr>
          <w:rFonts w:eastAsia="Times New Roman" w:cs="Times New Roman"/>
          <w:b/>
          <w:bCs/>
          <w:lang w:eastAsia="pl-PL"/>
        </w:rPr>
        <w:t>mechanizmów stymulujących popyt</w:t>
      </w:r>
      <w:r w:rsidRPr="00DE777A">
        <w:rPr>
          <w:rFonts w:eastAsia="Times New Roman" w:cs="Times New Roman"/>
          <w:lang w:eastAsia="pl-PL"/>
        </w:rPr>
        <w:t xml:space="preserve"> na biometan w sektorach i</w:t>
      </w:r>
      <w:r w:rsidR="00DE777A">
        <w:rPr>
          <w:rFonts w:eastAsia="Times New Roman" w:cs="Times New Roman"/>
          <w:lang w:eastAsia="pl-PL"/>
        </w:rPr>
        <w:t> </w:t>
      </w:r>
      <w:r w:rsidRPr="00DE777A">
        <w:rPr>
          <w:rFonts w:eastAsia="Times New Roman" w:cs="Times New Roman"/>
          <w:lang w:eastAsia="pl-PL"/>
        </w:rPr>
        <w:t>zastosowaniach, w których jego wykorzystanie ma największą wartość dodaną dla gospodarki i</w:t>
      </w:r>
      <w:r w:rsidR="00DE777A">
        <w:rPr>
          <w:rFonts w:eastAsia="Times New Roman" w:cs="Times New Roman"/>
          <w:lang w:eastAsia="pl-PL"/>
        </w:rPr>
        <w:t> </w:t>
      </w:r>
      <w:r w:rsidRPr="00DE777A">
        <w:rPr>
          <w:rFonts w:eastAsia="Times New Roman" w:cs="Times New Roman"/>
          <w:lang w:eastAsia="pl-PL"/>
        </w:rPr>
        <w:t>pozwoli na zminimalizowanie w dłuższym okresie wsparcia ze strony państwa.</w:t>
      </w:r>
      <w:r w:rsidR="00974007">
        <w:rPr>
          <w:rFonts w:eastAsia="Times New Roman" w:cs="Times New Roman"/>
          <w:lang w:eastAsia="pl-PL"/>
        </w:rPr>
        <w:t xml:space="preserve">  </w:t>
      </w:r>
    </w:p>
    <w:p w14:paraId="44742DEC" w14:textId="1E0EBE62" w:rsidR="00C84962" w:rsidRPr="00DE777A" w:rsidRDefault="00C84962" w:rsidP="000625AC">
      <w:pPr>
        <w:pStyle w:val="Akapitzlist"/>
        <w:numPr>
          <w:ilvl w:val="0"/>
          <w:numId w:val="137"/>
        </w:numPr>
        <w:spacing w:line="240" w:lineRule="auto"/>
        <w:ind w:left="425" w:hanging="357"/>
        <w:contextualSpacing w:val="0"/>
        <w:textAlignment w:val="baseline"/>
        <w:rPr>
          <w:rFonts w:eastAsia="Times New Roman" w:cs="Times New Roman"/>
          <w:lang w:eastAsia="pl-PL"/>
        </w:rPr>
      </w:pPr>
      <w:r w:rsidRPr="00DE777A">
        <w:rPr>
          <w:rFonts w:eastAsia="Times New Roman" w:cs="Times New Roman"/>
          <w:lang w:eastAsia="pl-PL"/>
        </w:rPr>
        <w:t xml:space="preserve">Wzmocnienie </w:t>
      </w:r>
      <w:r w:rsidRPr="00DE777A">
        <w:rPr>
          <w:rFonts w:eastAsia="Times New Roman" w:cs="Times New Roman"/>
          <w:b/>
          <w:bCs/>
          <w:lang w:eastAsia="pl-PL"/>
        </w:rPr>
        <w:t>współpracy inwestorów z władzami gmin w zakresie wyboru lokalizacji</w:t>
      </w:r>
      <w:r w:rsidRPr="00DE777A">
        <w:rPr>
          <w:rFonts w:eastAsia="Times New Roman" w:cs="Times New Roman"/>
          <w:lang w:eastAsia="pl-PL"/>
        </w:rPr>
        <w:t>, uwzględnienie inwestycji biometanowych w planach ogólnych sporządzanych przez gminy. Przeprowadzenie ogólnopolskiej kampanii edukacyjnej zwiększającej akceptację społeczną dla</w:t>
      </w:r>
      <w:r w:rsidR="00FD4D6D">
        <w:rPr>
          <w:rFonts w:eastAsia="Times New Roman" w:cs="Times New Roman"/>
          <w:lang w:eastAsia="pl-PL"/>
        </w:rPr>
        <w:t> </w:t>
      </w:r>
      <w:r w:rsidRPr="00DE777A">
        <w:rPr>
          <w:rFonts w:eastAsia="Times New Roman" w:cs="Times New Roman"/>
          <w:lang w:eastAsia="pl-PL"/>
        </w:rPr>
        <w:t>inwestycji wytwarzania biogazu, biogazu rolniczego i biometanu.</w:t>
      </w:r>
    </w:p>
    <w:p w14:paraId="2293979B" w14:textId="332A58A6" w:rsidR="00491705" w:rsidRPr="0096716D" w:rsidRDefault="003E2DE5" w:rsidP="00491705">
      <w:pPr>
        <w:spacing w:line="240" w:lineRule="auto"/>
        <w:textAlignment w:val="baseline"/>
        <w:rPr>
          <w:rFonts w:ascii="Times New Roman" w:eastAsia="Times New Roman" w:hAnsi="Times New Roman" w:cs="Times New Roman"/>
          <w:sz w:val="24"/>
          <w:szCs w:val="24"/>
          <w:lang w:eastAsia="pl-PL"/>
        </w:rPr>
      </w:pPr>
      <w:r>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07E98A4B" w14:textId="77777777" w:rsidTr="00C84962">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132BD2AE"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75A1624F" wp14:editId="4B456969">
                  <wp:extent cx="622300" cy="622300"/>
                  <wp:effectExtent l="0" t="0" r="6350" b="6350"/>
                  <wp:docPr id="66"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33E07A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DB7314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79289867" w14:textId="77777777" w:rsidTr="00C84962">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56B2681"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AB0F2B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p w14:paraId="115D084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912D6BF" w14:textId="77777777" w:rsidR="00491705" w:rsidRPr="0096716D" w:rsidRDefault="00491705" w:rsidP="00C260B4">
            <w:pPr>
              <w:spacing w:after="0" w:line="240" w:lineRule="auto"/>
              <w:jc w:val="left"/>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gospodarki surowcami energetycznymi </w:t>
            </w:r>
          </w:p>
          <w:p w14:paraId="22C52026"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rolnictwa </w:t>
            </w:r>
          </w:p>
          <w:p w14:paraId="66015516"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OSP </w:t>
            </w:r>
          </w:p>
          <w:p w14:paraId="5C2A215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OSD </w:t>
            </w:r>
          </w:p>
          <w:p w14:paraId="574E7D45"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r>
    </w:tbl>
    <w:p w14:paraId="256BAD8B" w14:textId="7C58F2D0"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39" w:name="_Toc195856531"/>
      <w:bookmarkStart w:id="940" w:name="_Ref195879117"/>
      <w:bookmarkStart w:id="941" w:name="_Ref195881710"/>
      <w:bookmarkEnd w:id="938"/>
      <w:r>
        <w:lastRenderedPageBreak/>
        <w:t xml:space="preserve">Działanie </w:t>
      </w:r>
      <w:r>
        <w:fldChar w:fldCharType="begin"/>
      </w:r>
      <w:r>
        <w:instrText>SEQ Działanie \* ARABIC</w:instrText>
      </w:r>
      <w:r>
        <w:fldChar w:fldCharType="separate"/>
      </w:r>
      <w:r w:rsidR="00871DD5">
        <w:rPr>
          <w:noProof/>
        </w:rPr>
        <w:t>13</w:t>
      </w:r>
      <w:r>
        <w:fldChar w:fldCharType="end"/>
      </w:r>
      <w:r>
        <w:t xml:space="preserve">. </w:t>
      </w:r>
      <w:r w:rsidRPr="0088276F">
        <w:t>Zapewnienie możliwości funkcjonowania obszarów przyspieszonego rozwoju</w:t>
      </w:r>
      <w:r w:rsidR="00C84962">
        <w:t> </w:t>
      </w:r>
      <w:r w:rsidRPr="0088276F">
        <w:t>OZE</w:t>
      </w:r>
      <w:bookmarkEnd w:id="939"/>
      <w:bookmarkEnd w:id="940"/>
      <w:bookmarkEnd w:id="941"/>
      <w:r w:rsidRPr="0096716D">
        <w:rPr>
          <w:rFonts w:eastAsia="Times New Roman" w:cs="Times New Roman"/>
          <w:bCs/>
          <w:color w:val="000000"/>
          <w:lang w:eastAsia="pl-PL"/>
        </w:rPr>
        <w:t xml:space="preserve"> </w:t>
      </w:r>
      <w:r w:rsidR="00D34981">
        <w:rPr>
          <w:rFonts w:eastAsia="Times New Roman" w:cs="Times New Roman"/>
          <w:bCs/>
          <w:color w:val="000000"/>
          <w:lang w:eastAsia="pl-PL"/>
        </w:rPr>
        <w:t>(OPRO)</w:t>
      </w:r>
    </w:p>
    <w:p w14:paraId="2EED665E" w14:textId="694AB220" w:rsidR="00491705" w:rsidRPr="0096716D" w:rsidRDefault="00491705" w:rsidP="00C260B4">
      <w:pPr>
        <w:rPr>
          <w:rFonts w:ascii="Times New Roman" w:hAnsi="Times New Roman"/>
          <w:sz w:val="24"/>
          <w:szCs w:val="24"/>
          <w:lang w:eastAsia="pl-PL"/>
        </w:rPr>
      </w:pPr>
      <w:r w:rsidRPr="0096716D">
        <w:rPr>
          <w:lang w:eastAsia="pl-PL"/>
        </w:rPr>
        <w:t xml:space="preserve">Działanie polega w szczególności na opracowaniu regulacji </w:t>
      </w:r>
      <w:r w:rsidR="108C2F28" w:rsidRPr="48571824">
        <w:rPr>
          <w:rFonts w:eastAsia="Times New Roman" w:cs="Times New Roman"/>
          <w:lang w:eastAsia="pl-PL"/>
        </w:rPr>
        <w:t xml:space="preserve">i </w:t>
      </w:r>
      <w:r w:rsidR="108C2F28" w:rsidRPr="229B109B">
        <w:rPr>
          <w:rFonts w:eastAsia="Times New Roman" w:cs="Times New Roman"/>
          <w:lang w:eastAsia="pl-PL"/>
        </w:rPr>
        <w:t>ram prawnych dla wyznaczania</w:t>
      </w:r>
      <w:r w:rsidRPr="0096716D">
        <w:rPr>
          <w:lang w:eastAsia="pl-PL"/>
        </w:rPr>
        <w:t xml:space="preserve"> obszarów przyspieszonego rozwoju OZE (OPRO). Obszary te mają zostać wyznaczone na powierzchniach i terenach niebudzących wątpliwości z punktu widzenia ochrony środowiska, dzięki czemu czas na </w:t>
      </w:r>
      <w:r w:rsidRPr="25D62A6B">
        <w:rPr>
          <w:rFonts w:eastAsia="Times New Roman" w:cs="Times New Roman"/>
          <w:lang w:eastAsia="pl-PL"/>
        </w:rPr>
        <w:t>wydawani</w:t>
      </w:r>
      <w:r w:rsidR="452CFEA0" w:rsidRPr="25D62A6B">
        <w:rPr>
          <w:rFonts w:eastAsia="Times New Roman" w:cs="Times New Roman"/>
          <w:lang w:eastAsia="pl-PL"/>
        </w:rPr>
        <w:t>e</w:t>
      </w:r>
      <w:r w:rsidRPr="0096716D">
        <w:rPr>
          <w:lang w:eastAsia="pl-PL"/>
        </w:rPr>
        <w:t xml:space="preserve"> zezwoleń</w:t>
      </w:r>
      <w:r w:rsidRPr="0096716D">
        <w:rPr>
          <w:rFonts w:eastAsia="Times New Roman" w:cs="Times New Roman"/>
          <w:lang w:eastAsia="pl-PL"/>
        </w:rPr>
        <w:t xml:space="preserve"> </w:t>
      </w:r>
      <w:r w:rsidR="2A60DAF4" w:rsidRPr="6328BE83">
        <w:rPr>
          <w:rFonts w:eastAsia="Times New Roman" w:cs="Times New Roman"/>
          <w:lang w:eastAsia="pl-PL"/>
        </w:rPr>
        <w:t xml:space="preserve">dla projektów </w:t>
      </w:r>
      <w:r w:rsidR="2A60DAF4" w:rsidRPr="0DC86C85">
        <w:rPr>
          <w:rFonts w:eastAsia="Times New Roman" w:cs="Times New Roman"/>
          <w:lang w:eastAsia="pl-PL"/>
        </w:rPr>
        <w:t>OZE</w:t>
      </w:r>
      <w:r w:rsidRPr="0096716D">
        <w:rPr>
          <w:lang w:eastAsia="pl-PL"/>
        </w:rPr>
        <w:t xml:space="preserve"> potrzebnych do rozpoczęcia inwestycji ma zostać znacząco skrócony (nie</w:t>
      </w:r>
      <w:r w:rsidR="00FD4D6D">
        <w:rPr>
          <w:lang w:eastAsia="pl-PL"/>
        </w:rPr>
        <w:t> </w:t>
      </w:r>
      <w:r w:rsidRPr="0096716D">
        <w:rPr>
          <w:lang w:eastAsia="pl-PL"/>
        </w:rPr>
        <w:t>może przekroczyć 12 miesięcy, z wyjątkiem morskich elektrowni wiatrowych, w przypadku których mają być to 24 miesiące).</w:t>
      </w:r>
      <w:r>
        <w:rPr>
          <w:rFonts w:eastAsia="Times New Roman" w:cs="Times New Roman"/>
          <w:lang w:eastAsia="pl-PL"/>
        </w:rPr>
        <w:t xml:space="preserve"> </w:t>
      </w:r>
    </w:p>
    <w:p w14:paraId="647CF8D1" w14:textId="409AC792" w:rsidR="00491705" w:rsidRPr="0096716D" w:rsidRDefault="00491705" w:rsidP="00C260B4">
      <w:pPr>
        <w:rPr>
          <w:rFonts w:ascii="Times New Roman" w:hAnsi="Times New Roman"/>
          <w:sz w:val="24"/>
          <w:szCs w:val="24"/>
          <w:lang w:eastAsia="pl-PL"/>
        </w:rPr>
      </w:pPr>
      <w:r w:rsidRPr="0096716D">
        <w:rPr>
          <w:lang w:eastAsia="pl-PL"/>
        </w:rPr>
        <w:t xml:space="preserve">W tym celu konieczne jest prowadzenie dialogu z kluczowymi interesariuszami procesu, takimi jak jednostki samorządu terytorialnego, zarządy województw oraz administracja centralna. Współpraca ta pozwoli na wyznaczanie jak </w:t>
      </w:r>
      <w:r w:rsidRPr="14DD0073">
        <w:rPr>
          <w:rFonts w:eastAsia="Times New Roman" w:cs="Times New Roman"/>
          <w:lang w:eastAsia="pl-PL"/>
        </w:rPr>
        <w:t>największ</w:t>
      </w:r>
      <w:r w:rsidR="532728A5" w:rsidRPr="14DD0073">
        <w:rPr>
          <w:rFonts w:eastAsia="Times New Roman" w:cs="Times New Roman"/>
          <w:lang w:eastAsia="pl-PL"/>
        </w:rPr>
        <w:t>ej</w:t>
      </w:r>
      <w:r w:rsidRPr="14DD0073">
        <w:rPr>
          <w:rFonts w:eastAsia="Times New Roman" w:cs="Times New Roman"/>
          <w:lang w:eastAsia="pl-PL"/>
        </w:rPr>
        <w:t xml:space="preserve"> </w:t>
      </w:r>
      <w:r w:rsidR="0CC880D3" w:rsidRPr="14DD0073">
        <w:rPr>
          <w:rFonts w:eastAsia="Times New Roman" w:cs="Times New Roman"/>
          <w:lang w:eastAsia="pl-PL"/>
        </w:rPr>
        <w:t>liczby</w:t>
      </w:r>
      <w:r w:rsidRPr="0096716D">
        <w:rPr>
          <w:lang w:eastAsia="pl-PL"/>
        </w:rPr>
        <w:t xml:space="preserve"> obszarów przyspieszonego rozwoju</w:t>
      </w:r>
      <w:r w:rsidR="255D2976" w:rsidRPr="14DD0073">
        <w:rPr>
          <w:rFonts w:eastAsia="Times New Roman" w:cs="Times New Roman"/>
          <w:lang w:eastAsia="pl-PL"/>
        </w:rPr>
        <w:t xml:space="preserve"> OZE</w:t>
      </w:r>
      <w:r w:rsidRPr="0096716D">
        <w:rPr>
          <w:lang w:eastAsia="pl-PL"/>
        </w:rPr>
        <w:t>, co zwiększy potencjał inwestycyjny i przyczyni się do dynamicznej transformacji energetycznej kraju.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60"/>
        <w:gridCol w:w="3870"/>
        <w:gridCol w:w="3960"/>
      </w:tblGrid>
      <w:tr w:rsidR="003B6773" w:rsidRPr="0096716D" w14:paraId="215668CA" w14:textId="77777777" w:rsidTr="00DE777A">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29624D8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r w:rsidRPr="0096716D">
              <w:rPr>
                <w:rFonts w:ascii="Times New Roman" w:eastAsia="Times New Roman" w:hAnsi="Times New Roman" w:cs="Times New Roman"/>
                <w:noProof/>
                <w:sz w:val="24"/>
                <w:szCs w:val="24"/>
                <w:lang w:eastAsia="pl-PL"/>
              </w:rPr>
              <w:drawing>
                <wp:inline distT="0" distB="0" distL="0" distR="0" wp14:anchorId="40E9AC99" wp14:editId="5F8F400C">
                  <wp:extent cx="622300" cy="622300"/>
                  <wp:effectExtent l="0" t="0" r="6350" b="6350"/>
                  <wp:docPr id="673126835"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B44371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3013B8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75DF088F" w14:textId="77777777" w:rsidTr="00DE777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AFEDBB0"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E3E9B4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77DD2DA" w14:textId="4EEFFC02" w:rsidR="00703888" w:rsidRDefault="00703888">
            <w:pPr>
              <w:spacing w:after="0" w:line="240" w:lineRule="auto"/>
              <w:textAlignment w:val="baseline"/>
              <w:rPr>
                <w:color w:val="808080"/>
                <w:sz w:val="18"/>
              </w:rPr>
            </w:pPr>
            <w:r>
              <w:rPr>
                <w:color w:val="808080"/>
                <w:sz w:val="18"/>
              </w:rPr>
              <w:t>minister wł. ds. gospodarki</w:t>
            </w:r>
          </w:p>
          <w:p w14:paraId="72D87A76" w14:textId="60256F47" w:rsidR="00491705" w:rsidRPr="0096716D" w:rsidRDefault="00703888">
            <w:pPr>
              <w:spacing w:after="0" w:line="240" w:lineRule="auto"/>
              <w:textAlignment w:val="baseline"/>
              <w:rPr>
                <w:rFonts w:ascii="Times New Roman" w:eastAsia="Times New Roman" w:hAnsi="Times New Roman" w:cs="Times New Roman"/>
                <w:sz w:val="24"/>
                <w:szCs w:val="24"/>
                <w:lang w:eastAsia="pl-PL"/>
              </w:rPr>
            </w:pPr>
            <w:r>
              <w:rPr>
                <w:color w:val="808080"/>
                <w:sz w:val="18"/>
              </w:rPr>
              <w:t>G</w:t>
            </w:r>
            <w:r w:rsidR="000A4587">
              <w:rPr>
                <w:color w:val="808080"/>
                <w:sz w:val="18"/>
              </w:rPr>
              <w:t>eneralny</w:t>
            </w:r>
            <w:r>
              <w:rPr>
                <w:color w:val="808080"/>
                <w:sz w:val="18"/>
              </w:rPr>
              <w:t xml:space="preserve"> </w:t>
            </w:r>
            <w:r w:rsidR="004362D3">
              <w:rPr>
                <w:color w:val="808080"/>
                <w:sz w:val="18"/>
              </w:rPr>
              <w:t>Dyrektor Ochrony Środowiska</w:t>
            </w:r>
          </w:p>
        </w:tc>
      </w:tr>
    </w:tbl>
    <w:p w14:paraId="0858545B" w14:textId="3A16EEAB" w:rsidR="00491705" w:rsidRPr="0096716D" w:rsidRDefault="00491705" w:rsidP="00D523F3">
      <w:pPr>
        <w:pStyle w:val="Nagwek6"/>
        <w:rPr>
          <w:bCs/>
          <w:color w:val="000000"/>
          <w:lang w:eastAsia="pl-PL"/>
        </w:rPr>
      </w:pPr>
      <w:bookmarkStart w:id="942" w:name="_Toc195856532"/>
      <w:bookmarkStart w:id="943" w:name="_Ref195879122"/>
      <w:bookmarkStart w:id="944" w:name="_Ref195879574"/>
      <w:bookmarkStart w:id="945" w:name="_Ref195881713"/>
      <w:bookmarkStart w:id="946" w:name="_Ref195882540"/>
      <w:bookmarkStart w:id="947" w:name="_Ref195893882"/>
      <w:bookmarkStart w:id="948" w:name="_Ref195893905"/>
      <w:bookmarkStart w:id="949" w:name="_Ref200465464"/>
      <w:r>
        <w:t xml:space="preserve">Działanie </w:t>
      </w:r>
      <w:r>
        <w:fldChar w:fldCharType="begin"/>
      </w:r>
      <w:r>
        <w:instrText>SEQ Działanie \* ARABIC</w:instrText>
      </w:r>
      <w:r>
        <w:fldChar w:fldCharType="separate"/>
      </w:r>
      <w:r w:rsidR="00871DD5">
        <w:rPr>
          <w:noProof/>
        </w:rPr>
        <w:t>14</w:t>
      </w:r>
      <w:r>
        <w:fldChar w:fldCharType="end"/>
      </w:r>
      <w:r>
        <w:t xml:space="preserve">. </w:t>
      </w:r>
      <w:r w:rsidRPr="00FC0840">
        <w:t>Instrument finansowy – Program Priorytetowy NFOŚiGW – „Mój Prąd”</w:t>
      </w:r>
      <w:bookmarkEnd w:id="942"/>
      <w:bookmarkEnd w:id="943"/>
      <w:bookmarkEnd w:id="944"/>
      <w:bookmarkEnd w:id="945"/>
      <w:bookmarkEnd w:id="946"/>
      <w:bookmarkEnd w:id="947"/>
      <w:bookmarkEnd w:id="948"/>
      <w:bookmarkEnd w:id="949"/>
      <w:r w:rsidRPr="0096716D">
        <w:rPr>
          <w:bCs/>
          <w:color w:val="000000"/>
          <w:lang w:eastAsia="pl-PL"/>
        </w:rPr>
        <w:t xml:space="preserve"> </w:t>
      </w:r>
    </w:p>
    <w:p w14:paraId="3FA8EB05" w14:textId="657F4AF6" w:rsidR="00491705" w:rsidRDefault="00491705" w:rsidP="00491705">
      <w:pPr>
        <w:rPr>
          <w:rFonts w:ascii="Aptos" w:hAnsi="Aptos"/>
        </w:rPr>
      </w:pPr>
      <w:r>
        <w:t>Działanie polega na dofinansowaniu budowy mikroinstalacji fotowoltaicznych wraz z magazynem energii lub magazynem ciepła. W przyszłości dążyć się będzie do modyfikacji programu w kierunku zwiększenia autokonsumpcji energii produkowanej przez prosumenta oraz umożliwienie mu jak najaktywniejszego uczestnictwa na rynku poprzez narzędzia stymulujące odpowiedź po stronie popytu. Należy także wzmocnić efekty programu na przykład poprzez zwiększenie dofinansowania budowy magazynów energii z systemami zarządzania, ładowarek dwukierunkowych aut elektrycznych (V2G</w:t>
      </w:r>
      <w:r w:rsidR="00DE777A">
        <w:t xml:space="preserve">, ang. </w:t>
      </w:r>
      <w:r w:rsidR="00DE777A" w:rsidRPr="00DE777A">
        <w:rPr>
          <w:i/>
          <w:iCs/>
        </w:rPr>
        <w:t>vehicle to grid</w:t>
      </w:r>
      <w:r>
        <w:t xml:space="preserve">) oraz systemów zarządzania energią (w tym w ramach </w:t>
      </w:r>
      <w:r w:rsidR="00215D3B">
        <w:t xml:space="preserve">umów z </w:t>
      </w:r>
      <w:r w:rsidR="00225A3B">
        <w:t>ceną dynami</w:t>
      </w:r>
      <w:r w:rsidR="00402DEA">
        <w:t>czną</w:t>
      </w:r>
      <w:r w:rsidR="00CB2937">
        <w:t xml:space="preserve"> i </w:t>
      </w:r>
      <w:r>
        <w:t>taryf</w:t>
      </w:r>
      <w:r w:rsidR="00974007">
        <w:t xml:space="preserve"> </w:t>
      </w:r>
      <w:r>
        <w:t>wielostrefowych).</w:t>
      </w:r>
    </w:p>
    <w:p w14:paraId="78794762" w14:textId="77777777" w:rsidR="00491705" w:rsidRPr="0096716D" w:rsidRDefault="00491705" w:rsidP="00491705">
      <w:pPr>
        <w:spacing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0FE1D19C" w14:textId="77777777" w:rsidTr="00DE777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FB474E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1598FDBB" wp14:editId="294A9B98">
                  <wp:extent cx="622300" cy="622300"/>
                  <wp:effectExtent l="0" t="0" r="6350" b="6350"/>
                  <wp:docPr id="74" name="Obraz 1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8F4ECB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sz w:val="18"/>
                <w:szCs w:val="18"/>
                <w:lang w:eastAsia="pl-PL"/>
              </w:rPr>
              <w:t>PODMIOT WIODĄCY</w:t>
            </w:r>
            <w:r w:rsidRPr="0096716D">
              <w:rPr>
                <w:rFonts w:eastAsia="Times New Roman" w:cs="Times New Roman"/>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72A614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z w:val="18"/>
                <w:szCs w:val="18"/>
                <w:lang w:eastAsia="pl-PL"/>
              </w:rPr>
              <w:t>PODMIOTY WSPÓŁPRACUJĄCE</w:t>
            </w:r>
            <w:r w:rsidRPr="0096716D">
              <w:rPr>
                <w:rFonts w:eastAsia="Times New Roman" w:cs="Times New Roman"/>
                <w:sz w:val="18"/>
                <w:szCs w:val="18"/>
                <w:lang w:eastAsia="pl-PL"/>
              </w:rPr>
              <w:t> </w:t>
            </w:r>
          </w:p>
        </w:tc>
      </w:tr>
      <w:tr w:rsidR="003B6773" w:rsidRPr="0096716D" w14:paraId="7257D47D" w14:textId="77777777" w:rsidTr="00DE777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532FCBA"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016481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p w14:paraId="21D91A2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0CD7588" w14:textId="7B003476"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0522A5B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gospodarki </w:t>
            </w:r>
          </w:p>
          <w:p w14:paraId="1D3B557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Prezes URE </w:t>
            </w:r>
          </w:p>
          <w:p w14:paraId="4E1ED3CC"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NFOŚiGW </w:t>
            </w:r>
          </w:p>
          <w:p w14:paraId="0FB01D1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r>
    </w:tbl>
    <w:p w14:paraId="2E7FABE8" w14:textId="57902283"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50" w:name="_Toc195856533"/>
      <w:bookmarkStart w:id="951" w:name="_Ref195879624"/>
      <w:bookmarkStart w:id="952" w:name="_Ref195882547"/>
      <w:bookmarkStart w:id="953" w:name="_Ref195886890"/>
      <w:bookmarkStart w:id="954" w:name="_Ref195893956"/>
      <w:r>
        <w:t xml:space="preserve">Działanie </w:t>
      </w:r>
      <w:r>
        <w:fldChar w:fldCharType="begin"/>
      </w:r>
      <w:r>
        <w:instrText>SEQ Działanie \* ARABIC</w:instrText>
      </w:r>
      <w:r>
        <w:fldChar w:fldCharType="separate"/>
      </w:r>
      <w:r w:rsidR="00871DD5">
        <w:rPr>
          <w:noProof/>
        </w:rPr>
        <w:t>15</w:t>
      </w:r>
      <w:r>
        <w:fldChar w:fldCharType="end"/>
      </w:r>
      <w:r>
        <w:t xml:space="preserve">. </w:t>
      </w:r>
      <w:r w:rsidRPr="00FD671B">
        <w:t>Instrument finansowy – Program Priorytetowy NFOŚiGW – „Energia Plus”</w:t>
      </w:r>
      <w:bookmarkEnd w:id="950"/>
      <w:bookmarkEnd w:id="951"/>
      <w:bookmarkEnd w:id="952"/>
      <w:bookmarkEnd w:id="953"/>
      <w:bookmarkEnd w:id="954"/>
    </w:p>
    <w:p w14:paraId="72F2BDB8" w14:textId="042AF0CD" w:rsidR="00491705" w:rsidRPr="0096716D" w:rsidRDefault="00491705" w:rsidP="00C260B4">
      <w:pPr>
        <w:rPr>
          <w:rFonts w:ascii="Times New Roman" w:hAnsi="Times New Roman"/>
          <w:sz w:val="24"/>
          <w:szCs w:val="24"/>
          <w:lang w:eastAsia="pl-PL"/>
        </w:rPr>
      </w:pPr>
      <w:r w:rsidRPr="0096716D">
        <w:rPr>
          <w:lang w:eastAsia="pl-PL"/>
        </w:rPr>
        <w:t xml:space="preserve">Program obejmuje dofinansowanie </w:t>
      </w:r>
      <w:r w:rsidR="00352F26">
        <w:rPr>
          <w:lang w:eastAsia="pl-PL"/>
        </w:rPr>
        <w:t xml:space="preserve">różnego rodzaju </w:t>
      </w:r>
      <w:r w:rsidRPr="0096716D">
        <w:rPr>
          <w:lang w:eastAsia="pl-PL"/>
        </w:rPr>
        <w:t>przedsięwzięć w zakresie zmniejszenia negatywnego oddziaływania na środowisko skutkujące np. poprawą jakości powietrza, zmniejszaniem zużycia surowców pierwotnych, poprawą efektywności energetycznej. Beneficjentami programu są podmioty wykonujące działalność gospodarczą.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4F8BBCE4" w14:textId="77777777" w:rsidTr="00D3498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5651EE6"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2E3FD396" wp14:editId="61A4F243">
                  <wp:extent cx="622300" cy="622300"/>
                  <wp:effectExtent l="0" t="0" r="6350" b="6350"/>
                  <wp:docPr id="75" name="Obraz 1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35F3C7C"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7A0669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3F9D5D81" w14:textId="77777777" w:rsidTr="00D3498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EDA461A"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6C03407" w14:textId="06ADE2E2"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698CF8E" w14:textId="57E59E04"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4F5F3A59"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NFOŚiGW </w:t>
            </w:r>
          </w:p>
          <w:p w14:paraId="134E584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r>
    </w:tbl>
    <w:p w14:paraId="1319032B" w14:textId="78A3C369"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55" w:name="_Toc195856534"/>
      <w:bookmarkStart w:id="956" w:name="_Ref195879638"/>
      <w:bookmarkStart w:id="957" w:name="_Ref195882449"/>
      <w:bookmarkStart w:id="958" w:name="_Ref200465508"/>
      <w:r>
        <w:lastRenderedPageBreak/>
        <w:t xml:space="preserve">Działanie </w:t>
      </w:r>
      <w:r>
        <w:fldChar w:fldCharType="begin"/>
      </w:r>
      <w:r>
        <w:instrText>SEQ Działanie \* ARABIC</w:instrText>
      </w:r>
      <w:r>
        <w:fldChar w:fldCharType="separate"/>
      </w:r>
      <w:r w:rsidR="00871DD5">
        <w:rPr>
          <w:noProof/>
        </w:rPr>
        <w:t>16</w:t>
      </w:r>
      <w:r>
        <w:fldChar w:fldCharType="end"/>
      </w:r>
      <w:r>
        <w:t xml:space="preserve">. </w:t>
      </w:r>
      <w:r w:rsidRPr="00E1469C">
        <w:t>Instrument finansowy – Program Priorytetowy NFOŚiGW – „Polska Geotermia Plus”</w:t>
      </w:r>
      <w:bookmarkEnd w:id="955"/>
      <w:bookmarkEnd w:id="956"/>
      <w:bookmarkEnd w:id="957"/>
      <w:bookmarkEnd w:id="958"/>
    </w:p>
    <w:p w14:paraId="419B5247" w14:textId="77777777" w:rsidR="00491705" w:rsidRPr="0096716D" w:rsidRDefault="00491705" w:rsidP="00467680">
      <w:pPr>
        <w:spacing w:after="80"/>
        <w:rPr>
          <w:rFonts w:ascii="Times New Roman" w:hAnsi="Times New Roman"/>
          <w:sz w:val="24"/>
          <w:szCs w:val="24"/>
          <w:lang w:eastAsia="pl-PL"/>
        </w:rPr>
      </w:pPr>
      <w:r w:rsidRPr="0096716D">
        <w:rPr>
          <w:lang w:eastAsia="pl-PL"/>
        </w:rPr>
        <w:t>Program obejmuje wsparcie finansowe inwestycji polegających na budowie nowej, modernizacji lub rozbudowie istniejącej ciepłowni / elektrociepłowni / elektrowni geotermalnej / istniejących źródeł wytwarzania ciepła, w tym wykonanie kolejnego geotermalnego odwiertu produkcyjnego lub otworu chłonnego. Ponadto możliwe jest wsparcie zabiegów technicznych w istniejących otworach geotermalnych wydobywczych i zatłaczających, jak również rekonstrukcja otworu innego niż odwiercony w celach geotermalnych</w:t>
      </w:r>
      <w:r w:rsidRPr="0096716D">
        <w:rPr>
          <w:color w:val="000000"/>
          <w:lang w:eastAsia="pl-PL"/>
        </w:rPr>
        <w:t xml:space="preserve">, w których wystąpiły przypływy wód termalnych. Ponieważ geotermia w Polsce ma ograniczone możliwości rozwoju a projekty geotermalne są nieprzewidywalne, istnieje duże ryzyko niedotrzymania zobowiązań projektów. Do programu </w:t>
      </w:r>
      <w:r w:rsidRPr="0096716D">
        <w:rPr>
          <w:lang w:eastAsia="pl-PL"/>
        </w:rPr>
        <w:t>należy wdrożyć zasady polegające na tym, że: </w:t>
      </w:r>
    </w:p>
    <w:p w14:paraId="7EB03678" w14:textId="642713B3" w:rsidR="00491705" w:rsidRPr="00D34981" w:rsidRDefault="00D34981" w:rsidP="000625AC">
      <w:pPr>
        <w:pStyle w:val="Akapitzlist"/>
        <w:numPr>
          <w:ilvl w:val="0"/>
          <w:numId w:val="138"/>
        </w:numPr>
        <w:tabs>
          <w:tab w:val="clear" w:pos="1069"/>
        </w:tabs>
        <w:ind w:left="567"/>
        <w:rPr>
          <w:rFonts w:ascii="Times New Roman" w:hAnsi="Times New Roman"/>
          <w:sz w:val="24"/>
          <w:szCs w:val="24"/>
          <w:lang w:eastAsia="pl-PL"/>
        </w:rPr>
      </w:pPr>
      <w:r>
        <w:rPr>
          <w:lang w:eastAsia="pl-PL"/>
        </w:rPr>
        <w:t>p</w:t>
      </w:r>
      <w:r w:rsidR="00491705" w:rsidRPr="0096716D">
        <w:rPr>
          <w:lang w:eastAsia="pl-PL"/>
        </w:rPr>
        <w:t>rzed uruchomieniem projektu musi zostać wykonana analiza opłacalności inwestycji wskazująca, że cena ciepła będzie konkurencyjna rynkowo, </w:t>
      </w:r>
    </w:p>
    <w:p w14:paraId="4926A124" w14:textId="4A2BA39A" w:rsidR="00491705" w:rsidRPr="00D34981" w:rsidRDefault="00D34981" w:rsidP="000625AC">
      <w:pPr>
        <w:pStyle w:val="Akapitzlist"/>
        <w:numPr>
          <w:ilvl w:val="0"/>
          <w:numId w:val="138"/>
        </w:numPr>
        <w:tabs>
          <w:tab w:val="clear" w:pos="1069"/>
        </w:tabs>
        <w:ind w:left="567"/>
        <w:rPr>
          <w:rFonts w:ascii="Times New Roman" w:hAnsi="Times New Roman"/>
          <w:sz w:val="24"/>
          <w:szCs w:val="24"/>
          <w:lang w:eastAsia="pl-PL"/>
        </w:rPr>
      </w:pPr>
      <w:r>
        <w:rPr>
          <w:lang w:eastAsia="pl-PL"/>
        </w:rPr>
        <w:t>n</w:t>
      </w:r>
      <w:r w:rsidR="00491705" w:rsidRPr="0096716D">
        <w:rPr>
          <w:lang w:eastAsia="pl-PL"/>
        </w:rPr>
        <w:t>ależy wprowadzić kamienie milowe, w którym pierwszy ma potwierdzić parametry technologiczne źródła i jego wartość nie może przekroczyć 30% wartości inwestycji.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60"/>
        <w:gridCol w:w="3870"/>
        <w:gridCol w:w="3960"/>
      </w:tblGrid>
      <w:tr w:rsidR="003B6773" w:rsidRPr="0096716D" w14:paraId="2D17B49C" w14:textId="77777777" w:rsidTr="00D34981">
        <w:trPr>
          <w:trHeight w:val="300"/>
        </w:trPr>
        <w:tc>
          <w:tcPr>
            <w:tcW w:w="1118" w:type="dxa"/>
            <w:vMerge w:val="restart"/>
            <w:tcBorders>
              <w:top w:val="dashed" w:sz="12" w:space="0" w:color="FFFFFF"/>
              <w:left w:val="dashed" w:sz="12" w:space="0" w:color="FFFFFF"/>
              <w:bottom w:val="dashed" w:sz="12" w:space="0" w:color="FFFFFF"/>
              <w:right w:val="dashed" w:sz="12" w:space="0" w:color="FFFFFF"/>
            </w:tcBorders>
            <w:hideMark/>
          </w:tcPr>
          <w:p w14:paraId="6A00AC2E"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r w:rsidRPr="0096716D">
              <w:rPr>
                <w:rFonts w:ascii="Times New Roman" w:eastAsia="Times New Roman" w:hAnsi="Times New Roman" w:cs="Times New Roman"/>
                <w:noProof/>
                <w:sz w:val="24"/>
                <w:szCs w:val="24"/>
                <w:lang w:eastAsia="pl-PL"/>
              </w:rPr>
              <w:drawing>
                <wp:inline distT="0" distB="0" distL="0" distR="0" wp14:anchorId="0FEEED34" wp14:editId="5C0E96D7">
                  <wp:extent cx="622300" cy="622300"/>
                  <wp:effectExtent l="0" t="0" r="6350" b="6350"/>
                  <wp:docPr id="76" name="Obraz 1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6DA533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0B6BA58"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6B01CE6B" w14:textId="77777777" w:rsidTr="00D3498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1789B38"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AE75EF5"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minister wł. ds. klimatu </w:t>
            </w:r>
          </w:p>
          <w:p w14:paraId="6932858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239EEBD" w14:textId="0730222A"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1388A486" w14:textId="5C9B693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środowiska</w:t>
            </w:r>
            <w:r w:rsidR="003E2DE5">
              <w:rPr>
                <w:rFonts w:eastAsia="Times New Roman" w:cs="Times New Roman"/>
                <w:color w:val="808080"/>
                <w:sz w:val="18"/>
                <w:szCs w:val="18"/>
                <w:lang w:eastAsia="pl-PL"/>
              </w:rPr>
              <w:t xml:space="preserve"> </w:t>
            </w:r>
          </w:p>
          <w:p w14:paraId="7C1C76A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NFOŚiGW </w:t>
            </w:r>
          </w:p>
        </w:tc>
      </w:tr>
    </w:tbl>
    <w:p w14:paraId="3F58DD93" w14:textId="723D75F6" w:rsidR="00491705" w:rsidRPr="00077D7F" w:rsidRDefault="00491705" w:rsidP="00D523F3">
      <w:pPr>
        <w:pStyle w:val="Nagwek6"/>
        <w:rPr>
          <w:rFonts w:ascii="Times New Roman" w:hAnsi="Times New Roman"/>
          <w:sz w:val="24"/>
          <w:szCs w:val="24"/>
          <w:lang w:eastAsia="pl-PL"/>
        </w:rPr>
      </w:pPr>
      <w:bookmarkStart w:id="959" w:name="_Toc195856535"/>
      <w:bookmarkStart w:id="960" w:name="_Ref195879133"/>
      <w:bookmarkStart w:id="961" w:name="_Ref195879643"/>
      <w:bookmarkStart w:id="962" w:name="_Ref195881727"/>
      <w:bookmarkStart w:id="963" w:name="_Ref195882453"/>
      <w:bookmarkStart w:id="964" w:name="_Ref195892938"/>
      <w:bookmarkStart w:id="965" w:name="_Ref195893365"/>
      <w:bookmarkStart w:id="966" w:name="_Ref200465528"/>
      <w:r>
        <w:t xml:space="preserve">Działanie </w:t>
      </w:r>
      <w:r>
        <w:fldChar w:fldCharType="begin"/>
      </w:r>
      <w:r>
        <w:instrText>SEQ Działanie \* ARABIC</w:instrText>
      </w:r>
      <w:r>
        <w:fldChar w:fldCharType="separate"/>
      </w:r>
      <w:r w:rsidR="00871DD5">
        <w:rPr>
          <w:noProof/>
        </w:rPr>
        <w:t>17</w:t>
      </w:r>
      <w:r>
        <w:fldChar w:fldCharType="end"/>
      </w:r>
      <w:r>
        <w:t>.</w:t>
      </w:r>
      <w:r w:rsidRPr="00077D7F">
        <w:rPr>
          <w:lang w:eastAsia="pl-PL"/>
        </w:rPr>
        <w:t xml:space="preserve"> Rozwój rynku </w:t>
      </w:r>
      <w:r w:rsidRPr="00731E3F">
        <w:t>magazynów</w:t>
      </w:r>
      <w:r w:rsidRPr="00077D7F">
        <w:rPr>
          <w:lang w:eastAsia="pl-PL"/>
        </w:rPr>
        <w:t xml:space="preserve"> energii elektrycznej oraz magazynów ciepła</w:t>
      </w:r>
      <w:bookmarkEnd w:id="959"/>
      <w:bookmarkEnd w:id="960"/>
      <w:bookmarkEnd w:id="961"/>
      <w:bookmarkEnd w:id="962"/>
      <w:bookmarkEnd w:id="963"/>
      <w:bookmarkEnd w:id="964"/>
      <w:bookmarkEnd w:id="965"/>
      <w:bookmarkEnd w:id="966"/>
      <w:r w:rsidR="003E2DE5">
        <w:rPr>
          <w:lang w:eastAsia="pl-PL"/>
        </w:rPr>
        <w:t xml:space="preserve"> </w:t>
      </w:r>
    </w:p>
    <w:p w14:paraId="4F39303C" w14:textId="537B1B95" w:rsidR="00491705" w:rsidRPr="00077D7F" w:rsidRDefault="00491705" w:rsidP="00731E3F">
      <w:pPr>
        <w:rPr>
          <w:rFonts w:ascii="Times New Roman" w:hAnsi="Times New Roman"/>
          <w:sz w:val="24"/>
          <w:szCs w:val="24"/>
          <w:lang w:eastAsia="pl-PL"/>
        </w:rPr>
      </w:pPr>
      <w:r w:rsidRPr="00077D7F">
        <w:rPr>
          <w:lang w:eastAsia="pl-PL"/>
        </w:rPr>
        <w:t>Rozwój rynku magazynowania energii elektrycznej i ciepła jest kluczowy dla transformacji energetycznej oraz dekarbonizacji elektroenergetyki, ciepłownictwa i ogrzewnictwa.</w:t>
      </w:r>
      <w:r w:rsidR="00974007">
        <w:rPr>
          <w:rFonts w:eastAsia="Times New Roman" w:cs="Times New Roman"/>
          <w:lang w:eastAsia="pl-PL"/>
        </w:rPr>
        <w:t xml:space="preserve">  </w:t>
      </w:r>
    </w:p>
    <w:p w14:paraId="5FFC53D9" w14:textId="639DA579" w:rsidR="00491705" w:rsidRPr="00077D7F" w:rsidRDefault="00491705" w:rsidP="00467680">
      <w:pPr>
        <w:rPr>
          <w:rFonts w:ascii="Times New Roman" w:hAnsi="Times New Roman"/>
          <w:sz w:val="24"/>
          <w:szCs w:val="24"/>
          <w:lang w:eastAsia="pl-PL"/>
        </w:rPr>
      </w:pPr>
      <w:r w:rsidRPr="00077D7F">
        <w:rPr>
          <w:lang w:eastAsia="pl-PL"/>
        </w:rPr>
        <w:t xml:space="preserve">Magazyny energii elektrycznej znajdują zastosowanie m.in. </w:t>
      </w:r>
      <w:r w:rsidR="00A63210">
        <w:rPr>
          <w:lang w:eastAsia="pl-PL"/>
        </w:rPr>
        <w:t>do</w:t>
      </w:r>
      <w:r w:rsidR="00A63210" w:rsidRPr="00077D7F">
        <w:rPr>
          <w:lang w:eastAsia="pl-PL"/>
        </w:rPr>
        <w:t xml:space="preserve"> </w:t>
      </w:r>
      <w:r w:rsidRPr="00077D7F">
        <w:rPr>
          <w:lang w:eastAsia="pl-PL"/>
        </w:rPr>
        <w:t>poprawy stabilności i niezawodności pracy systemów przesyłowych i dystrybucyjnych, wyrównywania obciążenia elektrycznego systemu poprzez poprawę współczynnika wykorzystania mocy zainstalowanej jednostek wytwórczych OZE i</w:t>
      </w:r>
      <w:r w:rsidRPr="00233787">
        <w:rPr>
          <w:rFonts w:ascii="Arial" w:hAnsi="Arial"/>
        </w:rPr>
        <w:t> </w:t>
      </w:r>
      <w:r w:rsidRPr="00077D7F">
        <w:rPr>
          <w:rFonts w:cs="Lato"/>
          <w:lang w:eastAsia="pl-PL"/>
        </w:rPr>
        <w:t>ł</w:t>
      </w:r>
      <w:r w:rsidRPr="00077D7F">
        <w:rPr>
          <w:lang w:eastAsia="pl-PL"/>
        </w:rPr>
        <w:t>agodzenia negatywnych zjawisk zwi</w:t>
      </w:r>
      <w:r w:rsidRPr="00077D7F">
        <w:rPr>
          <w:rFonts w:cs="Lato"/>
          <w:lang w:eastAsia="pl-PL"/>
        </w:rPr>
        <w:t>ą</w:t>
      </w:r>
      <w:r w:rsidRPr="00077D7F">
        <w:rPr>
          <w:lang w:eastAsia="pl-PL"/>
        </w:rPr>
        <w:t>zanych ze zmienn</w:t>
      </w:r>
      <w:r w:rsidRPr="00077D7F">
        <w:rPr>
          <w:rFonts w:cs="Lato"/>
          <w:lang w:eastAsia="pl-PL"/>
        </w:rPr>
        <w:t>ą</w:t>
      </w:r>
      <w:r w:rsidRPr="00077D7F">
        <w:rPr>
          <w:lang w:eastAsia="pl-PL"/>
        </w:rPr>
        <w:t xml:space="preserve"> generacj</w:t>
      </w:r>
      <w:r w:rsidRPr="00077D7F">
        <w:rPr>
          <w:rFonts w:cs="Lato"/>
          <w:lang w:eastAsia="pl-PL"/>
        </w:rPr>
        <w:t>ą</w:t>
      </w:r>
      <w:r w:rsidRPr="00077D7F">
        <w:rPr>
          <w:lang w:eastAsia="pl-PL"/>
        </w:rPr>
        <w:t xml:space="preserve"> z OZE, wsparcia rynku bilansuj</w:t>
      </w:r>
      <w:r w:rsidRPr="00077D7F">
        <w:rPr>
          <w:rFonts w:cs="Lato"/>
          <w:lang w:eastAsia="pl-PL"/>
        </w:rPr>
        <w:t>ą</w:t>
      </w:r>
      <w:r w:rsidRPr="00077D7F">
        <w:rPr>
          <w:lang w:eastAsia="pl-PL"/>
        </w:rPr>
        <w:t>cego, zwi</w:t>
      </w:r>
      <w:r w:rsidRPr="00077D7F">
        <w:rPr>
          <w:rFonts w:cs="Lato"/>
          <w:lang w:eastAsia="pl-PL"/>
        </w:rPr>
        <w:t>ę</w:t>
      </w:r>
      <w:r w:rsidRPr="00077D7F">
        <w:rPr>
          <w:lang w:eastAsia="pl-PL"/>
        </w:rPr>
        <w:t>kszenia niezawodno</w:t>
      </w:r>
      <w:r w:rsidRPr="00077D7F">
        <w:rPr>
          <w:rFonts w:cs="Lato"/>
          <w:lang w:eastAsia="pl-PL"/>
        </w:rPr>
        <w:t>ś</w:t>
      </w:r>
      <w:r w:rsidRPr="00077D7F">
        <w:rPr>
          <w:lang w:eastAsia="pl-PL"/>
        </w:rPr>
        <w:t>ci zasilania, optymalizacji pracy instalacji prosumenckich, a</w:t>
      </w:r>
      <w:r w:rsidRPr="00233787">
        <w:rPr>
          <w:rFonts w:ascii="Arial" w:hAnsi="Arial"/>
        </w:rPr>
        <w:t> </w:t>
      </w:r>
      <w:r w:rsidRPr="00077D7F">
        <w:rPr>
          <w:lang w:eastAsia="pl-PL"/>
        </w:rPr>
        <w:t>tak</w:t>
      </w:r>
      <w:r w:rsidRPr="00077D7F">
        <w:rPr>
          <w:rFonts w:cs="Lato"/>
          <w:lang w:eastAsia="pl-PL"/>
        </w:rPr>
        <w:t>ż</w:t>
      </w:r>
      <w:r w:rsidRPr="00077D7F">
        <w:rPr>
          <w:lang w:eastAsia="pl-PL"/>
        </w:rPr>
        <w:t>e optymalizacji inwestycji w</w:t>
      </w:r>
      <w:r w:rsidR="00A10117">
        <w:rPr>
          <w:lang w:eastAsia="pl-PL"/>
        </w:rPr>
        <w:t> </w:t>
      </w:r>
      <w:r w:rsidRPr="00077D7F">
        <w:rPr>
          <w:lang w:eastAsia="pl-PL"/>
        </w:rPr>
        <w:t>infrastrukturę sieciową.</w:t>
      </w:r>
      <w:r w:rsidR="003E2DE5">
        <w:rPr>
          <w:rFonts w:eastAsia="Times New Roman" w:cs="Times New Roman"/>
          <w:lang w:eastAsia="pl-PL"/>
        </w:rPr>
        <w:t xml:space="preserve"> </w:t>
      </w:r>
    </w:p>
    <w:p w14:paraId="6E2994CE" w14:textId="34DE01EA" w:rsidR="00491705" w:rsidRPr="00077D7F" w:rsidRDefault="00491705" w:rsidP="00467680">
      <w:pPr>
        <w:rPr>
          <w:rFonts w:ascii="Times New Roman" w:hAnsi="Times New Roman"/>
          <w:sz w:val="24"/>
          <w:szCs w:val="24"/>
          <w:lang w:eastAsia="pl-PL"/>
        </w:rPr>
      </w:pPr>
      <w:r w:rsidRPr="00077D7F">
        <w:rPr>
          <w:lang w:eastAsia="pl-PL"/>
        </w:rPr>
        <w:t>Dla realizacji tych funkcji niezbędny jest rozwój instalacji różnej skali, różnej technologii,</w:t>
      </w:r>
      <w:r w:rsidRPr="00233787">
        <w:rPr>
          <w:rFonts w:ascii="Arial" w:hAnsi="Arial"/>
        </w:rPr>
        <w:t> </w:t>
      </w:r>
      <w:r w:rsidRPr="00077D7F">
        <w:rPr>
          <w:lang w:eastAsia="pl-PL"/>
        </w:rPr>
        <w:t>dedykowanych zr</w:t>
      </w:r>
      <w:r w:rsidRPr="00077D7F">
        <w:rPr>
          <w:rFonts w:cs="Lato"/>
          <w:lang w:eastAsia="pl-PL"/>
        </w:rPr>
        <w:t>óż</w:t>
      </w:r>
      <w:r w:rsidRPr="00077D7F">
        <w:rPr>
          <w:lang w:eastAsia="pl-PL"/>
        </w:rPr>
        <w:t>nicowanym u</w:t>
      </w:r>
      <w:r w:rsidRPr="00077D7F">
        <w:rPr>
          <w:rFonts w:cs="Lato"/>
          <w:lang w:eastAsia="pl-PL"/>
        </w:rPr>
        <w:t>ż</w:t>
      </w:r>
      <w:r w:rsidRPr="00077D7F">
        <w:rPr>
          <w:lang w:eastAsia="pl-PL"/>
        </w:rPr>
        <w:t>ytkownikom systemu. W</w:t>
      </w:r>
      <w:r w:rsidRPr="00077D7F">
        <w:rPr>
          <w:rFonts w:cs="Lato"/>
          <w:lang w:eastAsia="pl-PL"/>
        </w:rPr>
        <w:t>ś</w:t>
      </w:r>
      <w:r w:rsidRPr="00077D7F">
        <w:rPr>
          <w:lang w:eastAsia="pl-PL"/>
        </w:rPr>
        <w:t>r</w:t>
      </w:r>
      <w:r w:rsidRPr="00077D7F">
        <w:rPr>
          <w:rFonts w:cs="Lato"/>
          <w:lang w:eastAsia="pl-PL"/>
        </w:rPr>
        <w:t>ó</w:t>
      </w:r>
      <w:r w:rsidRPr="00077D7F">
        <w:rPr>
          <w:lang w:eastAsia="pl-PL"/>
        </w:rPr>
        <w:t>d stosowanych w Polsce technologii dominuj</w:t>
      </w:r>
      <w:r w:rsidRPr="00077D7F">
        <w:rPr>
          <w:rFonts w:cs="Lato"/>
          <w:lang w:eastAsia="pl-PL"/>
        </w:rPr>
        <w:t>ą</w:t>
      </w:r>
      <w:r w:rsidRPr="00077D7F">
        <w:rPr>
          <w:lang w:eastAsia="pl-PL"/>
        </w:rPr>
        <w:t xml:space="preserve"> baterie elektrochemiczne </w:t>
      </w:r>
      <w:r w:rsidR="00D34981">
        <w:rPr>
          <w:lang w:eastAsia="pl-PL"/>
        </w:rPr>
        <w:t>–</w:t>
      </w:r>
      <w:r w:rsidRPr="00077D7F">
        <w:rPr>
          <w:lang w:eastAsia="pl-PL"/>
        </w:rPr>
        <w:t xml:space="preserve"> o najwi</w:t>
      </w:r>
      <w:r w:rsidRPr="00077D7F">
        <w:rPr>
          <w:rFonts w:cs="Lato"/>
          <w:lang w:eastAsia="pl-PL"/>
        </w:rPr>
        <w:t>ę</w:t>
      </w:r>
      <w:r w:rsidRPr="00077D7F">
        <w:rPr>
          <w:lang w:eastAsia="pl-PL"/>
        </w:rPr>
        <w:t>kszej liczebno</w:t>
      </w:r>
      <w:r w:rsidRPr="00077D7F">
        <w:rPr>
          <w:rFonts w:cs="Lato"/>
          <w:lang w:eastAsia="pl-PL"/>
        </w:rPr>
        <w:t>ś</w:t>
      </w:r>
      <w:r w:rsidRPr="00077D7F">
        <w:rPr>
          <w:lang w:eastAsia="pl-PL"/>
        </w:rPr>
        <w:t>ci i</w:t>
      </w:r>
      <w:r w:rsidRPr="00233787">
        <w:rPr>
          <w:rFonts w:ascii="Arial" w:hAnsi="Arial"/>
        </w:rPr>
        <w:t> </w:t>
      </w:r>
      <w:r w:rsidRPr="00077D7F">
        <w:rPr>
          <w:lang w:eastAsia="pl-PL"/>
        </w:rPr>
        <w:t xml:space="preserve">elektrownie szczytowo-pompowe </w:t>
      </w:r>
      <w:r w:rsidR="00D34981">
        <w:rPr>
          <w:lang w:eastAsia="pl-PL"/>
        </w:rPr>
        <w:t>–</w:t>
      </w:r>
      <w:r w:rsidRPr="00077D7F">
        <w:rPr>
          <w:lang w:eastAsia="pl-PL"/>
        </w:rPr>
        <w:t xml:space="preserve"> na kt</w:t>
      </w:r>
      <w:r w:rsidRPr="00077D7F">
        <w:rPr>
          <w:rFonts w:cs="Lato"/>
          <w:lang w:eastAsia="pl-PL"/>
        </w:rPr>
        <w:t>ó</w:t>
      </w:r>
      <w:r w:rsidRPr="00077D7F">
        <w:rPr>
          <w:lang w:eastAsia="pl-PL"/>
        </w:rPr>
        <w:t>re przypada najwi</w:t>
      </w:r>
      <w:r w:rsidRPr="00077D7F">
        <w:rPr>
          <w:rFonts w:cs="Lato"/>
          <w:lang w:eastAsia="pl-PL"/>
        </w:rPr>
        <w:t>ę</w:t>
      </w:r>
      <w:r w:rsidRPr="00077D7F">
        <w:rPr>
          <w:lang w:eastAsia="pl-PL"/>
        </w:rPr>
        <w:t>kszy udział w zainstalowanej mocy magazynowej</w:t>
      </w:r>
      <w:r w:rsidR="0040545A">
        <w:rPr>
          <w:lang w:eastAsia="pl-PL"/>
        </w:rPr>
        <w:t>,</w:t>
      </w:r>
      <w:r w:rsidR="0040545A" w:rsidRPr="0040545A">
        <w:rPr>
          <w:lang w:eastAsia="pl-PL"/>
        </w:rPr>
        <w:t xml:space="preserve"> </w:t>
      </w:r>
      <w:r w:rsidR="0040545A" w:rsidRPr="00077D7F">
        <w:rPr>
          <w:lang w:eastAsia="pl-PL"/>
        </w:rPr>
        <w:t>si</w:t>
      </w:r>
      <w:r w:rsidR="0040545A" w:rsidRPr="00077D7F">
        <w:rPr>
          <w:rFonts w:cs="Lato"/>
          <w:lang w:eastAsia="pl-PL"/>
        </w:rPr>
        <w:t>ę</w:t>
      </w:r>
      <w:r w:rsidR="0040545A" w:rsidRPr="00077D7F">
        <w:rPr>
          <w:lang w:eastAsia="pl-PL"/>
        </w:rPr>
        <w:t>gaj</w:t>
      </w:r>
      <w:r w:rsidR="0040545A" w:rsidRPr="00077D7F">
        <w:rPr>
          <w:rFonts w:cs="Lato"/>
          <w:lang w:eastAsia="pl-PL"/>
        </w:rPr>
        <w:t>ą</w:t>
      </w:r>
      <w:r w:rsidR="0040545A" w:rsidRPr="00077D7F">
        <w:rPr>
          <w:lang w:eastAsia="pl-PL"/>
        </w:rPr>
        <w:t>cy 85%</w:t>
      </w:r>
      <w:r w:rsidRPr="00077D7F">
        <w:rPr>
          <w:lang w:eastAsia="pl-PL"/>
        </w:rPr>
        <w:t>. Jednak liczba dostępnych, a także wciąż rozwijanych na świecie technologii magazynowania energii jest znacznie większa. Również w Polsce należy uruchomić potencjał rozwojowy, tak aby zadbać o naszą konkurencyjność na rynkach światowych oraz w jak największym stopniu uniezależnić krajową gospodarkę od konieczności sięgania po urządzenia czy komponenty pochodzące spoza Unii Europejskiej.</w:t>
      </w:r>
      <w:r w:rsidR="00974007">
        <w:rPr>
          <w:rFonts w:eastAsia="Times New Roman" w:cs="Times New Roman"/>
          <w:lang w:eastAsia="pl-PL"/>
        </w:rPr>
        <w:t xml:space="preserve">  </w:t>
      </w:r>
    </w:p>
    <w:p w14:paraId="4C3E8F08" w14:textId="6BE17108" w:rsidR="00491705" w:rsidRPr="00077D7F" w:rsidRDefault="00491705" w:rsidP="00467680">
      <w:pPr>
        <w:rPr>
          <w:rFonts w:ascii="Times New Roman" w:hAnsi="Times New Roman"/>
          <w:sz w:val="24"/>
          <w:szCs w:val="24"/>
          <w:lang w:eastAsia="pl-PL"/>
        </w:rPr>
      </w:pPr>
      <w:r w:rsidRPr="00077D7F">
        <w:rPr>
          <w:lang w:eastAsia="pl-PL"/>
        </w:rPr>
        <w:t>Przyspieszenie wdrażania technologii magazynowania energii można osiągnąć dzięki skoordynowanym działaniom eliminującym bariery technologiczne, finansowe i administracyjne. Niezbędna jest współpraca interdyscyplinarna, międzyresortowa i</w:t>
      </w:r>
      <w:r w:rsidRPr="00233787">
        <w:rPr>
          <w:rFonts w:ascii="Arial" w:hAnsi="Arial"/>
        </w:rPr>
        <w:t> </w:t>
      </w:r>
      <w:r w:rsidRPr="00077D7F">
        <w:rPr>
          <w:lang w:eastAsia="pl-PL"/>
        </w:rPr>
        <w:t>mi</w:t>
      </w:r>
      <w:r w:rsidRPr="00077D7F">
        <w:rPr>
          <w:rFonts w:cs="Lato"/>
          <w:lang w:eastAsia="pl-PL"/>
        </w:rPr>
        <w:t>ę</w:t>
      </w:r>
      <w:r w:rsidRPr="00077D7F">
        <w:rPr>
          <w:lang w:eastAsia="pl-PL"/>
        </w:rPr>
        <w:t>dzysektorowa. Dzia</w:t>
      </w:r>
      <w:r w:rsidRPr="00077D7F">
        <w:rPr>
          <w:rFonts w:cs="Lato"/>
          <w:lang w:eastAsia="pl-PL"/>
        </w:rPr>
        <w:t>ł</w:t>
      </w:r>
      <w:r w:rsidRPr="00077D7F">
        <w:rPr>
          <w:lang w:eastAsia="pl-PL"/>
        </w:rPr>
        <w:t>ania powinny koncentrowa</w:t>
      </w:r>
      <w:r w:rsidRPr="00077D7F">
        <w:rPr>
          <w:rFonts w:cs="Lato"/>
          <w:lang w:eastAsia="pl-PL"/>
        </w:rPr>
        <w:t>ć</w:t>
      </w:r>
      <w:r w:rsidRPr="00077D7F">
        <w:rPr>
          <w:lang w:eastAsia="pl-PL"/>
        </w:rPr>
        <w:t xml:space="preserve"> si</w:t>
      </w:r>
      <w:r w:rsidRPr="00077D7F">
        <w:rPr>
          <w:rFonts w:cs="Lato"/>
          <w:lang w:eastAsia="pl-PL"/>
        </w:rPr>
        <w:t>ę</w:t>
      </w:r>
      <w:r w:rsidRPr="00077D7F">
        <w:rPr>
          <w:lang w:eastAsia="pl-PL"/>
        </w:rPr>
        <w:t xml:space="preserve"> na</w:t>
      </w:r>
      <w:r w:rsidR="00FD4D6D">
        <w:rPr>
          <w:lang w:eastAsia="pl-PL"/>
        </w:rPr>
        <w:t> </w:t>
      </w:r>
      <w:r w:rsidRPr="00077D7F">
        <w:rPr>
          <w:lang w:eastAsia="pl-PL"/>
        </w:rPr>
        <w:t>nast</w:t>
      </w:r>
      <w:r w:rsidRPr="00077D7F">
        <w:rPr>
          <w:rFonts w:cs="Lato"/>
          <w:lang w:eastAsia="pl-PL"/>
        </w:rPr>
        <w:t>ę</w:t>
      </w:r>
      <w:r w:rsidRPr="00077D7F">
        <w:rPr>
          <w:lang w:eastAsia="pl-PL"/>
        </w:rPr>
        <w:t>puj</w:t>
      </w:r>
      <w:r w:rsidRPr="00077D7F">
        <w:rPr>
          <w:rFonts w:cs="Lato"/>
          <w:lang w:eastAsia="pl-PL"/>
        </w:rPr>
        <w:t>ą</w:t>
      </w:r>
      <w:r w:rsidRPr="00077D7F">
        <w:rPr>
          <w:lang w:eastAsia="pl-PL"/>
        </w:rPr>
        <w:t>cych priorytetach:</w:t>
      </w:r>
      <w:r w:rsidRPr="00077D7F">
        <w:rPr>
          <w:rFonts w:cs="Lato"/>
          <w:lang w:eastAsia="pl-PL"/>
        </w:rPr>
        <w:t> </w:t>
      </w:r>
    </w:p>
    <w:p w14:paraId="17020AD6" w14:textId="77777777" w:rsidR="00491705" w:rsidRPr="00077D7F" w:rsidRDefault="00491705" w:rsidP="000625AC">
      <w:pPr>
        <w:pStyle w:val="Akapitzlist"/>
        <w:numPr>
          <w:ilvl w:val="0"/>
          <w:numId w:val="139"/>
        </w:numPr>
        <w:tabs>
          <w:tab w:val="clear" w:pos="1069"/>
        </w:tabs>
        <w:spacing w:after="80"/>
        <w:ind w:left="567" w:hanging="357"/>
        <w:contextualSpacing w:val="0"/>
        <w:rPr>
          <w:lang w:eastAsia="pl-PL"/>
        </w:rPr>
      </w:pPr>
      <w:r w:rsidRPr="00D34981">
        <w:rPr>
          <w:b/>
          <w:bCs/>
          <w:lang w:eastAsia="pl-PL"/>
        </w:rPr>
        <w:t xml:space="preserve">Upowszechnienie umów z ceną dynamiczną </w:t>
      </w:r>
      <w:r w:rsidRPr="00077D7F">
        <w:rPr>
          <w:lang w:eastAsia="pl-PL"/>
        </w:rPr>
        <w:t>– stworzenie warunków do rentownego magazynowania energii elektrycznej i cieplnej przyczyniającego się m.in. do poprawy efektywności pracy sieci elektroenergetycznej. </w:t>
      </w:r>
    </w:p>
    <w:p w14:paraId="446680EB" w14:textId="77777777" w:rsidR="00491705" w:rsidRPr="00077D7F" w:rsidRDefault="00491705" w:rsidP="000625AC">
      <w:pPr>
        <w:pStyle w:val="Akapitzlist"/>
        <w:numPr>
          <w:ilvl w:val="0"/>
          <w:numId w:val="139"/>
        </w:numPr>
        <w:tabs>
          <w:tab w:val="clear" w:pos="1069"/>
        </w:tabs>
        <w:spacing w:after="80"/>
        <w:ind w:left="567" w:hanging="357"/>
        <w:contextualSpacing w:val="0"/>
        <w:rPr>
          <w:lang w:eastAsia="pl-PL"/>
        </w:rPr>
      </w:pPr>
      <w:r w:rsidRPr="00D34981">
        <w:rPr>
          <w:b/>
          <w:bCs/>
          <w:lang w:eastAsia="pl-PL"/>
        </w:rPr>
        <w:t>Uruchomienie programów wspierających inwestycje</w:t>
      </w:r>
      <w:r w:rsidRPr="00077D7F">
        <w:rPr>
          <w:lang w:eastAsia="pl-PL"/>
        </w:rPr>
        <w:t xml:space="preserve"> – dofinansowanie rozwoju magazynów energii elektrycznej i ciepła. </w:t>
      </w:r>
    </w:p>
    <w:p w14:paraId="2B6C94A9" w14:textId="77777777" w:rsidR="00491705" w:rsidRPr="00077D7F" w:rsidRDefault="00491705" w:rsidP="000625AC">
      <w:pPr>
        <w:pStyle w:val="Akapitzlist"/>
        <w:numPr>
          <w:ilvl w:val="0"/>
          <w:numId w:val="139"/>
        </w:numPr>
        <w:tabs>
          <w:tab w:val="clear" w:pos="1069"/>
        </w:tabs>
        <w:spacing w:after="80"/>
        <w:ind w:left="567" w:hanging="357"/>
        <w:contextualSpacing w:val="0"/>
        <w:rPr>
          <w:lang w:eastAsia="pl-PL"/>
        </w:rPr>
      </w:pPr>
      <w:r w:rsidRPr="00D34981">
        <w:rPr>
          <w:b/>
          <w:bCs/>
          <w:lang w:eastAsia="pl-PL"/>
        </w:rPr>
        <w:lastRenderedPageBreak/>
        <w:t>Tworzenie programów badawczo-rozwojowych (B+R)</w:t>
      </w:r>
      <w:r w:rsidRPr="00077D7F">
        <w:rPr>
          <w:lang w:eastAsia="pl-PL"/>
        </w:rPr>
        <w:t xml:space="preserve"> – wsparcie rozwoju systemów magazynowania energii elektrycznej i ciepła, ich komponentów oraz materiałów aktywnych opartych na łatwo dostępnych surowcach. </w:t>
      </w:r>
    </w:p>
    <w:p w14:paraId="7F8FD056" w14:textId="42BA3D6A" w:rsidR="00491705" w:rsidRPr="00077D7F" w:rsidRDefault="00491705" w:rsidP="000625AC">
      <w:pPr>
        <w:pStyle w:val="Akapitzlist"/>
        <w:numPr>
          <w:ilvl w:val="0"/>
          <w:numId w:val="139"/>
        </w:numPr>
        <w:tabs>
          <w:tab w:val="clear" w:pos="1069"/>
        </w:tabs>
        <w:spacing w:after="80"/>
        <w:ind w:left="567" w:hanging="357"/>
        <w:contextualSpacing w:val="0"/>
        <w:rPr>
          <w:lang w:eastAsia="pl-PL"/>
        </w:rPr>
      </w:pPr>
      <w:r w:rsidRPr="00D34981">
        <w:rPr>
          <w:b/>
          <w:bCs/>
          <w:lang w:eastAsia="pl-PL"/>
        </w:rPr>
        <w:t>Zwiększenie świadomości społecznej poprzez działania edukacyjno-informacyjne</w:t>
      </w:r>
      <w:r w:rsidRPr="00077D7F">
        <w:rPr>
          <w:lang w:eastAsia="pl-PL"/>
        </w:rPr>
        <w:t xml:space="preserve"> wskazujące na</w:t>
      </w:r>
      <w:r w:rsidR="00FD4D6D">
        <w:rPr>
          <w:lang w:eastAsia="pl-PL"/>
        </w:rPr>
        <w:t> </w:t>
      </w:r>
      <w:r w:rsidRPr="00077D7F">
        <w:rPr>
          <w:lang w:eastAsia="pl-PL"/>
        </w:rPr>
        <w:t>korzyści wynikające z magazynowania energii, takie jak: niższe rachunki za energię elektryczną, optymalne wykorzystanie energii ze źródeł odnawialnych, większa niezależność i bezpieczeństwo energetyczne. </w:t>
      </w:r>
    </w:p>
    <w:p w14:paraId="1EFE55B3" w14:textId="7DD2DF80" w:rsidR="00491705" w:rsidRPr="00077D7F" w:rsidRDefault="00491705" w:rsidP="000625AC">
      <w:pPr>
        <w:pStyle w:val="Akapitzlist"/>
        <w:numPr>
          <w:ilvl w:val="0"/>
          <w:numId w:val="139"/>
        </w:numPr>
        <w:tabs>
          <w:tab w:val="clear" w:pos="1069"/>
        </w:tabs>
        <w:spacing w:after="80"/>
        <w:ind w:left="567" w:hanging="357"/>
        <w:contextualSpacing w:val="0"/>
        <w:rPr>
          <w:lang w:eastAsia="pl-PL"/>
        </w:rPr>
      </w:pPr>
      <w:r w:rsidRPr="00D34981">
        <w:rPr>
          <w:b/>
          <w:bCs/>
          <w:lang w:eastAsia="pl-PL"/>
        </w:rPr>
        <w:t>Uruchomienie kampanii informacyjnej</w:t>
      </w:r>
      <w:r w:rsidRPr="00077D7F">
        <w:rPr>
          <w:lang w:eastAsia="pl-PL"/>
        </w:rPr>
        <w:t xml:space="preserve"> – przeciwdziałanie dezinformacji i popularyzacja wiedzy na</w:t>
      </w:r>
      <w:r w:rsidR="00FD4D6D">
        <w:rPr>
          <w:lang w:eastAsia="pl-PL"/>
        </w:rPr>
        <w:t> </w:t>
      </w:r>
      <w:r w:rsidRPr="00077D7F">
        <w:rPr>
          <w:lang w:eastAsia="pl-PL"/>
        </w:rPr>
        <w:t>temat magazynowania energii. </w:t>
      </w:r>
    </w:p>
    <w:p w14:paraId="4FF6AB0E" w14:textId="09D565F1" w:rsidR="00491705" w:rsidRPr="00077D7F" w:rsidRDefault="00491705" w:rsidP="000625AC">
      <w:pPr>
        <w:pStyle w:val="Akapitzlist"/>
        <w:numPr>
          <w:ilvl w:val="0"/>
          <w:numId w:val="139"/>
        </w:numPr>
        <w:tabs>
          <w:tab w:val="clear" w:pos="1069"/>
        </w:tabs>
        <w:spacing w:after="240"/>
        <w:ind w:left="567" w:hanging="357"/>
        <w:contextualSpacing w:val="0"/>
        <w:rPr>
          <w:lang w:eastAsia="pl-PL"/>
        </w:rPr>
      </w:pPr>
      <w:r w:rsidRPr="00D34981">
        <w:rPr>
          <w:b/>
          <w:bCs/>
          <w:lang w:eastAsia="pl-PL"/>
        </w:rPr>
        <w:t>Dążenie do wdrożenia certyfikacji i homologacji systemów oraz technologii magazynowania energii</w:t>
      </w:r>
      <w:r w:rsidRPr="00077D7F">
        <w:rPr>
          <w:lang w:eastAsia="pl-PL"/>
        </w:rPr>
        <w:t xml:space="preserve"> – przy projektowaniu programów wsparcia dla instalacji magazynowych wskazane jest promowanie wysokiej jakości rozwiązań ze szczególnym uwzględnieniem zagadnień cyberbezpieczeństwa. Podjęcie prac międzyresortowych nad potrzebnym zakresem i warunkami certyfikacji i homologacji </w:t>
      </w:r>
      <w:r w:rsidR="00D009A6">
        <w:rPr>
          <w:lang w:eastAsia="pl-PL"/>
        </w:rPr>
        <w:t xml:space="preserve">– </w:t>
      </w:r>
      <w:r w:rsidR="009A4E1A" w:rsidRPr="009A4E1A">
        <w:rPr>
          <w:rFonts w:eastAsia="Times New Roman" w:cs="Times New Roman"/>
          <w:lang w:eastAsia="pl-PL"/>
        </w:rPr>
        <w:t>wiodącą rolę pełni</w:t>
      </w:r>
      <w:r w:rsidR="00467680">
        <w:rPr>
          <w:rFonts w:eastAsia="Times New Roman" w:cs="Times New Roman"/>
          <w:lang w:eastAsia="pl-PL"/>
        </w:rPr>
        <w:t xml:space="preserve"> </w:t>
      </w:r>
      <w:r w:rsidRPr="000156CF">
        <w:rPr>
          <w:lang w:eastAsia="pl-PL"/>
        </w:rPr>
        <w:t>minister wł. ds. gospodarki</w:t>
      </w:r>
      <w:r w:rsidRPr="00077D7F">
        <w:rPr>
          <w:lang w:eastAsia="pl-PL"/>
        </w:rPr>
        <w:t xml:space="preserve"> we współpracy</w:t>
      </w:r>
      <w:r>
        <w:rPr>
          <w:lang w:eastAsia="pl-PL"/>
        </w:rPr>
        <w:t xml:space="preserve"> poniżej wskazanymi ministrami</w:t>
      </w:r>
      <w:r w:rsidR="009A4E1A" w:rsidRPr="009A4E1A">
        <w:rPr>
          <w:rFonts w:eastAsia="Times New Roman" w:cs="Times New Roman"/>
          <w:lang w:eastAsia="pl-PL"/>
        </w:rPr>
        <w:t xml:space="preserve"> i Głównym Urzędem Miar</w:t>
      </w:r>
      <w:r w:rsidRPr="00077D7F">
        <w:rPr>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2F19AAAB" w14:textId="77777777" w:rsidTr="00D34981">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450D28A1"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36BDA3BA" wp14:editId="243EE672">
                  <wp:extent cx="622300" cy="622300"/>
                  <wp:effectExtent l="0" t="0" r="6350" b="6350"/>
                  <wp:docPr id="1155952019" name="Obraz 2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4DC7B96"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97DEDD4"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153AD173" w14:textId="77777777" w:rsidTr="00D3498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6B534FF" w14:textId="77777777" w:rsidR="00491705" w:rsidRPr="00077D7F"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C3DD52B" w14:textId="77777777" w:rsidR="00491705" w:rsidRDefault="00491705">
            <w:pPr>
              <w:spacing w:after="0" w:line="240" w:lineRule="auto"/>
              <w:textAlignment w:val="baseline"/>
              <w:rPr>
                <w:rFonts w:eastAsia="Times New Roman" w:cs="Times New Roman"/>
                <w:color w:val="808080"/>
                <w:sz w:val="18"/>
                <w:szCs w:val="18"/>
                <w:lang w:eastAsia="pl-PL"/>
              </w:rPr>
            </w:pPr>
            <w:r w:rsidRPr="00077D7F">
              <w:rPr>
                <w:rFonts w:eastAsia="Times New Roman" w:cs="Times New Roman"/>
                <w:color w:val="808080"/>
                <w:sz w:val="18"/>
                <w:szCs w:val="18"/>
                <w:lang w:eastAsia="pl-PL"/>
              </w:rPr>
              <w:t>minister wł. ds. energii </w:t>
            </w:r>
          </w:p>
          <w:p w14:paraId="70BECA10" w14:textId="731810F6" w:rsidR="00491705" w:rsidRPr="00077D7F" w:rsidRDefault="00A90788">
            <w:pPr>
              <w:spacing w:after="0" w:line="240" w:lineRule="auto"/>
              <w:textAlignment w:val="baseline"/>
              <w:rPr>
                <w:rFonts w:ascii="Times New Roman" w:eastAsia="Times New Roman" w:hAnsi="Times New Roman" w:cs="Times New Roman"/>
                <w:sz w:val="24"/>
                <w:szCs w:val="24"/>
                <w:lang w:eastAsia="pl-PL"/>
              </w:rPr>
            </w:pPr>
            <w:r w:rsidRPr="002B5F2C">
              <w:rPr>
                <w:rFonts w:eastAsia="Times New Roman" w:cs="Times New Roman"/>
                <w:color w:val="808080"/>
                <w:kern w:val="0"/>
                <w:sz w:val="18"/>
                <w:szCs w:val="18"/>
                <w:lang w:eastAsia="pl-PL"/>
                <w14:ligatures w14:val="none"/>
              </w:rPr>
              <w:t>minister wł. ds. gospodarki</w:t>
            </w:r>
            <w:r w:rsidR="00387C9F" w:rsidRPr="002B5F2C">
              <w:rPr>
                <w:rFonts w:eastAsia="Times New Roman" w:cs="Times New Roman"/>
                <w:color w:val="808080"/>
                <w:kern w:val="0"/>
                <w:sz w:val="18"/>
                <w:szCs w:val="18"/>
                <w:lang w:eastAsia="pl-PL"/>
                <w14:ligatures w14:val="none"/>
              </w:rPr>
              <w:t xml:space="preserve"> (w zakresie homologacji)</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25AC730" w14:textId="77777777" w:rsidR="00491705" w:rsidRDefault="00491705">
            <w:pPr>
              <w:spacing w:after="0" w:line="240" w:lineRule="auto"/>
              <w:textAlignment w:val="baseline"/>
              <w:rPr>
                <w:rFonts w:eastAsia="Times New Roman" w:cs="Times New Roman"/>
                <w:color w:val="808080"/>
                <w:sz w:val="18"/>
                <w:szCs w:val="18"/>
                <w:lang w:eastAsia="pl-PL"/>
              </w:rPr>
            </w:pPr>
            <w:r w:rsidRPr="00077D7F">
              <w:rPr>
                <w:rFonts w:eastAsia="Times New Roman" w:cs="Times New Roman"/>
                <w:color w:val="808080"/>
                <w:sz w:val="18"/>
                <w:szCs w:val="18"/>
                <w:lang w:eastAsia="pl-PL"/>
              </w:rPr>
              <w:t>minister wł. ds. klimatu </w:t>
            </w:r>
          </w:p>
          <w:p w14:paraId="4F98748C" w14:textId="66EF959C" w:rsidR="00491705" w:rsidRDefault="00491705">
            <w:pPr>
              <w:spacing w:after="0" w:line="240" w:lineRule="auto"/>
              <w:textAlignment w:val="baseline"/>
              <w:rPr>
                <w:rFonts w:eastAsia="Times New Roman" w:cs="Times New Roman"/>
                <w:color w:val="808080"/>
                <w:sz w:val="18"/>
                <w:szCs w:val="18"/>
                <w:lang w:eastAsia="pl-PL"/>
              </w:rPr>
            </w:pPr>
            <w:bookmarkStart w:id="967" w:name="_Ref195881423"/>
            <w:r>
              <w:rPr>
                <w:rFonts w:eastAsia="Times New Roman" w:cs="Times New Roman"/>
                <w:color w:val="808080"/>
                <w:sz w:val="18"/>
                <w:szCs w:val="18"/>
                <w:lang w:eastAsia="pl-PL"/>
              </w:rPr>
              <w:t>minister wł. ds. gospodarki</w:t>
            </w:r>
            <w:bookmarkEnd w:id="967"/>
            <w:r w:rsidR="000F698E">
              <w:rPr>
                <w:rFonts w:eastAsia="Times New Roman" w:cs="Times New Roman"/>
                <w:color w:val="808080"/>
                <w:sz w:val="18"/>
                <w:szCs w:val="18"/>
                <w:lang w:eastAsia="pl-PL"/>
              </w:rPr>
              <w:t xml:space="preserve"> </w:t>
            </w:r>
          </w:p>
          <w:p w14:paraId="42D27A57" w14:textId="77777777" w:rsidR="00491705" w:rsidRDefault="00491705">
            <w:pPr>
              <w:spacing w:after="0" w:line="240" w:lineRule="auto"/>
              <w:textAlignment w:val="baseline"/>
              <w:rPr>
                <w:rFonts w:eastAsia="Times New Roman" w:cs="Times New Roman"/>
                <w:color w:val="808080"/>
                <w:kern w:val="0"/>
                <w:sz w:val="18"/>
                <w:szCs w:val="18"/>
                <w:lang w:eastAsia="pl-PL"/>
                <w14:ligatures w14:val="none"/>
              </w:rPr>
            </w:pPr>
            <w:r w:rsidRPr="008A5AE2">
              <w:rPr>
                <w:rFonts w:eastAsia="Times New Roman" w:cs="Times New Roman"/>
                <w:color w:val="808080"/>
                <w:kern w:val="0"/>
                <w:sz w:val="18"/>
                <w:szCs w:val="18"/>
                <w:lang w:eastAsia="pl-PL"/>
                <w14:ligatures w14:val="none"/>
              </w:rPr>
              <w:t>minister wł. ds. cyfryzacji </w:t>
            </w:r>
          </w:p>
          <w:p w14:paraId="26BBFF38" w14:textId="25E9F007" w:rsidR="00491705" w:rsidRPr="00077D7F" w:rsidRDefault="0095363B">
            <w:pPr>
              <w:spacing w:after="0" w:line="240" w:lineRule="auto"/>
              <w:textAlignment w:val="baseline"/>
              <w:rPr>
                <w:rFonts w:ascii="Times New Roman" w:eastAsia="Times New Roman" w:hAnsi="Times New Roman" w:cs="Times New Roman"/>
                <w:sz w:val="24"/>
                <w:szCs w:val="24"/>
                <w:lang w:eastAsia="pl-PL"/>
              </w:rPr>
            </w:pPr>
            <w:r w:rsidRPr="00E97817">
              <w:rPr>
                <w:rFonts w:eastAsia="Times New Roman" w:cs="Times New Roman"/>
                <w:color w:val="808080"/>
                <w:kern w:val="0"/>
                <w:sz w:val="18"/>
                <w:szCs w:val="18"/>
                <w:lang w:eastAsia="pl-PL"/>
                <w14:ligatures w14:val="none"/>
              </w:rPr>
              <w:t>Prezes Głównego Urzędu Miar</w:t>
            </w:r>
          </w:p>
        </w:tc>
      </w:tr>
    </w:tbl>
    <w:p w14:paraId="12A0CFF1" w14:textId="77777777" w:rsidR="00996FB0" w:rsidRPr="00996FB0" w:rsidRDefault="00996FB0" w:rsidP="00996FB0">
      <w:pPr>
        <w:rPr>
          <w:lang w:eastAsia="pl-PL"/>
        </w:rPr>
      </w:pPr>
      <w:bookmarkStart w:id="968" w:name="_Toc195856536"/>
      <w:bookmarkStart w:id="969" w:name="_Ref195879139"/>
    </w:p>
    <w:p w14:paraId="0C81F4E8" w14:textId="0353A641" w:rsidR="00491705" w:rsidRPr="0096716D" w:rsidRDefault="00491705" w:rsidP="00D523F3">
      <w:pPr>
        <w:pStyle w:val="Nagwek6"/>
        <w:rPr>
          <w:rFonts w:eastAsia="Times New Roman" w:cs="Times New Roman"/>
          <w:bCs/>
          <w:color w:val="000000"/>
          <w:lang w:eastAsia="pl-PL"/>
        </w:rPr>
      </w:pPr>
      <w:bookmarkStart w:id="970" w:name="_Ref195881734"/>
      <w:bookmarkStart w:id="971" w:name="_Ref195881603"/>
      <w:r>
        <w:t xml:space="preserve">Działanie </w:t>
      </w:r>
      <w:r>
        <w:fldChar w:fldCharType="begin"/>
      </w:r>
      <w:r>
        <w:instrText>SEQ Działanie \* ARABIC</w:instrText>
      </w:r>
      <w:r>
        <w:fldChar w:fldCharType="separate"/>
      </w:r>
      <w:r w:rsidR="00871DD5">
        <w:rPr>
          <w:noProof/>
        </w:rPr>
        <w:t>18</w:t>
      </w:r>
      <w:r>
        <w:fldChar w:fldCharType="end"/>
      </w:r>
      <w:r>
        <w:t xml:space="preserve">. </w:t>
      </w:r>
      <w:bookmarkEnd w:id="968"/>
      <w:bookmarkEnd w:id="969"/>
      <w:bookmarkEnd w:id="970"/>
      <w:r w:rsidRPr="002123E7">
        <w:t>Rozw</w:t>
      </w:r>
      <w:r w:rsidR="00310F35">
        <w:t>ó</w:t>
      </w:r>
      <w:r w:rsidRPr="002123E7">
        <w:t xml:space="preserve">j </w:t>
      </w:r>
      <w:r w:rsidR="00310F35">
        <w:t>o</w:t>
      </w:r>
      <w:r w:rsidRPr="002123E7">
        <w:t xml:space="preserve">bywatelskich </w:t>
      </w:r>
      <w:r w:rsidR="00310F35">
        <w:t>s</w:t>
      </w:r>
      <w:r w:rsidRPr="002123E7">
        <w:t xml:space="preserve">połeczności </w:t>
      </w:r>
      <w:r w:rsidR="00310F35">
        <w:t>e</w:t>
      </w:r>
      <w:r w:rsidRPr="002123E7">
        <w:t>nergetycznych (OSE)</w:t>
      </w:r>
      <w:bookmarkEnd w:id="971"/>
    </w:p>
    <w:p w14:paraId="709D30BC" w14:textId="1DD52318" w:rsidR="00491705" w:rsidRPr="0096716D" w:rsidRDefault="00491705" w:rsidP="00F450D3">
      <w:pPr>
        <w:rPr>
          <w:rFonts w:ascii="Times New Roman" w:hAnsi="Times New Roman"/>
          <w:sz w:val="24"/>
          <w:szCs w:val="24"/>
          <w:lang w:eastAsia="pl-PL"/>
        </w:rPr>
      </w:pPr>
      <w:r w:rsidRPr="0096716D">
        <w:rPr>
          <w:lang w:eastAsia="pl-PL"/>
        </w:rPr>
        <w:t xml:space="preserve">Rozwój energetyki obywatelskiej oparty na </w:t>
      </w:r>
      <w:r w:rsidR="00310F35">
        <w:rPr>
          <w:b/>
          <w:bCs/>
          <w:lang w:eastAsia="pl-PL"/>
        </w:rPr>
        <w:t>o</w:t>
      </w:r>
      <w:r w:rsidRPr="0096716D">
        <w:rPr>
          <w:b/>
          <w:bCs/>
          <w:lang w:eastAsia="pl-PL"/>
        </w:rPr>
        <w:t xml:space="preserve">bywatelskich </w:t>
      </w:r>
      <w:r w:rsidR="00310F35">
        <w:rPr>
          <w:b/>
          <w:bCs/>
          <w:lang w:eastAsia="pl-PL"/>
        </w:rPr>
        <w:t>s</w:t>
      </w:r>
      <w:r w:rsidRPr="0096716D">
        <w:rPr>
          <w:b/>
          <w:bCs/>
          <w:lang w:eastAsia="pl-PL"/>
        </w:rPr>
        <w:t xml:space="preserve">połecznościach </w:t>
      </w:r>
      <w:r w:rsidR="00310F35">
        <w:rPr>
          <w:b/>
          <w:bCs/>
          <w:lang w:eastAsia="pl-PL"/>
        </w:rPr>
        <w:t>e</w:t>
      </w:r>
      <w:r w:rsidRPr="0096716D">
        <w:rPr>
          <w:b/>
          <w:bCs/>
          <w:lang w:eastAsia="pl-PL"/>
        </w:rPr>
        <w:t>nergetycznych (OSE)</w:t>
      </w:r>
      <w:r w:rsidRPr="0096716D">
        <w:rPr>
          <w:lang w:eastAsia="pl-PL"/>
        </w:rPr>
        <w:t xml:space="preserve"> jest kluczowym elementem transformacji energetycznej Polski. Lokalne systemy wytwarzania energii, oparte na źródłach odnawialnych, stanowić mogą fundament nowoczesnego, rozproszonego i elastycznego systemu elektroenergetycznego. Rozwój OSE przyczyni się do zwiększenia niezależności energetycznej, obniżenia kosztów energii dla obywateli i przedsiębiorstw oraz poprawy bezpieczeństwa systemu dzięki decentralizacji produkcji. Co więcej, rozwój tych rozwiązań zwiększy społeczną akceptację dla</w:t>
      </w:r>
      <w:r w:rsidR="00FD4D6D">
        <w:rPr>
          <w:lang w:eastAsia="pl-PL"/>
        </w:rPr>
        <w:t> </w:t>
      </w:r>
      <w:r w:rsidRPr="0096716D">
        <w:rPr>
          <w:lang w:eastAsia="pl-PL"/>
        </w:rPr>
        <w:t>odnawialnych źródeł energii, w tym lądowej energetyki wiatrowej, ponieważ umożliwi lokalnym społecznościom i firmom korzystanie z własnych źródeł energii, co przełoży się na bezpośrednie korzyści ekonomiczne dla mieszkańców oraz przedsiębiorstw, w których pracują.</w:t>
      </w:r>
      <w:r w:rsidR="003E2DE5">
        <w:rPr>
          <w:rFonts w:eastAsia="Times New Roman" w:cs="Times New Roman"/>
          <w:lang w:eastAsia="pl-PL"/>
        </w:rPr>
        <w:t xml:space="preserve"> </w:t>
      </w:r>
    </w:p>
    <w:p w14:paraId="59638EF0" w14:textId="0FB83E6F" w:rsidR="00491705" w:rsidRPr="0096716D" w:rsidRDefault="00491705" w:rsidP="00F450D3">
      <w:pPr>
        <w:rPr>
          <w:rFonts w:ascii="Times New Roman" w:hAnsi="Times New Roman"/>
          <w:sz w:val="24"/>
          <w:szCs w:val="24"/>
          <w:lang w:eastAsia="pl-PL"/>
        </w:rPr>
      </w:pPr>
      <w:r w:rsidRPr="0096716D">
        <w:rPr>
          <w:lang w:eastAsia="pl-PL"/>
        </w:rPr>
        <w:t xml:space="preserve">Działanie zakłada rozwój </w:t>
      </w:r>
      <w:r w:rsidR="00310F35">
        <w:rPr>
          <w:b/>
          <w:bCs/>
          <w:lang w:eastAsia="pl-PL"/>
        </w:rPr>
        <w:t>o</w:t>
      </w:r>
      <w:r w:rsidRPr="0096716D">
        <w:rPr>
          <w:b/>
          <w:bCs/>
          <w:lang w:eastAsia="pl-PL"/>
        </w:rPr>
        <w:t xml:space="preserve">bywatelskich </w:t>
      </w:r>
      <w:r w:rsidR="00310F35">
        <w:rPr>
          <w:b/>
          <w:bCs/>
          <w:lang w:eastAsia="pl-PL"/>
        </w:rPr>
        <w:t>s</w:t>
      </w:r>
      <w:r w:rsidRPr="0096716D">
        <w:rPr>
          <w:b/>
          <w:bCs/>
          <w:lang w:eastAsia="pl-PL"/>
        </w:rPr>
        <w:t xml:space="preserve">połeczności </w:t>
      </w:r>
      <w:r w:rsidR="00310F35">
        <w:rPr>
          <w:b/>
          <w:bCs/>
          <w:lang w:eastAsia="pl-PL"/>
        </w:rPr>
        <w:t>e</w:t>
      </w:r>
      <w:r w:rsidRPr="0096716D">
        <w:rPr>
          <w:b/>
          <w:bCs/>
          <w:lang w:eastAsia="pl-PL"/>
        </w:rPr>
        <w:t>nergetycznych (OSE)</w:t>
      </w:r>
      <w:r w:rsidRPr="0096716D">
        <w:rPr>
          <w:lang w:eastAsia="pl-PL"/>
        </w:rPr>
        <w:t>, które pozwolą lokalnym społecznościom oraz przemysłowi na produkcję energii na własne potrzeby, wykorzystując istniejącą sieć elektroenergetyczną oraz linie bezpośrednie. W przyszłości należy monitorować rozwój OSE</w:t>
      </w:r>
      <w:r w:rsidR="00C85314">
        <w:rPr>
          <w:lang w:eastAsia="pl-PL"/>
        </w:rPr>
        <w:t xml:space="preserve"> oraz</w:t>
      </w:r>
      <w:r w:rsidRPr="0096716D">
        <w:rPr>
          <w:lang w:eastAsia="pl-PL"/>
        </w:rPr>
        <w:t xml:space="preserve"> wprowadza</w:t>
      </w:r>
      <w:r w:rsidR="00C85314">
        <w:rPr>
          <w:lang w:eastAsia="pl-PL"/>
        </w:rPr>
        <w:t>ć</w:t>
      </w:r>
      <w:r w:rsidRPr="0096716D">
        <w:rPr>
          <w:lang w:eastAsia="pl-PL"/>
        </w:rPr>
        <w:t xml:space="preserve"> udogodnienia i usprawnienia w kierunku: </w:t>
      </w:r>
    </w:p>
    <w:p w14:paraId="5B6F63BA" w14:textId="23CE2157" w:rsidR="00491705" w:rsidRPr="0096716D" w:rsidRDefault="00491705" w:rsidP="000625AC">
      <w:pPr>
        <w:pStyle w:val="Akapitzlist"/>
        <w:numPr>
          <w:ilvl w:val="0"/>
          <w:numId w:val="140"/>
        </w:numPr>
        <w:spacing w:after="80"/>
        <w:ind w:left="425" w:hanging="357"/>
        <w:contextualSpacing w:val="0"/>
        <w:rPr>
          <w:lang w:eastAsia="pl-PL"/>
        </w:rPr>
      </w:pPr>
      <w:r w:rsidRPr="00D34981">
        <w:rPr>
          <w:b/>
          <w:bCs/>
          <w:lang w:eastAsia="pl-PL"/>
        </w:rPr>
        <w:t>Dostępu dla wszystkich podmiotów do istniejącej sieci elektroenergetycznej</w:t>
      </w:r>
      <w:r w:rsidRPr="0096716D">
        <w:rPr>
          <w:lang w:eastAsia="pl-PL"/>
        </w:rPr>
        <w:t xml:space="preserve"> na poziomie niskich i</w:t>
      </w:r>
      <w:r w:rsidR="00664B6B">
        <w:rPr>
          <w:lang w:eastAsia="pl-PL"/>
        </w:rPr>
        <w:t> </w:t>
      </w:r>
      <w:r w:rsidRPr="0096716D">
        <w:rPr>
          <w:lang w:eastAsia="pl-PL"/>
        </w:rPr>
        <w:t>średnich napięć oraz dla odbiorców podłączonych do tej sieci, na uproszczonych zasadach, pod warunkiem zapewnienia bilansowania wewnątrz obszarów oraz uwzględniania ograniczeń sieciowych. Dopuszcza się możliwość modernizacji/rozbudowy sieci na warunkach komercyjnych (patrz punkt 4). Cena dostępu powinna odpowiadać rzeczywistym kosztom utrzymania udostępnionej sieci, z dodatkową marżą</w:t>
      </w:r>
      <w:r w:rsidR="00C0302A">
        <w:rPr>
          <w:lang w:eastAsia="pl-PL"/>
        </w:rPr>
        <w:t>.</w:t>
      </w:r>
      <w:r w:rsidRPr="0096716D">
        <w:rPr>
          <w:lang w:eastAsia="pl-PL"/>
        </w:rPr>
        <w:t xml:space="preserve"> Dostęp do sieci powinien być realizowany w węzłach dystrybucyjnych na zasadach transparentności.</w:t>
      </w:r>
    </w:p>
    <w:p w14:paraId="5B51CEE7" w14:textId="4193CE86" w:rsidR="00491705" w:rsidRPr="0096716D" w:rsidRDefault="00491705" w:rsidP="000625AC">
      <w:pPr>
        <w:pStyle w:val="Akapitzlist"/>
        <w:numPr>
          <w:ilvl w:val="0"/>
          <w:numId w:val="140"/>
        </w:numPr>
        <w:spacing w:after="80"/>
        <w:ind w:left="425" w:hanging="357"/>
        <w:contextualSpacing w:val="0"/>
        <w:rPr>
          <w:lang w:eastAsia="pl-PL"/>
        </w:rPr>
      </w:pPr>
      <w:r w:rsidRPr="00D34981">
        <w:rPr>
          <w:b/>
          <w:bCs/>
          <w:lang w:eastAsia="pl-PL"/>
        </w:rPr>
        <w:t>Prawa podłączenia mocy wytwórczych OZE do węzłów dystrybucyjnych</w:t>
      </w:r>
      <w:r w:rsidRPr="0096716D">
        <w:rPr>
          <w:lang w:eastAsia="pl-PL"/>
        </w:rPr>
        <w:t xml:space="preserve"> na poziomie niskich i</w:t>
      </w:r>
      <w:r w:rsidR="008378D0">
        <w:rPr>
          <w:lang w:eastAsia="pl-PL"/>
        </w:rPr>
        <w:t> </w:t>
      </w:r>
      <w:r w:rsidRPr="0096716D">
        <w:rPr>
          <w:lang w:eastAsia="pl-PL"/>
        </w:rPr>
        <w:t>średnich napięć, pod warunkiem zapewnienia bilansowania wewnątrz obszarów oraz uwzględniania ograniczeń sieciowych, na warunkach kosztowych analogicznych do punktu pierwszego. Również</w:t>
      </w:r>
      <w:r w:rsidR="00FD4D6D">
        <w:rPr>
          <w:lang w:eastAsia="pl-PL"/>
        </w:rPr>
        <w:t> </w:t>
      </w:r>
      <w:r w:rsidR="00517F9D">
        <w:rPr>
          <w:lang w:eastAsia="pl-PL"/>
        </w:rPr>
        <w:t>w</w:t>
      </w:r>
      <w:r w:rsidR="00FD4D6D">
        <w:rPr>
          <w:lang w:eastAsia="pl-PL"/>
        </w:rPr>
        <w:t> </w:t>
      </w:r>
      <w:r w:rsidR="00517F9D">
        <w:rPr>
          <w:lang w:eastAsia="pl-PL"/>
        </w:rPr>
        <w:t>tym przypadku</w:t>
      </w:r>
      <w:r w:rsidR="00517F9D" w:rsidRPr="0096716D">
        <w:rPr>
          <w:lang w:eastAsia="pl-PL"/>
        </w:rPr>
        <w:t xml:space="preserve"> </w:t>
      </w:r>
      <w:r w:rsidRPr="0096716D">
        <w:rPr>
          <w:lang w:eastAsia="pl-PL"/>
        </w:rPr>
        <w:t>dostęp do sieci powinien opierać się na zasadach przejrzystości</w:t>
      </w:r>
      <w:r w:rsidRPr="00D34981">
        <w:rPr>
          <w:strike/>
          <w:lang w:eastAsia="pl-PL"/>
        </w:rPr>
        <w:t>.</w:t>
      </w:r>
    </w:p>
    <w:p w14:paraId="6C7B692E" w14:textId="6437693A" w:rsidR="00491705" w:rsidRPr="0096716D" w:rsidRDefault="00491705" w:rsidP="000625AC">
      <w:pPr>
        <w:pStyle w:val="Akapitzlist"/>
        <w:numPr>
          <w:ilvl w:val="0"/>
          <w:numId w:val="140"/>
        </w:numPr>
        <w:spacing w:after="80"/>
        <w:ind w:left="425" w:hanging="357"/>
        <w:contextualSpacing w:val="0"/>
        <w:rPr>
          <w:lang w:eastAsia="pl-PL"/>
        </w:rPr>
      </w:pPr>
      <w:r w:rsidRPr="00D34981">
        <w:rPr>
          <w:b/>
          <w:bCs/>
          <w:lang w:eastAsia="pl-PL"/>
        </w:rPr>
        <w:lastRenderedPageBreak/>
        <w:t>Prawa przesyłu energii pomiędzy węzłami dystrybucyjnymi</w:t>
      </w:r>
      <w:r w:rsidRPr="0096716D">
        <w:rPr>
          <w:lang w:eastAsia="pl-PL"/>
        </w:rPr>
        <w:t>, które znajdują się na drodze między węzłami wskazanymi w punktach 1 i 2 pod warunkiem zapewnienia bilansowania wewnątrz obszarów oraz uwzględniania ograniczeń sieciowych, Przesył powinien odbywać na takich samych zasadach kosztowych jak dostęp do sieci.</w:t>
      </w:r>
      <w:r w:rsidR="003E2DE5">
        <w:rPr>
          <w:rFonts w:eastAsia="Times New Roman" w:cs="Times New Roman"/>
          <w:lang w:eastAsia="pl-PL"/>
        </w:rPr>
        <w:t xml:space="preserve"> </w:t>
      </w:r>
    </w:p>
    <w:p w14:paraId="13229EDA" w14:textId="3CCCB6BA" w:rsidR="00491705" w:rsidRPr="0096716D" w:rsidRDefault="00491705" w:rsidP="000625AC">
      <w:pPr>
        <w:pStyle w:val="Akapitzlist"/>
        <w:numPr>
          <w:ilvl w:val="0"/>
          <w:numId w:val="140"/>
        </w:numPr>
        <w:spacing w:after="80"/>
        <w:ind w:left="425" w:hanging="357"/>
        <w:contextualSpacing w:val="0"/>
        <w:rPr>
          <w:lang w:eastAsia="pl-PL"/>
        </w:rPr>
      </w:pPr>
      <w:r w:rsidRPr="0096716D">
        <w:rPr>
          <w:lang w:eastAsia="pl-PL"/>
        </w:rPr>
        <w:t>W przypadku braku odpowiednich mocy przyłączeniowych lub przesyłowych, a tym samym konieczności rozbudowy węzłów lub elementów sieci, koszty rozbudowy powinien ponosić podmiot zgłaszający chęć przyłączenia. Zakres tych inwestycji powinien być uzgodniony poprzez dialog techniczny. Jednocześnie opłaty te muszą być określone na zasadach rynkowych, w tym możliwość realizacji inwestycji poprzez podmioty zewnętrzne, wyłonione w otwartym postępowaniu przetargowym.</w:t>
      </w:r>
      <w:r w:rsidR="003E2DE5">
        <w:rPr>
          <w:rFonts w:eastAsia="Times New Roman" w:cs="Times New Roman"/>
          <w:lang w:eastAsia="pl-PL"/>
        </w:rPr>
        <w:t xml:space="preserve"> </w:t>
      </w:r>
    </w:p>
    <w:p w14:paraId="0176382E" w14:textId="77777777" w:rsidR="00491705" w:rsidRPr="0096716D" w:rsidRDefault="00491705" w:rsidP="00565B4A">
      <w:pPr>
        <w:rPr>
          <w:rFonts w:ascii="Times New Roman" w:hAnsi="Times New Roman"/>
          <w:sz w:val="24"/>
          <w:szCs w:val="24"/>
          <w:lang w:eastAsia="pl-PL"/>
        </w:rPr>
      </w:pPr>
      <w:r w:rsidRPr="0096716D">
        <w:rPr>
          <w:lang w:eastAsia="pl-PL"/>
        </w:rPr>
        <w:t>Tworzenie lokalnych systemów wytwarzania i konsumpcji energii pozwoli na zmniejszenie kosztów energii dla odbiorców końcowych, zwiększy bezpieczeństwo energetyczne poprzez decentralizację systemu oraz ograniczy konieczność kosztownych inwestycji w rozbudowę sieci przesyłowych. Co więcej, aktywny udział społeczności lokalnych w produkcji i użytkowaniu energii odnawialnej zwiększy akceptację dla technologii OZE, zwłaszcza lądowych farm wiatrowych, które staną się częścią lokalnego systemu zasilania. Dzięki temu mieszkańcy i przedsiębiorstwa będą mogli korzystać z energii wytwarzanej na ich potrzeby, co przełoży się na realne oszczędności oraz stabilność dostaw.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6A3934DE" w14:textId="77777777" w:rsidTr="00D3498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F55FA9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1C1B6F05" wp14:editId="637ED0DB">
                  <wp:extent cx="622300" cy="622300"/>
                  <wp:effectExtent l="0" t="0" r="6350" b="6350"/>
                  <wp:docPr id="27"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07BC123"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6AD1CD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17C29347" w14:textId="77777777" w:rsidTr="00D3498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FAE2482"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6BB4C5E"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A6D946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 </w:t>
            </w:r>
          </w:p>
          <w:p w14:paraId="3237F177" w14:textId="77777777" w:rsidR="00FB5101" w:rsidRDefault="00491705">
            <w:pPr>
              <w:spacing w:after="0" w:line="240" w:lineRule="auto"/>
              <w:textAlignment w:val="baseline"/>
              <w:rPr>
                <w:rFonts w:eastAsia="Times New Roman" w:cs="Times New Roman"/>
                <w:color w:val="808080"/>
                <w:sz w:val="18"/>
                <w:szCs w:val="18"/>
                <w:lang w:eastAsia="pl-PL"/>
              </w:rPr>
            </w:pPr>
            <w:r w:rsidRPr="0096716D">
              <w:rPr>
                <w:rFonts w:eastAsia="Times New Roman" w:cs="Times New Roman"/>
                <w:color w:val="808080"/>
                <w:sz w:val="18"/>
                <w:szCs w:val="18"/>
                <w:lang w:eastAsia="pl-PL"/>
              </w:rPr>
              <w:t>OSD </w:t>
            </w:r>
          </w:p>
          <w:p w14:paraId="78E22C18" w14:textId="1C7AE88C" w:rsidR="00491705" w:rsidRPr="0096716D" w:rsidRDefault="00346ECA">
            <w:pPr>
              <w:spacing w:after="0" w:line="240" w:lineRule="auto"/>
              <w:textAlignment w:val="baseline"/>
              <w:rPr>
                <w:rFonts w:ascii="Times New Roman" w:eastAsia="Times New Roman" w:hAnsi="Times New Roman" w:cs="Times New Roman"/>
                <w:sz w:val="24"/>
                <w:szCs w:val="24"/>
                <w:lang w:eastAsia="pl-PL"/>
              </w:rPr>
            </w:pPr>
            <w:r w:rsidRPr="009B0F74">
              <w:rPr>
                <w:color w:val="808080"/>
                <w:kern w:val="0"/>
                <w:sz w:val="18"/>
                <w14:ligatures w14:val="none"/>
              </w:rPr>
              <w:t>Prezes URE</w:t>
            </w:r>
          </w:p>
        </w:tc>
      </w:tr>
    </w:tbl>
    <w:p w14:paraId="1E98B654" w14:textId="77777777" w:rsidR="00491705" w:rsidRPr="0096716D" w:rsidRDefault="00491705" w:rsidP="00491705">
      <w:pPr>
        <w:spacing w:after="12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p>
    <w:p w14:paraId="63977C72" w14:textId="180D1F01"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72" w:name="_Toc195856537"/>
      <w:bookmarkStart w:id="973" w:name="_Ref195879143"/>
      <w:bookmarkStart w:id="974" w:name="_Ref195882132"/>
      <w:bookmarkStart w:id="975" w:name="_Ref195882268"/>
      <w:r>
        <w:t xml:space="preserve">Działanie </w:t>
      </w:r>
      <w:r>
        <w:fldChar w:fldCharType="begin"/>
      </w:r>
      <w:r>
        <w:instrText>SEQ Działanie \* ARABIC</w:instrText>
      </w:r>
      <w:r>
        <w:fldChar w:fldCharType="separate"/>
      </w:r>
      <w:r w:rsidR="00871DD5">
        <w:rPr>
          <w:noProof/>
        </w:rPr>
        <w:t>19</w:t>
      </w:r>
      <w:r>
        <w:fldChar w:fldCharType="end"/>
      </w:r>
      <w:r>
        <w:t xml:space="preserve">. </w:t>
      </w:r>
      <w:r w:rsidRPr="00ED04BA">
        <w:t>Rozwój i usprawniania w zakresie funkcjonowania spółdzielni energetycznych</w:t>
      </w:r>
      <w:bookmarkEnd w:id="972"/>
      <w:bookmarkEnd w:id="973"/>
      <w:bookmarkEnd w:id="974"/>
      <w:bookmarkEnd w:id="975"/>
      <w:r>
        <w:t xml:space="preserve"> </w:t>
      </w:r>
    </w:p>
    <w:p w14:paraId="458E09A4" w14:textId="5E66BC93" w:rsidR="00491705" w:rsidRPr="0096716D" w:rsidRDefault="00491705" w:rsidP="005B5CEC">
      <w:pPr>
        <w:rPr>
          <w:rFonts w:ascii="Times New Roman" w:hAnsi="Times New Roman"/>
          <w:sz w:val="24"/>
          <w:szCs w:val="24"/>
          <w:lang w:eastAsia="pl-PL"/>
        </w:rPr>
      </w:pPr>
      <w:r w:rsidRPr="0096716D">
        <w:rPr>
          <w:lang w:eastAsia="pl-PL"/>
        </w:rPr>
        <w:t>Spółdzielnie energetyczne mogą odegrać kluczową rolę w transformacji energetycznej, wspierając lokalne bezpieczeństwo energetyczne i rozwój OZE. Ich funkcjonowanie jest jednak utrudnione przez bariery prawne i administracyjne. Konieczna jest dogłębna analiza funkcjonowania spółdzielni energetycznych w</w:t>
      </w:r>
      <w:r w:rsidR="00FD4D6D">
        <w:rPr>
          <w:lang w:eastAsia="pl-PL"/>
        </w:rPr>
        <w:t> </w:t>
      </w:r>
      <w:r w:rsidRPr="0096716D">
        <w:rPr>
          <w:lang w:eastAsia="pl-PL"/>
        </w:rPr>
        <w:t>celu identyfikacji wszystkich istniejących barier oraz określenie sposobów ich eliminacji lub ograniczenia.</w:t>
      </w:r>
      <w:r w:rsidR="003E2DE5">
        <w:rPr>
          <w:rFonts w:eastAsia="Times New Roman" w:cs="Times New Roman"/>
          <w:lang w:eastAsia="pl-PL"/>
        </w:rPr>
        <w:t xml:space="preserve"> </w:t>
      </w:r>
    </w:p>
    <w:p w14:paraId="7514A574" w14:textId="265D41B3" w:rsidR="00491705" w:rsidRPr="0096716D" w:rsidRDefault="00491705" w:rsidP="005B5CEC">
      <w:pPr>
        <w:rPr>
          <w:rFonts w:ascii="Times New Roman" w:hAnsi="Times New Roman"/>
          <w:sz w:val="24"/>
          <w:szCs w:val="24"/>
          <w:lang w:eastAsia="pl-PL"/>
        </w:rPr>
      </w:pPr>
      <w:r w:rsidRPr="0096716D">
        <w:rPr>
          <w:lang w:eastAsia="pl-PL"/>
        </w:rPr>
        <w:t>Dużym ograniczaniem jest obowiązek organizowania corocznych przetargów na zakup energii przez samorządy, nawet gdy posiadają własną spółdzielnię energetyczną. Rozważenia wymaga możliwość zakupu energii bez konieczności przetargów, co mogłoby zapewnić stabilność finansową samorządu i</w:t>
      </w:r>
      <w:r w:rsidR="00FD4D6D">
        <w:rPr>
          <w:lang w:eastAsia="pl-PL"/>
        </w:rPr>
        <w:t> </w:t>
      </w:r>
      <w:r w:rsidRPr="0096716D">
        <w:rPr>
          <w:lang w:eastAsia="pl-PL"/>
        </w:rPr>
        <w:t>spółdzielni. Kolejnym problemem są niejednoznaczne zasady włączania osób fizycznych do spółdzielni, co może prowadzić do przejęcia kontroli przez niewielką grupę osób, ze względu na zasadę "jeden członek – jeden głos”.</w:t>
      </w:r>
      <w:r w:rsidR="003E2DE5">
        <w:rPr>
          <w:rFonts w:eastAsia="Times New Roman" w:cs="Times New Roman"/>
          <w:lang w:eastAsia="pl-PL"/>
        </w:rPr>
        <w:t xml:space="preserve"> </w:t>
      </w:r>
    </w:p>
    <w:p w14:paraId="341C3AEB" w14:textId="77777777" w:rsidR="00491705" w:rsidRPr="0096716D" w:rsidRDefault="00491705" w:rsidP="005B5CEC">
      <w:pPr>
        <w:rPr>
          <w:rFonts w:ascii="Times New Roman" w:hAnsi="Times New Roman"/>
          <w:sz w:val="24"/>
          <w:szCs w:val="24"/>
          <w:lang w:eastAsia="pl-PL"/>
        </w:rPr>
      </w:pPr>
      <w:r w:rsidRPr="0096716D">
        <w:rPr>
          <w:lang w:eastAsia="pl-PL"/>
        </w:rPr>
        <w:t>Istotnym problemem pozostaje utrudniony dostęp do danych licznikowych operatora, co komplikuje wystawianie faktur za energię. Sprawa ta wymaga uregulowania w celu usprawnienia rozliczeń w ramach spółdzielni.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7A76CF73" w14:textId="77777777" w:rsidTr="00D34981">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3A0D12E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131F4AB0" wp14:editId="3280EF58">
                  <wp:extent cx="622300" cy="622300"/>
                  <wp:effectExtent l="0" t="0" r="6350" b="6350"/>
                  <wp:docPr id="99"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299FC7C"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877E41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11FA19AA" w14:textId="77777777" w:rsidTr="00D3498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B016158"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F003C78"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71C96B9"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rozwoju regionalnego </w:t>
            </w:r>
          </w:p>
          <w:p w14:paraId="6ECEE37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Prezes URE </w:t>
            </w:r>
          </w:p>
        </w:tc>
      </w:tr>
    </w:tbl>
    <w:p w14:paraId="42B74DEC" w14:textId="7DD89E83"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76" w:name="_Toc195856538"/>
      <w:bookmarkStart w:id="977" w:name="_Ref195879207"/>
      <w:bookmarkStart w:id="978" w:name="_Ref195881367"/>
      <w:bookmarkStart w:id="979" w:name="_Ref195882280"/>
      <w:r>
        <w:t xml:space="preserve">Działanie </w:t>
      </w:r>
      <w:r>
        <w:fldChar w:fldCharType="begin"/>
      </w:r>
      <w:r>
        <w:instrText>SEQ Działanie \* ARABIC</w:instrText>
      </w:r>
      <w:r>
        <w:fldChar w:fldCharType="separate"/>
      </w:r>
      <w:r w:rsidR="00871DD5">
        <w:rPr>
          <w:noProof/>
        </w:rPr>
        <w:t>20</w:t>
      </w:r>
      <w:r>
        <w:fldChar w:fldCharType="end"/>
      </w:r>
      <w:r>
        <w:t xml:space="preserve">. </w:t>
      </w:r>
      <w:r>
        <w:rPr>
          <w:rFonts w:eastAsia="Times New Roman" w:cs="Times New Roman"/>
          <w:bCs/>
          <w:lang w:eastAsia="pl-PL"/>
        </w:rPr>
        <w:t>Rozwój k</w:t>
      </w:r>
      <w:r w:rsidRPr="0096716D">
        <w:rPr>
          <w:rFonts w:eastAsia="Times New Roman" w:cs="Times New Roman"/>
          <w:bCs/>
          <w:lang w:eastAsia="pl-PL"/>
        </w:rPr>
        <w:t>lastr</w:t>
      </w:r>
      <w:r>
        <w:rPr>
          <w:rFonts w:eastAsia="Times New Roman" w:cs="Times New Roman"/>
          <w:bCs/>
          <w:lang w:eastAsia="pl-PL"/>
        </w:rPr>
        <w:t>ów</w:t>
      </w:r>
      <w:r w:rsidRPr="0096716D">
        <w:rPr>
          <w:rFonts w:eastAsia="Times New Roman" w:cs="Times New Roman"/>
          <w:bCs/>
          <w:lang w:eastAsia="pl-PL"/>
        </w:rPr>
        <w:t xml:space="preserve"> energii</w:t>
      </w:r>
      <w:bookmarkEnd w:id="976"/>
      <w:bookmarkEnd w:id="977"/>
      <w:bookmarkEnd w:id="978"/>
      <w:bookmarkEnd w:id="979"/>
    </w:p>
    <w:p w14:paraId="0D35354C" w14:textId="4490BB87" w:rsidR="00491705" w:rsidRPr="006D28D1" w:rsidRDefault="00491705" w:rsidP="00AC4E33">
      <w:pPr>
        <w:rPr>
          <w:lang w:eastAsia="pl-PL"/>
        </w:rPr>
      </w:pPr>
      <w:r w:rsidRPr="006D28D1">
        <w:rPr>
          <w:lang w:eastAsia="pl-PL"/>
        </w:rPr>
        <w:t xml:space="preserve">Klastry energii stanowią platformę współpracy lokalnych podmiotów, w tym firm, instytucji edukacyjnych, mieszkańców, a także jednostek samorządu terytorialnego (JST). Ich wspólnym celem jest promowanie </w:t>
      </w:r>
      <w:r w:rsidRPr="006D28D1">
        <w:rPr>
          <w:lang w:eastAsia="pl-PL"/>
        </w:rPr>
        <w:lastRenderedPageBreak/>
        <w:t>i</w:t>
      </w:r>
      <w:r w:rsidR="009961B0">
        <w:rPr>
          <w:lang w:eastAsia="pl-PL"/>
        </w:rPr>
        <w:t> </w:t>
      </w:r>
      <w:r w:rsidRPr="006D28D1">
        <w:rPr>
          <w:lang w:eastAsia="pl-PL"/>
        </w:rPr>
        <w:t>rozwijanie czystej, lokalnej energii odnawialnej, zwiększanie samowystarczalności energetycznej regionów oraz obniżanie kosztów energii dla społeczności lokalnych.</w:t>
      </w:r>
    </w:p>
    <w:p w14:paraId="4D4A60ED" w14:textId="7F76F09F" w:rsidR="00491705" w:rsidRPr="006D28D1" w:rsidRDefault="00491705" w:rsidP="009B0F74">
      <w:pPr>
        <w:rPr>
          <w:lang w:eastAsia="pl-PL"/>
        </w:rPr>
      </w:pPr>
      <w:r w:rsidRPr="006D28D1">
        <w:rPr>
          <w:lang w:eastAsia="pl-PL"/>
        </w:rPr>
        <w:t>JST dzięki możliwości inicjowania i koordynowania działań energetycznych na poziomie lokalnym mają kluczowe znaczenie dla rozwoju klastrów energii. Jednakże, ich pełen potencjał w zakresie ich działalności w tych kooperatywach napotyka bariery prawne i administracyjne. Jedną z barier stanowią procedury zakupu i sprzedaży pomiędzy poszczególnymi członkami klastra energii, szczególnie w odniesieniu do jednostek samorządu terytorialnego. W ramach działania przeprowadzone zostaną analizy mając</w:t>
      </w:r>
      <w:r w:rsidR="001B249A">
        <w:rPr>
          <w:lang w:eastAsia="pl-PL"/>
        </w:rPr>
        <w:t>e</w:t>
      </w:r>
      <w:r w:rsidRPr="006D28D1">
        <w:rPr>
          <w:lang w:eastAsia="pl-PL"/>
        </w:rPr>
        <w:t xml:space="preserve"> na celu identyfikację możliwych do wprowadzenia rozwiązań prawnych, które uproszczą procesy zakupowe.</w:t>
      </w:r>
    </w:p>
    <w:p w14:paraId="39754668" w14:textId="77777777" w:rsidR="00491705" w:rsidRPr="006D28D1" w:rsidRDefault="00491705" w:rsidP="009B0F74">
      <w:pPr>
        <w:rPr>
          <w:lang w:eastAsia="pl-PL"/>
        </w:rPr>
      </w:pPr>
      <w:r w:rsidRPr="006D28D1">
        <w:rPr>
          <w:lang w:eastAsia="pl-PL"/>
        </w:rPr>
        <w:t>W ramach zaplanowanego działania przewidziano przeprowadzenie analiz dotyczących przyszłości mechanizmu wsparcia dla klastrów energii, w szczególności na poziomie legislacyjnym. Celem tych analiz będzie zidentyfikowanie instrumentów, które mogą zwiększyć efektywność, stabilność i skalę działania klastrów energii jako jeden z kluczowych elementów w rozwoju energetyki rozproszonej.</w:t>
      </w:r>
    </w:p>
    <w:p w14:paraId="631AC33E" w14:textId="77777777" w:rsidR="00491705" w:rsidRDefault="00491705" w:rsidP="004A3E2C">
      <w:pPr>
        <w:spacing w:after="240" w:line="240" w:lineRule="auto"/>
        <w:textAlignment w:val="baseline"/>
        <w:rPr>
          <w:rFonts w:eastAsia="Times New Roman" w:cs="Times New Roman"/>
          <w:lang w:eastAsia="pl-PL"/>
        </w:rPr>
      </w:pPr>
      <w:r w:rsidRPr="006D28D1">
        <w:rPr>
          <w:rFonts w:eastAsia="Times New Roman" w:cs="Times New Roman"/>
          <w:lang w:eastAsia="pl-PL"/>
        </w:rPr>
        <w:t>Prace związane z przepisami dotyczącymi klastrów energii powinny również obejmować tworzenie zachęt do ich aktywizacji na rynku energii jako podmioty mające realne możliwości do bilansowania i stabilizacji systemu elektroenergetycznego.</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AC4E33" w:rsidRPr="0096716D" w14:paraId="348E9D96"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CE9A762" w14:textId="77777777" w:rsidR="00AC4E33" w:rsidRPr="0096716D" w:rsidRDefault="00AC4E33">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1388490D" wp14:editId="6E672128">
                  <wp:extent cx="622300" cy="622300"/>
                  <wp:effectExtent l="0" t="0" r="6350" b="6350"/>
                  <wp:docPr id="749647776" name="Obraz 3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AC763A6" w14:textId="77777777" w:rsidR="00AC4E33" w:rsidRPr="0096716D" w:rsidRDefault="00AC4E33">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E469353" w14:textId="77777777" w:rsidR="00AC4E33" w:rsidRPr="0096716D" w:rsidRDefault="00AC4E33">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AC4E33" w:rsidRPr="0096716D" w14:paraId="5A9EA762"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E405370" w14:textId="77777777" w:rsidR="00AC4E33" w:rsidRPr="0096716D" w:rsidRDefault="00AC4E33">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4CDE89F" w14:textId="6D6D1BC2" w:rsidR="00AC4E33" w:rsidRPr="0096716D" w:rsidRDefault="00AC4E33">
            <w:pPr>
              <w:spacing w:after="0" w:line="240" w:lineRule="auto"/>
              <w:jc w:val="left"/>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xml:space="preserve">minister wł. ds. </w:t>
            </w:r>
            <w:r>
              <w:rPr>
                <w:rFonts w:eastAsia="Times New Roman" w:cs="Times New Roman"/>
                <w:color w:val="808080"/>
                <w:sz w:val="18"/>
                <w:szCs w:val="18"/>
                <w:lang w:eastAsia="pl-PL"/>
              </w:rPr>
              <w:t>klimatu</w:t>
            </w:r>
            <w:r w:rsidRPr="0096716D">
              <w:rPr>
                <w:rFonts w:eastAsia="Times New Roman" w:cs="Times New Roman"/>
                <w:color w:val="808080"/>
                <w:sz w:val="18"/>
                <w:szCs w:val="18"/>
                <w:lang w:eastAsia="pl-PL"/>
              </w:rPr>
              <w:t> </w:t>
            </w:r>
          </w:p>
          <w:p w14:paraId="4A61FC0B" w14:textId="77777777" w:rsidR="00AC4E33" w:rsidRPr="0096716D" w:rsidRDefault="00AC4E33">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C0F1B7F" w14:textId="1DF0BCA3" w:rsidR="00AC4E33" w:rsidRPr="0096716D" w:rsidRDefault="007E0534">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OSD</w:t>
            </w:r>
          </w:p>
        </w:tc>
      </w:tr>
    </w:tbl>
    <w:p w14:paraId="5BAECBF7" w14:textId="1AA95636"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980" w:name="_Toc195856539"/>
      <w:bookmarkStart w:id="981" w:name="_Ref195879214"/>
      <w:bookmarkStart w:id="982" w:name="_Ref195882290"/>
      <w:bookmarkStart w:id="983" w:name="_Ref195891839"/>
      <w:bookmarkStart w:id="984" w:name="_Ref195892383"/>
      <w:bookmarkStart w:id="985" w:name="_Ref197523309"/>
      <w:bookmarkStart w:id="986" w:name="_Ref198288545"/>
      <w:bookmarkStart w:id="987" w:name="_Ref200465547"/>
      <w:r>
        <w:t xml:space="preserve">Działanie </w:t>
      </w:r>
      <w:r>
        <w:fldChar w:fldCharType="begin"/>
      </w:r>
      <w:r>
        <w:instrText>SEQ Działanie \* ARABIC</w:instrText>
      </w:r>
      <w:r>
        <w:fldChar w:fldCharType="separate"/>
      </w:r>
      <w:r w:rsidR="00871DD5">
        <w:rPr>
          <w:noProof/>
        </w:rPr>
        <w:t>21</w:t>
      </w:r>
      <w:r>
        <w:fldChar w:fldCharType="end"/>
      </w:r>
      <w:r>
        <w:t xml:space="preserve">. </w:t>
      </w:r>
      <w:r w:rsidRPr="00E34034">
        <w:t>Wdrożenie energetyki jądrowej</w:t>
      </w:r>
      <w:bookmarkEnd w:id="980"/>
      <w:bookmarkEnd w:id="981"/>
      <w:bookmarkEnd w:id="982"/>
      <w:bookmarkEnd w:id="983"/>
      <w:bookmarkEnd w:id="984"/>
      <w:bookmarkEnd w:id="985"/>
      <w:bookmarkEnd w:id="986"/>
      <w:bookmarkEnd w:id="987"/>
      <w:r w:rsidRPr="0096716D">
        <w:rPr>
          <w:rFonts w:eastAsia="Times New Roman" w:cs="Times New Roman"/>
          <w:bCs/>
          <w:color w:val="000000"/>
          <w:lang w:eastAsia="pl-PL"/>
        </w:rPr>
        <w:t xml:space="preserve"> </w:t>
      </w:r>
    </w:p>
    <w:p w14:paraId="5BD3BBE3" w14:textId="77777777" w:rsidR="00491705" w:rsidRPr="0096716D" w:rsidRDefault="00491705" w:rsidP="009B0F74">
      <w:pPr>
        <w:rPr>
          <w:rFonts w:ascii="Times New Roman" w:hAnsi="Times New Roman"/>
          <w:sz w:val="24"/>
          <w:szCs w:val="24"/>
          <w:lang w:eastAsia="pl-PL"/>
        </w:rPr>
      </w:pPr>
      <w:r w:rsidRPr="0096716D">
        <w:rPr>
          <w:lang w:eastAsia="pl-PL"/>
        </w:rPr>
        <w:t xml:space="preserve">Działanie jest szczegółowo określone w </w:t>
      </w:r>
      <w:r w:rsidRPr="0096716D">
        <w:rPr>
          <w:i/>
          <w:iCs/>
          <w:lang w:eastAsia="pl-PL"/>
        </w:rPr>
        <w:t>Programie polskiej energetyki jądrowej</w:t>
      </w:r>
      <w:r w:rsidRPr="0096716D">
        <w:rPr>
          <w:lang w:eastAsia="pl-PL"/>
        </w:rPr>
        <w:t xml:space="preserve"> (PPEJ) i zakłada budowę oraz oddanie do eksploatacji dwóch elektrowni jądrowych o łącznej mocy zainstalowanej od ok. 6 do ok. 9 GW</w:t>
      </w:r>
      <w:r w:rsidRPr="009B0F74">
        <w:rPr>
          <w:vertAlign w:val="subscript"/>
        </w:rPr>
        <w:t>e</w:t>
      </w:r>
      <w:r w:rsidRPr="0096716D">
        <w:rPr>
          <w:lang w:eastAsia="pl-PL"/>
        </w:rPr>
        <w:t xml:space="preserve"> w oparciu o sprawdzone, wielkoskalowe reaktory jądrowe generacji III(+) oraz stworzenie warunków do dalszego rozwoju energetyki jądrowej. </w:t>
      </w:r>
    </w:p>
    <w:p w14:paraId="64DBE8A7" w14:textId="6312257E" w:rsidR="00491705" w:rsidRPr="0096716D" w:rsidRDefault="00491705" w:rsidP="009B0F74">
      <w:pPr>
        <w:rPr>
          <w:rFonts w:ascii="Times New Roman" w:hAnsi="Times New Roman"/>
          <w:sz w:val="24"/>
          <w:szCs w:val="24"/>
          <w:lang w:eastAsia="pl-PL"/>
        </w:rPr>
      </w:pPr>
      <w:r w:rsidRPr="0096716D">
        <w:rPr>
          <w:lang w:eastAsia="pl-PL"/>
        </w:rPr>
        <w:t xml:space="preserve">W dalszym rozwoju energetyki jądrowej można uwzględnić </w:t>
      </w:r>
      <w:r w:rsidR="001F15F3">
        <w:rPr>
          <w:lang w:eastAsia="pl-PL"/>
        </w:rPr>
        <w:t xml:space="preserve">m.in. </w:t>
      </w:r>
      <w:r w:rsidRPr="0096716D">
        <w:rPr>
          <w:lang w:eastAsia="pl-PL"/>
        </w:rPr>
        <w:t>stopniową komercjalizację nowych modeli reaktorów jądrowych, w tym pierwszych modeli należących do kategorii tzw. małych reaktorów modułowych (SMR</w:t>
      </w:r>
      <w:r w:rsidR="00D34981">
        <w:rPr>
          <w:lang w:eastAsia="pl-PL"/>
        </w:rPr>
        <w:t xml:space="preserve">, ang. </w:t>
      </w:r>
      <w:r w:rsidRPr="00901FEA">
        <w:rPr>
          <w:i/>
        </w:rPr>
        <w:t>Small Modular Reactors</w:t>
      </w:r>
      <w:r w:rsidRPr="0096716D">
        <w:rPr>
          <w:lang w:eastAsia="pl-PL"/>
        </w:rPr>
        <w:t>). Tworzenie warunków dla wdrażania nowych technologii reaktorowych powinno odbywać się przy zachowaniu zasady neutralności technologicznej oraz zachowania najwyższych standardów bezpieczeństwa jądrowego. </w:t>
      </w:r>
    </w:p>
    <w:p w14:paraId="3A924F35" w14:textId="17692F98" w:rsidR="00491705" w:rsidRPr="0020429D" w:rsidRDefault="00491705" w:rsidP="009B0F74">
      <w:pPr>
        <w:rPr>
          <w:rFonts w:ascii="Times New Roman" w:hAnsi="Times New Roman"/>
          <w:sz w:val="24"/>
          <w:szCs w:val="24"/>
          <w:lang w:eastAsia="pl-PL"/>
        </w:rPr>
      </w:pPr>
      <w:r w:rsidRPr="0096716D">
        <w:rPr>
          <w:lang w:eastAsia="pl-PL"/>
        </w:rPr>
        <w:t>Skuteczne wdrożenie energetyki jądrowej wymaga również prowadzenia szeregu działań towarzyszących. W szczególności realizowane będą działania związane z budową kadr i kompetencji dla programu jądrowego u wszystkich interesariuszy programu, prowadzenie prac badawczo-rozwojowych w</w:t>
      </w:r>
      <w:r w:rsidR="0020429D">
        <w:rPr>
          <w:lang w:eastAsia="pl-PL"/>
        </w:rPr>
        <w:t> </w:t>
      </w:r>
      <w:r w:rsidRPr="0096716D">
        <w:rPr>
          <w:lang w:eastAsia="pl-PL"/>
        </w:rPr>
        <w:t>zakresie technologii energetyki jądrowej (ze szczególnym uwzględnieniem niezbędnej multidyscyplinarności prac badawczych), zapewnienie właściwego zagospodarowania odpadów promieniotwórczych (zarówno z energetyki jądrowej, jak i innej działalności wykorzystującej źródła promieniotwórcze), budowanie świadomości i komunikacja społeczna, a także regularny przegląd i</w:t>
      </w:r>
      <w:r w:rsidR="0020429D">
        <w:rPr>
          <w:lang w:eastAsia="pl-PL"/>
        </w:rPr>
        <w:t> </w:t>
      </w:r>
      <w:r w:rsidRPr="0096716D">
        <w:rPr>
          <w:lang w:eastAsia="pl-PL"/>
        </w:rPr>
        <w:t>aktualizacja niezbędnych regulacji. Działania te są szczegółowo określone w PPEJ.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6A356D50" w14:textId="77777777" w:rsidTr="0020429D">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9F58823"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45A5763F" wp14:editId="77B62B6C">
                  <wp:extent cx="622300" cy="622300"/>
                  <wp:effectExtent l="0" t="0" r="6350" b="6350"/>
                  <wp:docPr id="107" name="Obraz 3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B745F0F"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A6FB31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86124" w14:paraId="2B31DD56" w14:textId="77777777" w:rsidTr="0020429D">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EAF839C"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E58C094" w14:textId="77777777" w:rsidR="00491705" w:rsidRPr="0096716D" w:rsidRDefault="00491705">
            <w:pPr>
              <w:spacing w:after="0" w:line="240" w:lineRule="auto"/>
              <w:jc w:val="left"/>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gospodarki surowcami energetycznymi </w:t>
            </w:r>
          </w:p>
          <w:p w14:paraId="3DE0BD7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63FE85C" w14:textId="70058564" w:rsidR="0086463E" w:rsidRPr="00986124" w:rsidRDefault="00491705">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energii</w:t>
            </w:r>
          </w:p>
          <w:p w14:paraId="71D24870" w14:textId="5693A04C" w:rsidR="00491705" w:rsidRPr="00986124" w:rsidRDefault="00491705">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 xml:space="preserve">minister wł. ds. </w:t>
            </w:r>
            <w:r w:rsidR="00395401" w:rsidRPr="00986124">
              <w:rPr>
                <w:rFonts w:eastAsia="Times New Roman" w:cs="Times New Roman"/>
                <w:color w:val="808080"/>
                <w:sz w:val="18"/>
                <w:szCs w:val="18"/>
                <w:lang w:val="de-DE" w:eastAsia="pl-PL"/>
              </w:rPr>
              <w:t>klimatu</w:t>
            </w:r>
          </w:p>
        </w:tc>
      </w:tr>
    </w:tbl>
    <w:p w14:paraId="5F3ACE2B" w14:textId="41C879D2" w:rsidR="00491705" w:rsidRPr="0096716D" w:rsidRDefault="00491705" w:rsidP="0007577B">
      <w:pPr>
        <w:pStyle w:val="Nagwek6"/>
        <w:rPr>
          <w:rFonts w:ascii="Times New Roman" w:eastAsia="Times New Roman" w:hAnsi="Times New Roman" w:cs="Times New Roman"/>
          <w:i/>
          <w:iCs/>
          <w:color w:val="595959"/>
          <w:sz w:val="24"/>
          <w:szCs w:val="24"/>
          <w:lang w:eastAsia="pl-PL"/>
        </w:rPr>
      </w:pPr>
      <w:bookmarkStart w:id="988" w:name="_Toc195856540"/>
      <w:bookmarkStart w:id="989" w:name="_Ref195879220"/>
      <w:bookmarkStart w:id="990" w:name="_Ref195882298"/>
      <w:r>
        <w:lastRenderedPageBreak/>
        <w:t xml:space="preserve">Działanie </w:t>
      </w:r>
      <w:r>
        <w:fldChar w:fldCharType="begin"/>
      </w:r>
      <w:r>
        <w:instrText>SEQ Działanie \* ARABIC</w:instrText>
      </w:r>
      <w:r>
        <w:fldChar w:fldCharType="separate"/>
      </w:r>
      <w:r w:rsidR="00871DD5">
        <w:rPr>
          <w:noProof/>
        </w:rPr>
        <w:t>22</w:t>
      </w:r>
      <w:r>
        <w:fldChar w:fldCharType="end"/>
      </w:r>
      <w:r>
        <w:t xml:space="preserve">. </w:t>
      </w:r>
      <w:r w:rsidRPr="00D211F4">
        <w:t>Instrument finansowy – Program NFOŚiGW „Elektroenergetyka – Inteligentna infrastruktura energetyczna”</w:t>
      </w:r>
      <w:bookmarkEnd w:id="988"/>
      <w:bookmarkEnd w:id="989"/>
      <w:bookmarkEnd w:id="990"/>
      <w:r w:rsidRPr="0096716D">
        <w:rPr>
          <w:rFonts w:eastAsia="Times New Roman" w:cs="Times New Roman"/>
          <w:bCs/>
          <w:color w:val="000000"/>
          <w:lang w:eastAsia="pl-PL"/>
        </w:rPr>
        <w:t xml:space="preserve"> </w:t>
      </w:r>
    </w:p>
    <w:p w14:paraId="2F22C1F0" w14:textId="3F129060" w:rsidR="00491705" w:rsidRPr="0020429D" w:rsidRDefault="00491705" w:rsidP="0020429D">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Działanie obejmuje rozwój infrastruktury pozwalającej na komunikację wszystkich stron procesu dystrybucji energii elektrycznej poprzez instalację liczników zdalnego odczytu (</w:t>
      </w:r>
      <w:r w:rsidR="00042183">
        <w:rPr>
          <w:rFonts w:eastAsia="Times New Roman" w:cs="Times New Roman"/>
          <w:lang w:eastAsia="pl-PL"/>
        </w:rPr>
        <w:t xml:space="preserve">LZO, </w:t>
      </w:r>
      <w:r w:rsidRPr="0096716D">
        <w:rPr>
          <w:rFonts w:eastAsia="Times New Roman" w:cs="Times New Roman"/>
          <w:lang w:eastAsia="pl-PL"/>
        </w:rPr>
        <w:t>tzw. liczników inteligentnych) wraz z infrastrukturą informatyczno-zarządczą</w:t>
      </w:r>
      <w:r w:rsidR="000B417C" w:rsidRPr="000B417C">
        <w:rPr>
          <w:rFonts w:eastAsia="Times New Roman" w:cs="Times New Roman"/>
          <w:lang w:eastAsia="pl-PL"/>
        </w:rPr>
        <w:t xml:space="preserve"> </w:t>
      </w:r>
      <w:r w:rsidR="000B417C" w:rsidRPr="0096716D">
        <w:rPr>
          <w:rFonts w:eastAsia="Times New Roman" w:cs="Times New Roman"/>
          <w:lang w:eastAsia="pl-PL"/>
        </w:rPr>
        <w:t>u odbiorców końcowych</w:t>
      </w:r>
      <w:r w:rsidR="00980AAB">
        <w:rPr>
          <w:rFonts w:eastAsia="Times New Roman" w:cs="Times New Roman"/>
          <w:lang w:eastAsia="pl-PL"/>
        </w:rPr>
        <w:t>.</w:t>
      </w:r>
      <w:r w:rsidRPr="0096716D">
        <w:rPr>
          <w:rFonts w:eastAsia="Times New Roman" w:cs="Times New Roman"/>
          <w:lang w:eastAsia="pl-PL"/>
        </w:rPr>
        <w:t xml:space="preserve"> </w:t>
      </w:r>
      <w:r w:rsidR="000B417C">
        <w:rPr>
          <w:rFonts w:eastAsia="Times New Roman" w:cs="Times New Roman"/>
          <w:lang w:eastAsia="pl-PL"/>
        </w:rPr>
        <w:t xml:space="preserve">To rozwiązanie </w:t>
      </w:r>
      <w:r w:rsidR="001D72D0">
        <w:rPr>
          <w:rFonts w:eastAsia="Times New Roman" w:cs="Times New Roman"/>
          <w:lang w:eastAsia="pl-PL"/>
        </w:rPr>
        <w:t>ma powinno się przyczynić do optymalizacji</w:t>
      </w:r>
      <w:r w:rsidR="001D72D0" w:rsidRPr="0096716D">
        <w:rPr>
          <w:rFonts w:eastAsia="Times New Roman" w:cs="Times New Roman"/>
          <w:lang w:eastAsia="pl-PL"/>
        </w:rPr>
        <w:t xml:space="preserve"> </w:t>
      </w:r>
      <w:r w:rsidRPr="0096716D">
        <w:rPr>
          <w:rFonts w:eastAsia="Times New Roman" w:cs="Times New Roman"/>
          <w:lang w:eastAsia="pl-PL"/>
        </w:rPr>
        <w:t xml:space="preserve">pracy sieci, </w:t>
      </w:r>
      <w:r w:rsidR="00BC61E7" w:rsidRPr="0096716D">
        <w:rPr>
          <w:rFonts w:eastAsia="Times New Roman" w:cs="Times New Roman"/>
          <w:lang w:eastAsia="pl-PL"/>
        </w:rPr>
        <w:t>szybsz</w:t>
      </w:r>
      <w:r w:rsidR="00BC61E7">
        <w:rPr>
          <w:rFonts w:eastAsia="Times New Roman" w:cs="Times New Roman"/>
          <w:lang w:eastAsia="pl-PL"/>
        </w:rPr>
        <w:t>ej</w:t>
      </w:r>
      <w:r w:rsidR="00BC61E7" w:rsidRPr="0096716D">
        <w:rPr>
          <w:rFonts w:eastAsia="Times New Roman" w:cs="Times New Roman"/>
          <w:lang w:eastAsia="pl-PL"/>
        </w:rPr>
        <w:t xml:space="preserve"> obsług</w:t>
      </w:r>
      <w:r w:rsidR="00BC61E7">
        <w:rPr>
          <w:rFonts w:eastAsia="Times New Roman" w:cs="Times New Roman"/>
          <w:lang w:eastAsia="pl-PL"/>
        </w:rPr>
        <w:t>i</w:t>
      </w:r>
      <w:r w:rsidRPr="0096716D">
        <w:rPr>
          <w:rFonts w:eastAsia="Times New Roman" w:cs="Times New Roman"/>
          <w:lang w:eastAsia="pl-PL"/>
        </w:rPr>
        <w:t xml:space="preserve"> procesów rynku energii elektrycznej i umożliwieni</w:t>
      </w:r>
      <w:r w:rsidR="001D72D0">
        <w:rPr>
          <w:rFonts w:eastAsia="Times New Roman" w:cs="Times New Roman"/>
          <w:lang w:eastAsia="pl-PL"/>
        </w:rPr>
        <w:t>a</w:t>
      </w:r>
      <w:r w:rsidRPr="0096716D">
        <w:rPr>
          <w:rFonts w:eastAsia="Times New Roman" w:cs="Times New Roman"/>
          <w:lang w:eastAsia="pl-PL"/>
        </w:rPr>
        <w:t xml:space="preserve"> wdrażania mechanizmów DSR (ang. </w:t>
      </w:r>
      <w:r w:rsidRPr="00BC61E7">
        <w:rPr>
          <w:i/>
        </w:rPr>
        <w:t>Demand Side Response</w:t>
      </w:r>
      <w:r w:rsidRPr="0096716D">
        <w:rPr>
          <w:rFonts w:eastAsia="Times New Roman" w:cs="Times New Roman"/>
          <w:lang w:eastAsia="pl-PL"/>
        </w:rPr>
        <w:t>). Działanie ma na celu rozwój infrastruktury energetycznej, ze szczególnym uwzględnieniem jej cyfryzacji. Kluczowym elementem jest nie tylko zdalny odczyt zużycia energii, ale także wdrożenie na poziomie lokalnym mechanizmów elastyczności adresujących w czasie rzeczywistym lub zbliżonym do rzeczywistego problem negatywnych skutków stosowania ograniczeń z powodów sieciowych. Program ma za zadanie zapewnić wsparcie finansowe dla realizacji ustawowego harmonogramu instalacji liczników zdalnego odczytu u min. 80% odbiorców końcowych w 2028 r.</w:t>
      </w:r>
      <w:r w:rsidR="00974007">
        <w:rPr>
          <w:rFonts w:eastAsia="Times New Roman" w:cs="Times New Roman"/>
          <w:lang w:eastAsia="pl-PL"/>
        </w:rPr>
        <w:t xml:space="preserve">  </w:t>
      </w:r>
    </w:p>
    <w:p w14:paraId="6376E03D" w14:textId="77777777" w:rsidR="00491705" w:rsidRPr="0096716D" w:rsidRDefault="00491705" w:rsidP="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56F6A784" w14:textId="77777777" w:rsidTr="0020429D">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62856C02"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22ACB497" wp14:editId="5698BD20">
                  <wp:extent cx="622300" cy="622300"/>
                  <wp:effectExtent l="0" t="0" r="6350" b="6350"/>
                  <wp:docPr id="51" name="Obraz 1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38D7F7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660B46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5B416376" w14:textId="77777777" w:rsidTr="0020429D">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F855EB3"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A8EDA82" w14:textId="2C28319A"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xml:space="preserve">minister wł. ds. </w:t>
            </w:r>
            <w:r w:rsidR="00395401">
              <w:rPr>
                <w:rFonts w:eastAsia="Times New Roman" w:cs="Times New Roman"/>
                <w:color w:val="808080"/>
                <w:sz w:val="18"/>
                <w:szCs w:val="18"/>
                <w:lang w:eastAsia="pl-PL"/>
              </w:rPr>
              <w:t>energii</w:t>
            </w:r>
            <w:r w:rsidRPr="0096716D">
              <w:rPr>
                <w:rFonts w:eastAsia="Times New Roman" w:cs="Times New Roman"/>
                <w:color w:val="808080"/>
                <w:sz w:val="18"/>
                <w:szCs w:val="18"/>
                <w:lang w:eastAsia="pl-PL"/>
              </w:rPr>
              <w:t> </w:t>
            </w:r>
          </w:p>
          <w:p w14:paraId="6561932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B563406" w14:textId="2154A1A5"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cyfryzacji</w:t>
            </w:r>
            <w:r w:rsidR="003E2DE5">
              <w:rPr>
                <w:rFonts w:eastAsia="Times New Roman" w:cs="Times New Roman"/>
                <w:color w:val="808080"/>
                <w:sz w:val="18"/>
                <w:szCs w:val="18"/>
                <w:lang w:eastAsia="pl-PL"/>
              </w:rPr>
              <w:t xml:space="preserve"> </w:t>
            </w:r>
          </w:p>
          <w:p w14:paraId="6516BE9E" w14:textId="1D03B9D0"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xml:space="preserve">minister wł. ds. </w:t>
            </w:r>
            <w:r w:rsidR="00395401">
              <w:rPr>
                <w:rFonts w:eastAsia="Times New Roman" w:cs="Times New Roman"/>
                <w:color w:val="808080"/>
                <w:sz w:val="18"/>
                <w:szCs w:val="18"/>
                <w:lang w:eastAsia="pl-PL"/>
              </w:rPr>
              <w:t>klimatu</w:t>
            </w:r>
          </w:p>
          <w:p w14:paraId="349B97B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NFOŚiGW </w:t>
            </w:r>
          </w:p>
          <w:p w14:paraId="50189CB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r>
    </w:tbl>
    <w:p w14:paraId="7691822D" w14:textId="76BEA7F0" w:rsidR="00491705" w:rsidRPr="0096716D" w:rsidRDefault="00491705" w:rsidP="00D523F3">
      <w:pPr>
        <w:pStyle w:val="Nagwek6"/>
        <w:rPr>
          <w:rFonts w:eastAsia="Times New Roman" w:cs="Times New Roman"/>
          <w:bCs/>
          <w:color w:val="000000"/>
          <w:lang w:eastAsia="pl-PL"/>
        </w:rPr>
      </w:pPr>
      <w:bookmarkStart w:id="991" w:name="_Toc195856541"/>
      <w:bookmarkStart w:id="992" w:name="_Ref195879230"/>
      <w:bookmarkStart w:id="993" w:name="_Ref195880406"/>
      <w:bookmarkStart w:id="994" w:name="_Ref195882314"/>
      <w:bookmarkStart w:id="995" w:name="_Ref195892891"/>
      <w:bookmarkStart w:id="996" w:name="_Ref195893718"/>
      <w:bookmarkStart w:id="997" w:name="_Ref195893839"/>
      <w:bookmarkStart w:id="998" w:name="_Ref197949397"/>
      <w:r>
        <w:t xml:space="preserve">Działanie </w:t>
      </w:r>
      <w:r>
        <w:fldChar w:fldCharType="begin"/>
      </w:r>
      <w:r>
        <w:instrText>SEQ Działanie \* ARABIC</w:instrText>
      </w:r>
      <w:r>
        <w:fldChar w:fldCharType="separate"/>
      </w:r>
      <w:r w:rsidR="00871DD5">
        <w:rPr>
          <w:noProof/>
        </w:rPr>
        <w:t>23</w:t>
      </w:r>
      <w:r>
        <w:fldChar w:fldCharType="end"/>
      </w:r>
      <w:r>
        <w:t xml:space="preserve">. </w:t>
      </w:r>
      <w:r w:rsidRPr="002259C9">
        <w:t xml:space="preserve">Działania w zakresie zwiększenia elastyczności systemu </w:t>
      </w:r>
      <w:r w:rsidR="00F92633">
        <w:t>elektro</w:t>
      </w:r>
      <w:r w:rsidRPr="002259C9">
        <w:t>energetycznego w</w:t>
      </w:r>
      <w:r w:rsidR="0020429D">
        <w:t xml:space="preserve"> </w:t>
      </w:r>
      <w:r w:rsidRPr="002259C9">
        <w:t xml:space="preserve">odniesieniu do wytwarzania energii </w:t>
      </w:r>
      <w:r w:rsidR="0020429D">
        <w:t>z OZE</w:t>
      </w:r>
      <w:r w:rsidRPr="002259C9">
        <w:t xml:space="preserve"> i dostosowania się do przewidywanych zmian KSE</w:t>
      </w:r>
      <w:bookmarkEnd w:id="991"/>
      <w:bookmarkEnd w:id="992"/>
      <w:bookmarkEnd w:id="993"/>
      <w:bookmarkEnd w:id="994"/>
      <w:bookmarkEnd w:id="995"/>
      <w:bookmarkEnd w:id="996"/>
      <w:bookmarkEnd w:id="997"/>
      <w:bookmarkEnd w:id="998"/>
    </w:p>
    <w:p w14:paraId="473BF028" w14:textId="11742274" w:rsidR="00491705" w:rsidRPr="0096716D" w:rsidRDefault="003B7676" w:rsidP="00417C5E">
      <w:pPr>
        <w:rPr>
          <w:rFonts w:ascii="Times New Roman" w:hAnsi="Times New Roman"/>
          <w:sz w:val="24"/>
          <w:szCs w:val="24"/>
          <w:lang w:eastAsia="pl-PL"/>
        </w:rPr>
      </w:pPr>
      <w:r>
        <w:rPr>
          <w:lang w:eastAsia="pl-PL"/>
        </w:rPr>
        <w:t xml:space="preserve">Działanie polega na zapewnieniu </w:t>
      </w:r>
      <w:r w:rsidR="00491705" w:rsidRPr="0096716D">
        <w:rPr>
          <w:lang w:eastAsia="pl-PL"/>
        </w:rPr>
        <w:t>odpowiednich rozwiązań prawnych oraz opracowani</w:t>
      </w:r>
      <w:r>
        <w:rPr>
          <w:lang w:eastAsia="pl-PL"/>
        </w:rPr>
        <w:t>u</w:t>
      </w:r>
      <w:r w:rsidR="00491705" w:rsidRPr="0096716D">
        <w:rPr>
          <w:lang w:eastAsia="pl-PL"/>
        </w:rPr>
        <w:t xml:space="preserve"> koncepcji mechanizmów rynkowej integracji OZE w związku z wyzwaniami rosnącej produkcji i mocy zainstalowanej w KSE, w tym </w:t>
      </w:r>
      <w:r w:rsidR="00DE7459" w:rsidRPr="0096716D">
        <w:rPr>
          <w:lang w:eastAsia="pl-PL"/>
        </w:rPr>
        <w:t>usług rynkow</w:t>
      </w:r>
      <w:r w:rsidR="00DE7459">
        <w:rPr>
          <w:lang w:eastAsia="pl-PL"/>
        </w:rPr>
        <w:t>ych</w:t>
      </w:r>
      <w:r w:rsidR="00DE7459" w:rsidRPr="0096716D">
        <w:rPr>
          <w:lang w:eastAsia="pl-PL"/>
        </w:rPr>
        <w:t xml:space="preserve"> świadczon</w:t>
      </w:r>
      <w:r w:rsidR="00DE7459">
        <w:rPr>
          <w:lang w:eastAsia="pl-PL"/>
        </w:rPr>
        <w:t>ych</w:t>
      </w:r>
      <w:r w:rsidR="00DE7459" w:rsidRPr="0096716D">
        <w:rPr>
          <w:lang w:eastAsia="pl-PL"/>
        </w:rPr>
        <w:t xml:space="preserve"> </w:t>
      </w:r>
      <w:r w:rsidR="00491705" w:rsidRPr="0096716D">
        <w:rPr>
          <w:lang w:eastAsia="pl-PL"/>
        </w:rPr>
        <w:t xml:space="preserve">przez OZE, </w:t>
      </w:r>
      <w:r w:rsidR="00DE7459" w:rsidRPr="0096716D">
        <w:rPr>
          <w:lang w:eastAsia="pl-PL"/>
        </w:rPr>
        <w:t>uwzględni</w:t>
      </w:r>
      <w:r w:rsidR="00DE7459">
        <w:rPr>
          <w:lang w:eastAsia="pl-PL"/>
        </w:rPr>
        <w:t>a</w:t>
      </w:r>
      <w:r w:rsidR="00DE7459" w:rsidRPr="0096716D">
        <w:rPr>
          <w:lang w:eastAsia="pl-PL"/>
        </w:rPr>
        <w:t>ni</w:t>
      </w:r>
      <w:r w:rsidR="00DE7459">
        <w:rPr>
          <w:lang w:eastAsia="pl-PL"/>
        </w:rPr>
        <w:t>u</w:t>
      </w:r>
      <w:r w:rsidR="00491705" w:rsidRPr="0096716D">
        <w:rPr>
          <w:lang w:eastAsia="pl-PL"/>
        </w:rPr>
        <w:t xml:space="preserve"> lokalizacji OZE w sieci, </w:t>
      </w:r>
      <w:r w:rsidR="0052510E" w:rsidRPr="0096716D">
        <w:rPr>
          <w:lang w:eastAsia="pl-PL"/>
        </w:rPr>
        <w:t>współprac</w:t>
      </w:r>
      <w:r w:rsidR="0052510E">
        <w:rPr>
          <w:lang w:eastAsia="pl-PL"/>
        </w:rPr>
        <w:t>y</w:t>
      </w:r>
      <w:r w:rsidR="0052510E" w:rsidRPr="0096716D">
        <w:rPr>
          <w:lang w:eastAsia="pl-PL"/>
        </w:rPr>
        <w:t xml:space="preserve"> </w:t>
      </w:r>
      <w:r w:rsidR="00491705" w:rsidRPr="0096716D">
        <w:rPr>
          <w:lang w:eastAsia="pl-PL"/>
        </w:rPr>
        <w:t xml:space="preserve">OZE z magazynami oraz </w:t>
      </w:r>
      <w:r w:rsidR="0052510E" w:rsidRPr="0096716D">
        <w:rPr>
          <w:lang w:eastAsia="pl-PL"/>
        </w:rPr>
        <w:t>usług wpływając</w:t>
      </w:r>
      <w:r w:rsidR="0052510E">
        <w:rPr>
          <w:lang w:eastAsia="pl-PL"/>
        </w:rPr>
        <w:t>ych</w:t>
      </w:r>
      <w:r w:rsidR="0052510E" w:rsidRPr="0096716D">
        <w:rPr>
          <w:lang w:eastAsia="pl-PL"/>
        </w:rPr>
        <w:t xml:space="preserve"> </w:t>
      </w:r>
      <w:r w:rsidR="00491705" w:rsidRPr="0096716D">
        <w:rPr>
          <w:lang w:eastAsia="pl-PL"/>
        </w:rPr>
        <w:t>na bilansowanie systemu elektroenergetycznego i warunki funkcjonowania sieci elektroenergetycznej.</w:t>
      </w:r>
      <w:r w:rsidR="003E2DE5">
        <w:rPr>
          <w:rFonts w:eastAsia="Times New Roman" w:cs="Times New Roman"/>
          <w:lang w:eastAsia="pl-PL"/>
        </w:rPr>
        <w:t xml:space="preserve"> </w:t>
      </w:r>
    </w:p>
    <w:p w14:paraId="7DD258B2" w14:textId="04FDFD6A" w:rsidR="00491705" w:rsidRPr="00FC34F4" w:rsidRDefault="007E52B3" w:rsidP="00417C5E">
      <w:pPr>
        <w:rPr>
          <w:rFonts w:ascii="Times New Roman" w:hAnsi="Times New Roman"/>
          <w:sz w:val="24"/>
        </w:rPr>
      </w:pPr>
      <w:bookmarkStart w:id="999" w:name="_Ref195880351"/>
      <w:r>
        <w:rPr>
          <w:lang w:eastAsia="pl-PL"/>
        </w:rPr>
        <w:t xml:space="preserve">W ramach </w:t>
      </w:r>
      <w:r w:rsidR="007D6F06">
        <w:rPr>
          <w:lang w:eastAsia="pl-PL"/>
        </w:rPr>
        <w:t>realizacji działania powinny zostać</w:t>
      </w:r>
      <w:r w:rsidR="00491705" w:rsidRPr="0096716D">
        <w:rPr>
          <w:lang w:eastAsia="pl-PL"/>
        </w:rPr>
        <w:t xml:space="preserve"> opracowane zasad</w:t>
      </w:r>
      <w:r w:rsidR="007D6F06">
        <w:rPr>
          <w:lang w:eastAsia="pl-PL"/>
        </w:rPr>
        <w:t>y</w:t>
      </w:r>
      <w:r w:rsidR="00491705" w:rsidRPr="0096716D">
        <w:rPr>
          <w:lang w:eastAsia="pl-PL"/>
        </w:rPr>
        <w:t xml:space="preserve"> zarz</w:t>
      </w:r>
      <w:r w:rsidR="00B34B2E">
        <w:rPr>
          <w:lang w:eastAsia="pl-PL"/>
        </w:rPr>
        <w:t>ą</w:t>
      </w:r>
      <w:r w:rsidR="00491705" w:rsidRPr="0096716D">
        <w:rPr>
          <w:lang w:eastAsia="pl-PL"/>
        </w:rPr>
        <w:t>dzania danymi, w tym pomiędzy dostawcami usług, operatorami systemu i odbiorcami usług</w:t>
      </w:r>
      <w:r w:rsidR="00724B02">
        <w:rPr>
          <w:lang w:eastAsia="pl-PL"/>
        </w:rPr>
        <w:t>. W</w:t>
      </w:r>
      <w:r w:rsidR="00491705" w:rsidRPr="0096716D">
        <w:rPr>
          <w:lang w:eastAsia="pl-PL"/>
        </w:rPr>
        <w:t xml:space="preserve"> przypadku</w:t>
      </w:r>
      <w:r w:rsidR="00724B02">
        <w:rPr>
          <w:lang w:eastAsia="pl-PL"/>
        </w:rPr>
        <w:t>,</w:t>
      </w:r>
      <w:r w:rsidR="00491705" w:rsidRPr="0096716D">
        <w:rPr>
          <w:lang w:eastAsia="pl-PL"/>
        </w:rPr>
        <w:t xml:space="preserve"> gdy to możliwe </w:t>
      </w:r>
      <w:r w:rsidR="005B184B">
        <w:rPr>
          <w:lang w:eastAsia="pl-PL"/>
        </w:rPr>
        <w:t xml:space="preserve">zasadne jest </w:t>
      </w:r>
      <w:r w:rsidR="00491705" w:rsidRPr="0096716D">
        <w:rPr>
          <w:lang w:eastAsia="pl-PL"/>
        </w:rPr>
        <w:t>zapewnienie dostępu do informacji o obciążeniu (profile ruchowe tzn. rzeczywiste zagregowane profile zapotrzebowania i</w:t>
      </w:r>
      <w:r w:rsidR="005B184B">
        <w:rPr>
          <w:lang w:eastAsia="pl-PL"/>
        </w:rPr>
        <w:t xml:space="preserve"> </w:t>
      </w:r>
      <w:r w:rsidR="00491705" w:rsidRPr="0096716D">
        <w:rPr>
          <w:lang w:eastAsia="pl-PL"/>
        </w:rPr>
        <w:t>produkcji) poszczególnych węzłów sieci oraz innych danych, umożliwiających optymalizację mocy i</w:t>
      </w:r>
      <w:r w:rsidR="0020429D">
        <w:rPr>
          <w:lang w:eastAsia="pl-PL"/>
        </w:rPr>
        <w:t> </w:t>
      </w:r>
      <w:r w:rsidR="00491705" w:rsidRPr="0096716D">
        <w:rPr>
          <w:lang w:eastAsia="pl-PL"/>
        </w:rPr>
        <w:t>rodzaju planowanych źródeł oraz lokalizacji dużych odbiorców energii elektrycznej już na etapie projektowania lub planowania inwestycji.</w:t>
      </w:r>
      <w:bookmarkEnd w:id="999"/>
      <w:r w:rsidR="003E2DE5">
        <w:rPr>
          <w:rFonts w:eastAsia="Times New Roman" w:cs="Times New Roman"/>
          <w:lang w:eastAsia="pl-PL"/>
        </w:rPr>
        <w:t xml:space="preserve"> </w:t>
      </w:r>
    </w:p>
    <w:p w14:paraId="291BF485" w14:textId="77777777" w:rsidR="0020429D" w:rsidRPr="0020429D" w:rsidRDefault="0020429D" w:rsidP="0020429D">
      <w:pPr>
        <w:pStyle w:val="Bezodstpw"/>
        <w:rPr>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357A7984" w14:textId="77777777" w:rsidTr="0020429D">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9A1918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3C9C5E46" wp14:editId="55D9819D">
                  <wp:extent cx="622300" cy="622300"/>
                  <wp:effectExtent l="0" t="0" r="6350" b="6350"/>
                  <wp:docPr id="120" name="Obraz 4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6590BC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1250D41"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5BA7FFE3" w14:textId="77777777" w:rsidTr="0020429D">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6947D05"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98CE7E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DA986E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 </w:t>
            </w:r>
          </w:p>
        </w:tc>
      </w:tr>
    </w:tbl>
    <w:p w14:paraId="317F2504" w14:textId="53681A12" w:rsidR="00491705" w:rsidRPr="0096716D" w:rsidRDefault="00491705" w:rsidP="0041452B">
      <w:pPr>
        <w:pStyle w:val="Nagwek6"/>
        <w:rPr>
          <w:rFonts w:ascii="Times New Roman" w:eastAsia="Times New Roman" w:hAnsi="Times New Roman" w:cs="Times New Roman"/>
          <w:i/>
          <w:iCs/>
          <w:color w:val="595959"/>
          <w:sz w:val="24"/>
          <w:szCs w:val="24"/>
          <w:lang w:eastAsia="pl-PL"/>
        </w:rPr>
      </w:pPr>
      <w:bookmarkStart w:id="1000" w:name="_Toc195856542"/>
      <w:bookmarkStart w:id="1001" w:name="_Ref195879940"/>
      <w:bookmarkStart w:id="1002" w:name="_Ref195880391"/>
      <w:bookmarkStart w:id="1003" w:name="_Ref195882336"/>
      <w:r>
        <w:t xml:space="preserve">Działanie </w:t>
      </w:r>
      <w:r>
        <w:fldChar w:fldCharType="begin"/>
      </w:r>
      <w:r>
        <w:instrText>SEQ Działanie \* ARABIC</w:instrText>
      </w:r>
      <w:r>
        <w:fldChar w:fldCharType="separate"/>
      </w:r>
      <w:r w:rsidR="00871DD5">
        <w:rPr>
          <w:noProof/>
        </w:rPr>
        <w:t>24</w:t>
      </w:r>
      <w:r>
        <w:fldChar w:fldCharType="end"/>
      </w:r>
      <w:r>
        <w:t xml:space="preserve">. </w:t>
      </w:r>
      <w:r w:rsidRPr="00DE588D">
        <w:t>Inteligentne zarządzanie energią</w:t>
      </w:r>
      <w:bookmarkEnd w:id="1000"/>
      <w:bookmarkEnd w:id="1001"/>
      <w:bookmarkEnd w:id="1002"/>
      <w:bookmarkEnd w:id="1003"/>
      <w:r w:rsidRPr="0096716D">
        <w:rPr>
          <w:rFonts w:eastAsia="Times New Roman" w:cs="Times New Roman"/>
          <w:bCs/>
          <w:color w:val="000000"/>
          <w:lang w:eastAsia="pl-PL"/>
        </w:rPr>
        <w:t xml:space="preserve"> </w:t>
      </w:r>
    </w:p>
    <w:p w14:paraId="75BBCD23" w14:textId="7598FB02" w:rsidR="00491705" w:rsidRPr="0096716D" w:rsidRDefault="00491705" w:rsidP="0041452B">
      <w:pPr>
        <w:rPr>
          <w:rFonts w:ascii="Times New Roman" w:hAnsi="Times New Roman"/>
          <w:sz w:val="24"/>
          <w:szCs w:val="24"/>
          <w:lang w:eastAsia="pl-PL"/>
        </w:rPr>
      </w:pPr>
      <w:r w:rsidRPr="0096716D">
        <w:rPr>
          <w:lang w:eastAsia="pl-PL"/>
        </w:rPr>
        <w:t>Działanie obejmuje rozwój infrastruktury pozwalającej na efektywną wymianę informacji pomiędzy uczestnikami rynku energii elektrycznej poprzez utworzenie centralnego systemu informacji rynku energii oraz instalację u odbiorców końcowych liczników zdalnego odczytu (</w:t>
      </w:r>
      <w:r w:rsidR="00F16220">
        <w:rPr>
          <w:lang w:eastAsia="pl-PL"/>
        </w:rPr>
        <w:t xml:space="preserve">LZO, </w:t>
      </w:r>
      <w:r w:rsidRPr="0096716D">
        <w:rPr>
          <w:lang w:eastAsia="pl-PL"/>
        </w:rPr>
        <w:t>tzw. liczników inteligentnych) wraz z infrastrukturą informatyczno-zarządczą.</w:t>
      </w:r>
      <w:r w:rsidR="003E2DE5">
        <w:rPr>
          <w:rFonts w:eastAsia="Times New Roman" w:cs="Times New Roman"/>
          <w:lang w:eastAsia="pl-PL"/>
        </w:rPr>
        <w:t xml:space="preserve"> </w:t>
      </w:r>
    </w:p>
    <w:p w14:paraId="40B9AAE1" w14:textId="62AE31E3" w:rsidR="00491705" w:rsidRPr="0096716D" w:rsidRDefault="00491705" w:rsidP="0041452B">
      <w:pPr>
        <w:rPr>
          <w:rFonts w:ascii="Times New Roman" w:hAnsi="Times New Roman"/>
          <w:sz w:val="24"/>
          <w:szCs w:val="24"/>
          <w:lang w:eastAsia="pl-PL"/>
        </w:rPr>
      </w:pPr>
      <w:r w:rsidRPr="0096716D">
        <w:rPr>
          <w:lang w:eastAsia="pl-PL"/>
        </w:rPr>
        <w:t>Centralny system informacji rynku energii (CSIRE) utworzony i nadzorowany przez operatora informacji rynku energii (OIRE), umożliwi operatorom systemu elektroenergetycznego dystrybucyjnego i</w:t>
      </w:r>
      <w:r w:rsidR="0041452B">
        <w:rPr>
          <w:lang w:eastAsia="pl-PL"/>
        </w:rPr>
        <w:t> </w:t>
      </w:r>
      <w:r w:rsidRPr="0096716D">
        <w:rPr>
          <w:lang w:eastAsia="pl-PL"/>
        </w:rPr>
        <w:t>przesyłowego (OSD</w:t>
      </w:r>
      <w:r w:rsidR="005B184B">
        <w:rPr>
          <w:lang w:eastAsia="pl-PL"/>
        </w:rPr>
        <w:t>e</w:t>
      </w:r>
      <w:r w:rsidRPr="0096716D">
        <w:rPr>
          <w:lang w:eastAsia="pl-PL"/>
        </w:rPr>
        <w:t xml:space="preserve"> i OSP</w:t>
      </w:r>
      <w:r w:rsidR="005B184B">
        <w:rPr>
          <w:lang w:eastAsia="pl-PL"/>
        </w:rPr>
        <w:t>e</w:t>
      </w:r>
      <w:r w:rsidRPr="0096716D">
        <w:rPr>
          <w:lang w:eastAsia="pl-PL"/>
        </w:rPr>
        <w:t xml:space="preserve">), sprzedawcom energii elektrycznej oraz podmiotom odpowiedzialnym </w:t>
      </w:r>
      <w:r w:rsidRPr="0096716D">
        <w:rPr>
          <w:lang w:eastAsia="pl-PL"/>
        </w:rPr>
        <w:lastRenderedPageBreak/>
        <w:t>za</w:t>
      </w:r>
      <w:r w:rsidR="00B862AA">
        <w:rPr>
          <w:lang w:eastAsia="pl-PL"/>
        </w:rPr>
        <w:t> </w:t>
      </w:r>
      <w:r w:rsidRPr="0096716D">
        <w:rPr>
          <w:lang w:eastAsia="pl-PL"/>
        </w:rPr>
        <w:t>bilansowanie rozpoczęcie wymiany danych m.in. do dokonywania rozliczeń za sprzedaż energii i jej dostarczanie czy też zmiany sprzedawcy energii elektrycznej.</w:t>
      </w:r>
      <w:r w:rsidR="003E2DE5">
        <w:rPr>
          <w:rFonts w:eastAsia="Times New Roman" w:cs="Times New Roman"/>
          <w:lang w:eastAsia="pl-PL"/>
        </w:rPr>
        <w:t xml:space="preserve"> </w:t>
      </w:r>
    </w:p>
    <w:p w14:paraId="2DDD5A9F" w14:textId="17D3152B" w:rsidR="00491705" w:rsidRPr="00ED5E1A" w:rsidRDefault="00491705" w:rsidP="0041452B">
      <w:r w:rsidRPr="0096716D">
        <w:rPr>
          <w:lang w:eastAsia="pl-PL"/>
        </w:rPr>
        <w:t>Dzięki wprowadzeniu CSIRE odbiorcy końcowi, w tym prosumenci, zyskają m.in. bezpłatny dostęp do</w:t>
      </w:r>
      <w:r w:rsidR="00B862AA">
        <w:rPr>
          <w:lang w:eastAsia="pl-PL"/>
        </w:rPr>
        <w:t> </w:t>
      </w:r>
      <w:r w:rsidRPr="0096716D">
        <w:rPr>
          <w:lang w:eastAsia="pl-PL"/>
        </w:rPr>
        <w:t>danych dotyczących własnych punktów poboru energii, w tym do danych pomiarowych. Korzyści dla KSE i</w:t>
      </w:r>
      <w:r w:rsidRPr="0041452B">
        <w:rPr>
          <w:rFonts w:ascii="Arial" w:hAnsi="Arial"/>
        </w:rPr>
        <w:t> </w:t>
      </w:r>
      <w:r w:rsidRPr="0096716D">
        <w:rPr>
          <w:lang w:eastAsia="pl-PL"/>
        </w:rPr>
        <w:t>operator</w:t>
      </w:r>
      <w:r w:rsidRPr="0096716D">
        <w:rPr>
          <w:rFonts w:cs="Lato"/>
          <w:lang w:eastAsia="pl-PL"/>
        </w:rPr>
        <w:t>ó</w:t>
      </w:r>
      <w:r w:rsidRPr="0096716D">
        <w:rPr>
          <w:lang w:eastAsia="pl-PL"/>
        </w:rPr>
        <w:t>w system</w:t>
      </w:r>
      <w:r w:rsidRPr="0096716D">
        <w:rPr>
          <w:rFonts w:cs="Lato"/>
          <w:lang w:eastAsia="pl-PL"/>
        </w:rPr>
        <w:t>ó</w:t>
      </w:r>
      <w:r w:rsidRPr="0096716D">
        <w:rPr>
          <w:lang w:eastAsia="pl-PL"/>
        </w:rPr>
        <w:t>w elektroenergetycznych to poprawa efektywno</w:t>
      </w:r>
      <w:r w:rsidRPr="0096716D">
        <w:rPr>
          <w:rFonts w:cs="Lato"/>
          <w:lang w:eastAsia="pl-PL"/>
        </w:rPr>
        <w:t>ś</w:t>
      </w:r>
      <w:r w:rsidRPr="0096716D">
        <w:rPr>
          <w:lang w:eastAsia="pl-PL"/>
        </w:rPr>
        <w:t>ci wykorzystania zasob</w:t>
      </w:r>
      <w:r w:rsidRPr="0096716D">
        <w:rPr>
          <w:rFonts w:cs="Lato"/>
          <w:lang w:eastAsia="pl-PL"/>
        </w:rPr>
        <w:t>ó</w:t>
      </w:r>
      <w:r w:rsidRPr="0096716D">
        <w:rPr>
          <w:lang w:eastAsia="pl-PL"/>
        </w:rPr>
        <w:t>w KSE m.in. poprzez lepsze dopasowanie zu</w:t>
      </w:r>
      <w:r w:rsidRPr="0096716D">
        <w:rPr>
          <w:rFonts w:cs="Lato"/>
          <w:lang w:eastAsia="pl-PL"/>
        </w:rPr>
        <w:t>ż</w:t>
      </w:r>
      <w:r w:rsidRPr="0096716D">
        <w:rPr>
          <w:lang w:eastAsia="pl-PL"/>
        </w:rPr>
        <w:t>ycia energii do jej produkcji, w szczeg</w:t>
      </w:r>
      <w:r w:rsidRPr="0096716D">
        <w:rPr>
          <w:rFonts w:cs="Lato"/>
          <w:lang w:eastAsia="pl-PL"/>
        </w:rPr>
        <w:t>ó</w:t>
      </w:r>
      <w:r w:rsidRPr="0096716D">
        <w:rPr>
          <w:lang w:eastAsia="pl-PL"/>
        </w:rPr>
        <w:t>lno</w:t>
      </w:r>
      <w:r w:rsidRPr="0096716D">
        <w:rPr>
          <w:rFonts w:cs="Lato"/>
          <w:lang w:eastAsia="pl-PL"/>
        </w:rPr>
        <w:t>ś</w:t>
      </w:r>
      <w:r w:rsidRPr="0096716D">
        <w:rPr>
          <w:lang w:eastAsia="pl-PL"/>
        </w:rPr>
        <w:t>ci z OZE, integracja proces</w:t>
      </w:r>
      <w:r w:rsidRPr="0096716D">
        <w:rPr>
          <w:rFonts w:cs="Lato"/>
          <w:lang w:eastAsia="pl-PL"/>
        </w:rPr>
        <w:t>ó</w:t>
      </w:r>
      <w:r w:rsidRPr="0096716D">
        <w:rPr>
          <w:lang w:eastAsia="pl-PL"/>
        </w:rPr>
        <w:t>w rynku detalicznego i rynk</w:t>
      </w:r>
      <w:r w:rsidRPr="0096716D">
        <w:rPr>
          <w:rFonts w:cs="Lato"/>
          <w:lang w:eastAsia="pl-PL"/>
        </w:rPr>
        <w:t>ó</w:t>
      </w:r>
      <w:r w:rsidRPr="0096716D">
        <w:rPr>
          <w:lang w:eastAsia="pl-PL"/>
        </w:rPr>
        <w:t>w systemowych z wykorzystaniem danych pomiarowych dostępnych w CSIRE, poprawa jakości danych pomiarowych dzięki zastosowaniu jednolitych standardów i</w:t>
      </w:r>
      <w:r w:rsidRPr="00ED5E1A">
        <w:t> </w:t>
      </w:r>
      <w:r w:rsidRPr="0096716D">
        <w:rPr>
          <w:lang w:eastAsia="pl-PL"/>
        </w:rPr>
        <w:t>benchmark</w:t>
      </w:r>
      <w:r w:rsidRPr="0096716D">
        <w:rPr>
          <w:rFonts w:cs="Lato"/>
          <w:lang w:eastAsia="pl-PL"/>
        </w:rPr>
        <w:t>ó</w:t>
      </w:r>
      <w:r w:rsidRPr="0096716D">
        <w:rPr>
          <w:lang w:eastAsia="pl-PL"/>
        </w:rPr>
        <w:t>w jako</w:t>
      </w:r>
      <w:r w:rsidRPr="0096716D">
        <w:rPr>
          <w:rFonts w:cs="Lato"/>
          <w:lang w:eastAsia="pl-PL"/>
        </w:rPr>
        <w:t>ś</w:t>
      </w:r>
      <w:r w:rsidRPr="0096716D">
        <w:rPr>
          <w:lang w:eastAsia="pl-PL"/>
        </w:rPr>
        <w:t>ciowych, mo</w:t>
      </w:r>
      <w:r w:rsidRPr="0096716D">
        <w:rPr>
          <w:rFonts w:cs="Lato"/>
          <w:lang w:eastAsia="pl-PL"/>
        </w:rPr>
        <w:t>ż</w:t>
      </w:r>
      <w:r w:rsidRPr="0096716D">
        <w:rPr>
          <w:lang w:eastAsia="pl-PL"/>
        </w:rPr>
        <w:t>liwo</w:t>
      </w:r>
      <w:r w:rsidRPr="0096716D">
        <w:rPr>
          <w:rFonts w:cs="Lato"/>
          <w:lang w:eastAsia="pl-PL"/>
        </w:rPr>
        <w:t>ść</w:t>
      </w:r>
      <w:r w:rsidRPr="0096716D">
        <w:rPr>
          <w:lang w:eastAsia="pl-PL"/>
        </w:rPr>
        <w:t xml:space="preserve"> wykorzystania jednolitego standardu zagregowanych danych pomiarowych do realizacji obowi</w:t>
      </w:r>
      <w:r w:rsidRPr="0096716D">
        <w:rPr>
          <w:rFonts w:cs="Lato"/>
          <w:lang w:eastAsia="pl-PL"/>
        </w:rPr>
        <w:t>ą</w:t>
      </w:r>
      <w:r w:rsidRPr="0096716D">
        <w:rPr>
          <w:lang w:eastAsia="pl-PL"/>
        </w:rPr>
        <w:t>zk</w:t>
      </w:r>
      <w:r w:rsidRPr="0096716D">
        <w:rPr>
          <w:rFonts w:cs="Lato"/>
          <w:lang w:eastAsia="pl-PL"/>
        </w:rPr>
        <w:t>ó</w:t>
      </w:r>
      <w:r w:rsidRPr="0096716D">
        <w:rPr>
          <w:lang w:eastAsia="pl-PL"/>
        </w:rPr>
        <w:t>w ustawowych. CSIRE umo</w:t>
      </w:r>
      <w:r w:rsidRPr="0096716D">
        <w:rPr>
          <w:rFonts w:cs="Lato"/>
          <w:lang w:eastAsia="pl-PL"/>
        </w:rPr>
        <w:t>ż</w:t>
      </w:r>
      <w:r w:rsidRPr="0096716D">
        <w:rPr>
          <w:lang w:eastAsia="pl-PL"/>
        </w:rPr>
        <w:t>liwi r</w:t>
      </w:r>
      <w:r w:rsidRPr="0096716D">
        <w:rPr>
          <w:rFonts w:cs="Lato"/>
          <w:lang w:eastAsia="pl-PL"/>
        </w:rPr>
        <w:t>ó</w:t>
      </w:r>
      <w:r w:rsidRPr="0096716D">
        <w:rPr>
          <w:lang w:eastAsia="pl-PL"/>
        </w:rPr>
        <w:t>wnie</w:t>
      </w:r>
      <w:r w:rsidRPr="0096716D">
        <w:rPr>
          <w:rFonts w:cs="Lato"/>
          <w:lang w:eastAsia="pl-PL"/>
        </w:rPr>
        <w:t>ż</w:t>
      </w:r>
      <w:r w:rsidRPr="0096716D">
        <w:rPr>
          <w:lang w:eastAsia="pl-PL"/>
        </w:rPr>
        <w:t xml:space="preserve"> dost</w:t>
      </w:r>
      <w:r w:rsidRPr="0096716D">
        <w:rPr>
          <w:rFonts w:cs="Lato"/>
          <w:lang w:eastAsia="pl-PL"/>
        </w:rPr>
        <w:t>ę</w:t>
      </w:r>
      <w:r w:rsidRPr="0096716D">
        <w:rPr>
          <w:lang w:eastAsia="pl-PL"/>
        </w:rPr>
        <w:t xml:space="preserve">p do wybranych </w:t>
      </w:r>
      <w:r w:rsidRPr="00ED5E1A">
        <w:t>danych zagregowanych na potrzeby rozwoju nowych usług, prowadzenia prac analityczno-badawczych oraz opracowań dziennikarskich. CSIRE będzie działać w oparciu o najwyższe standardy dostępu do</w:t>
      </w:r>
      <w:r w:rsidR="00B862AA">
        <w:t> </w:t>
      </w:r>
      <w:r w:rsidRPr="00ED5E1A">
        <w:t>danych i zarządzania energią w inteligentnej infrastrukturze energetycznej ujęte w Instrukcji Ruchu i</w:t>
      </w:r>
      <w:r w:rsidRPr="00ED5E1A">
        <w:rPr>
          <w:rFonts w:ascii="Arial" w:hAnsi="Arial" w:cs="Arial"/>
        </w:rPr>
        <w:t> </w:t>
      </w:r>
      <w:r w:rsidRPr="00ED5E1A">
        <w:t>Eksploatacji Sieci przesyłowej OIRE (IRiESP-OIRE)</w:t>
      </w:r>
      <w:r w:rsidR="00ED5E1A">
        <w:t>.</w:t>
      </w:r>
    </w:p>
    <w:p w14:paraId="289F8C14" w14:textId="3D3A1744" w:rsidR="0020429D" w:rsidRDefault="00491705" w:rsidP="00CB53C6">
      <w:pPr>
        <w:spacing w:after="80"/>
        <w:rPr>
          <w:rFonts w:ascii="Times New Roman" w:hAnsi="Times New Roman"/>
          <w:sz w:val="24"/>
          <w:szCs w:val="24"/>
          <w:lang w:eastAsia="pl-PL"/>
        </w:rPr>
      </w:pPr>
      <w:r w:rsidRPr="0096716D">
        <w:rPr>
          <w:lang w:eastAsia="pl-PL"/>
        </w:rPr>
        <w:t xml:space="preserve">Niezbędnym elementem otwierającym drogę do pełnego wykorzystania możliwości inteligentnego zarządzania energią elektryczną jest wdrożenie </w:t>
      </w:r>
      <w:r w:rsidRPr="007009F7">
        <w:rPr>
          <w:i/>
          <w:iCs/>
          <w:lang w:eastAsia="pl-PL"/>
        </w:rPr>
        <w:t>liczników zdalnego odczytu</w:t>
      </w:r>
      <w:r w:rsidRPr="0096716D">
        <w:rPr>
          <w:lang w:eastAsia="pl-PL"/>
        </w:rPr>
        <w:t xml:space="preserve">. W art. 11t ustawy – </w:t>
      </w:r>
      <w:r w:rsidR="00575574" w:rsidRPr="00F16220">
        <w:rPr>
          <w:i/>
          <w:iCs/>
          <w:lang w:eastAsia="pl-PL"/>
        </w:rPr>
        <w:t>P</w:t>
      </w:r>
      <w:r w:rsidRPr="00F16220">
        <w:rPr>
          <w:i/>
          <w:iCs/>
          <w:lang w:eastAsia="pl-PL"/>
        </w:rPr>
        <w:t>rawo energetyczne</w:t>
      </w:r>
      <w:r w:rsidRPr="0096716D">
        <w:rPr>
          <w:lang w:eastAsia="pl-PL"/>
        </w:rPr>
        <w:t xml:space="preserve"> został określony następujący harmonogram instalacji LZO:</w:t>
      </w:r>
      <w:r w:rsidR="003E2DE5">
        <w:rPr>
          <w:rFonts w:eastAsia="Times New Roman" w:cs="Times New Roman"/>
          <w:lang w:eastAsia="pl-PL"/>
        </w:rPr>
        <w:t xml:space="preserve"> </w:t>
      </w:r>
    </w:p>
    <w:p w14:paraId="034DB1A9" w14:textId="7CC3594C" w:rsidR="0020429D" w:rsidRPr="00CB53C6" w:rsidRDefault="00491705" w:rsidP="000625AC">
      <w:pPr>
        <w:pStyle w:val="Akapitzlist"/>
        <w:numPr>
          <w:ilvl w:val="0"/>
          <w:numId w:val="141"/>
        </w:numPr>
        <w:tabs>
          <w:tab w:val="clear" w:pos="1069"/>
        </w:tabs>
        <w:ind w:left="567"/>
        <w:rPr>
          <w:rFonts w:ascii="Times New Roman" w:hAnsi="Times New Roman"/>
          <w:sz w:val="24"/>
        </w:rPr>
      </w:pPr>
      <w:r w:rsidRPr="0096716D">
        <w:rPr>
          <w:lang w:eastAsia="pl-PL"/>
        </w:rPr>
        <w:t xml:space="preserve">2027 r. </w:t>
      </w:r>
      <w:r w:rsidR="0020429D">
        <w:rPr>
          <w:lang w:eastAsia="pl-PL"/>
        </w:rPr>
        <w:t>–</w:t>
      </w:r>
      <w:r w:rsidRPr="0096716D">
        <w:rPr>
          <w:lang w:eastAsia="pl-PL"/>
        </w:rPr>
        <w:t xml:space="preserve"> min. 65% odbiorców końcowych,</w:t>
      </w:r>
      <w:r w:rsidR="003E2DE5">
        <w:rPr>
          <w:rFonts w:eastAsia="Times New Roman" w:cs="Times New Roman"/>
          <w:lang w:eastAsia="pl-PL"/>
        </w:rPr>
        <w:t xml:space="preserve"> </w:t>
      </w:r>
    </w:p>
    <w:p w14:paraId="2DCCF08D" w14:textId="6D45B6B6" w:rsidR="00491705" w:rsidRPr="00CB53C6" w:rsidRDefault="00491705" w:rsidP="000625AC">
      <w:pPr>
        <w:pStyle w:val="Akapitzlist"/>
        <w:numPr>
          <w:ilvl w:val="0"/>
          <w:numId w:val="141"/>
        </w:numPr>
        <w:tabs>
          <w:tab w:val="clear" w:pos="1069"/>
        </w:tabs>
        <w:ind w:left="567"/>
        <w:rPr>
          <w:rFonts w:ascii="Times New Roman" w:hAnsi="Times New Roman"/>
          <w:sz w:val="24"/>
        </w:rPr>
      </w:pPr>
      <w:r w:rsidRPr="0096716D">
        <w:rPr>
          <w:lang w:eastAsia="pl-PL"/>
        </w:rPr>
        <w:t xml:space="preserve">2028 r. </w:t>
      </w:r>
      <w:r w:rsidR="0020429D">
        <w:rPr>
          <w:lang w:eastAsia="pl-PL"/>
        </w:rPr>
        <w:t>–</w:t>
      </w:r>
      <w:r w:rsidRPr="0096716D">
        <w:rPr>
          <w:lang w:eastAsia="pl-PL"/>
        </w:rPr>
        <w:t xml:space="preserve"> min. 80% odbiorców końcowych. </w:t>
      </w:r>
    </w:p>
    <w:p w14:paraId="2A352B5D" w14:textId="0209B8DE" w:rsidR="00491705" w:rsidRPr="0096716D" w:rsidRDefault="00491705" w:rsidP="00CB53C6">
      <w:pPr>
        <w:rPr>
          <w:rFonts w:ascii="Times New Roman" w:hAnsi="Times New Roman"/>
          <w:sz w:val="24"/>
          <w:szCs w:val="24"/>
          <w:lang w:eastAsia="pl-PL"/>
        </w:rPr>
      </w:pPr>
      <w:r w:rsidRPr="0096716D">
        <w:rPr>
          <w:lang w:eastAsia="pl-PL"/>
        </w:rPr>
        <w:t xml:space="preserve">Za pośrednictwem interfejsu do systemu infrastruktury sieci </w:t>
      </w:r>
      <w:r w:rsidRPr="00060FD1">
        <w:rPr>
          <w:lang w:eastAsia="pl-PL"/>
        </w:rPr>
        <w:t>domowej możliwy jest dostęp do danych pomiarowych z liczników inteligentnych w czasie rzeczywistym lub zbliż</w:t>
      </w:r>
      <w:r w:rsidRPr="0096716D">
        <w:rPr>
          <w:lang w:eastAsia="pl-PL"/>
        </w:rPr>
        <w:t>onym do rzeczywistego. LZO</w:t>
      </w:r>
      <w:r w:rsidR="00B862AA">
        <w:rPr>
          <w:lang w:eastAsia="pl-PL"/>
        </w:rPr>
        <w:t> </w:t>
      </w:r>
      <w:r w:rsidRPr="0096716D">
        <w:rPr>
          <w:lang w:eastAsia="pl-PL"/>
        </w:rPr>
        <w:t>są</w:t>
      </w:r>
      <w:r w:rsidR="00B862AA">
        <w:rPr>
          <w:lang w:eastAsia="pl-PL"/>
        </w:rPr>
        <w:t> </w:t>
      </w:r>
      <w:r w:rsidRPr="0096716D">
        <w:rPr>
          <w:lang w:eastAsia="pl-PL"/>
        </w:rPr>
        <w:t>także niezbędne dla odbiorców chcących korzystać z</w:t>
      </w:r>
      <w:r w:rsidRPr="00CB53C6">
        <w:rPr>
          <w:rFonts w:ascii="Arial" w:hAnsi="Arial"/>
        </w:rPr>
        <w:t> </w:t>
      </w:r>
      <w:r w:rsidRPr="0096716D">
        <w:rPr>
          <w:lang w:eastAsia="pl-PL"/>
        </w:rPr>
        <w:t>um</w:t>
      </w:r>
      <w:r w:rsidRPr="0096716D">
        <w:rPr>
          <w:rFonts w:cs="Lato"/>
          <w:lang w:eastAsia="pl-PL"/>
        </w:rPr>
        <w:t>ó</w:t>
      </w:r>
      <w:r w:rsidRPr="0096716D">
        <w:rPr>
          <w:lang w:eastAsia="pl-PL"/>
        </w:rPr>
        <w:t>w z cen</w:t>
      </w:r>
      <w:r w:rsidRPr="0096716D">
        <w:rPr>
          <w:rFonts w:cs="Lato"/>
          <w:lang w:eastAsia="pl-PL"/>
        </w:rPr>
        <w:t>ą</w:t>
      </w:r>
      <w:r w:rsidRPr="0096716D">
        <w:rPr>
          <w:lang w:eastAsia="pl-PL"/>
        </w:rPr>
        <w:t xml:space="preserve"> dynamiczn</w:t>
      </w:r>
      <w:r w:rsidRPr="0096716D">
        <w:rPr>
          <w:rFonts w:cs="Lato"/>
          <w:lang w:eastAsia="pl-PL"/>
        </w:rPr>
        <w:t>ą</w:t>
      </w:r>
      <w:r w:rsidRPr="0096716D">
        <w:rPr>
          <w:lang w:eastAsia="pl-PL"/>
        </w:rPr>
        <w:t>, a</w:t>
      </w:r>
      <w:r w:rsidRPr="00CB53C6">
        <w:rPr>
          <w:rFonts w:ascii="Arial" w:hAnsi="Arial"/>
        </w:rPr>
        <w:t> </w:t>
      </w:r>
      <w:r w:rsidRPr="0096716D">
        <w:rPr>
          <w:lang w:eastAsia="pl-PL"/>
        </w:rPr>
        <w:t>tak</w:t>
      </w:r>
      <w:r w:rsidRPr="0096716D">
        <w:rPr>
          <w:rFonts w:cs="Lato"/>
          <w:lang w:eastAsia="pl-PL"/>
        </w:rPr>
        <w:t>ż</w:t>
      </w:r>
      <w:r w:rsidRPr="0096716D">
        <w:rPr>
          <w:lang w:eastAsia="pl-PL"/>
        </w:rPr>
        <w:t xml:space="preserve">e w celu </w:t>
      </w:r>
      <w:r w:rsidRPr="0096716D">
        <w:rPr>
          <w:rFonts w:cs="Lato"/>
          <w:lang w:eastAsia="pl-PL"/>
        </w:rPr>
        <w:t>ś</w:t>
      </w:r>
      <w:r w:rsidRPr="0096716D">
        <w:rPr>
          <w:lang w:eastAsia="pl-PL"/>
        </w:rPr>
        <w:t>wiadczenia us</w:t>
      </w:r>
      <w:r w:rsidRPr="0096716D">
        <w:rPr>
          <w:rFonts w:cs="Lato"/>
          <w:lang w:eastAsia="pl-PL"/>
        </w:rPr>
        <w:t>ł</w:t>
      </w:r>
      <w:r w:rsidRPr="0096716D">
        <w:rPr>
          <w:lang w:eastAsia="pl-PL"/>
        </w:rPr>
        <w:t>ug elastyczno</w:t>
      </w:r>
      <w:r w:rsidRPr="0096716D">
        <w:rPr>
          <w:rFonts w:cs="Lato"/>
          <w:lang w:eastAsia="pl-PL"/>
        </w:rPr>
        <w:t>ś</w:t>
      </w:r>
      <w:r w:rsidRPr="0096716D">
        <w:rPr>
          <w:lang w:eastAsia="pl-PL"/>
        </w:rPr>
        <w:t>ci dla KSE. Upowszechnienie LZO przyczyni si</w:t>
      </w:r>
      <w:r w:rsidRPr="0096716D">
        <w:rPr>
          <w:rFonts w:cs="Lato"/>
          <w:lang w:eastAsia="pl-PL"/>
        </w:rPr>
        <w:t>ę</w:t>
      </w:r>
      <w:r w:rsidRPr="0096716D">
        <w:rPr>
          <w:lang w:eastAsia="pl-PL"/>
        </w:rPr>
        <w:t xml:space="preserve"> do wzrostu liczby odbiorc</w:t>
      </w:r>
      <w:r w:rsidRPr="0096716D">
        <w:rPr>
          <w:rFonts w:cs="Lato"/>
          <w:lang w:eastAsia="pl-PL"/>
        </w:rPr>
        <w:t>ó</w:t>
      </w:r>
      <w:r w:rsidRPr="0096716D">
        <w:rPr>
          <w:lang w:eastAsia="pl-PL"/>
        </w:rPr>
        <w:t>w aktywnie uczestnicz</w:t>
      </w:r>
      <w:r w:rsidRPr="0096716D">
        <w:rPr>
          <w:rFonts w:cs="Lato"/>
          <w:lang w:eastAsia="pl-PL"/>
        </w:rPr>
        <w:t>ą</w:t>
      </w:r>
      <w:r w:rsidRPr="0096716D">
        <w:rPr>
          <w:lang w:eastAsia="pl-PL"/>
        </w:rPr>
        <w:t>cych w rynku energii elektrycznej.</w:t>
      </w:r>
      <w:r w:rsidR="003E2DE5">
        <w:rPr>
          <w:rFonts w:eastAsia="Times New Roman" w:cs="Times New Roman"/>
          <w:lang w:eastAsia="pl-PL"/>
        </w:rPr>
        <w:t xml:space="preserve"> </w:t>
      </w:r>
    </w:p>
    <w:p w14:paraId="54CD55F7" w14:textId="789B6B9C" w:rsidR="00491705" w:rsidRPr="0096716D" w:rsidRDefault="00491705" w:rsidP="00CB53C6">
      <w:pPr>
        <w:rPr>
          <w:rFonts w:ascii="Times New Roman" w:hAnsi="Times New Roman"/>
          <w:sz w:val="24"/>
          <w:szCs w:val="24"/>
          <w:lang w:eastAsia="pl-PL"/>
        </w:rPr>
      </w:pPr>
      <w:r w:rsidRPr="0096716D">
        <w:rPr>
          <w:lang w:eastAsia="pl-PL"/>
        </w:rPr>
        <w:t xml:space="preserve">W ramach działania ważną rolę będzie odgrywało usuwanie przeszkód prawnych, w tym m.in. aktualizacja </w:t>
      </w:r>
      <w:r w:rsidRPr="005F2E10">
        <w:rPr>
          <w:lang w:eastAsia="pl-PL"/>
        </w:rPr>
        <w:t>rozporządzenia Ministra Klimatu i Środowiska</w:t>
      </w:r>
      <w:r w:rsidRPr="005F2E10">
        <w:rPr>
          <w:i/>
          <w:iCs/>
          <w:lang w:eastAsia="pl-PL"/>
        </w:rPr>
        <w:t xml:space="preserve"> </w:t>
      </w:r>
      <w:r w:rsidR="00CC225F" w:rsidRPr="00AD7295">
        <w:rPr>
          <w:lang w:eastAsia="pl-PL"/>
        </w:rPr>
        <w:t xml:space="preserve">z </w:t>
      </w:r>
      <w:r w:rsidR="00BE0D69" w:rsidRPr="00BE0D69">
        <w:rPr>
          <w:lang w:eastAsia="pl-PL"/>
        </w:rPr>
        <w:t>dnia 22 marca 2022 r</w:t>
      </w:r>
      <w:r w:rsidR="00BE0D69">
        <w:rPr>
          <w:lang w:eastAsia="pl-PL"/>
        </w:rPr>
        <w:t>.</w:t>
      </w:r>
      <w:r w:rsidR="00BE0D69" w:rsidRPr="00AD7295">
        <w:rPr>
          <w:lang w:eastAsia="pl-PL"/>
        </w:rPr>
        <w:t xml:space="preserve"> </w:t>
      </w:r>
      <w:r w:rsidRPr="00AD7295">
        <w:rPr>
          <w:lang w:eastAsia="pl-PL"/>
        </w:rPr>
        <w:t>w</w:t>
      </w:r>
      <w:r w:rsidRPr="005F2E10">
        <w:rPr>
          <w:i/>
          <w:iCs/>
          <w:lang w:eastAsia="pl-PL"/>
        </w:rPr>
        <w:t xml:space="preserve"> sprawie systemu pomiarowego</w:t>
      </w:r>
      <w:r w:rsidRPr="0096716D">
        <w:rPr>
          <w:lang w:eastAsia="pl-PL"/>
        </w:rPr>
        <w:t xml:space="preserve"> w</w:t>
      </w:r>
      <w:r w:rsidR="00915228">
        <w:rPr>
          <w:lang w:eastAsia="pl-PL"/>
        </w:rPr>
        <w:t> </w:t>
      </w:r>
      <w:r w:rsidRPr="0096716D">
        <w:rPr>
          <w:lang w:eastAsia="pl-PL"/>
        </w:rPr>
        <w:t>celu skorygowania przepisów zweryfikowanych przez praktykę jego stosowania, a także wprowadzenie zmian umożliwiających optymalizację procesów, wprowadzenie modyfikacji wynikających z rozwoju technologicznego i</w:t>
      </w:r>
      <w:r w:rsidRPr="00CB53C6">
        <w:rPr>
          <w:rFonts w:ascii="Arial" w:hAnsi="Arial"/>
        </w:rPr>
        <w:t> </w:t>
      </w:r>
      <w:r w:rsidRPr="0096716D">
        <w:rPr>
          <w:lang w:eastAsia="pl-PL"/>
        </w:rPr>
        <w:t>dost</w:t>
      </w:r>
      <w:r w:rsidRPr="0096716D">
        <w:rPr>
          <w:rFonts w:cs="Lato"/>
          <w:lang w:eastAsia="pl-PL"/>
        </w:rPr>
        <w:t>ę</w:t>
      </w:r>
      <w:r w:rsidRPr="0096716D">
        <w:rPr>
          <w:lang w:eastAsia="pl-PL"/>
        </w:rPr>
        <w:t>pno</w:t>
      </w:r>
      <w:r w:rsidRPr="0096716D">
        <w:rPr>
          <w:rFonts w:cs="Lato"/>
          <w:lang w:eastAsia="pl-PL"/>
        </w:rPr>
        <w:t>ś</w:t>
      </w:r>
      <w:r w:rsidRPr="0096716D">
        <w:rPr>
          <w:lang w:eastAsia="pl-PL"/>
        </w:rPr>
        <w:t>ci urz</w:t>
      </w:r>
      <w:r w:rsidRPr="0096716D">
        <w:rPr>
          <w:rFonts w:cs="Lato"/>
          <w:lang w:eastAsia="pl-PL"/>
        </w:rPr>
        <w:t>ą</w:t>
      </w:r>
      <w:r w:rsidRPr="0096716D">
        <w:rPr>
          <w:lang w:eastAsia="pl-PL"/>
        </w:rPr>
        <w:t>dze</w:t>
      </w:r>
      <w:r w:rsidRPr="0096716D">
        <w:rPr>
          <w:rFonts w:cs="Lato"/>
          <w:lang w:eastAsia="pl-PL"/>
        </w:rPr>
        <w:t>ń</w:t>
      </w:r>
      <w:r w:rsidRPr="0096716D">
        <w:rPr>
          <w:lang w:eastAsia="pl-PL"/>
        </w:rPr>
        <w:t xml:space="preserve"> wy</w:t>
      </w:r>
      <w:r w:rsidRPr="0096716D">
        <w:rPr>
          <w:rFonts w:cs="Lato"/>
          <w:lang w:eastAsia="pl-PL"/>
        </w:rPr>
        <w:t>ż</w:t>
      </w:r>
      <w:r w:rsidRPr="0096716D">
        <w:rPr>
          <w:lang w:eastAsia="pl-PL"/>
        </w:rPr>
        <w:t>szej klasy oraz zwi</w:t>
      </w:r>
      <w:r w:rsidRPr="0096716D">
        <w:rPr>
          <w:rFonts w:cs="Lato"/>
          <w:lang w:eastAsia="pl-PL"/>
        </w:rPr>
        <w:t>ą</w:t>
      </w:r>
      <w:r w:rsidRPr="0096716D">
        <w:rPr>
          <w:lang w:eastAsia="pl-PL"/>
        </w:rPr>
        <w:t>zanych z uruchomieniem CSIRE.</w:t>
      </w:r>
      <w:r w:rsidRPr="0096716D">
        <w:rPr>
          <w:rFonts w:cs="Lato"/>
          <w:lang w:eastAsia="pl-PL"/>
        </w:rPr>
        <w:t> </w:t>
      </w:r>
    </w:p>
    <w:p w14:paraId="7E3CD3B8" w14:textId="3DF4D3CD" w:rsidR="00491705" w:rsidRDefault="00491705" w:rsidP="00456E17">
      <w:pPr>
        <w:spacing w:after="240"/>
        <w:rPr>
          <w:lang w:eastAsia="pl-PL"/>
        </w:rPr>
      </w:pPr>
      <w:r w:rsidRPr="0096716D">
        <w:rPr>
          <w:lang w:eastAsia="pl-PL"/>
        </w:rPr>
        <w:t>Niezbędne będą także kampanie informacyjne wyjaśniające użytkownikom rynku energii zasady inteligentnego zarządzania energią i zachęcające odbiorców do przejścia z pozycji biernego korzystania z</w:t>
      </w:r>
      <w:r w:rsidR="0020429D">
        <w:rPr>
          <w:lang w:eastAsia="pl-PL"/>
        </w:rPr>
        <w:t> </w:t>
      </w:r>
      <w:r w:rsidRPr="0096716D">
        <w:rPr>
          <w:lang w:eastAsia="pl-PL"/>
        </w:rPr>
        <w:t>energii elektrycznej do roli aktywnych uczestników systemu elektroenergetycznego.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456E17" w:rsidRPr="0096716D" w14:paraId="5C948EFA"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13D2FE2"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4512F825" wp14:editId="03C67ABD">
                  <wp:extent cx="622300" cy="622300"/>
                  <wp:effectExtent l="0" t="0" r="6350" b="6350"/>
                  <wp:docPr id="601941662" name="Obraz 4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362A1F4"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9EBF7F7"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456E17" w:rsidRPr="00986124" w14:paraId="39DBECAA"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A3DFB44" w14:textId="77777777" w:rsidR="00456E17" w:rsidRPr="0096716D" w:rsidRDefault="00456E17">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6DD2F80"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FDA422C" w14:textId="77777777" w:rsidR="00456E17" w:rsidRPr="00986124" w:rsidRDefault="00456E17">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klimatu </w:t>
            </w:r>
          </w:p>
          <w:p w14:paraId="2A4FBBC2" w14:textId="2BF8D285" w:rsidR="00456E17" w:rsidRPr="00986124" w:rsidRDefault="00456E17">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OSP</w:t>
            </w:r>
          </w:p>
          <w:p w14:paraId="2E742C80" w14:textId="03B11010" w:rsidR="00456E17" w:rsidRPr="00986124" w:rsidRDefault="00456E17">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OSD</w:t>
            </w:r>
          </w:p>
        </w:tc>
      </w:tr>
    </w:tbl>
    <w:p w14:paraId="581319D2" w14:textId="0A3D30AA" w:rsidR="00491705" w:rsidRPr="0096716D" w:rsidRDefault="00491705" w:rsidP="009B0F74">
      <w:pPr>
        <w:pStyle w:val="Nagwek6"/>
        <w:rPr>
          <w:rFonts w:ascii="Times New Roman" w:eastAsia="Times New Roman" w:hAnsi="Times New Roman" w:cs="Times New Roman"/>
          <w:i/>
          <w:iCs/>
          <w:color w:val="595959"/>
          <w:sz w:val="24"/>
          <w:szCs w:val="24"/>
          <w:lang w:eastAsia="pl-PL"/>
        </w:rPr>
      </w:pPr>
      <w:bookmarkStart w:id="1004" w:name="_Toc195856543"/>
      <w:bookmarkStart w:id="1005" w:name="_Ref195879949"/>
      <w:bookmarkStart w:id="1006" w:name="_Ref195882340"/>
      <w:bookmarkStart w:id="1007" w:name="_Ref195893975"/>
      <w:r>
        <w:t xml:space="preserve">Działanie </w:t>
      </w:r>
      <w:r>
        <w:fldChar w:fldCharType="begin"/>
      </w:r>
      <w:r>
        <w:instrText>SEQ Działanie \* ARABIC</w:instrText>
      </w:r>
      <w:r>
        <w:fldChar w:fldCharType="separate"/>
      </w:r>
      <w:r w:rsidR="00871DD5">
        <w:rPr>
          <w:noProof/>
        </w:rPr>
        <w:t>25</w:t>
      </w:r>
      <w:r>
        <w:fldChar w:fldCharType="end"/>
      </w:r>
      <w:r>
        <w:t xml:space="preserve">. </w:t>
      </w:r>
      <w:r w:rsidRPr="007E6338">
        <w:t>Rozwój i modernizacja elektroenergetycznych sieci przesyłowych i</w:t>
      </w:r>
      <w:r w:rsidRPr="007E6338">
        <w:rPr>
          <w:rFonts w:ascii="Arial" w:hAnsi="Arial" w:cs="Arial"/>
        </w:rPr>
        <w:t> </w:t>
      </w:r>
      <w:r w:rsidRPr="007E6338">
        <w:t>dystrybucyjnych</w:t>
      </w:r>
      <w:bookmarkEnd w:id="1004"/>
      <w:bookmarkEnd w:id="1005"/>
      <w:bookmarkEnd w:id="1006"/>
      <w:bookmarkEnd w:id="1007"/>
    </w:p>
    <w:p w14:paraId="6FD27643" w14:textId="4A05BD77" w:rsidR="00491705" w:rsidRPr="0096716D" w:rsidRDefault="00491705" w:rsidP="00456E17">
      <w:pPr>
        <w:rPr>
          <w:rFonts w:ascii="Times New Roman" w:hAnsi="Times New Roman"/>
          <w:sz w:val="24"/>
          <w:szCs w:val="24"/>
          <w:lang w:eastAsia="pl-PL"/>
        </w:rPr>
      </w:pPr>
      <w:r w:rsidRPr="0096716D">
        <w:rPr>
          <w:lang w:eastAsia="pl-PL"/>
        </w:rPr>
        <w:t>Działanie obejmuje wsparcie na poziomie krajowym w przygotowaniu i realizacji inwestycji w zakresie rozbudowy i modernizacji sieci elektroenergetycznych. Inwestycje sieciowe wspierane są zarówno poprzez wsparcie finansowe (np. polityka spójności, KPO, Fundusz Modernizacyjny, CEF), jak i</w:t>
      </w:r>
      <w:r w:rsidR="00B862AA">
        <w:rPr>
          <w:lang w:eastAsia="pl-PL"/>
        </w:rPr>
        <w:t> </w:t>
      </w:r>
      <w:r w:rsidRPr="0096716D">
        <w:rPr>
          <w:lang w:eastAsia="pl-PL"/>
        </w:rPr>
        <w:t>rozwiązania regulacyjne. W rozbudowie sieci należy uwzględnić następujące priorytety: </w:t>
      </w:r>
    </w:p>
    <w:p w14:paraId="780FD488" w14:textId="77777777" w:rsidR="00491705" w:rsidRPr="0096716D" w:rsidRDefault="00491705" w:rsidP="000625AC">
      <w:pPr>
        <w:pStyle w:val="Akapitzlist"/>
        <w:numPr>
          <w:ilvl w:val="0"/>
          <w:numId w:val="174"/>
        </w:numPr>
        <w:ind w:left="567" w:hanging="357"/>
        <w:contextualSpacing w:val="0"/>
        <w:rPr>
          <w:lang w:eastAsia="pl-PL"/>
        </w:rPr>
      </w:pPr>
      <w:r w:rsidRPr="0096716D">
        <w:rPr>
          <w:lang w:eastAsia="pl-PL"/>
        </w:rPr>
        <w:t xml:space="preserve">Przyśpieszenie transformacji energetycznej i zwiększenie bezpieczeństwa dostaw energii elektrycznej poprzez zwiększenie liczby obiektów możliwych do przyłączenia do sieci elektroenergetycznej. Sieć elektroenergetyczna powinna być rozbudowywana w taki sposób, aby umożliwiać i ułatwiać przyłączenia nowych instalacji, przede wszystkim instalacji OZE i magazynów </w:t>
      </w:r>
      <w:r w:rsidRPr="0096716D">
        <w:rPr>
          <w:lang w:eastAsia="pl-PL"/>
        </w:rPr>
        <w:lastRenderedPageBreak/>
        <w:t>energii. Należy dążyć do dalszego rozwoju sieci, w szczególności na obszarach cechujących się korzystnymi warunkami dla rozwoju OZE – w tym lądowych farm wiatrowych i instalacji PV. </w:t>
      </w:r>
    </w:p>
    <w:p w14:paraId="125970B3" w14:textId="28BD5792" w:rsidR="00491705" w:rsidRPr="0096716D" w:rsidRDefault="00491705" w:rsidP="000625AC">
      <w:pPr>
        <w:pStyle w:val="Akapitzlist"/>
        <w:numPr>
          <w:ilvl w:val="0"/>
          <w:numId w:val="174"/>
        </w:numPr>
        <w:ind w:left="567" w:hanging="357"/>
        <w:contextualSpacing w:val="0"/>
        <w:rPr>
          <w:lang w:eastAsia="pl-PL"/>
        </w:rPr>
      </w:pPr>
      <w:r w:rsidRPr="0096716D">
        <w:rPr>
          <w:lang w:eastAsia="pl-PL"/>
        </w:rPr>
        <w:t>Rozbudowa sieci powinna uwzględniać również rozbudowę i budowę przyłączy do elektryfikowanych sieci ciepłowniczych, tak by następowała integracja systemowa elektroenergetyki i ciepłownictwa.</w:t>
      </w:r>
      <w:r w:rsidR="003E2DE5" w:rsidRPr="00456E17">
        <w:rPr>
          <w:rFonts w:eastAsia="Times New Roman" w:cs="Times New Roman"/>
          <w:lang w:eastAsia="pl-PL"/>
        </w:rPr>
        <w:t xml:space="preserve"> </w:t>
      </w:r>
    </w:p>
    <w:p w14:paraId="5A25980C" w14:textId="2ACF2386" w:rsidR="00491705" w:rsidRPr="009B0F74" w:rsidRDefault="00491705" w:rsidP="00456E17">
      <w:r w:rsidRPr="0096716D">
        <w:rPr>
          <w:lang w:eastAsia="pl-PL"/>
        </w:rPr>
        <w:t>Celem powinno być również dążenie do opracowania platformy zapewniającej przejrzysty dostęp do informacji o zdolnościach przyłączeniowych w poszczególnych węzłach sieciowych. Operatorzy powinni stworzyć dostępne publicznie platformy informacyjne</w:t>
      </w:r>
      <w:r w:rsidR="00ED554C">
        <w:rPr>
          <w:lang w:eastAsia="pl-PL"/>
        </w:rPr>
        <w:t>,</w:t>
      </w:r>
      <w:r w:rsidRPr="0096716D">
        <w:rPr>
          <w:lang w:eastAsia="pl-PL"/>
        </w:rPr>
        <w:t xml:space="preserve"> na których publikowane będą regularnie aktualizowane informacje m.in. o dostępnych zdolnościach przyłączeniowych, złożonych wnioskach o</w:t>
      </w:r>
      <w:r w:rsidR="00A23B7D">
        <w:rPr>
          <w:lang w:eastAsia="pl-PL"/>
        </w:rPr>
        <w:t> </w:t>
      </w:r>
      <w:r w:rsidRPr="0096716D">
        <w:rPr>
          <w:lang w:eastAsia="pl-PL"/>
        </w:rPr>
        <w:t>określenie warunków przyłączenia, statusie rozpatrywania wniosku, odrzuconych wnioskach o</w:t>
      </w:r>
      <w:r w:rsidR="00A23B7D">
        <w:rPr>
          <w:lang w:eastAsia="pl-PL"/>
        </w:rPr>
        <w:t> </w:t>
      </w:r>
      <w:r w:rsidRPr="0096716D">
        <w:rPr>
          <w:lang w:eastAsia="pl-PL"/>
        </w:rPr>
        <w:t>przyłączenie wraz z uzasadnieniem odrzucenia czy też kryteriach stosowanych do obliczania przepustowości sieci dostępnej dla nowych przyłączeń. Dodatkowo operatorzy systemów elektroenergetycznych będą zobowiązani do stworzenia możliwości składania wniosków o</w:t>
      </w:r>
      <w:r w:rsidR="0020429D">
        <w:rPr>
          <w:lang w:eastAsia="pl-PL"/>
        </w:rPr>
        <w:t> </w:t>
      </w:r>
      <w:r w:rsidRPr="0096716D">
        <w:rPr>
          <w:lang w:eastAsia="pl-PL"/>
        </w:rPr>
        <w:t>przyłączenie i</w:t>
      </w:r>
      <w:r w:rsidR="00A23B7D">
        <w:rPr>
          <w:lang w:eastAsia="pl-PL"/>
        </w:rPr>
        <w:t> </w:t>
      </w:r>
      <w:r w:rsidRPr="0096716D">
        <w:rPr>
          <w:lang w:eastAsia="pl-PL"/>
        </w:rPr>
        <w:t>ich rozpatrywania w procesie w pełni elektronicznym.</w:t>
      </w:r>
      <w:r w:rsidR="00974007">
        <w:rPr>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238E0E40" w14:textId="77777777" w:rsidTr="0020429D">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6F46DF8B"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2873C1B6" wp14:editId="7BDB226E">
                  <wp:extent cx="622300" cy="622300"/>
                  <wp:effectExtent l="0" t="0" r="6350" b="6350"/>
                  <wp:docPr id="1387490866"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CFAD9E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E851BF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6A38D267" w14:textId="77777777" w:rsidTr="0020429D">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BC55FFB"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6011581" w14:textId="231A90D5" w:rsidR="007A2D9C" w:rsidRPr="007A2D9C" w:rsidRDefault="005264A0" w:rsidP="007A2D9C">
            <w:pPr>
              <w:spacing w:after="0" w:line="240" w:lineRule="auto"/>
              <w:textAlignment w:val="baseline"/>
              <w:rPr>
                <w:rFonts w:eastAsia="Times New Roman" w:cs="Times New Roman"/>
                <w:color w:val="808080"/>
                <w:sz w:val="18"/>
                <w:szCs w:val="18"/>
                <w:lang w:eastAsia="pl-PL"/>
              </w:rPr>
            </w:pPr>
            <w:r>
              <w:rPr>
                <w:rFonts w:eastAsia="Times New Roman" w:cs="Times New Roman"/>
                <w:color w:val="808080"/>
                <w:sz w:val="18"/>
                <w:szCs w:val="18"/>
                <w:lang w:eastAsia="pl-PL"/>
              </w:rPr>
              <w:t>m</w:t>
            </w:r>
            <w:r w:rsidR="007A2D9C" w:rsidRPr="007A2D9C">
              <w:rPr>
                <w:rFonts w:eastAsia="Times New Roman" w:cs="Times New Roman"/>
                <w:color w:val="808080"/>
                <w:sz w:val="18"/>
                <w:szCs w:val="18"/>
                <w:lang w:eastAsia="pl-PL"/>
              </w:rPr>
              <w:t xml:space="preserve">inister wł. </w:t>
            </w:r>
            <w:r w:rsidR="00C0675B">
              <w:rPr>
                <w:rFonts w:eastAsia="Times New Roman" w:cs="Times New Roman"/>
                <w:color w:val="808080"/>
                <w:sz w:val="18"/>
                <w:szCs w:val="18"/>
                <w:lang w:eastAsia="pl-PL"/>
              </w:rPr>
              <w:t xml:space="preserve">ds. </w:t>
            </w:r>
            <w:r w:rsidR="007A2D9C" w:rsidRPr="007A2D9C">
              <w:rPr>
                <w:rFonts w:eastAsia="Times New Roman" w:cs="Times New Roman"/>
                <w:color w:val="808080"/>
                <w:sz w:val="18"/>
                <w:szCs w:val="18"/>
                <w:lang w:eastAsia="pl-PL"/>
              </w:rPr>
              <w:t>aktywów państwowych,</w:t>
            </w:r>
          </w:p>
          <w:p w14:paraId="22A2F5D8" w14:textId="77777777" w:rsidR="007A2D9C" w:rsidRPr="007A2D9C" w:rsidRDefault="007A2D9C" w:rsidP="005264A0">
            <w:pPr>
              <w:spacing w:after="0" w:line="240" w:lineRule="auto"/>
              <w:jc w:val="left"/>
              <w:textAlignment w:val="baseline"/>
              <w:rPr>
                <w:rFonts w:eastAsia="Times New Roman" w:cs="Times New Roman"/>
                <w:color w:val="808080"/>
                <w:sz w:val="18"/>
                <w:szCs w:val="18"/>
                <w:lang w:eastAsia="pl-PL"/>
              </w:rPr>
            </w:pPr>
            <w:r w:rsidRPr="007A2D9C">
              <w:rPr>
                <w:rFonts w:eastAsia="Times New Roman" w:cs="Times New Roman"/>
                <w:color w:val="808080"/>
                <w:sz w:val="18"/>
                <w:szCs w:val="18"/>
                <w:lang w:eastAsia="pl-PL"/>
              </w:rPr>
              <w:t>Pełnomocnik Rządu do spraw Strategicznej Infrastruktury Energetycznej </w:t>
            </w:r>
          </w:p>
          <w:p w14:paraId="5A3CAE01" w14:textId="58821916"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85D92BB" w14:textId="77777777" w:rsidR="00491705" w:rsidRPr="00986124" w:rsidRDefault="00491705">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Prezes URE </w:t>
            </w:r>
          </w:p>
          <w:p w14:paraId="06584B5D" w14:textId="77777777" w:rsidR="0070076D" w:rsidRPr="00986124" w:rsidRDefault="0070076D" w:rsidP="0070076D">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energii </w:t>
            </w:r>
          </w:p>
          <w:p w14:paraId="6B448321" w14:textId="2A49A7B5" w:rsidR="00331437" w:rsidRPr="00986124" w:rsidRDefault="00331437" w:rsidP="00331437">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klimatu </w:t>
            </w:r>
          </w:p>
          <w:p w14:paraId="18D2E60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OSD </w:t>
            </w:r>
          </w:p>
          <w:p w14:paraId="48FE98CD" w14:textId="361ED946"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OSP </w:t>
            </w:r>
          </w:p>
        </w:tc>
      </w:tr>
    </w:tbl>
    <w:p w14:paraId="312D21E1" w14:textId="3D0D19CB" w:rsidR="00491705" w:rsidRPr="0053217A" w:rsidRDefault="00491705" w:rsidP="00D523F3">
      <w:pPr>
        <w:pStyle w:val="Nagwek6"/>
        <w:rPr>
          <w:color w:val="auto"/>
          <w:szCs w:val="20"/>
        </w:rPr>
      </w:pPr>
      <w:bookmarkStart w:id="1008" w:name="_Toc195856544"/>
      <w:bookmarkStart w:id="1009" w:name="_Ref195879994"/>
      <w:bookmarkStart w:id="1010" w:name="_Ref195882485"/>
      <w:r>
        <w:t xml:space="preserve">Działanie </w:t>
      </w:r>
      <w:r>
        <w:fldChar w:fldCharType="begin"/>
      </w:r>
      <w:r>
        <w:instrText>SEQ Działanie \* ARABIC</w:instrText>
      </w:r>
      <w:r>
        <w:fldChar w:fldCharType="separate"/>
      </w:r>
      <w:r w:rsidR="00871DD5">
        <w:rPr>
          <w:noProof/>
        </w:rPr>
        <w:t>26</w:t>
      </w:r>
      <w:r>
        <w:fldChar w:fldCharType="end"/>
      </w:r>
      <w:r>
        <w:t xml:space="preserve">. </w:t>
      </w:r>
      <w:r w:rsidRPr="004B4F3F">
        <w:t>Wzmocnienie skuteczności wykorzystania środków z bezpłatnych uprawnień do redukcji emisji gazów cieplarnianych w ciepłownictwie</w:t>
      </w:r>
      <w:bookmarkEnd w:id="1008"/>
      <w:bookmarkEnd w:id="1009"/>
      <w:bookmarkEnd w:id="1010"/>
    </w:p>
    <w:p w14:paraId="2B798510" w14:textId="77777777" w:rsidR="00491705" w:rsidRDefault="00491705" w:rsidP="00CC1E37">
      <w:pPr>
        <w:spacing w:after="240"/>
        <w:rPr>
          <w:lang w:eastAsia="pl-PL"/>
        </w:rPr>
      </w:pPr>
      <w:r w:rsidRPr="0096716D">
        <w:rPr>
          <w:lang w:eastAsia="pl-PL"/>
        </w:rPr>
        <w:t>Działanie będzie polegać na zmianie regulacji w obszarze zasady kształtowania taryf dla sprzedaży ciepła, tak by uwzględniały rozliczanie środków z bezpłatnych uprawnień do emisji CO</w:t>
      </w:r>
      <w:r w:rsidRPr="0096716D">
        <w:rPr>
          <w:sz w:val="16"/>
          <w:szCs w:val="16"/>
          <w:vertAlign w:val="subscript"/>
          <w:lang w:eastAsia="pl-PL"/>
        </w:rPr>
        <w:t>2</w:t>
      </w:r>
      <w:r w:rsidRPr="0096716D">
        <w:rPr>
          <w:lang w:eastAsia="pl-PL"/>
        </w:rPr>
        <w:t xml:space="preserve"> oraz na określeniu warunków wykorzystania środków finansowych wygenerowanych wskutek przydziału bezpłatnych uprawnień na finansowanie inwestycji.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456E17" w:rsidRPr="0096716D" w14:paraId="33127D7E" w14:textId="77777777">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1BE3AB5E"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61CE5775" wp14:editId="43FE1B77">
                  <wp:extent cx="622300" cy="622300"/>
                  <wp:effectExtent l="0" t="0" r="6350" b="6350"/>
                  <wp:docPr id="1872377982" name="Obraz 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831FB23"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07C13DC"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456E17" w:rsidRPr="00986124" w14:paraId="13348B3D"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76528CF" w14:textId="77777777" w:rsidR="00456E17" w:rsidRPr="0096716D" w:rsidRDefault="00456E17">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EDB70F8"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 </w:t>
            </w:r>
          </w:p>
          <w:p w14:paraId="33899B22"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p w14:paraId="4111344E" w14:textId="77777777" w:rsidR="00456E17" w:rsidRPr="0096716D" w:rsidRDefault="00456E17">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99FD60E" w14:textId="77777777" w:rsidR="00456E17" w:rsidRPr="00986124" w:rsidRDefault="00456E17" w:rsidP="00456E17">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Prezes URE </w:t>
            </w:r>
          </w:p>
          <w:p w14:paraId="668EE6AE" w14:textId="1565D445" w:rsidR="00456E17" w:rsidRPr="00986124" w:rsidRDefault="00456E17">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klimatu </w:t>
            </w:r>
          </w:p>
        </w:tc>
      </w:tr>
    </w:tbl>
    <w:p w14:paraId="64985F5A" w14:textId="51E05BDE"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1011" w:name="_Ref198716514"/>
      <w:bookmarkStart w:id="1012" w:name="_Toc195856545"/>
      <w:bookmarkStart w:id="1013" w:name="_Ref195880002"/>
      <w:bookmarkStart w:id="1014" w:name="_Ref195882488"/>
      <w:r>
        <w:t xml:space="preserve">Działanie </w:t>
      </w:r>
      <w:r>
        <w:fldChar w:fldCharType="begin"/>
      </w:r>
      <w:r>
        <w:instrText>SEQ Działanie \* ARABIC</w:instrText>
      </w:r>
      <w:r>
        <w:fldChar w:fldCharType="separate"/>
      </w:r>
      <w:r w:rsidR="00871DD5">
        <w:rPr>
          <w:noProof/>
        </w:rPr>
        <w:t>27</w:t>
      </w:r>
      <w:r>
        <w:fldChar w:fldCharType="end"/>
      </w:r>
      <w:bookmarkEnd w:id="1011"/>
      <w:r>
        <w:t>.</w:t>
      </w:r>
      <w:r w:rsidRPr="0048309D">
        <w:t xml:space="preserve"> Instrument finansowy – Program transformacji ciepłownictwa systemowego</w:t>
      </w:r>
      <w:bookmarkEnd w:id="1012"/>
      <w:bookmarkEnd w:id="1013"/>
      <w:bookmarkEnd w:id="1014"/>
    </w:p>
    <w:p w14:paraId="448EE599" w14:textId="4A8237DB" w:rsidR="00491705" w:rsidRPr="0096716D" w:rsidRDefault="00491705" w:rsidP="00535EF6">
      <w:pPr>
        <w:rPr>
          <w:rFonts w:ascii="Times New Roman" w:hAnsi="Times New Roman"/>
          <w:sz w:val="24"/>
          <w:szCs w:val="24"/>
          <w:lang w:eastAsia="pl-PL"/>
        </w:rPr>
      </w:pPr>
      <w:r w:rsidRPr="0096716D">
        <w:rPr>
          <w:lang w:eastAsia="pl-PL"/>
        </w:rPr>
        <w:t xml:space="preserve">Program </w:t>
      </w:r>
      <w:r w:rsidR="003709B9">
        <w:rPr>
          <w:lang w:eastAsia="pl-PL"/>
        </w:rPr>
        <w:t xml:space="preserve">będzie </w:t>
      </w:r>
      <w:r w:rsidRPr="0096716D">
        <w:rPr>
          <w:lang w:eastAsia="pl-PL"/>
        </w:rPr>
        <w:t>polega</w:t>
      </w:r>
      <w:r w:rsidR="003709B9">
        <w:rPr>
          <w:lang w:eastAsia="pl-PL"/>
        </w:rPr>
        <w:t>ć</w:t>
      </w:r>
      <w:r w:rsidRPr="0096716D">
        <w:rPr>
          <w:lang w:eastAsia="pl-PL"/>
        </w:rPr>
        <w:t xml:space="preserve"> na transformacji obecnych systemów ciepłowniczych opartych w większości na paliwach kopalnych do systemów, w którym co najmniej 50%, a w dalszej przyszłości 75%, energii pochodzić będzie z odnawialnych źródeł energii oraz energii elektrycznej z sieci elektroenergetycznej. Działanie zakłada, że systemy ciepłownicze powinny być modernizowane w kierunku elektryfikacji oraz integracji z</w:t>
      </w:r>
      <w:r w:rsidR="00E8050C">
        <w:rPr>
          <w:lang w:eastAsia="pl-PL"/>
        </w:rPr>
        <w:t> </w:t>
      </w:r>
      <w:r w:rsidRPr="0096716D">
        <w:rPr>
          <w:lang w:eastAsia="pl-PL"/>
        </w:rPr>
        <w:t>siecią elektroenergetyczną. Kluczowym aspektem funkcjonowania systemu będzie magazynowanie energii, zapewniające elastyczną współpracę z siecią. </w:t>
      </w:r>
    </w:p>
    <w:p w14:paraId="390AF99F" w14:textId="5384B487" w:rsidR="00491705" w:rsidRPr="0096716D" w:rsidRDefault="00491705" w:rsidP="00535EF6">
      <w:pPr>
        <w:rPr>
          <w:rFonts w:ascii="Times New Roman" w:hAnsi="Times New Roman"/>
          <w:sz w:val="24"/>
          <w:szCs w:val="24"/>
          <w:lang w:eastAsia="pl-PL"/>
        </w:rPr>
      </w:pPr>
      <w:r w:rsidRPr="0096716D">
        <w:rPr>
          <w:lang w:eastAsia="pl-PL"/>
        </w:rPr>
        <w:t>Docelowo należy dążyć do zapewnienia dwukierunkowej integracji systemu ciepłowniczego z</w:t>
      </w:r>
      <w:r w:rsidR="00E8050C">
        <w:rPr>
          <w:lang w:eastAsia="pl-PL"/>
        </w:rPr>
        <w:t> </w:t>
      </w:r>
      <w:r w:rsidRPr="0096716D">
        <w:rPr>
          <w:lang w:eastAsia="pl-PL"/>
        </w:rPr>
        <w:t xml:space="preserve">elektroenergetycznym (tzw. </w:t>
      </w:r>
      <w:r w:rsidRPr="00535EF6">
        <w:rPr>
          <w:i/>
          <w:iCs/>
          <w:lang w:eastAsia="pl-PL"/>
        </w:rPr>
        <w:t>sector coupling</w:t>
      </w:r>
      <w:r w:rsidRPr="0096716D">
        <w:rPr>
          <w:lang w:eastAsia="pl-PL"/>
        </w:rPr>
        <w:t>). Oznacza to, że w okresach nadwyżki energii elektrycznej system ciepłowniczy powinien tę energię konsumować i magazynować. Natomiast w okresach niedoboru energii elektrycznej system ciepłowniczy powinien móc dostarczać energię elektryczną wytwarzaną w</w:t>
      </w:r>
      <w:r w:rsidR="00C7755C">
        <w:rPr>
          <w:lang w:eastAsia="pl-PL"/>
        </w:rPr>
        <w:t> </w:t>
      </w:r>
      <w:r w:rsidRPr="0096716D">
        <w:rPr>
          <w:lang w:eastAsia="pl-PL"/>
        </w:rPr>
        <w:t>układzie kogeneracji, jednocześnie magazynując powstające przy tym ciepło. </w:t>
      </w:r>
    </w:p>
    <w:p w14:paraId="751716D6" w14:textId="37AA6A42" w:rsidR="00491705" w:rsidRPr="0096716D" w:rsidRDefault="00491705" w:rsidP="00535EF6">
      <w:pPr>
        <w:rPr>
          <w:rFonts w:ascii="Times New Roman" w:hAnsi="Times New Roman"/>
          <w:sz w:val="24"/>
          <w:szCs w:val="24"/>
          <w:lang w:eastAsia="pl-PL"/>
        </w:rPr>
      </w:pPr>
      <w:r w:rsidRPr="0096716D">
        <w:rPr>
          <w:lang w:eastAsia="pl-PL"/>
        </w:rPr>
        <w:t>Działanie obejmuje wsparcie zarówno systemów scentralizowanych, w których ciepło dostarczane jest z</w:t>
      </w:r>
      <w:r w:rsidR="00E8050C">
        <w:rPr>
          <w:lang w:eastAsia="pl-PL"/>
        </w:rPr>
        <w:t> </w:t>
      </w:r>
      <w:r w:rsidRPr="0096716D">
        <w:rPr>
          <w:lang w:eastAsia="pl-PL"/>
        </w:rPr>
        <w:t xml:space="preserve">jednego głównego źródła, jak i systemów rozproszonych, w których zelektryfikowane węzły produkują </w:t>
      </w:r>
      <w:r w:rsidRPr="0096716D">
        <w:rPr>
          <w:lang w:eastAsia="pl-PL"/>
        </w:rPr>
        <w:lastRenderedPageBreak/>
        <w:t>ciepło w wielu punktach sieci lub bezpośrednio u odbiorców końcowych. Możliwe jest również finansowanie rozwiązań hybrydowych, łączących oba te modele. </w:t>
      </w:r>
    </w:p>
    <w:p w14:paraId="11D3F3ED" w14:textId="77777777" w:rsidR="00491705" w:rsidRPr="0096716D" w:rsidRDefault="00491705" w:rsidP="00535EF6">
      <w:pPr>
        <w:rPr>
          <w:rFonts w:ascii="Times New Roman" w:hAnsi="Times New Roman"/>
          <w:sz w:val="24"/>
          <w:szCs w:val="24"/>
          <w:lang w:eastAsia="pl-PL"/>
        </w:rPr>
      </w:pPr>
      <w:r w:rsidRPr="0096716D">
        <w:rPr>
          <w:lang w:eastAsia="pl-PL"/>
        </w:rPr>
        <w:t>W ramach finansowania wspierane będą rozwiązania aktywne w węzłach sieci, takie jak wielkoskalowe pompy ciepła, wielkoskalowe kotły elektrodowe, magazyny ciepła dużej pojemności, kolektory słoneczne, moce wytwórcze energii elektrycznej z OZE oraz źródła szczytowe oparte na gazie ziemnym lub biometanie/wodorze działające w kogeneracji. Wsparciem objęta powinna być również digitalizacja sieci, w celu uzyskania jak najlepszego sterowania i optymalizacji pracy. Finansowane będą również rozwiązania u odbiorców końcowych, takie jak pompy ciepła, lokalne magazyny ciepła, instalacje OZE, systemy dystrybucji ciepła w budynkach oraz systemy sterowania. Wsparciem mogą być też objęte inne elementy modernizacji sieci lub systemów odbiorców w celu uzyskania jak najlepszych parametrów sieci w zakresie jej dekarbonizacji lub optymalizacji kosztów. </w:t>
      </w:r>
    </w:p>
    <w:p w14:paraId="0B417908" w14:textId="48623D2D" w:rsidR="00491705" w:rsidRPr="0096716D" w:rsidRDefault="00491705" w:rsidP="00734562">
      <w:pPr>
        <w:rPr>
          <w:rFonts w:ascii="Times New Roman" w:eastAsia="Times New Roman" w:hAnsi="Times New Roman" w:cs="Times New Roman"/>
          <w:sz w:val="24"/>
          <w:szCs w:val="24"/>
          <w:lang w:eastAsia="pl-PL"/>
        </w:rPr>
      </w:pPr>
      <w:r w:rsidRPr="0096716D">
        <w:rPr>
          <w:rFonts w:eastAsia="Times New Roman" w:cs="Times New Roman"/>
          <w:lang w:eastAsia="pl-PL"/>
        </w:rPr>
        <w:t xml:space="preserve">Wsparcie obejmuje również inne niezbędne elementy funkcjonowania sieci, w tym przyłącza oraz systemy umożliwiające integrację z sieciami elektroenergetycznymi. Możliwa jest także modernizacja sieci przesyłowej, jednak w ograniczonym zakresie i jedynie do koniecznych potrzeb. Należy dążyć do sukcesywnego obniżania parametrów sieci, czyli dążenia do sieci niskotemperaturowych. </w:t>
      </w:r>
      <w:r w:rsidR="000B7D86">
        <w:rPr>
          <w:rFonts w:eastAsia="Times New Roman" w:cs="Times New Roman"/>
          <w:lang w:eastAsia="pl-PL"/>
        </w:rPr>
        <w:t>Wykluczone</w:t>
      </w:r>
      <w:r w:rsidR="00A23B7D">
        <w:rPr>
          <w:rFonts w:eastAsia="Times New Roman" w:cs="Times New Roman"/>
          <w:lang w:eastAsia="pl-PL"/>
        </w:rPr>
        <w:t> </w:t>
      </w:r>
      <w:r w:rsidR="000B7D86">
        <w:rPr>
          <w:rFonts w:eastAsia="Times New Roman" w:cs="Times New Roman"/>
          <w:lang w:eastAsia="pl-PL"/>
        </w:rPr>
        <w:t>z</w:t>
      </w:r>
      <w:r w:rsidR="00A23B7D">
        <w:rPr>
          <w:rFonts w:eastAsia="Times New Roman" w:cs="Times New Roman"/>
          <w:lang w:eastAsia="pl-PL"/>
        </w:rPr>
        <w:t> </w:t>
      </w:r>
      <w:r w:rsidR="000B7D86">
        <w:rPr>
          <w:rFonts w:eastAsia="Times New Roman" w:cs="Times New Roman"/>
          <w:lang w:eastAsia="pl-PL"/>
        </w:rPr>
        <w:t>finansowania będą</w:t>
      </w:r>
      <w:r w:rsidRPr="0096716D">
        <w:rPr>
          <w:rFonts w:eastAsia="Times New Roman" w:cs="Times New Roman"/>
          <w:lang w:eastAsia="pl-PL"/>
        </w:rPr>
        <w:t xml:space="preserve"> systemy oparte na biomasie, ze względu na konieczność zapewnienia podaży biomasy stałej dla rynku przeróbki drewna (zgodnie z zasadą kaskadowości)</w:t>
      </w:r>
      <w:r w:rsidR="00AA39C0">
        <w:rPr>
          <w:rFonts w:eastAsia="Times New Roman" w:cs="Times New Roman"/>
          <w:lang w:eastAsia="pl-PL"/>
        </w:rPr>
        <w:t>. To</w:t>
      </w:r>
      <w:r w:rsidRPr="0096716D">
        <w:rPr>
          <w:rFonts w:eastAsia="Times New Roman" w:cs="Times New Roman"/>
          <w:lang w:eastAsia="pl-PL"/>
        </w:rPr>
        <w:t xml:space="preserve"> szczególnie </w:t>
      </w:r>
      <w:r w:rsidR="00AA39C0">
        <w:rPr>
          <w:rFonts w:eastAsia="Times New Roman" w:cs="Times New Roman"/>
          <w:lang w:eastAsia="pl-PL"/>
        </w:rPr>
        <w:t xml:space="preserve">istotne </w:t>
      </w:r>
      <w:r w:rsidRPr="0096716D">
        <w:rPr>
          <w:rFonts w:eastAsia="Times New Roman" w:cs="Times New Roman"/>
          <w:lang w:eastAsia="pl-PL"/>
        </w:rPr>
        <w:t>w obliczu już występujących ograniczeń w dostępności krajowej biomasy zrównoważonej oraz zagrożenia uzależnienia sektora ciepłowniczego od importu biomasy stałej, w tym biomasy niezrównoważonej.</w:t>
      </w:r>
    </w:p>
    <w:p w14:paraId="7505D961" w14:textId="7BD1BB30" w:rsidR="00491705" w:rsidRPr="0096716D" w:rsidRDefault="00491705" w:rsidP="00344BC1">
      <w:pPr>
        <w:spacing w:after="240"/>
        <w:rPr>
          <w:rFonts w:ascii="Times New Roman" w:eastAsia="Times New Roman" w:hAnsi="Times New Roman" w:cs="Times New Roman"/>
          <w:sz w:val="24"/>
          <w:szCs w:val="24"/>
          <w:lang w:eastAsia="pl-PL"/>
        </w:rPr>
      </w:pPr>
      <w:r w:rsidRPr="0096716D">
        <w:rPr>
          <w:rFonts w:eastAsia="Times New Roman" w:cs="Times New Roman"/>
          <w:lang w:eastAsia="pl-PL"/>
        </w:rPr>
        <w:t>System wsparcia może być realizowany z podziałem na kategorie mocy systemów ciepłowniczych, np.</w:t>
      </w:r>
      <w:r w:rsidR="00A23B7D">
        <w:rPr>
          <w:rFonts w:eastAsia="Times New Roman" w:cs="Times New Roman"/>
          <w:lang w:eastAsia="pl-PL"/>
        </w:rPr>
        <w:t> </w:t>
      </w:r>
      <w:r w:rsidRPr="0096716D">
        <w:rPr>
          <w:rFonts w:eastAsia="Times New Roman" w:cs="Times New Roman"/>
          <w:lang w:eastAsia="pl-PL"/>
        </w:rPr>
        <w:t>poniżej 10 MW, od 10 do 100 MW oraz powyżej 100 MW, co pozwoli na skuteczniejsze dostosowanie działań do lokalnych potrzeb.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2AFEFCD3" w14:textId="77777777" w:rsidTr="00E8050C">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C715D7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337CEC9B" wp14:editId="5A8DD517">
                  <wp:extent cx="622300" cy="622300"/>
                  <wp:effectExtent l="0" t="0" r="6350" b="6350"/>
                  <wp:docPr id="529426235" name="Obraz 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41B888E"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F527FD5"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6716D" w14:paraId="3B8CEA1F" w14:textId="77777777" w:rsidTr="00E8050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335FA74" w14:textId="77777777" w:rsidR="00491705" w:rsidRPr="0096716D"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8D5F8C7"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energii </w:t>
            </w:r>
          </w:p>
          <w:p w14:paraId="63B5AC7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p w14:paraId="4BA5C6E4"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1CBF01F" w14:textId="1A02B353"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p w14:paraId="77C7A03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NFOŚiGW </w:t>
            </w:r>
          </w:p>
          <w:p w14:paraId="405943DA"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 </w:t>
            </w:r>
          </w:p>
        </w:tc>
      </w:tr>
    </w:tbl>
    <w:p w14:paraId="27FE7EA1" w14:textId="6146F592" w:rsidR="00491705" w:rsidRPr="00077D7F" w:rsidRDefault="00491705" w:rsidP="00D523F3">
      <w:pPr>
        <w:pStyle w:val="Nagwek6"/>
        <w:rPr>
          <w:rFonts w:ascii="Times New Roman" w:eastAsia="Times New Roman" w:hAnsi="Times New Roman" w:cs="Times New Roman"/>
          <w:i/>
          <w:iCs/>
          <w:color w:val="595959"/>
          <w:sz w:val="24"/>
          <w:szCs w:val="24"/>
          <w:lang w:eastAsia="pl-PL"/>
        </w:rPr>
      </w:pPr>
      <w:bookmarkStart w:id="1015" w:name="_Toc195856546"/>
      <w:bookmarkStart w:id="1016" w:name="_Ref195880017"/>
      <w:bookmarkStart w:id="1017" w:name="_Ref195882565"/>
      <w:bookmarkStart w:id="1018" w:name="_Ref203397568"/>
      <w:bookmarkStart w:id="1019" w:name="_Ref203398199"/>
      <w:bookmarkStart w:id="1020" w:name="_Ref203401018"/>
      <w:r w:rsidRPr="00FB68C2">
        <w:rPr>
          <w:rStyle w:val="Nagwek6Znak"/>
          <w:b/>
        </w:rPr>
        <w:t xml:space="preserve">Działanie </w:t>
      </w:r>
      <w:r w:rsidRPr="00FB68C2">
        <w:rPr>
          <w:rStyle w:val="Nagwek6Znak"/>
          <w:b/>
        </w:rPr>
        <w:fldChar w:fldCharType="begin"/>
      </w:r>
      <w:r>
        <w:instrText xml:space="preserve"> SEQ Działanie \* ARABIC </w:instrText>
      </w:r>
      <w:r w:rsidRPr="00FB68C2">
        <w:rPr>
          <w:rStyle w:val="Nagwek6Znak"/>
          <w:b/>
        </w:rPr>
        <w:fldChar w:fldCharType="separate"/>
      </w:r>
      <w:r w:rsidR="00871DD5">
        <w:rPr>
          <w:noProof/>
        </w:rPr>
        <w:t>28</w:t>
      </w:r>
      <w:r w:rsidRPr="00FB68C2">
        <w:rPr>
          <w:rStyle w:val="Nagwek6Znak"/>
          <w:b/>
        </w:rPr>
        <w:fldChar w:fldCharType="end"/>
      </w:r>
      <w:r w:rsidRPr="00FB68C2">
        <w:rPr>
          <w:rStyle w:val="Nagwek6Znak"/>
          <w:b/>
        </w:rPr>
        <w:t xml:space="preserve">. </w:t>
      </w:r>
      <w:r w:rsidRPr="00077D7F">
        <w:rPr>
          <w:rFonts w:eastAsia="Times New Roman" w:cs="Times New Roman"/>
          <w:bCs/>
          <w:color w:val="000000"/>
          <w:lang w:eastAsia="pl-PL"/>
        </w:rPr>
        <w:t>Rozwój rynku pomp ciepła w Polsce</w:t>
      </w:r>
      <w:bookmarkEnd w:id="1015"/>
      <w:bookmarkEnd w:id="1016"/>
      <w:bookmarkEnd w:id="1017"/>
      <w:bookmarkEnd w:id="1018"/>
      <w:bookmarkEnd w:id="1019"/>
      <w:bookmarkEnd w:id="1020"/>
      <w:r w:rsidRPr="00077D7F">
        <w:rPr>
          <w:rFonts w:eastAsia="Times New Roman" w:cs="Times New Roman"/>
          <w:i/>
          <w:iCs/>
          <w:color w:val="000000"/>
          <w:lang w:eastAsia="pl-PL"/>
        </w:rPr>
        <w:t> </w:t>
      </w:r>
    </w:p>
    <w:p w14:paraId="694CB862" w14:textId="38072A75" w:rsidR="00491705" w:rsidRPr="00077D7F" w:rsidRDefault="00491705" w:rsidP="007C1C43">
      <w:pPr>
        <w:spacing w:after="80"/>
        <w:rPr>
          <w:rFonts w:ascii="Times New Roman" w:hAnsi="Times New Roman"/>
          <w:sz w:val="24"/>
          <w:szCs w:val="24"/>
          <w:lang w:eastAsia="pl-PL"/>
        </w:rPr>
      </w:pPr>
      <w:r w:rsidRPr="00077D7F">
        <w:rPr>
          <w:lang w:eastAsia="pl-PL"/>
        </w:rPr>
        <w:t>Rozwój rynku pomp ciepła jest kluczowy dla transformacji energetycznej, poprawy jakości powietrza i</w:t>
      </w:r>
      <w:r w:rsidR="00A23B7D">
        <w:rPr>
          <w:lang w:eastAsia="pl-PL"/>
        </w:rPr>
        <w:t> </w:t>
      </w:r>
      <w:r w:rsidRPr="00077D7F">
        <w:rPr>
          <w:lang w:eastAsia="pl-PL"/>
        </w:rPr>
        <w:t xml:space="preserve">dekarbonizacji ogrzewnictwa. Aby przyspieszyć ich </w:t>
      </w:r>
      <w:r w:rsidR="00D2412F">
        <w:rPr>
          <w:lang w:eastAsia="pl-PL"/>
        </w:rPr>
        <w:t>popularyzację,</w:t>
      </w:r>
      <w:r w:rsidRPr="00077D7F">
        <w:rPr>
          <w:lang w:eastAsia="pl-PL"/>
        </w:rPr>
        <w:t xml:space="preserve"> należy podjąć skoordynowane działania eliminujące bariery technologiczne, finansowe i administracyjne</w:t>
      </w:r>
      <w:r w:rsidR="00E8050C">
        <w:rPr>
          <w:lang w:eastAsia="pl-PL"/>
        </w:rPr>
        <w:t>, w szczególności:</w:t>
      </w:r>
    </w:p>
    <w:p w14:paraId="3F4A75E5" w14:textId="6D205116" w:rsidR="00491705" w:rsidRPr="00E8050C" w:rsidRDefault="000D5F13" w:rsidP="000625AC">
      <w:pPr>
        <w:pStyle w:val="Akapitzlist"/>
        <w:numPr>
          <w:ilvl w:val="0"/>
          <w:numId w:val="142"/>
        </w:numPr>
        <w:spacing w:after="80"/>
        <w:ind w:left="426"/>
        <w:rPr>
          <w:rFonts w:ascii="Times New Roman" w:hAnsi="Times New Roman"/>
          <w:sz w:val="24"/>
          <w:szCs w:val="24"/>
          <w:lang w:eastAsia="pl-PL"/>
        </w:rPr>
      </w:pPr>
      <w:r>
        <w:rPr>
          <w:lang w:eastAsia="pl-PL"/>
        </w:rPr>
        <w:t>N</w:t>
      </w:r>
      <w:r w:rsidR="00491705" w:rsidRPr="00E8050C">
        <w:rPr>
          <w:lang w:eastAsia="pl-PL"/>
        </w:rPr>
        <w:t xml:space="preserve">ależy obniżać koszty inwestycyjne i eksploatacyjne poprzez wprowadzenie </w:t>
      </w:r>
      <w:r>
        <w:rPr>
          <w:lang w:eastAsia="pl-PL"/>
        </w:rPr>
        <w:t xml:space="preserve">umów z </w:t>
      </w:r>
      <w:r w:rsidR="0072242B">
        <w:rPr>
          <w:lang w:eastAsia="pl-PL"/>
        </w:rPr>
        <w:t>ceną dynamiczną</w:t>
      </w:r>
      <w:r w:rsidR="00491705" w:rsidRPr="00E8050C">
        <w:rPr>
          <w:lang w:eastAsia="pl-PL"/>
        </w:rPr>
        <w:t xml:space="preserve"> z dodatkową premią </w:t>
      </w:r>
      <w:r w:rsidR="0072242B">
        <w:rPr>
          <w:lang w:eastAsia="pl-PL"/>
        </w:rPr>
        <w:t xml:space="preserve">w przypadku </w:t>
      </w:r>
      <w:r w:rsidR="00685C13">
        <w:rPr>
          <w:lang w:eastAsia="pl-PL"/>
        </w:rPr>
        <w:t>wykorzystania</w:t>
      </w:r>
      <w:r w:rsidR="0072242B" w:rsidRPr="00E8050C">
        <w:rPr>
          <w:lang w:eastAsia="pl-PL"/>
        </w:rPr>
        <w:t xml:space="preserve"> </w:t>
      </w:r>
      <w:r w:rsidR="00491705" w:rsidRPr="00E8050C">
        <w:rPr>
          <w:lang w:eastAsia="pl-PL"/>
        </w:rPr>
        <w:t xml:space="preserve">pomp ciepła jako głównego źródła ogrzewania. </w:t>
      </w:r>
      <w:r w:rsidR="005E75BB">
        <w:rPr>
          <w:lang w:eastAsia="pl-PL"/>
        </w:rPr>
        <w:t>Niezbędne</w:t>
      </w:r>
      <w:r w:rsidR="005E75BB" w:rsidRPr="00E8050C">
        <w:rPr>
          <w:lang w:eastAsia="pl-PL"/>
        </w:rPr>
        <w:t xml:space="preserve"> </w:t>
      </w:r>
      <w:r w:rsidR="00491705" w:rsidRPr="00E8050C">
        <w:rPr>
          <w:lang w:eastAsia="pl-PL"/>
        </w:rPr>
        <w:t xml:space="preserve">jest również prowadzenie szeroko zakrojonej termomodernizacji budynków </w:t>
      </w:r>
      <w:r w:rsidR="00E8050C">
        <w:rPr>
          <w:lang w:eastAsia="pl-PL"/>
        </w:rPr>
        <w:t>–</w:t>
      </w:r>
      <w:r w:rsidR="00491705" w:rsidRPr="00E8050C">
        <w:rPr>
          <w:lang w:eastAsia="pl-PL"/>
        </w:rPr>
        <w:t xml:space="preserve"> to kluczowy element obniżenia kosztów eksploatacji.</w:t>
      </w:r>
      <w:r w:rsidR="003E2DE5">
        <w:rPr>
          <w:rFonts w:eastAsia="Times New Roman" w:cs="Times New Roman"/>
          <w:lang w:eastAsia="pl-PL"/>
        </w:rPr>
        <w:t xml:space="preserve"> </w:t>
      </w:r>
    </w:p>
    <w:p w14:paraId="2699BA6B" w14:textId="05F49476" w:rsidR="00491705" w:rsidRPr="00E8050C" w:rsidRDefault="00491705" w:rsidP="000625AC">
      <w:pPr>
        <w:pStyle w:val="Akapitzlist"/>
        <w:numPr>
          <w:ilvl w:val="0"/>
          <w:numId w:val="142"/>
        </w:numPr>
        <w:spacing w:after="80"/>
        <w:ind w:left="426"/>
        <w:rPr>
          <w:rFonts w:ascii="Times New Roman" w:hAnsi="Times New Roman"/>
          <w:sz w:val="24"/>
          <w:szCs w:val="24"/>
          <w:lang w:eastAsia="pl-PL"/>
        </w:rPr>
      </w:pPr>
      <w:r w:rsidRPr="00E8050C">
        <w:rPr>
          <w:lang w:eastAsia="pl-PL"/>
        </w:rPr>
        <w:t>Należy uprościć procedury administracyjne poprzez digitalizację procesów przyznawania dotacji, a</w:t>
      </w:r>
      <w:r w:rsidR="008D030B">
        <w:rPr>
          <w:lang w:eastAsia="pl-PL"/>
        </w:rPr>
        <w:t> </w:t>
      </w:r>
      <w:r w:rsidRPr="00E8050C">
        <w:rPr>
          <w:lang w:eastAsia="pl-PL"/>
        </w:rPr>
        <w:t>także wprowadzenie jednolitych wytycznych dotyczących instalacji i</w:t>
      </w:r>
      <w:r w:rsidR="00E8050C">
        <w:rPr>
          <w:lang w:eastAsia="pl-PL"/>
        </w:rPr>
        <w:t> </w:t>
      </w:r>
      <w:r w:rsidRPr="00E8050C">
        <w:rPr>
          <w:lang w:eastAsia="pl-PL"/>
        </w:rPr>
        <w:t>eksploatacji pomp ciepła. Konieczne jest również zapewnienie ogólnopolskiej kampanii informacyjnej, która wyeliminuje dezinformację i dostarczy konsumentom rzetelnych danych o</w:t>
      </w:r>
      <w:r w:rsidR="00E8050C">
        <w:rPr>
          <w:lang w:eastAsia="pl-PL"/>
        </w:rPr>
        <w:t> </w:t>
      </w:r>
      <w:r w:rsidRPr="00E8050C">
        <w:rPr>
          <w:lang w:eastAsia="pl-PL"/>
        </w:rPr>
        <w:t>korzyściach wynikających z</w:t>
      </w:r>
      <w:r w:rsidR="00A23B7D">
        <w:rPr>
          <w:lang w:eastAsia="pl-PL"/>
        </w:rPr>
        <w:t> </w:t>
      </w:r>
      <w:r w:rsidRPr="00E8050C">
        <w:rPr>
          <w:lang w:eastAsia="pl-PL"/>
        </w:rPr>
        <w:t>użytkowania pomp ciepła. </w:t>
      </w:r>
    </w:p>
    <w:p w14:paraId="729167BF" w14:textId="77777777" w:rsidR="00491705" w:rsidRPr="00E8050C" w:rsidRDefault="00491705" w:rsidP="000625AC">
      <w:pPr>
        <w:pStyle w:val="Akapitzlist"/>
        <w:numPr>
          <w:ilvl w:val="0"/>
          <w:numId w:val="142"/>
        </w:numPr>
        <w:spacing w:after="80"/>
        <w:ind w:left="426"/>
        <w:rPr>
          <w:rFonts w:ascii="Times New Roman" w:hAnsi="Times New Roman"/>
          <w:sz w:val="24"/>
          <w:szCs w:val="24"/>
          <w:lang w:eastAsia="pl-PL"/>
        </w:rPr>
      </w:pPr>
      <w:r w:rsidRPr="00E8050C">
        <w:rPr>
          <w:lang w:eastAsia="pl-PL"/>
        </w:rPr>
        <w:t>Konieczne jest zwiększenie liczby wykwalifikowanych instalatorów poprzez rozszerzenie programów szkoleniowych i systemów certyfikacji. Należy stworzyć preferencyjne warunki dla firm produkcyjnych, aby rozwijać krajową produkcję komponentów i zmniejszyć zależność od importu. </w:t>
      </w:r>
    </w:p>
    <w:p w14:paraId="4F45F229" w14:textId="78D1E49F" w:rsidR="00491705" w:rsidRPr="00E8050C" w:rsidRDefault="00491705" w:rsidP="000625AC">
      <w:pPr>
        <w:pStyle w:val="Akapitzlist"/>
        <w:numPr>
          <w:ilvl w:val="0"/>
          <w:numId w:val="142"/>
        </w:numPr>
        <w:spacing w:after="80"/>
        <w:ind w:left="426"/>
        <w:rPr>
          <w:rFonts w:ascii="Times New Roman" w:hAnsi="Times New Roman"/>
          <w:sz w:val="24"/>
          <w:szCs w:val="24"/>
          <w:lang w:eastAsia="pl-PL"/>
        </w:rPr>
      </w:pPr>
      <w:r w:rsidRPr="00E8050C">
        <w:rPr>
          <w:lang w:eastAsia="pl-PL"/>
        </w:rPr>
        <w:t>Aby umożliwić pełną integrację pomp ciepła z systemem elektroenergetycznym, konieczna jest modernizacja sieci oraz wdrożenie mechanizmów elastyczności, które pozwolą na optymalne wykorzystanie energii odnawialnej. Należy również wspierać rozwój dużych pomp ciepła w</w:t>
      </w:r>
      <w:r w:rsidR="00E8050C">
        <w:rPr>
          <w:lang w:eastAsia="pl-PL"/>
        </w:rPr>
        <w:t> </w:t>
      </w:r>
      <w:r w:rsidRPr="00E8050C">
        <w:rPr>
          <w:lang w:eastAsia="pl-PL"/>
        </w:rPr>
        <w:t>systemach ciepłowniczych i przemyśle. </w:t>
      </w:r>
    </w:p>
    <w:p w14:paraId="4967FEC3" w14:textId="268A983F" w:rsidR="00491705" w:rsidRDefault="00491705" w:rsidP="007C1C43">
      <w:pPr>
        <w:spacing w:after="240"/>
        <w:rPr>
          <w:lang w:eastAsia="pl-PL"/>
        </w:rPr>
      </w:pPr>
      <w:r w:rsidRPr="00077D7F">
        <w:rPr>
          <w:lang w:eastAsia="pl-PL"/>
        </w:rPr>
        <w:lastRenderedPageBreak/>
        <w:t>Podjęcie tych działań przyspieszy rozwój rynku pomp ciepła, zwiększy ich dostępność oraz konkurencyjność, zapewniając ich kluczową rolę w transformacji energetycznej i ograniczaniu emisji w</w:t>
      </w:r>
      <w:r w:rsidR="001876EB">
        <w:rPr>
          <w:lang w:eastAsia="pl-PL"/>
        </w:rPr>
        <w:t> </w:t>
      </w:r>
      <w:r w:rsidRPr="00077D7F">
        <w:rPr>
          <w:lang w:eastAsia="pl-PL"/>
        </w:rPr>
        <w:t>sektorze ogrzewnictwa.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283"/>
        <w:gridCol w:w="4547"/>
      </w:tblGrid>
      <w:tr w:rsidR="003B6773" w:rsidRPr="00077D7F" w14:paraId="0F044AAC" w14:textId="77777777" w:rsidTr="001876EB">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35A55FF3"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0E34CAF2" wp14:editId="1A5A557F">
                  <wp:extent cx="622300" cy="622300"/>
                  <wp:effectExtent l="0" t="0" r="6350" b="6350"/>
                  <wp:docPr id="1018762354" name="Obraz 2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283"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45EB057"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4547"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F9FC2E2"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4F8B6C3E" w14:textId="77777777" w:rsidTr="001876EB">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2B1518C" w14:textId="77777777" w:rsidR="00491705" w:rsidRPr="00077D7F" w:rsidRDefault="00491705">
            <w:pPr>
              <w:spacing w:after="0" w:line="240" w:lineRule="auto"/>
              <w:jc w:val="left"/>
              <w:rPr>
                <w:rFonts w:ascii="Times New Roman" w:eastAsia="Times New Roman" w:hAnsi="Times New Roman" w:cs="Times New Roman"/>
                <w:sz w:val="24"/>
                <w:szCs w:val="24"/>
                <w:lang w:eastAsia="pl-PL"/>
              </w:rPr>
            </w:pPr>
          </w:p>
        </w:tc>
        <w:tc>
          <w:tcPr>
            <w:tcW w:w="3283"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7923004" w14:textId="77777777" w:rsidR="00491705" w:rsidRPr="00077D7F" w:rsidRDefault="00491705">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 </w:t>
            </w:r>
          </w:p>
        </w:tc>
        <w:tc>
          <w:tcPr>
            <w:tcW w:w="4547"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E48E039" w14:textId="6792866C" w:rsidR="00491705" w:rsidRPr="00077D7F" w:rsidRDefault="00491705" w:rsidP="001876EB">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w:t>
            </w:r>
            <w:r w:rsidR="00974007">
              <w:rPr>
                <w:rFonts w:eastAsia="Times New Roman" w:cs="Times New Roman"/>
                <w:color w:val="808080"/>
                <w:sz w:val="18"/>
                <w:szCs w:val="18"/>
                <w:lang w:eastAsia="pl-PL"/>
              </w:rPr>
              <w:t xml:space="preserve">  </w:t>
            </w:r>
          </w:p>
          <w:p w14:paraId="6CCEAB38" w14:textId="0858C77E" w:rsidR="00491705" w:rsidRPr="00077D7F" w:rsidRDefault="00491705" w:rsidP="001876EB">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Prezes URE</w:t>
            </w:r>
            <w:r w:rsidR="003E2DE5">
              <w:rPr>
                <w:rFonts w:eastAsia="Times New Roman" w:cs="Times New Roman"/>
                <w:color w:val="808080"/>
                <w:sz w:val="18"/>
                <w:szCs w:val="18"/>
                <w:lang w:eastAsia="pl-PL"/>
              </w:rPr>
              <w:t xml:space="preserve"> </w:t>
            </w:r>
          </w:p>
        </w:tc>
      </w:tr>
    </w:tbl>
    <w:p w14:paraId="32C46BC1" w14:textId="5CDCEB92" w:rsidR="00491705" w:rsidRPr="00AA38CA" w:rsidRDefault="00491705" w:rsidP="00D523F3">
      <w:pPr>
        <w:pStyle w:val="Nagwek6"/>
        <w:rPr>
          <w:rFonts w:ascii="Times New Roman" w:eastAsia="Times New Roman" w:hAnsi="Times New Roman" w:cs="Times New Roman"/>
          <w:i/>
          <w:iCs/>
          <w:color w:val="595959"/>
          <w:lang w:eastAsia="pl-PL"/>
        </w:rPr>
      </w:pPr>
      <w:bookmarkStart w:id="1021" w:name="_Toc195856547"/>
      <w:bookmarkStart w:id="1022" w:name="_Ref195880042"/>
      <w:bookmarkStart w:id="1023" w:name="_Ref195882496"/>
      <w:bookmarkStart w:id="1024" w:name="_Ref195887187"/>
      <w:r>
        <w:t xml:space="preserve">Działanie </w:t>
      </w:r>
      <w:r>
        <w:fldChar w:fldCharType="begin"/>
      </w:r>
      <w:r>
        <w:instrText>SEQ Działanie \* ARABIC</w:instrText>
      </w:r>
      <w:r>
        <w:fldChar w:fldCharType="separate"/>
      </w:r>
      <w:r w:rsidR="00871DD5">
        <w:rPr>
          <w:noProof/>
        </w:rPr>
        <w:t>29</w:t>
      </w:r>
      <w:r>
        <w:fldChar w:fldCharType="end"/>
      </w:r>
      <w:r>
        <w:t xml:space="preserve">. </w:t>
      </w:r>
      <w:r w:rsidRPr="008863D7">
        <w:t>Instrument finansowy – Program Priorytetowy NFOŚiGW – „Udostępnianie wód termalnych w Polsce”</w:t>
      </w:r>
      <w:bookmarkEnd w:id="1021"/>
      <w:bookmarkEnd w:id="1022"/>
      <w:bookmarkEnd w:id="1023"/>
      <w:bookmarkEnd w:id="1024"/>
      <w:r w:rsidRPr="00AA38CA">
        <w:rPr>
          <w:rFonts w:eastAsia="Times New Roman" w:cs="Times New Roman"/>
          <w:bCs/>
          <w:color w:val="000000"/>
          <w:lang w:eastAsia="pl-PL"/>
        </w:rPr>
        <w:t xml:space="preserve"> </w:t>
      </w:r>
    </w:p>
    <w:p w14:paraId="34668DCD" w14:textId="3E9D6071" w:rsidR="00491705" w:rsidRPr="00AA38CA" w:rsidRDefault="00491705" w:rsidP="00242320">
      <w:pPr>
        <w:rPr>
          <w:rFonts w:ascii="Times New Roman" w:hAnsi="Times New Roman"/>
          <w:lang w:eastAsia="pl-PL"/>
        </w:rPr>
      </w:pPr>
      <w:r w:rsidRPr="00AA38CA">
        <w:rPr>
          <w:lang w:eastAsia="pl-PL"/>
        </w:rPr>
        <w:t>Założeniem programu jest wsparcie wykonywania prac i robót geologicznych związanych z</w:t>
      </w:r>
      <w:r w:rsidR="00E8050C">
        <w:rPr>
          <w:lang w:eastAsia="pl-PL"/>
        </w:rPr>
        <w:t> </w:t>
      </w:r>
      <w:r w:rsidRPr="00AA38CA">
        <w:rPr>
          <w:lang w:eastAsia="pl-PL"/>
        </w:rPr>
        <w:t>poszukiwaniem i rozpoznawaniem złóż wód termalnych dla ich udostępnienia w celach ciepłowniczych. Beneficjenci programu to jednostki samorządów terytorialnych i ich związki. W przypadku tego programu położono nacisk na dofinansowanie przedsięwzięć zlokalizowanych na obszarach najbardziej perspektywicznych pod kątem warunków geotermalnych.</w:t>
      </w:r>
      <w:r w:rsidR="003E2DE5">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2CDB30F5" w14:textId="77777777" w:rsidTr="00BA27CD">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5D5ABE46"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ascii="Times New Roman" w:eastAsia="Times New Roman" w:hAnsi="Times New Roman" w:cs="Times New Roman"/>
                <w:noProof/>
                <w:lang w:eastAsia="pl-PL"/>
              </w:rPr>
              <w:drawing>
                <wp:inline distT="0" distB="0" distL="0" distR="0" wp14:anchorId="168EA9BA" wp14:editId="7A120E12">
                  <wp:extent cx="622300" cy="622300"/>
                  <wp:effectExtent l="0" t="0" r="6350" b="6350"/>
                  <wp:docPr id="30" name="Obraz 1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D42643C"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b/>
                <w:bCs/>
                <w:smallCaps/>
                <w:color w:val="000000"/>
                <w:sz w:val="18"/>
                <w:szCs w:val="18"/>
                <w:lang w:eastAsia="pl-PL"/>
              </w:rPr>
              <w:t>PODMIOT WIODĄCY</w:t>
            </w:r>
            <w:r w:rsidRPr="00AA38C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70C45B5"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b/>
                <w:bCs/>
                <w:color w:val="000000"/>
                <w:sz w:val="18"/>
                <w:szCs w:val="18"/>
                <w:lang w:eastAsia="pl-PL"/>
              </w:rPr>
              <w:t>PODMIOTY WSPÓŁPRACUJĄCE</w:t>
            </w:r>
            <w:r w:rsidRPr="00AA38CA">
              <w:rPr>
                <w:rFonts w:eastAsia="Times New Roman" w:cs="Times New Roman"/>
                <w:color w:val="000000"/>
                <w:sz w:val="18"/>
                <w:szCs w:val="18"/>
                <w:lang w:eastAsia="pl-PL"/>
              </w:rPr>
              <w:t> </w:t>
            </w:r>
          </w:p>
        </w:tc>
      </w:tr>
      <w:tr w:rsidR="003B6773" w:rsidRPr="00AA38CA" w14:paraId="1F49C37C" w14:textId="77777777" w:rsidTr="00E8050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FF1F8C0" w14:textId="77777777" w:rsidR="00491705" w:rsidRPr="00AA38CA" w:rsidRDefault="00491705">
            <w:pPr>
              <w:spacing w:after="0" w:line="240" w:lineRule="auto"/>
              <w:rPr>
                <w:rFonts w:ascii="Times New Roman" w:eastAsia="Times New Roman" w:hAnsi="Times New Roman" w:cs="Times New Roman"/>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0E0BE1C" w14:textId="2DFF82CD"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8EA026D" w14:textId="73BAD61B" w:rsidR="00491705" w:rsidRPr="00AA38CA" w:rsidRDefault="00491705">
            <w:pPr>
              <w:spacing w:after="0" w:line="240" w:lineRule="auto"/>
              <w:textAlignment w:val="baseline"/>
              <w:rPr>
                <w:rFonts w:ascii="Times New Roman" w:eastAsia="Times New Roman" w:hAnsi="Times New Roman" w:cs="Times New Roman"/>
                <w:lang w:eastAsia="pl-PL"/>
              </w:rPr>
            </w:pPr>
            <w:bookmarkStart w:id="1025" w:name="_Ref195890627"/>
            <w:r w:rsidRPr="00AA38CA">
              <w:rPr>
                <w:rFonts w:eastAsia="Times New Roman" w:cs="Times New Roman"/>
                <w:color w:val="808080"/>
                <w:sz w:val="18"/>
                <w:szCs w:val="18"/>
                <w:lang w:eastAsia="pl-PL"/>
              </w:rPr>
              <w:t>minister wł. ds. środowiska</w:t>
            </w:r>
            <w:bookmarkEnd w:id="1025"/>
            <w:r w:rsidR="003E2DE5">
              <w:rPr>
                <w:rFonts w:eastAsia="Times New Roman" w:cs="Times New Roman"/>
                <w:color w:val="808080"/>
                <w:sz w:val="18"/>
                <w:szCs w:val="18"/>
                <w:lang w:eastAsia="pl-PL"/>
              </w:rPr>
              <w:t xml:space="preserve"> </w:t>
            </w:r>
          </w:p>
          <w:p w14:paraId="046BE9AA" w14:textId="77777777" w:rsidR="00491705" w:rsidRPr="00AA38CA" w:rsidRDefault="00491705">
            <w:pPr>
              <w:spacing w:after="0" w:line="240" w:lineRule="auto"/>
              <w:textAlignment w:val="baseline"/>
              <w:rPr>
                <w:rFonts w:ascii="Times New Roman" w:eastAsia="Times New Roman" w:hAnsi="Times New Roman" w:cs="Times New Roman"/>
                <w:lang w:eastAsia="pl-PL"/>
              </w:rPr>
            </w:pPr>
            <w:bookmarkStart w:id="1026" w:name="_Ref195891071"/>
            <w:r w:rsidRPr="00AA38CA">
              <w:rPr>
                <w:rFonts w:eastAsia="Times New Roman" w:cs="Times New Roman"/>
                <w:color w:val="808080"/>
                <w:sz w:val="18"/>
                <w:szCs w:val="18"/>
                <w:lang w:eastAsia="pl-PL"/>
              </w:rPr>
              <w:t>NFOŚiGW</w:t>
            </w:r>
            <w:bookmarkEnd w:id="1026"/>
            <w:r w:rsidRPr="00AA38CA">
              <w:rPr>
                <w:rFonts w:eastAsia="Times New Roman" w:cs="Times New Roman"/>
                <w:color w:val="808080"/>
                <w:sz w:val="18"/>
                <w:szCs w:val="18"/>
                <w:lang w:eastAsia="pl-PL"/>
              </w:rPr>
              <w:t> </w:t>
            </w:r>
          </w:p>
          <w:p w14:paraId="3AEFDEF9"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color w:val="808080"/>
                <w:sz w:val="18"/>
                <w:szCs w:val="18"/>
                <w:lang w:eastAsia="pl-PL"/>
              </w:rPr>
              <w:t> </w:t>
            </w:r>
          </w:p>
        </w:tc>
      </w:tr>
    </w:tbl>
    <w:p w14:paraId="6BDD3B65" w14:textId="7919B488"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1027" w:name="_Toc195856548"/>
      <w:bookmarkStart w:id="1028" w:name="_Ref195880093"/>
      <w:bookmarkStart w:id="1029" w:name="_Ref195882502"/>
      <w:bookmarkStart w:id="1030" w:name="_Ref195891084"/>
      <w:r>
        <w:t xml:space="preserve">Działanie </w:t>
      </w:r>
      <w:r>
        <w:fldChar w:fldCharType="begin"/>
      </w:r>
      <w:r>
        <w:instrText>SEQ Działanie \* ARABIC</w:instrText>
      </w:r>
      <w:r>
        <w:fldChar w:fldCharType="separate"/>
      </w:r>
      <w:r w:rsidR="00871DD5">
        <w:rPr>
          <w:noProof/>
        </w:rPr>
        <w:t>30</w:t>
      </w:r>
      <w:r>
        <w:fldChar w:fldCharType="end"/>
      </w:r>
      <w:r>
        <w:t>.</w:t>
      </w:r>
      <w:r w:rsidRPr="004E28D4">
        <w:t xml:space="preserve"> Plan finansowy dla transformacji ciepłownictw</w:t>
      </w:r>
      <w:r>
        <w:t>a</w:t>
      </w:r>
      <w:bookmarkEnd w:id="1027"/>
      <w:bookmarkEnd w:id="1028"/>
      <w:bookmarkEnd w:id="1029"/>
      <w:bookmarkEnd w:id="1030"/>
    </w:p>
    <w:p w14:paraId="213C793F" w14:textId="496ED789" w:rsidR="00491705" w:rsidRPr="0096716D" w:rsidRDefault="00C00218" w:rsidP="00BA27CD">
      <w:pPr>
        <w:rPr>
          <w:rFonts w:ascii="Times New Roman" w:hAnsi="Times New Roman"/>
          <w:sz w:val="24"/>
          <w:szCs w:val="24"/>
          <w:lang w:eastAsia="pl-PL"/>
        </w:rPr>
      </w:pPr>
      <w:r>
        <w:rPr>
          <w:lang w:eastAsia="pl-PL"/>
        </w:rPr>
        <w:t>Transformacja ciepłownictwa systemowego to ogromne wyzwanie</w:t>
      </w:r>
      <w:r w:rsidR="00FA03BB">
        <w:rPr>
          <w:lang w:eastAsia="pl-PL"/>
        </w:rPr>
        <w:t xml:space="preserve"> organizacyjne i finansowe, dlatego wymaga wsparcia. Aby odpowiedzieć na to wzywanie </w:t>
      </w:r>
      <w:r w:rsidR="001F36E6">
        <w:rPr>
          <w:lang w:eastAsia="pl-PL"/>
        </w:rPr>
        <w:t xml:space="preserve">opracowany </w:t>
      </w:r>
      <w:r w:rsidR="00FA03BB">
        <w:rPr>
          <w:lang w:eastAsia="pl-PL"/>
        </w:rPr>
        <w:t>zostanie</w:t>
      </w:r>
      <w:r>
        <w:rPr>
          <w:lang w:eastAsia="pl-PL"/>
        </w:rPr>
        <w:t xml:space="preserve"> </w:t>
      </w:r>
      <w:r w:rsidR="00491705" w:rsidRPr="0096716D">
        <w:rPr>
          <w:lang w:eastAsia="pl-PL"/>
        </w:rPr>
        <w:t>Plan wsparcia dla ciepłownictwa</w:t>
      </w:r>
      <w:r w:rsidR="001F36E6">
        <w:rPr>
          <w:lang w:eastAsia="pl-PL"/>
        </w:rPr>
        <w:t>, który</w:t>
      </w:r>
      <w:r w:rsidR="00491705" w:rsidRPr="0096716D">
        <w:rPr>
          <w:lang w:eastAsia="pl-PL"/>
        </w:rPr>
        <w:t xml:space="preserve"> powinien opierać się na efektywnym montażu finansowym, umożliwi</w:t>
      </w:r>
      <w:r w:rsidR="00BF193F">
        <w:rPr>
          <w:lang w:eastAsia="pl-PL"/>
        </w:rPr>
        <w:t>ć</w:t>
      </w:r>
      <w:r w:rsidR="00491705" w:rsidRPr="0096716D">
        <w:rPr>
          <w:lang w:eastAsia="pl-PL"/>
        </w:rPr>
        <w:t xml:space="preserve"> realizację projektów modernizacyjnych i inwestycyjnych w sektorze ciepłowniczym. Plan powinien zapewniać kompleksowe wsparcie finansowe, łącząc dotacje oraz pożyczki, realizowane przez różne instytucje w</w:t>
      </w:r>
      <w:r w:rsidR="00C029F7">
        <w:rPr>
          <w:lang w:eastAsia="pl-PL"/>
        </w:rPr>
        <w:t> </w:t>
      </w:r>
      <w:r w:rsidR="00491705" w:rsidRPr="0096716D">
        <w:rPr>
          <w:lang w:eastAsia="pl-PL"/>
        </w:rPr>
        <w:t>ramach jednego programu wsparcia. </w:t>
      </w:r>
    </w:p>
    <w:p w14:paraId="28041A90" w14:textId="22370BB4" w:rsidR="00491705" w:rsidRPr="0096716D" w:rsidRDefault="00491705" w:rsidP="00BA27CD">
      <w:pPr>
        <w:rPr>
          <w:rFonts w:ascii="Times New Roman" w:hAnsi="Times New Roman"/>
          <w:sz w:val="24"/>
          <w:szCs w:val="24"/>
          <w:lang w:eastAsia="pl-PL"/>
        </w:rPr>
      </w:pPr>
      <w:r w:rsidRPr="0096716D">
        <w:rPr>
          <w:lang w:eastAsia="pl-PL"/>
        </w:rPr>
        <w:t>Finansowanie projektów transformacji ciepłownictwa powinno być skoordynowane i oparte na współpracy różnych instytucji, a nie realizowane w oderwanych od siebie programach. Poszczególne podmioty, takie jak NFOŚiGW,</w:t>
      </w:r>
      <w:r w:rsidR="00974007">
        <w:rPr>
          <w:lang w:eastAsia="pl-PL"/>
        </w:rPr>
        <w:t xml:space="preserve">  </w:t>
      </w:r>
      <w:r w:rsidR="009D67ED" w:rsidRPr="0096716D">
        <w:rPr>
          <w:lang w:eastAsia="pl-PL"/>
        </w:rPr>
        <w:t>B</w:t>
      </w:r>
      <w:r w:rsidR="009D67ED">
        <w:rPr>
          <w:lang w:eastAsia="pl-PL"/>
        </w:rPr>
        <w:t xml:space="preserve">ank </w:t>
      </w:r>
      <w:r w:rsidR="009D67ED" w:rsidRPr="0096716D">
        <w:rPr>
          <w:lang w:eastAsia="pl-PL"/>
        </w:rPr>
        <w:t>G</w:t>
      </w:r>
      <w:r w:rsidR="009D67ED">
        <w:rPr>
          <w:lang w:eastAsia="pl-PL"/>
        </w:rPr>
        <w:t>ospodarstwa Krajowego</w:t>
      </w:r>
      <w:r w:rsidRPr="0096716D">
        <w:rPr>
          <w:lang w:eastAsia="pl-PL"/>
        </w:rPr>
        <w:t>, banki komercyjne czy fundusze, powinny działać w ramach wspólnej strategii, obejmującej różne etapy i formy wsparcia. </w:t>
      </w:r>
    </w:p>
    <w:p w14:paraId="407BD463" w14:textId="4807E7F7" w:rsidR="00491705" w:rsidRDefault="00491705" w:rsidP="00BA27CD">
      <w:pPr>
        <w:spacing w:after="240"/>
        <w:rPr>
          <w:lang w:eastAsia="pl-PL"/>
        </w:rPr>
      </w:pPr>
      <w:r w:rsidRPr="0096716D">
        <w:rPr>
          <w:lang w:eastAsia="pl-PL"/>
        </w:rPr>
        <w:t xml:space="preserve">Taki model montażu finansowego pozwoli na efektywne wsparcie sektora ciepłowniczego, umożliwiając modernizację infrastruktury zgodnie z działaniami opisanymi w </w:t>
      </w:r>
      <w:r w:rsidR="00BF193F">
        <w:rPr>
          <w:lang w:eastAsia="pl-PL"/>
        </w:rPr>
        <w:t>a</w:t>
      </w:r>
      <w:r w:rsidRPr="0096716D">
        <w:rPr>
          <w:lang w:eastAsia="pl-PL"/>
        </w:rPr>
        <w:t>KPEiK, przy jednoczesnym zachowaniu stabilności finansowej przedsiębiorstw.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4C61EA9B" w14:textId="77777777" w:rsidTr="00E8050C">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98FBE24"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ascii="Times New Roman" w:eastAsia="Times New Roman" w:hAnsi="Times New Roman" w:cs="Times New Roman"/>
                <w:noProof/>
                <w:lang w:eastAsia="pl-PL"/>
              </w:rPr>
              <w:drawing>
                <wp:inline distT="0" distB="0" distL="0" distR="0" wp14:anchorId="21B2D003" wp14:editId="63E2C626">
                  <wp:extent cx="622300" cy="622300"/>
                  <wp:effectExtent l="0" t="0" r="6350" b="6350"/>
                  <wp:docPr id="1368593179" name="Obraz 1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A7E65A9"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b/>
                <w:bCs/>
                <w:smallCaps/>
                <w:color w:val="000000"/>
                <w:sz w:val="18"/>
                <w:szCs w:val="18"/>
                <w:lang w:eastAsia="pl-PL"/>
              </w:rPr>
              <w:t>PODMIOT WIODĄCY</w:t>
            </w:r>
            <w:r w:rsidRPr="00AA38C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E0EE486"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b/>
                <w:bCs/>
                <w:color w:val="000000"/>
                <w:sz w:val="18"/>
                <w:szCs w:val="18"/>
                <w:lang w:eastAsia="pl-PL"/>
              </w:rPr>
              <w:t>PODMIOTY WSPÓŁPRACUJĄCE</w:t>
            </w:r>
            <w:r w:rsidRPr="00AA38CA">
              <w:rPr>
                <w:rFonts w:eastAsia="Times New Roman" w:cs="Times New Roman"/>
                <w:color w:val="000000"/>
                <w:sz w:val="18"/>
                <w:szCs w:val="18"/>
                <w:lang w:eastAsia="pl-PL"/>
              </w:rPr>
              <w:t> </w:t>
            </w:r>
          </w:p>
        </w:tc>
      </w:tr>
      <w:tr w:rsidR="003B6773" w:rsidRPr="00AA38CA" w14:paraId="63AE2FAE" w14:textId="77777777" w:rsidTr="00E8050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37214F2" w14:textId="77777777" w:rsidR="00491705" w:rsidRPr="00AA38CA" w:rsidRDefault="00491705">
            <w:pPr>
              <w:spacing w:after="0" w:line="240" w:lineRule="auto"/>
              <w:rPr>
                <w:rFonts w:ascii="Times New Roman" w:eastAsia="Times New Roman" w:hAnsi="Times New Roman" w:cs="Times New Roman"/>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A9A838C"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color w:val="808080"/>
                <w:sz w:val="18"/>
                <w:szCs w:val="18"/>
                <w:lang w:eastAsia="pl-PL"/>
              </w:rPr>
              <w:t xml:space="preserve">minister wł. ds. </w:t>
            </w:r>
            <w:r>
              <w:rPr>
                <w:rFonts w:eastAsia="Times New Roman" w:cs="Times New Roman"/>
                <w:color w:val="808080"/>
                <w:sz w:val="18"/>
                <w:szCs w:val="18"/>
                <w:lang w:eastAsia="pl-PL"/>
              </w:rPr>
              <w:t>energii</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4B56077"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color w:val="808080"/>
                <w:sz w:val="18"/>
                <w:szCs w:val="18"/>
                <w:lang w:eastAsia="pl-PL"/>
              </w:rPr>
              <w:t xml:space="preserve"> minister wł. ds. </w:t>
            </w:r>
            <w:r>
              <w:rPr>
                <w:rFonts w:eastAsia="Times New Roman" w:cs="Times New Roman"/>
                <w:color w:val="808080"/>
                <w:sz w:val="18"/>
                <w:szCs w:val="18"/>
                <w:lang w:eastAsia="pl-PL"/>
              </w:rPr>
              <w:t>klimatu</w:t>
            </w:r>
            <w:r w:rsidRPr="00AA38CA">
              <w:rPr>
                <w:rFonts w:eastAsia="Times New Roman" w:cs="Times New Roman"/>
                <w:color w:val="808080"/>
                <w:sz w:val="18"/>
                <w:szCs w:val="18"/>
                <w:lang w:eastAsia="pl-PL"/>
              </w:rPr>
              <w:t> </w:t>
            </w:r>
          </w:p>
          <w:p w14:paraId="3D425719"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color w:val="808080"/>
                <w:sz w:val="18"/>
                <w:szCs w:val="18"/>
                <w:lang w:eastAsia="pl-PL"/>
              </w:rPr>
              <w:t>NFOŚiGW </w:t>
            </w:r>
          </w:p>
          <w:p w14:paraId="351437D1" w14:textId="77777777" w:rsidR="00491705" w:rsidRPr="00AA38CA" w:rsidRDefault="00491705">
            <w:pPr>
              <w:spacing w:after="0" w:line="240" w:lineRule="auto"/>
              <w:textAlignment w:val="baseline"/>
              <w:rPr>
                <w:rFonts w:ascii="Times New Roman" w:eastAsia="Times New Roman" w:hAnsi="Times New Roman" w:cs="Times New Roman"/>
                <w:lang w:eastAsia="pl-PL"/>
              </w:rPr>
            </w:pPr>
            <w:r w:rsidRPr="00AA38CA">
              <w:rPr>
                <w:rFonts w:eastAsia="Times New Roman" w:cs="Times New Roman"/>
                <w:color w:val="808080"/>
                <w:sz w:val="18"/>
                <w:szCs w:val="18"/>
                <w:lang w:eastAsia="pl-PL"/>
              </w:rPr>
              <w:t> </w:t>
            </w:r>
          </w:p>
        </w:tc>
      </w:tr>
    </w:tbl>
    <w:p w14:paraId="49A17660" w14:textId="55699A31" w:rsidR="00BA27CD" w:rsidRDefault="00BA27CD" w:rsidP="00491705">
      <w:pPr>
        <w:spacing w:line="240" w:lineRule="auto"/>
        <w:textAlignment w:val="baseline"/>
        <w:rPr>
          <w:rFonts w:eastAsia="Times New Roman" w:cs="Times New Roman"/>
          <w:lang w:eastAsia="pl-PL"/>
        </w:rPr>
      </w:pPr>
    </w:p>
    <w:p w14:paraId="57F24E98" w14:textId="77777777" w:rsidR="000559D5" w:rsidRDefault="000559D5" w:rsidP="00491705">
      <w:pPr>
        <w:spacing w:line="240" w:lineRule="auto"/>
        <w:textAlignment w:val="baseline"/>
        <w:rPr>
          <w:rFonts w:eastAsia="Times New Roman" w:cs="Times New Roman"/>
          <w:lang w:eastAsia="pl-PL"/>
        </w:rPr>
      </w:pPr>
    </w:p>
    <w:p w14:paraId="6470E3F9" w14:textId="77777777" w:rsidR="000559D5" w:rsidRDefault="000559D5" w:rsidP="00491705">
      <w:pPr>
        <w:spacing w:line="240" w:lineRule="auto"/>
        <w:textAlignment w:val="baseline"/>
        <w:rPr>
          <w:rFonts w:eastAsia="Times New Roman" w:cs="Times New Roman"/>
          <w:lang w:eastAsia="pl-PL"/>
        </w:rPr>
      </w:pPr>
    </w:p>
    <w:tbl>
      <w:tblPr>
        <w:tblStyle w:val="Tabela-Siatka"/>
        <w:tblpPr w:leftFromText="141" w:rightFromText="141" w:vertAnchor="text" w:horzAnchor="margin" w:tblpY="195"/>
        <w:tblW w:w="935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BA27CD" w14:paraId="0A82CB0E" w14:textId="77777777" w:rsidTr="00BA27CD">
        <w:tc>
          <w:tcPr>
            <w:tcW w:w="9356" w:type="dxa"/>
          </w:tcPr>
          <w:p w14:paraId="52470B21" w14:textId="79E8BD4B" w:rsidR="00BA27CD" w:rsidRPr="00987AA2" w:rsidRDefault="00BA27CD" w:rsidP="00BA27CD">
            <w:pPr>
              <w:spacing w:before="240" w:after="240"/>
              <w:jc w:val="center"/>
              <w:rPr>
                <w:b/>
                <w:bCs/>
                <w:sz w:val="48"/>
                <w:szCs w:val="48"/>
              </w:rPr>
            </w:pPr>
            <w:r>
              <w:rPr>
                <w:b/>
                <w:bCs/>
                <w:color w:val="808080" w:themeColor="background1" w:themeShade="80"/>
                <w:sz w:val="48"/>
                <w:szCs w:val="48"/>
              </w:rPr>
              <w:lastRenderedPageBreak/>
              <w:t>Transport</w:t>
            </w:r>
          </w:p>
        </w:tc>
      </w:tr>
    </w:tbl>
    <w:p w14:paraId="4ECEE253" w14:textId="6F9D6B91"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31" w:name="_Ref195880237"/>
      <w:r>
        <w:rPr>
          <w:rFonts w:eastAsia="Times New Roman" w:cs="Times New Roman"/>
          <w:bCs/>
          <w:color w:val="000000"/>
          <w:lang w:eastAsia="pl-PL"/>
        </w:rPr>
        <w:t>Działa</w:t>
      </w:r>
      <w:bookmarkStart w:id="1032" w:name="_Toc195856549"/>
      <w:r>
        <w:t xml:space="preserve">nie </w:t>
      </w:r>
      <w:r>
        <w:fldChar w:fldCharType="begin"/>
      </w:r>
      <w:r>
        <w:instrText>SEQ Działanie \* ARABIC</w:instrText>
      </w:r>
      <w:r>
        <w:fldChar w:fldCharType="separate"/>
      </w:r>
      <w:r w:rsidR="00871DD5">
        <w:rPr>
          <w:noProof/>
        </w:rPr>
        <w:t>31</w:t>
      </w:r>
      <w:r>
        <w:fldChar w:fldCharType="end"/>
      </w:r>
      <w:r>
        <w:t xml:space="preserve">. </w:t>
      </w:r>
      <w:r w:rsidRPr="006D482B">
        <w:t>Inteligentne Systemy Transportowe (ITS)</w:t>
      </w:r>
      <w:bookmarkEnd w:id="1031"/>
      <w:bookmarkEnd w:id="1032"/>
    </w:p>
    <w:p w14:paraId="71CD7AC4" w14:textId="34C8C891" w:rsidR="00491705" w:rsidRPr="00BB495A" w:rsidRDefault="00491705" w:rsidP="00993BDD">
      <w:pPr>
        <w:rPr>
          <w:rFonts w:ascii="Times New Roman" w:hAnsi="Times New Roman"/>
          <w:sz w:val="24"/>
          <w:szCs w:val="24"/>
          <w:lang w:eastAsia="pl-PL"/>
        </w:rPr>
      </w:pPr>
      <w:r w:rsidRPr="00BB495A">
        <w:rPr>
          <w:lang w:eastAsia="pl-PL"/>
        </w:rPr>
        <w:t>Działanie obejmuje świadczenie usług związanych z różnymi rodzajami transportu i zarządzaniem ruchem, pozwalających na lepsze informowanie różnych użytkowników oraz zapewniających bezpieczniejsze, bardziej skoordynowane i „inteligentniejsze” korzystanie z sieci transportowych. System powinien umożliwiać aktywne zarządzanie ruchem drogowym oraz skutecznie dostarczać niezbędne informacje zarówno dla zarządców infrastruktury jak i użytkowników pojazdów umożliwiające przemieszczanie się w</w:t>
      </w:r>
      <w:r w:rsidR="001744E8">
        <w:rPr>
          <w:lang w:eastAsia="pl-PL"/>
        </w:rPr>
        <w:t> </w:t>
      </w:r>
      <w:r w:rsidRPr="00BB495A">
        <w:rPr>
          <w:lang w:eastAsia="pl-PL"/>
        </w:rPr>
        <w:t>jak najkrótszym czasie i najkrótszą drogą. System powinien zapewniać również, aby dane i informacje wytworzone na potrzeby jego budowy jak również wytworzone na skutek jego funkcjonowania stanowiły źródło dla usług wspierających podróże multimodalne.</w:t>
      </w:r>
      <w:r w:rsidR="00974007">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68D96E5" w14:textId="77777777" w:rsidTr="00BC7F3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2EBB1A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5BC03E9B" wp14:editId="792EAED3">
                  <wp:extent cx="622300" cy="622300"/>
                  <wp:effectExtent l="0" t="0" r="6350" b="6350"/>
                  <wp:docPr id="81"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70A543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24D9D05"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7EC39CEB" w14:textId="77777777" w:rsidTr="00BC7F3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0E28D01"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E4859F2"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8AF790B" w14:textId="5DC972FA"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tc>
      </w:tr>
    </w:tbl>
    <w:p w14:paraId="79645237" w14:textId="1B41F48C" w:rsidR="00491705" w:rsidRPr="00BB495A" w:rsidRDefault="00491705" w:rsidP="00E70DD7">
      <w:pPr>
        <w:pStyle w:val="Nagwek6"/>
        <w:rPr>
          <w:rFonts w:ascii="Times New Roman" w:eastAsia="Times New Roman" w:hAnsi="Times New Roman" w:cs="Times New Roman"/>
          <w:i/>
          <w:iCs/>
          <w:color w:val="595959"/>
          <w:sz w:val="24"/>
          <w:szCs w:val="24"/>
          <w:lang w:eastAsia="pl-PL"/>
        </w:rPr>
      </w:pPr>
      <w:bookmarkStart w:id="1033" w:name="_Toc195856550"/>
      <w:bookmarkStart w:id="1034" w:name="_Ref195880257"/>
      <w:r>
        <w:t xml:space="preserve">Działanie </w:t>
      </w:r>
      <w:r>
        <w:fldChar w:fldCharType="begin"/>
      </w:r>
      <w:r>
        <w:instrText>SEQ Działanie \* ARABIC</w:instrText>
      </w:r>
      <w:r>
        <w:fldChar w:fldCharType="separate"/>
      </w:r>
      <w:r w:rsidR="00871DD5">
        <w:rPr>
          <w:noProof/>
        </w:rPr>
        <w:t>32</w:t>
      </w:r>
      <w:r>
        <w:fldChar w:fldCharType="end"/>
      </w:r>
      <w:r>
        <w:t xml:space="preserve">. </w:t>
      </w:r>
      <w:r w:rsidRPr="007D0B6A">
        <w:t>Zwiększenie spójności i poprawa standardu dróg krajowych</w:t>
      </w:r>
      <w:bookmarkEnd w:id="1033"/>
      <w:bookmarkEnd w:id="1034"/>
      <w:r w:rsidRPr="00BB495A">
        <w:rPr>
          <w:rFonts w:eastAsia="Times New Roman" w:cs="Times New Roman"/>
          <w:bCs/>
          <w:color w:val="000000"/>
          <w:lang w:eastAsia="pl-PL"/>
        </w:rPr>
        <w:t xml:space="preserve"> </w:t>
      </w:r>
    </w:p>
    <w:p w14:paraId="18B303EA" w14:textId="77777777" w:rsidR="00491705" w:rsidRPr="00BB495A" w:rsidRDefault="00491705" w:rsidP="00993BDD">
      <w:pPr>
        <w:spacing w:after="240"/>
        <w:rPr>
          <w:lang w:eastAsia="pl-PL"/>
        </w:rPr>
      </w:pPr>
      <w:r w:rsidRPr="00BB495A">
        <w:rPr>
          <w:lang w:eastAsia="pl-PL"/>
        </w:rPr>
        <w:t>Działanie polega na stworzeniu spójnej sieci dróg krajowych zapewniającej efektywne funkcjonowanie drogowego transportu osobowego i towarowego. W szczególności ukończenie sieci TEN-T umożliwi rozmieszczenie na sieci dróg stacji ładowania. Działanie, zwłaszcza polegające na budowie nowego przebiegu poza miastem i/lub gęstą zabudową mieszkaniową, pozwoli również na wyprowadzenie ruchu tranzytowego z miast, zoptymalizowanie płynności ruchu – co poprawi efektywność paliwową i emisyjną i da większe możliwości JST do prowadzenia zrównoważonej lokalnej polityki transportowej.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64F19271" w14:textId="77777777" w:rsidTr="00BC7F3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6A9EC45"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0EF5D1C9" wp14:editId="077DCCB0">
                  <wp:extent cx="622300" cy="622300"/>
                  <wp:effectExtent l="0" t="0" r="6350" b="6350"/>
                  <wp:docPr id="234552904"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FD9D8C0"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35D14B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3851C15B" w14:textId="77777777" w:rsidTr="00BC7F3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28BD597"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98DC1D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E5259F3" w14:textId="144CDB55"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tc>
      </w:tr>
    </w:tbl>
    <w:p w14:paraId="33738020" w14:textId="17D2CB94"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35" w:name="_Toc195856551"/>
      <w:bookmarkStart w:id="1036" w:name="_Ref195880270"/>
      <w:bookmarkStart w:id="1037" w:name="_Ref195889489"/>
      <w:r>
        <w:t xml:space="preserve">Działanie </w:t>
      </w:r>
      <w:r>
        <w:fldChar w:fldCharType="begin"/>
      </w:r>
      <w:r>
        <w:instrText>SEQ Działanie \* ARABIC</w:instrText>
      </w:r>
      <w:r>
        <w:fldChar w:fldCharType="separate"/>
      </w:r>
      <w:r w:rsidR="00871DD5">
        <w:rPr>
          <w:noProof/>
        </w:rPr>
        <w:t>33</w:t>
      </w:r>
      <w:r>
        <w:fldChar w:fldCharType="end"/>
      </w:r>
      <w:r>
        <w:t xml:space="preserve">. </w:t>
      </w:r>
      <w:r w:rsidRPr="00AF4C89">
        <w:t>Instrument finansowy – Fundusz rozwoju przewozów autobusowych o</w:t>
      </w:r>
      <w:r w:rsidRPr="00AF4C89">
        <w:rPr>
          <w:rFonts w:ascii="Arial" w:hAnsi="Arial" w:cs="Arial"/>
        </w:rPr>
        <w:t> </w:t>
      </w:r>
      <w:r w:rsidRPr="00AF4C89">
        <w:t>charakterze u</w:t>
      </w:r>
      <w:r w:rsidRPr="00AF4C89">
        <w:rPr>
          <w:rFonts w:ascii="Lato" w:hAnsi="Lato" w:cs="Lato"/>
        </w:rPr>
        <w:t>ż</w:t>
      </w:r>
      <w:r w:rsidRPr="00AF4C89">
        <w:t>yteczno</w:t>
      </w:r>
      <w:r w:rsidRPr="00AF4C89">
        <w:rPr>
          <w:rFonts w:ascii="Lato" w:hAnsi="Lato" w:cs="Lato"/>
        </w:rPr>
        <w:t>ś</w:t>
      </w:r>
      <w:r w:rsidRPr="00AF4C89">
        <w:t>ci publicznej</w:t>
      </w:r>
      <w:bookmarkEnd w:id="1035"/>
      <w:bookmarkEnd w:id="1036"/>
      <w:bookmarkEnd w:id="1037"/>
    </w:p>
    <w:p w14:paraId="71070AB6" w14:textId="6386FEAE" w:rsidR="00491705" w:rsidRPr="00BB495A" w:rsidRDefault="00491705" w:rsidP="00993BDD">
      <w:pPr>
        <w:rPr>
          <w:rFonts w:ascii="Times New Roman" w:hAnsi="Times New Roman"/>
          <w:sz w:val="24"/>
          <w:szCs w:val="24"/>
          <w:lang w:eastAsia="pl-PL"/>
        </w:rPr>
      </w:pPr>
      <w:r w:rsidRPr="00BB495A">
        <w:rPr>
          <w:lang w:eastAsia="pl-PL"/>
        </w:rPr>
        <w:t>Działanie obejmuje wsparcie finansowe jednostek samorządu terytorialnego będących organizatorami publicznego transportu zbiorowego w realizacji ich zadań własnych w zakresie przewozów autobusowych o charakterze użyteczności publicznej, z wyłączeniem komunikacji miejskiej. Dofinansowanie jest przyznawane w formie dopłaty do kwoty deficytu pojedynczej linii komunikacyjnej.</w:t>
      </w:r>
      <w:r w:rsidR="003E2DE5">
        <w:rPr>
          <w:rFonts w:eastAsia="Times New Roman" w:cs="Times New Roman"/>
          <w:lang w:eastAsia="pl-PL"/>
        </w:rPr>
        <w:t xml:space="preserve"> </w:t>
      </w:r>
    </w:p>
    <w:p w14:paraId="3632E613" w14:textId="77777777" w:rsidR="00491705" w:rsidRPr="00BB495A" w:rsidRDefault="00491705" w:rsidP="00993BDD">
      <w:pPr>
        <w:spacing w:after="240"/>
        <w:rPr>
          <w:rFonts w:ascii="Times New Roman" w:hAnsi="Times New Roman"/>
          <w:sz w:val="24"/>
          <w:szCs w:val="24"/>
          <w:lang w:eastAsia="pl-PL"/>
        </w:rPr>
      </w:pPr>
      <w:r w:rsidRPr="00BB495A">
        <w:rPr>
          <w:lang w:eastAsia="pl-PL"/>
        </w:rPr>
        <w:t>Dobry transport zbiorowy to nie tylko lepsza efektywność energetyczna i mniejsze zużycie energii, ale też eliminacja powszechnego w Polsce wykluczenia transportowego. Szereg barier takich jak wysokie ceny biletów, brak połączeń lub połączenia zbyt rzadkie lub o nieodpowiednich godzinach, brak spójności sieci transportowych i koordynacji rozkładów wymagają opracowania i wdrożenia odpowiednich rozwiązań.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7B100AD9" w14:textId="77777777" w:rsidTr="00BC7F3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9B1276A"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0022260D" wp14:editId="391A7759">
                  <wp:extent cx="622300" cy="622300"/>
                  <wp:effectExtent l="0" t="0" r="6350" b="6350"/>
                  <wp:docPr id="82" name="Obraz 2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C41F66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996D90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7DF07A21" w14:textId="77777777" w:rsidTr="00BC7F3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17D20F7"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8668092"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F5F168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rozwoju regionalnego </w:t>
            </w:r>
          </w:p>
        </w:tc>
      </w:tr>
    </w:tbl>
    <w:p w14:paraId="0D8A47A4" w14:textId="466A0B90"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38" w:name="_Ref195880309"/>
      <w:r>
        <w:rPr>
          <w:rFonts w:eastAsia="Times New Roman" w:cs="Times New Roman"/>
          <w:lang w:eastAsia="pl-PL"/>
        </w:rPr>
        <w:t>Działa</w:t>
      </w:r>
      <w:bookmarkStart w:id="1039" w:name="_Toc195856552"/>
      <w:r>
        <w:t xml:space="preserve">nie </w:t>
      </w:r>
      <w:r>
        <w:fldChar w:fldCharType="begin"/>
      </w:r>
      <w:r>
        <w:instrText>SEQ Działanie \* ARABIC</w:instrText>
      </w:r>
      <w:r>
        <w:fldChar w:fldCharType="separate"/>
      </w:r>
      <w:r w:rsidR="00871DD5">
        <w:rPr>
          <w:noProof/>
        </w:rPr>
        <w:t>34</w:t>
      </w:r>
      <w:r>
        <w:fldChar w:fldCharType="end"/>
      </w:r>
      <w:r>
        <w:t xml:space="preserve">. </w:t>
      </w:r>
      <w:r w:rsidRPr="00137D92">
        <w:t>Rozwój miejskich sieci transportowych</w:t>
      </w:r>
      <w:bookmarkEnd w:id="1038"/>
      <w:bookmarkEnd w:id="1039"/>
    </w:p>
    <w:p w14:paraId="0CEB179A" w14:textId="03875269" w:rsidR="00491705" w:rsidRPr="00BB495A" w:rsidRDefault="00491705" w:rsidP="00A51431">
      <w:pPr>
        <w:rPr>
          <w:rFonts w:ascii="Times New Roman" w:hAnsi="Times New Roman"/>
          <w:sz w:val="24"/>
          <w:szCs w:val="24"/>
          <w:lang w:eastAsia="pl-PL"/>
        </w:rPr>
      </w:pPr>
      <w:r w:rsidRPr="00BB495A">
        <w:rPr>
          <w:lang w:eastAsia="pl-PL"/>
        </w:rPr>
        <w:t xml:space="preserve">Działanie polega na stworzeniu spójnej sieci dróg miejskich, zapewniającej efektywne funkcjonowanie transportu drogowego, kolejowego oraz aktywnej mobilności w miastach i w miejskich obszarach funkcjonalnych. Sieć powinna powstać w oparciu o przyjęty </w:t>
      </w:r>
      <w:r w:rsidRPr="00BB495A">
        <w:rPr>
          <w:i/>
          <w:iCs/>
          <w:lang w:eastAsia="pl-PL"/>
        </w:rPr>
        <w:t>plan zrównoważonej mobilności miejskiej</w:t>
      </w:r>
      <w:r w:rsidRPr="00BB495A">
        <w:rPr>
          <w:lang w:eastAsia="pl-PL"/>
        </w:rPr>
        <w:t xml:space="preserve">, wymagany dla węzłów miejskich wymienionych w załączniku II do rozporządzenia PE i Rady (UE) 2024/1679 z dnia 13 czerwca 2024 r. </w:t>
      </w:r>
      <w:r w:rsidRPr="007C396E">
        <w:rPr>
          <w:i/>
          <w:iCs/>
          <w:lang w:eastAsia="pl-PL"/>
        </w:rPr>
        <w:t>w sprawie unijnych wytycznych dotyczących rozwoju transeuropejskiej sieci transportowej</w:t>
      </w:r>
      <w:r w:rsidRPr="00BB495A">
        <w:rPr>
          <w:lang w:eastAsia="pl-PL"/>
        </w:rPr>
        <w:t>. W przypadku miast niebędących węzłami miejskimi podstawą opracowania może być inny dokument strategiczny z zakresu planowania transportu miejskiego, który powinien obejmować plan zrównoważonego rozwoju publicznego transportu zbiorowego (spełniających wymagania ustawy o</w:t>
      </w:r>
      <w:r w:rsidR="00D01C29">
        <w:rPr>
          <w:lang w:eastAsia="pl-PL"/>
        </w:rPr>
        <w:t> </w:t>
      </w:r>
      <w:r w:rsidRPr="00BB495A">
        <w:rPr>
          <w:lang w:eastAsia="pl-PL"/>
        </w:rPr>
        <w:t>publicznym transporcie zbiorowym). </w:t>
      </w:r>
    </w:p>
    <w:p w14:paraId="31F52B30" w14:textId="07F4DB43" w:rsidR="00491705" w:rsidRPr="00BB495A" w:rsidRDefault="00491705" w:rsidP="00A51431">
      <w:pPr>
        <w:rPr>
          <w:rFonts w:ascii="Times New Roman" w:hAnsi="Times New Roman"/>
          <w:sz w:val="24"/>
          <w:szCs w:val="24"/>
          <w:lang w:eastAsia="pl-PL"/>
        </w:rPr>
      </w:pPr>
      <w:r w:rsidRPr="00BB495A">
        <w:rPr>
          <w:lang w:eastAsia="pl-PL"/>
        </w:rPr>
        <w:t xml:space="preserve">Rozwój zrównoważonego transportu w miastach zderza się z infrastrukturą zoptymalizowaną pod kątem samochodów osobowych, które są najmniej efektywnym energetycznie środkiem transportu </w:t>
      </w:r>
      <w:r w:rsidR="00BF40DD">
        <w:rPr>
          <w:lang w:eastAsia="pl-PL"/>
        </w:rPr>
        <w:t>(</w:t>
      </w:r>
      <w:r w:rsidRPr="00BB495A">
        <w:rPr>
          <w:lang w:eastAsia="pl-PL"/>
        </w:rPr>
        <w:t xml:space="preserve">na szereg sposobów </w:t>
      </w:r>
      <w:r w:rsidR="00BF40DD" w:rsidRPr="00BB495A">
        <w:rPr>
          <w:lang w:eastAsia="pl-PL"/>
        </w:rPr>
        <w:t xml:space="preserve">wpływających też </w:t>
      </w:r>
      <w:r w:rsidRPr="00BB495A">
        <w:rPr>
          <w:lang w:eastAsia="pl-PL"/>
        </w:rPr>
        <w:t>negatywnie na tkankę miejską</w:t>
      </w:r>
      <w:r w:rsidR="00BF40DD">
        <w:rPr>
          <w:lang w:eastAsia="pl-PL"/>
        </w:rPr>
        <w:t>)</w:t>
      </w:r>
      <w:r w:rsidRPr="00BB495A">
        <w:rPr>
          <w:lang w:eastAsia="pl-PL"/>
        </w:rPr>
        <w:t>. Drogi powinny rozwijać się w taki sposób, aby zapewniać rozwój transportu zbiorowego w oparciu o transport szynowy i niskoemisyjny transport autobusowy. Należy w tym zakresie rozwijać infrastrukturę dojazdową do miejsc przesiadkowych oraz infrastrukturę typ</w:t>
      </w:r>
      <w:r w:rsidR="008B0C87">
        <w:rPr>
          <w:lang w:eastAsia="pl-PL"/>
        </w:rPr>
        <w:t>u</w:t>
      </w:r>
      <w:r w:rsidRPr="00BB495A">
        <w:rPr>
          <w:lang w:eastAsia="pl-PL"/>
        </w:rPr>
        <w:t xml:space="preserve"> </w:t>
      </w:r>
      <w:r w:rsidR="008B0C87">
        <w:rPr>
          <w:lang w:eastAsia="pl-PL"/>
        </w:rPr>
        <w:t>„</w:t>
      </w:r>
      <w:r w:rsidRPr="00BB495A">
        <w:rPr>
          <w:lang w:eastAsia="pl-PL"/>
        </w:rPr>
        <w:t>Park and Ride</w:t>
      </w:r>
      <w:r w:rsidR="008B0C87">
        <w:rPr>
          <w:lang w:eastAsia="pl-PL"/>
        </w:rPr>
        <w:t>”</w:t>
      </w:r>
      <w:r w:rsidRPr="00BB495A">
        <w:rPr>
          <w:lang w:eastAsia="pl-PL"/>
        </w:rPr>
        <w:t>.</w:t>
      </w:r>
      <w:r w:rsidRPr="00BB495A">
        <w:rPr>
          <w:rFonts w:ascii="Aptos" w:hAnsi="Aptos"/>
          <w:sz w:val="24"/>
          <w:szCs w:val="24"/>
          <w:lang w:eastAsia="pl-PL"/>
        </w:rPr>
        <w:t xml:space="preserve"> </w:t>
      </w:r>
      <w:r w:rsidRPr="00BB495A">
        <w:rPr>
          <w:lang w:eastAsia="pl-PL"/>
        </w:rPr>
        <w:t>Sieci te oraz miejsca przesiadkowe powinny być wyposażone w</w:t>
      </w:r>
      <w:r w:rsidR="008B0C87">
        <w:rPr>
          <w:lang w:eastAsia="pl-PL"/>
        </w:rPr>
        <w:t> </w:t>
      </w:r>
      <w:r w:rsidRPr="00BB495A">
        <w:rPr>
          <w:lang w:eastAsia="pl-PL"/>
        </w:rPr>
        <w:t>infrastrukturę i usługi ITS oraz C-ITS</w:t>
      </w:r>
      <w:r w:rsidR="006F6256">
        <w:rPr>
          <w:lang w:eastAsia="pl-PL"/>
        </w:rPr>
        <w:t xml:space="preserve"> (</w:t>
      </w:r>
      <w:r w:rsidR="00202CBB">
        <w:rPr>
          <w:lang w:eastAsia="pl-PL"/>
        </w:rPr>
        <w:t xml:space="preserve">kooperacyjne </w:t>
      </w:r>
      <w:r w:rsidR="006F6256" w:rsidRPr="006F6256">
        <w:rPr>
          <w:lang w:eastAsia="pl-PL"/>
        </w:rPr>
        <w:t>inteligentn</w:t>
      </w:r>
      <w:r w:rsidR="00202CBB">
        <w:rPr>
          <w:lang w:eastAsia="pl-PL"/>
        </w:rPr>
        <w:t>e</w:t>
      </w:r>
      <w:r w:rsidR="006F6256" w:rsidRPr="006F6256">
        <w:rPr>
          <w:lang w:eastAsia="pl-PL"/>
        </w:rPr>
        <w:t xml:space="preserve"> system</w:t>
      </w:r>
      <w:r w:rsidR="00202CBB">
        <w:rPr>
          <w:lang w:eastAsia="pl-PL"/>
        </w:rPr>
        <w:t>y</w:t>
      </w:r>
      <w:r w:rsidR="006F6256" w:rsidRPr="006F6256">
        <w:rPr>
          <w:lang w:eastAsia="pl-PL"/>
        </w:rPr>
        <w:t xml:space="preserve"> transportow</w:t>
      </w:r>
      <w:r w:rsidR="00202CBB">
        <w:rPr>
          <w:lang w:eastAsia="pl-PL"/>
        </w:rPr>
        <w:t>e)</w:t>
      </w:r>
      <w:r w:rsidRPr="00BB495A">
        <w:rPr>
          <w:lang w:eastAsia="pl-PL"/>
        </w:rPr>
        <w:t xml:space="preserve"> umożliwiające ustanowienie priorytetu dla komunikacji publicznej oraz zapewnienie dynamicznych informacji dla kierowców i pasażerów. Centra zarządzania ruchem powinny współpracować z systemami zarządzania publicznym transportem zbiorowym, z systemami innych zarządców dróg oraz lokalnymi mapami dynamicznymi dla węzłów przesiadkowych.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5514B0B" w14:textId="77777777" w:rsidTr="008B0C8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586ABC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476154C5" wp14:editId="7BFDDDB5">
                  <wp:extent cx="622300" cy="622300"/>
                  <wp:effectExtent l="0" t="0" r="6350" b="6350"/>
                  <wp:docPr id="83" name="Obraz 2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A78B4E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3BFEF6F"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5C4190C4"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AB8B70C"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B52F6DD"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8D55C44"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rozwoju regionalnego </w:t>
            </w:r>
          </w:p>
        </w:tc>
      </w:tr>
    </w:tbl>
    <w:p w14:paraId="5A5B96E7" w14:textId="7632DF73"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40" w:name="_Toc195856553"/>
      <w:bookmarkStart w:id="1041" w:name="_Ref195880347"/>
      <w:bookmarkStart w:id="1042" w:name="_Ref195880364"/>
      <w:bookmarkStart w:id="1043" w:name="_Ref195886969"/>
      <w:bookmarkStart w:id="1044" w:name="_Ref195889501"/>
      <w:r>
        <w:t xml:space="preserve">Działanie </w:t>
      </w:r>
      <w:r>
        <w:fldChar w:fldCharType="begin"/>
      </w:r>
      <w:r>
        <w:instrText>SEQ Działanie \* ARABIC</w:instrText>
      </w:r>
      <w:r>
        <w:fldChar w:fldCharType="separate"/>
      </w:r>
      <w:r w:rsidR="00871DD5">
        <w:rPr>
          <w:noProof/>
        </w:rPr>
        <w:t>35</w:t>
      </w:r>
      <w:r>
        <w:fldChar w:fldCharType="end"/>
      </w:r>
      <w:r>
        <w:t xml:space="preserve">. </w:t>
      </w:r>
      <w:r w:rsidRPr="00A546CC">
        <w:t>Rozwój zeroemisyjnego transportu publicznego w miastach</w:t>
      </w:r>
      <w:bookmarkEnd w:id="1040"/>
      <w:bookmarkEnd w:id="1041"/>
      <w:bookmarkEnd w:id="1042"/>
      <w:bookmarkEnd w:id="1043"/>
      <w:bookmarkEnd w:id="1044"/>
    </w:p>
    <w:p w14:paraId="02F7CB4A" w14:textId="456716FE" w:rsidR="00491705" w:rsidRPr="00BB495A" w:rsidRDefault="00491705" w:rsidP="00703BFD">
      <w:pPr>
        <w:spacing w:after="240"/>
        <w:rPr>
          <w:rFonts w:ascii="Times New Roman" w:hAnsi="Times New Roman"/>
          <w:sz w:val="24"/>
          <w:szCs w:val="24"/>
          <w:lang w:eastAsia="pl-PL"/>
        </w:rPr>
      </w:pPr>
      <w:r w:rsidRPr="00BB495A">
        <w:rPr>
          <w:lang w:eastAsia="pl-PL"/>
        </w:rPr>
        <w:t>Działanie polega na wspieraniu zrównoważonej mobilności miejskiej m.in. poprzez dofinansowanie przedsięwzięć polegających na obniżeniu poziomu emisji pochodzących z transportu publicznego. Obejmuje to wymianę taboru na bezemisyjny, budowę, przebudowę i modernizację infrastruktury na potrzeby transportu miejskiego oraz digitalizację systemu mobilności w miastach. Programy te realizowane będą przez NFOŚiGW oraz Centrum Unijnych Projektów Transportowych.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4A478F10" w14:textId="77777777" w:rsidTr="008B0C8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73E765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552F6848" wp14:editId="16C071FE">
                  <wp:extent cx="622300" cy="622300"/>
                  <wp:effectExtent l="0" t="0" r="6350" b="6350"/>
                  <wp:docPr id="85" name="Obraz 2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24E40F2"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F1E58F4"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398D2B85"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6482D8F"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A088B2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4CE7C6F" w14:textId="1EE9DC5A"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p w14:paraId="00886314" w14:textId="0CB72684"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rozwoju regionalnego</w:t>
            </w:r>
            <w:r w:rsidR="003E2DE5">
              <w:rPr>
                <w:rFonts w:eastAsia="Times New Roman" w:cs="Times New Roman"/>
                <w:color w:val="808080"/>
                <w:sz w:val="18"/>
                <w:szCs w:val="18"/>
                <w:lang w:eastAsia="pl-PL"/>
              </w:rPr>
              <w:t xml:space="preserve"> </w:t>
            </w:r>
          </w:p>
          <w:p w14:paraId="0B4DA4F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Centrum Unijnych Projektów Transportowych </w:t>
            </w:r>
          </w:p>
          <w:p w14:paraId="3CBDB7F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NFOŚiGW </w:t>
            </w:r>
          </w:p>
          <w:p w14:paraId="5547AB8D"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w:t>
            </w:r>
          </w:p>
        </w:tc>
      </w:tr>
    </w:tbl>
    <w:p w14:paraId="77CB6B59" w14:textId="37BDEE80"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45" w:name="_Toc195856554"/>
      <w:bookmarkStart w:id="1046" w:name="_Ref195880374"/>
      <w:bookmarkStart w:id="1047" w:name="_Ref195886978"/>
      <w:bookmarkStart w:id="1048" w:name="_Ref195888762"/>
      <w:r>
        <w:lastRenderedPageBreak/>
        <w:t xml:space="preserve">Działanie </w:t>
      </w:r>
      <w:r>
        <w:fldChar w:fldCharType="begin"/>
      </w:r>
      <w:r>
        <w:instrText>SEQ Działanie \* ARABIC</w:instrText>
      </w:r>
      <w:r>
        <w:fldChar w:fldCharType="separate"/>
      </w:r>
      <w:r w:rsidR="00871DD5">
        <w:rPr>
          <w:noProof/>
        </w:rPr>
        <w:t>36</w:t>
      </w:r>
      <w:r>
        <w:fldChar w:fldCharType="end"/>
      </w:r>
      <w:r>
        <w:t xml:space="preserve">. </w:t>
      </w:r>
      <w:r w:rsidRPr="00685E5C">
        <w:t>Utworzenie stref czystego transport</w:t>
      </w:r>
      <w:r>
        <w:t>u</w:t>
      </w:r>
      <w:bookmarkEnd w:id="1045"/>
      <w:bookmarkEnd w:id="1046"/>
      <w:bookmarkEnd w:id="1047"/>
      <w:bookmarkEnd w:id="1048"/>
    </w:p>
    <w:p w14:paraId="51E233F6" w14:textId="2BC3A26A" w:rsidR="00491705" w:rsidRPr="00BB495A" w:rsidRDefault="00491705" w:rsidP="006E0C8D">
      <w:pPr>
        <w:rPr>
          <w:rFonts w:ascii="Times New Roman" w:hAnsi="Times New Roman"/>
          <w:sz w:val="24"/>
          <w:szCs w:val="24"/>
          <w:lang w:eastAsia="pl-PL"/>
        </w:rPr>
      </w:pPr>
      <w:r w:rsidRPr="00BB495A">
        <w:rPr>
          <w:lang w:eastAsia="pl-PL"/>
        </w:rPr>
        <w:t>Działanie polega na wyznaczaniu w miastach obszarów, w których ruch pojazdów emisyjnych jest ograniczony. W przypadku miast liczących powyżej 100 tys. mieszkańców, gdzie przekroczone są normy emisji NO</w:t>
      </w:r>
      <w:r w:rsidRPr="00BB495A">
        <w:rPr>
          <w:sz w:val="16"/>
          <w:szCs w:val="16"/>
          <w:vertAlign w:val="subscript"/>
          <w:lang w:eastAsia="pl-PL"/>
        </w:rPr>
        <w:t>2</w:t>
      </w:r>
      <w:r w:rsidRPr="00BB495A">
        <w:rPr>
          <w:lang w:eastAsia="pl-PL"/>
        </w:rPr>
        <w:t xml:space="preserve"> w powietrzu, tworzenie stref jest obowiązkowe.</w:t>
      </w:r>
      <w:r w:rsidR="003E2DE5">
        <w:rPr>
          <w:rFonts w:eastAsia="Times New Roman" w:cs="Times New Roman"/>
          <w:lang w:eastAsia="pl-PL"/>
        </w:rPr>
        <w:t xml:space="preserve"> </w:t>
      </w:r>
    </w:p>
    <w:p w14:paraId="346CCA7B" w14:textId="491BB8D0" w:rsidR="00491705" w:rsidRPr="008B0C87" w:rsidRDefault="00491705" w:rsidP="006E0C8D">
      <w:pPr>
        <w:spacing w:after="240"/>
        <w:rPr>
          <w:rFonts w:ascii="Times New Roman" w:hAnsi="Times New Roman"/>
          <w:sz w:val="24"/>
          <w:szCs w:val="24"/>
          <w:lang w:eastAsia="pl-PL"/>
        </w:rPr>
      </w:pPr>
      <w:r w:rsidRPr="00BB495A">
        <w:rPr>
          <w:lang w:eastAsia="pl-PL"/>
        </w:rPr>
        <w:t>Za wjazd do strefy powinny być wprowadzone opłaty, relatywnie wysokie dla pojazdów wysokoemisyjnych, niższe dla pojazdów zeroemisyjnych. Należy dążyć do systemu, w którym opłaty będą naliczane automatycznie przez system monitoringu, który umożliwi identyfikację pojazdów nieuprawnionych poruszających się po strefie oraz skutecznego egzekwowania prawa. Wpływy z tego źródła powinny być przeznaczone na dofinansowanie transportu zbiorowego w mieście, włącznie z</w:t>
      </w:r>
      <w:r w:rsidR="008B0C87">
        <w:rPr>
          <w:lang w:eastAsia="pl-PL"/>
        </w:rPr>
        <w:t> </w:t>
      </w:r>
      <w:r w:rsidRPr="00BB495A">
        <w:rPr>
          <w:lang w:eastAsia="pl-PL"/>
        </w:rPr>
        <w:t>możliwością zapewnienia mieszkańcom darmowego transportu publicznego.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7147F599" w14:textId="77777777" w:rsidTr="008B0C8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CA08EF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6FE1DCF6" wp14:editId="46E6B257">
                  <wp:extent cx="622300" cy="622300"/>
                  <wp:effectExtent l="0" t="0" r="6350" b="6350"/>
                  <wp:docPr id="86" name="Obraz 2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698D7F2"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0A1265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787E3A74"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0A5D84E"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5680D9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3DD3670"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r>
    </w:tbl>
    <w:p w14:paraId="1D957731" w14:textId="149090D3"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49" w:name="_Ref195880442"/>
      <w:r>
        <w:rPr>
          <w:rFonts w:eastAsia="Times New Roman" w:cs="Times New Roman"/>
          <w:lang w:eastAsia="pl-PL"/>
        </w:rPr>
        <w:t>Działa</w:t>
      </w:r>
      <w:bookmarkStart w:id="1050" w:name="_Toc195856555"/>
      <w:r>
        <w:t xml:space="preserve">nie </w:t>
      </w:r>
      <w:r>
        <w:fldChar w:fldCharType="begin"/>
      </w:r>
      <w:r>
        <w:instrText>SEQ Działanie \* ARABIC</w:instrText>
      </w:r>
      <w:r>
        <w:fldChar w:fldCharType="separate"/>
      </w:r>
      <w:r w:rsidR="00871DD5">
        <w:rPr>
          <w:noProof/>
        </w:rPr>
        <w:t>37</w:t>
      </w:r>
      <w:r>
        <w:fldChar w:fldCharType="end"/>
      </w:r>
      <w:r>
        <w:t xml:space="preserve">. </w:t>
      </w:r>
      <w:r w:rsidRPr="00C65E73">
        <w:t>Instrumenty finansowego wsparcia elektromobilności</w:t>
      </w:r>
      <w:bookmarkEnd w:id="1049"/>
      <w:bookmarkEnd w:id="1050"/>
      <w:r w:rsidRPr="00BB495A">
        <w:rPr>
          <w:rFonts w:eastAsia="Times New Roman" w:cs="Times New Roman"/>
          <w:bCs/>
          <w:color w:val="000000"/>
          <w:lang w:eastAsia="pl-PL"/>
        </w:rPr>
        <w:t xml:space="preserve"> </w:t>
      </w:r>
    </w:p>
    <w:p w14:paraId="0A0A60CE" w14:textId="77777777" w:rsidR="00491705" w:rsidRPr="00BB495A" w:rsidRDefault="00491705" w:rsidP="008E3DE5">
      <w:pPr>
        <w:rPr>
          <w:rFonts w:ascii="Times New Roman" w:hAnsi="Times New Roman"/>
          <w:sz w:val="24"/>
          <w:szCs w:val="24"/>
          <w:lang w:eastAsia="pl-PL"/>
        </w:rPr>
      </w:pPr>
      <w:r w:rsidRPr="00BB495A">
        <w:rPr>
          <w:lang w:eastAsia="pl-PL"/>
        </w:rPr>
        <w:t>Działanie obejmuje szereg programów finansowego wsparcia rozwoju elektromobilności, w szczególności program dofinansowania do zakupu i leasingu samochodów osobowych, którego celem jest wsparcie zakupu lub leasingu pojazdów elektrycznych przez jak najszersze grono odbiorców. </w:t>
      </w:r>
    </w:p>
    <w:p w14:paraId="1D1F92EB" w14:textId="2E50E7C8" w:rsidR="00491705" w:rsidRPr="00BB495A" w:rsidRDefault="00491705" w:rsidP="001F1270">
      <w:pPr>
        <w:spacing w:after="24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lang w:eastAsia="pl-PL"/>
        </w:rPr>
        <w:t>Mając na uwadze konieczność transformacji sektora przewozów drogowych, celem utrzymania konkurencyjnej pozycji polskich przedsiębiorców na rynku europejskim, wsparciem zostaną objęte pojazdy kategorii N2, N3, budowa infrastruktury ładowania dużych mocy oraz przyłącze elektroenergetyczne niezbędne do zapewnienia zasilania stref ładowania.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49824BDB" w14:textId="77777777" w:rsidTr="008B0C8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F53FAC4"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1B549FE1" wp14:editId="18864046">
                  <wp:extent cx="622300" cy="622300"/>
                  <wp:effectExtent l="0" t="0" r="6350" b="6350"/>
                  <wp:docPr id="88" name="Obraz 1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3C8104A"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D25AD9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4032EA11"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6A4F903"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1F1A38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p w14:paraId="4E1A8DA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BB89721" w14:textId="6AC36846"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p w14:paraId="238AC2ED"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NFOŚiGW </w:t>
            </w:r>
          </w:p>
          <w:p w14:paraId="1D64D45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w:t>
            </w:r>
          </w:p>
        </w:tc>
      </w:tr>
    </w:tbl>
    <w:p w14:paraId="6A61C7EC" w14:textId="6863D5DE" w:rsidR="00491705" w:rsidRPr="001F1270" w:rsidRDefault="00491705" w:rsidP="00D523F3">
      <w:pPr>
        <w:pStyle w:val="Nagwek6"/>
      </w:pPr>
      <w:bookmarkStart w:id="1051" w:name="_Toc195856556"/>
      <w:bookmarkStart w:id="1052" w:name="_Ref195880453"/>
      <w:bookmarkStart w:id="1053" w:name="_Ref195886995"/>
      <w:r>
        <w:t xml:space="preserve">Działanie </w:t>
      </w:r>
      <w:r w:rsidR="004E24E2" w:rsidRPr="001F1270">
        <w:fldChar w:fldCharType="begin"/>
      </w:r>
      <w:r w:rsidR="004E24E2">
        <w:instrText xml:space="preserve"> SEQ Działanie \* ARABIC </w:instrText>
      </w:r>
      <w:r w:rsidR="004E24E2" w:rsidRPr="001F1270">
        <w:fldChar w:fldCharType="separate"/>
      </w:r>
      <w:r w:rsidR="00871DD5">
        <w:rPr>
          <w:noProof/>
        </w:rPr>
        <w:t>38</w:t>
      </w:r>
      <w:r w:rsidR="004E24E2" w:rsidRPr="001F1270">
        <w:fldChar w:fldCharType="end"/>
      </w:r>
      <w:r>
        <w:t xml:space="preserve">. </w:t>
      </w:r>
      <w:r w:rsidRPr="00F03C30">
        <w:t>Instrumenty pozafinansowego wsparcia elektromobilności</w:t>
      </w:r>
      <w:bookmarkEnd w:id="1051"/>
      <w:bookmarkEnd w:id="1052"/>
      <w:bookmarkEnd w:id="1053"/>
      <w:r w:rsidRPr="001F1270">
        <w:t xml:space="preserve"> </w:t>
      </w:r>
    </w:p>
    <w:p w14:paraId="55EB1745" w14:textId="15C323CB" w:rsidR="00491705" w:rsidRPr="00BB495A" w:rsidRDefault="00491705" w:rsidP="001F1270">
      <w:pPr>
        <w:rPr>
          <w:lang w:eastAsia="pl-PL"/>
        </w:rPr>
      </w:pPr>
      <w:r w:rsidRPr="00BB495A">
        <w:rPr>
          <w:lang w:eastAsia="pl-PL"/>
        </w:rPr>
        <w:t>W celu zaadresowania barier związanych z rozwojem elektromobilności należy kontynuować prowadzone działania oraz podjąć kolejne inicjatywy:</w:t>
      </w:r>
      <w:r w:rsidR="00974007">
        <w:rPr>
          <w:rFonts w:eastAsia="Times New Roman" w:cs="Times New Roman"/>
          <w:lang w:eastAsia="pl-PL"/>
        </w:rPr>
        <w:t xml:space="preserve">  </w:t>
      </w:r>
    </w:p>
    <w:p w14:paraId="36E887C9" w14:textId="72D35D3F" w:rsidR="00491705" w:rsidRPr="00BB495A" w:rsidRDefault="00491705" w:rsidP="000625AC">
      <w:pPr>
        <w:pStyle w:val="Akapitzlist"/>
        <w:numPr>
          <w:ilvl w:val="0"/>
          <w:numId w:val="130"/>
        </w:numPr>
        <w:rPr>
          <w:lang w:eastAsia="pl-PL"/>
        </w:rPr>
      </w:pPr>
      <w:r w:rsidRPr="00BB495A">
        <w:rPr>
          <w:lang w:eastAsia="pl-PL"/>
        </w:rPr>
        <w:t xml:space="preserve">W celu przezwyciężenia bariery wysokiej ceny zakupu </w:t>
      </w:r>
      <w:r w:rsidR="00090D73">
        <w:rPr>
          <w:lang w:eastAsia="pl-PL"/>
        </w:rPr>
        <w:t>bateryjnego samochodu elektrycznego</w:t>
      </w:r>
      <w:r w:rsidR="00067B05">
        <w:rPr>
          <w:lang w:eastAsia="pl-PL"/>
        </w:rPr>
        <w:t xml:space="preserve"> (</w:t>
      </w:r>
      <w:r w:rsidRPr="00BB495A">
        <w:rPr>
          <w:lang w:eastAsia="pl-PL"/>
        </w:rPr>
        <w:t>BEV</w:t>
      </w:r>
      <w:r w:rsidR="00067B05">
        <w:rPr>
          <w:lang w:eastAsia="pl-PL"/>
        </w:rPr>
        <w:t xml:space="preserve">, ang. </w:t>
      </w:r>
      <w:r w:rsidR="00067B05" w:rsidRPr="00067B05">
        <w:rPr>
          <w:i/>
          <w:iCs/>
          <w:lang w:eastAsia="pl-PL"/>
        </w:rPr>
        <w:t>battery electric vehicle</w:t>
      </w:r>
      <w:r w:rsidR="00067B05">
        <w:rPr>
          <w:lang w:eastAsia="pl-PL"/>
        </w:rPr>
        <w:t>)</w:t>
      </w:r>
      <w:r w:rsidRPr="00BB495A">
        <w:rPr>
          <w:lang w:eastAsia="pl-PL"/>
        </w:rPr>
        <w:t>: </w:t>
      </w:r>
    </w:p>
    <w:p w14:paraId="3686ACB6" w14:textId="3D876DB6" w:rsidR="00D56EEB" w:rsidRDefault="00491705" w:rsidP="000625AC">
      <w:pPr>
        <w:pStyle w:val="Akapitzlist"/>
        <w:numPr>
          <w:ilvl w:val="0"/>
          <w:numId w:val="131"/>
        </w:numPr>
        <w:rPr>
          <w:rFonts w:eastAsia="Times New Roman" w:cs="Times New Roman"/>
          <w:lang w:eastAsia="pl-PL"/>
        </w:rPr>
      </w:pPr>
      <w:r w:rsidRPr="007E79D9">
        <w:rPr>
          <w:rFonts w:eastAsia="Times New Roman" w:cs="Times New Roman"/>
          <w:lang w:eastAsia="pl-PL"/>
        </w:rPr>
        <w:t>utrzymanie preferencyjnej stawki akcyzy dla BEV w stosunku do pojazdów spalinowych</w:t>
      </w:r>
      <w:r w:rsidR="00D56EEB">
        <w:rPr>
          <w:rFonts w:eastAsia="Times New Roman" w:cs="Times New Roman"/>
          <w:lang w:eastAsia="pl-PL"/>
        </w:rPr>
        <w:t>,</w:t>
      </w:r>
      <w:r w:rsidRPr="007E79D9">
        <w:rPr>
          <w:rFonts w:eastAsia="Times New Roman" w:cs="Times New Roman"/>
          <w:lang w:eastAsia="pl-PL"/>
        </w:rPr>
        <w:t xml:space="preserve"> </w:t>
      </w:r>
    </w:p>
    <w:p w14:paraId="11ADFC12" w14:textId="15A6AEA5" w:rsidR="00491705" w:rsidRPr="007E79D9" w:rsidRDefault="00491705" w:rsidP="000625AC">
      <w:pPr>
        <w:pStyle w:val="Akapitzlist"/>
        <w:numPr>
          <w:ilvl w:val="0"/>
          <w:numId w:val="131"/>
        </w:numPr>
        <w:rPr>
          <w:rFonts w:eastAsia="Times New Roman" w:cs="Times New Roman"/>
          <w:lang w:eastAsia="pl-PL"/>
        </w:rPr>
      </w:pPr>
      <w:r w:rsidRPr="007E79D9">
        <w:rPr>
          <w:rFonts w:eastAsia="Times New Roman" w:cs="Times New Roman"/>
          <w:lang w:eastAsia="pl-PL"/>
        </w:rPr>
        <w:t>utrzymanie preferencyjnych rozwiązań w zakresie amortyzacji dla BEV w stosunku dla pojazdów spalinowych, </w:t>
      </w:r>
    </w:p>
    <w:p w14:paraId="5AABEE0B" w14:textId="774587CF" w:rsidR="00491705" w:rsidRPr="007E79D9" w:rsidRDefault="00491705" w:rsidP="000625AC">
      <w:pPr>
        <w:pStyle w:val="Akapitzlist"/>
        <w:numPr>
          <w:ilvl w:val="0"/>
          <w:numId w:val="131"/>
        </w:numPr>
        <w:rPr>
          <w:rFonts w:eastAsia="Times New Roman" w:cs="Times New Roman"/>
          <w:lang w:eastAsia="pl-PL"/>
        </w:rPr>
      </w:pPr>
      <w:r w:rsidRPr="007E79D9">
        <w:rPr>
          <w:rFonts w:eastAsia="Times New Roman" w:cs="Times New Roman"/>
          <w:lang w:eastAsia="pl-PL"/>
        </w:rPr>
        <w:t>przyjęcie nowych instrumentów polityki fiskalnej, w tym dedykowane rozwiązania dla firm (ulgi, preferencyjne stawki podatków i opłat), </w:t>
      </w:r>
    </w:p>
    <w:p w14:paraId="10D7FBFC" w14:textId="77777777" w:rsidR="00491705" w:rsidRPr="007E79D9" w:rsidRDefault="00491705" w:rsidP="000625AC">
      <w:pPr>
        <w:pStyle w:val="Akapitzlist"/>
        <w:numPr>
          <w:ilvl w:val="0"/>
          <w:numId w:val="131"/>
        </w:numPr>
        <w:rPr>
          <w:rFonts w:eastAsia="Times New Roman" w:cs="Times New Roman"/>
          <w:lang w:eastAsia="pl-PL"/>
        </w:rPr>
      </w:pPr>
      <w:r w:rsidRPr="007E79D9">
        <w:rPr>
          <w:rFonts w:eastAsia="Times New Roman" w:cs="Times New Roman"/>
          <w:lang w:eastAsia="pl-PL"/>
        </w:rPr>
        <w:t>utrzymanie obowiązujących przywilejów – darmowe parkowanie w strefach płatnego parkowania, możliwość poruszania się buspasami, </w:t>
      </w:r>
    </w:p>
    <w:p w14:paraId="48EA99CF" w14:textId="7B3BC6A8" w:rsidR="00491705" w:rsidRPr="007E79D9" w:rsidRDefault="00491705" w:rsidP="000625AC">
      <w:pPr>
        <w:pStyle w:val="Akapitzlist"/>
        <w:numPr>
          <w:ilvl w:val="0"/>
          <w:numId w:val="131"/>
        </w:numPr>
        <w:contextualSpacing w:val="0"/>
        <w:rPr>
          <w:rFonts w:eastAsia="Times New Roman" w:cs="Times New Roman"/>
          <w:lang w:eastAsia="pl-PL"/>
        </w:rPr>
      </w:pPr>
      <w:r w:rsidRPr="007E79D9">
        <w:rPr>
          <w:rFonts w:eastAsia="Times New Roman" w:cs="Times New Roman"/>
          <w:lang w:eastAsia="pl-PL"/>
        </w:rPr>
        <w:t xml:space="preserve">obniżenie </w:t>
      </w:r>
      <w:r w:rsidR="00945C4A">
        <w:rPr>
          <w:rFonts w:eastAsia="Times New Roman" w:cs="Times New Roman"/>
          <w:lang w:eastAsia="pl-PL"/>
        </w:rPr>
        <w:t>wys</w:t>
      </w:r>
      <w:r w:rsidR="00452C2A">
        <w:rPr>
          <w:rFonts w:eastAsia="Times New Roman" w:cs="Times New Roman"/>
          <w:lang w:eastAsia="pl-PL"/>
        </w:rPr>
        <w:t>o</w:t>
      </w:r>
      <w:r w:rsidR="00945C4A">
        <w:rPr>
          <w:rFonts w:eastAsia="Times New Roman" w:cs="Times New Roman"/>
          <w:lang w:eastAsia="pl-PL"/>
        </w:rPr>
        <w:t>kości</w:t>
      </w:r>
      <w:r w:rsidR="00945C4A" w:rsidRPr="007E79D9">
        <w:rPr>
          <w:rFonts w:eastAsia="Times New Roman" w:cs="Times New Roman"/>
          <w:lang w:eastAsia="pl-PL"/>
        </w:rPr>
        <w:t xml:space="preserve"> </w:t>
      </w:r>
      <w:r w:rsidRPr="007E79D9">
        <w:rPr>
          <w:rFonts w:eastAsia="Times New Roman" w:cs="Times New Roman"/>
          <w:lang w:eastAsia="pl-PL"/>
        </w:rPr>
        <w:t xml:space="preserve">opłat za </w:t>
      </w:r>
      <w:r w:rsidR="00452C2A">
        <w:rPr>
          <w:rFonts w:eastAsia="Times New Roman" w:cs="Times New Roman"/>
          <w:lang w:eastAsia="pl-PL"/>
        </w:rPr>
        <w:t xml:space="preserve">korzystanie z </w:t>
      </w:r>
      <w:r w:rsidRPr="007E79D9">
        <w:rPr>
          <w:rFonts w:eastAsia="Times New Roman" w:cs="Times New Roman"/>
          <w:lang w:eastAsia="pl-PL"/>
        </w:rPr>
        <w:t>autostrad.</w:t>
      </w:r>
      <w:r w:rsidR="00974007">
        <w:rPr>
          <w:rFonts w:eastAsia="Times New Roman" w:cs="Times New Roman"/>
          <w:lang w:eastAsia="pl-PL"/>
        </w:rPr>
        <w:t xml:space="preserve">  </w:t>
      </w:r>
    </w:p>
    <w:p w14:paraId="49F0FC92" w14:textId="4D2572A2" w:rsidR="007E79D9" w:rsidRDefault="00491705" w:rsidP="000625AC">
      <w:pPr>
        <w:pStyle w:val="Akapitzlist"/>
        <w:numPr>
          <w:ilvl w:val="0"/>
          <w:numId w:val="130"/>
        </w:numPr>
        <w:rPr>
          <w:rFonts w:eastAsia="Times New Roman" w:cs="Times New Roman"/>
          <w:lang w:eastAsia="pl-PL"/>
        </w:rPr>
      </w:pPr>
      <w:r w:rsidRPr="003532DB">
        <w:rPr>
          <w:rFonts w:eastAsia="Times New Roman" w:cs="Times New Roman"/>
          <w:lang w:eastAsia="pl-PL"/>
        </w:rPr>
        <w:t>W celu przezwyciężenia bariery braku infrastruktury do ładowania; konieczności zakupu ładowarki; obawy przed wyczerpaniem akumulatora; obawy przed wolnym ładowaniem; obawy przed kolejkami</w:t>
      </w:r>
      <w:r w:rsidR="00211484">
        <w:rPr>
          <w:rFonts w:eastAsia="Times New Roman" w:cs="Times New Roman"/>
          <w:lang w:eastAsia="pl-PL"/>
        </w:rPr>
        <w:t>:</w:t>
      </w:r>
      <w:r w:rsidRPr="003532DB">
        <w:rPr>
          <w:rFonts w:eastAsia="Times New Roman" w:cs="Times New Roman"/>
          <w:lang w:eastAsia="pl-PL"/>
        </w:rPr>
        <w:t> </w:t>
      </w:r>
    </w:p>
    <w:p w14:paraId="1847E969" w14:textId="5F03BC2C" w:rsidR="00491705" w:rsidRPr="001412C1" w:rsidRDefault="007E79D9" w:rsidP="000625AC">
      <w:pPr>
        <w:pStyle w:val="Akapitzlist"/>
        <w:numPr>
          <w:ilvl w:val="1"/>
          <w:numId w:val="130"/>
        </w:numPr>
        <w:ind w:left="709"/>
        <w:rPr>
          <w:i/>
        </w:rPr>
      </w:pPr>
      <w:r w:rsidRPr="007E79D9">
        <w:rPr>
          <w:rFonts w:eastAsia="Times New Roman" w:cs="Times New Roman"/>
          <w:i/>
          <w:iCs/>
          <w:lang w:eastAsia="pl-PL"/>
        </w:rPr>
        <w:t>w</w:t>
      </w:r>
      <w:r w:rsidR="00491705" w:rsidRPr="001412C1">
        <w:rPr>
          <w:i/>
        </w:rPr>
        <w:t xml:space="preserve"> budynkach wielorodzinnych i niemieszkalnych: </w:t>
      </w:r>
    </w:p>
    <w:p w14:paraId="19D218D2" w14:textId="77777777" w:rsidR="00491705" w:rsidRPr="00BB495A" w:rsidRDefault="00491705" w:rsidP="000625AC">
      <w:pPr>
        <w:pStyle w:val="Akapitzlist"/>
        <w:numPr>
          <w:ilvl w:val="0"/>
          <w:numId w:val="87"/>
        </w:numPr>
        <w:spacing w:after="0" w:line="240" w:lineRule="auto"/>
        <w:textAlignment w:val="baseline"/>
        <w:rPr>
          <w:rFonts w:eastAsia="Times New Roman" w:cs="Times New Roman"/>
          <w:lang w:eastAsia="pl-PL"/>
        </w:rPr>
      </w:pPr>
      <w:r w:rsidRPr="00BB495A">
        <w:rPr>
          <w:rFonts w:eastAsia="Times New Roman" w:cs="Times New Roman"/>
          <w:lang w:eastAsia="pl-PL"/>
        </w:rPr>
        <w:lastRenderedPageBreak/>
        <w:t>instalacja punktów ładowania w nowych budynkach oraz budynkach poddawanych istotnym remontom (budynki mieszkalne, niemieszkalne, budynki użyteczności publicznej), </w:t>
      </w:r>
    </w:p>
    <w:p w14:paraId="298C445D" w14:textId="77777777" w:rsidR="007E79D9" w:rsidRDefault="00491705" w:rsidP="000625AC">
      <w:pPr>
        <w:pStyle w:val="Akapitzlist"/>
        <w:numPr>
          <w:ilvl w:val="0"/>
          <w:numId w:val="87"/>
        </w:numPr>
        <w:spacing w:after="80" w:line="240" w:lineRule="auto"/>
        <w:ind w:left="1071" w:hanging="357"/>
        <w:contextualSpacing w:val="0"/>
        <w:textAlignment w:val="baseline"/>
        <w:rPr>
          <w:rFonts w:eastAsia="Times New Roman" w:cs="Times New Roman"/>
          <w:lang w:eastAsia="pl-PL"/>
        </w:rPr>
      </w:pPr>
      <w:r w:rsidRPr="00BB495A">
        <w:rPr>
          <w:rFonts w:eastAsia="Times New Roman" w:cs="Times New Roman"/>
          <w:lang w:eastAsia="pl-PL"/>
        </w:rPr>
        <w:t>ułatwienia proceduralne dla instalacji punktów ładowania w budynkach mieszkalnych. </w:t>
      </w:r>
    </w:p>
    <w:p w14:paraId="52084A97" w14:textId="2D56E024" w:rsidR="00491705" w:rsidRPr="001412C1" w:rsidRDefault="007E79D9" w:rsidP="000625AC">
      <w:pPr>
        <w:pStyle w:val="Akapitzlist"/>
        <w:numPr>
          <w:ilvl w:val="1"/>
          <w:numId w:val="130"/>
        </w:numPr>
        <w:spacing w:after="0" w:line="240" w:lineRule="auto"/>
        <w:ind w:left="709"/>
        <w:textAlignment w:val="baseline"/>
        <w:rPr>
          <w:i/>
        </w:rPr>
      </w:pPr>
      <w:r w:rsidRPr="007E79D9">
        <w:rPr>
          <w:rFonts w:eastAsia="Times New Roman" w:cs="Times New Roman"/>
          <w:i/>
          <w:iCs/>
          <w:lang w:eastAsia="pl-PL"/>
        </w:rPr>
        <w:t>w</w:t>
      </w:r>
      <w:r w:rsidR="00491705" w:rsidRPr="001412C1">
        <w:rPr>
          <w:i/>
        </w:rPr>
        <w:t xml:space="preserve"> publicznej infrastrukturze ładowania: </w:t>
      </w:r>
    </w:p>
    <w:p w14:paraId="23226610" w14:textId="77777777" w:rsidR="00491705" w:rsidRPr="00BB495A" w:rsidRDefault="00491705" w:rsidP="000625AC">
      <w:pPr>
        <w:numPr>
          <w:ilvl w:val="0"/>
          <w:numId w:val="132"/>
        </w:numPr>
        <w:spacing w:after="0" w:line="240" w:lineRule="auto"/>
        <w:textAlignment w:val="baseline"/>
        <w:rPr>
          <w:rFonts w:eastAsia="Times New Roman" w:cs="Times New Roman"/>
          <w:lang w:eastAsia="pl-PL"/>
        </w:rPr>
      </w:pPr>
      <w:r w:rsidRPr="00BB495A">
        <w:rPr>
          <w:rFonts w:eastAsia="Times New Roman" w:cs="Times New Roman"/>
          <w:lang w:eastAsia="pl-PL"/>
        </w:rPr>
        <w:t>instalacja punktów ładowania w budynkach użyteczności publicznej, punktach usługowych oraz budynkach biurowych, </w:t>
      </w:r>
    </w:p>
    <w:p w14:paraId="79B23A2B" w14:textId="77777777" w:rsidR="00491705" w:rsidRPr="00BB495A" w:rsidRDefault="00491705" w:rsidP="000625AC">
      <w:pPr>
        <w:numPr>
          <w:ilvl w:val="0"/>
          <w:numId w:val="132"/>
        </w:numPr>
        <w:spacing w:after="0" w:line="240" w:lineRule="auto"/>
        <w:textAlignment w:val="baseline"/>
        <w:rPr>
          <w:rFonts w:eastAsia="Times New Roman" w:cs="Times New Roman"/>
          <w:lang w:eastAsia="pl-PL"/>
        </w:rPr>
      </w:pPr>
      <w:r w:rsidRPr="00BB495A">
        <w:rPr>
          <w:rFonts w:eastAsia="Times New Roman" w:cs="Times New Roman"/>
          <w:lang w:eastAsia="pl-PL"/>
        </w:rPr>
        <w:t>rozwój sieci stref ładowania dużych mocy wzdłuż głównych dróg krajowych i autostrad, </w:t>
      </w:r>
    </w:p>
    <w:p w14:paraId="456E72F7" w14:textId="78E19E17" w:rsidR="00491705" w:rsidRPr="00BB495A" w:rsidRDefault="00491705" w:rsidP="000625AC">
      <w:pPr>
        <w:numPr>
          <w:ilvl w:val="0"/>
          <w:numId w:val="132"/>
        </w:numPr>
        <w:spacing w:after="0" w:line="240" w:lineRule="auto"/>
        <w:textAlignment w:val="baseline"/>
        <w:rPr>
          <w:rFonts w:eastAsia="Times New Roman" w:cs="Times New Roman"/>
          <w:lang w:eastAsia="pl-PL"/>
        </w:rPr>
      </w:pPr>
      <w:r w:rsidRPr="00BB495A">
        <w:rPr>
          <w:rFonts w:eastAsia="Times New Roman" w:cs="Times New Roman"/>
          <w:lang w:eastAsia="pl-PL"/>
        </w:rPr>
        <w:t>umożliwienie i popularyzacja instalacji punktów ładowania przy ulicach (słupki, latarnie), </w:t>
      </w:r>
    </w:p>
    <w:p w14:paraId="393D4493" w14:textId="027AD078" w:rsidR="00491705" w:rsidRPr="00BB495A" w:rsidRDefault="00491705" w:rsidP="000625AC">
      <w:pPr>
        <w:numPr>
          <w:ilvl w:val="0"/>
          <w:numId w:val="132"/>
        </w:numPr>
        <w:spacing w:line="240" w:lineRule="auto"/>
        <w:textAlignment w:val="baseline"/>
        <w:rPr>
          <w:rFonts w:eastAsia="Times New Roman" w:cs="Times New Roman"/>
          <w:lang w:eastAsia="pl-PL"/>
        </w:rPr>
      </w:pPr>
      <w:r w:rsidRPr="00BB495A">
        <w:rPr>
          <w:rFonts w:eastAsia="Times New Roman" w:cs="Times New Roman"/>
          <w:lang w:eastAsia="pl-PL"/>
        </w:rPr>
        <w:t xml:space="preserve">łatwa i przyjazna obsługa – miejsca dostosowane do potrzeb osób z niepełnosprawnościami, płatności </w:t>
      </w:r>
      <w:r w:rsidRPr="001412C1">
        <w:rPr>
          <w:rFonts w:eastAsia="Times New Roman" w:cs="Times New Roman"/>
          <w:i/>
          <w:lang w:eastAsia="pl-PL"/>
        </w:rPr>
        <w:t>ad hoc</w:t>
      </w:r>
      <w:r w:rsidRPr="00BB495A">
        <w:rPr>
          <w:rFonts w:eastAsia="Times New Roman" w:cs="Times New Roman"/>
          <w:lang w:eastAsia="pl-PL"/>
        </w:rPr>
        <w:t xml:space="preserve"> przy użyciu karty/zbliżeniowo, transparentna, polityka cenowa, informacje o</w:t>
      </w:r>
      <w:r w:rsidR="003530A9">
        <w:rPr>
          <w:rFonts w:eastAsia="Times New Roman" w:cs="Times New Roman"/>
          <w:lang w:eastAsia="pl-PL"/>
        </w:rPr>
        <w:t> </w:t>
      </w:r>
      <w:r w:rsidRPr="00BB495A">
        <w:rPr>
          <w:rFonts w:eastAsia="Times New Roman" w:cs="Times New Roman"/>
          <w:lang w:eastAsia="pl-PL"/>
        </w:rPr>
        <w:t>stacjach dostępne online, umożliwienie e-roamingu. </w:t>
      </w:r>
    </w:p>
    <w:p w14:paraId="7E7C82E1" w14:textId="3A421E22" w:rsidR="00491705" w:rsidRPr="007E79D9" w:rsidRDefault="00491705" w:rsidP="000625AC">
      <w:pPr>
        <w:pStyle w:val="Akapitzlist"/>
        <w:numPr>
          <w:ilvl w:val="0"/>
          <w:numId w:val="130"/>
        </w:numPr>
        <w:rPr>
          <w:lang w:eastAsia="pl-PL"/>
        </w:rPr>
      </w:pPr>
      <w:r w:rsidRPr="007E79D9">
        <w:rPr>
          <w:lang w:eastAsia="pl-PL"/>
        </w:rPr>
        <w:t>W celu przezwyciężenia bariery wysokiej ceny energii elektrycznej w ładowarkach: </w:t>
      </w:r>
    </w:p>
    <w:p w14:paraId="09B5FCE2" w14:textId="77777777" w:rsidR="00491705" w:rsidRPr="007E79D9" w:rsidRDefault="00491705" w:rsidP="000625AC">
      <w:pPr>
        <w:pStyle w:val="Akapitzlist"/>
        <w:numPr>
          <w:ilvl w:val="0"/>
          <w:numId w:val="133"/>
        </w:numPr>
        <w:rPr>
          <w:lang w:eastAsia="pl-PL"/>
        </w:rPr>
      </w:pPr>
      <w:r w:rsidRPr="007E79D9">
        <w:rPr>
          <w:lang w:eastAsia="pl-PL"/>
        </w:rPr>
        <w:t>utrzymanie e-taryfy dla operatorów punktów ładowania, </w:t>
      </w:r>
    </w:p>
    <w:p w14:paraId="25B3296B" w14:textId="77777777" w:rsidR="00491705" w:rsidRPr="007E79D9" w:rsidRDefault="00491705" w:rsidP="000625AC">
      <w:pPr>
        <w:pStyle w:val="Akapitzlist"/>
        <w:numPr>
          <w:ilvl w:val="0"/>
          <w:numId w:val="133"/>
        </w:numPr>
        <w:rPr>
          <w:lang w:eastAsia="pl-PL"/>
        </w:rPr>
      </w:pPr>
      <w:r w:rsidRPr="007E79D9">
        <w:rPr>
          <w:lang w:eastAsia="pl-PL"/>
        </w:rPr>
        <w:t>wdrożenie i upowszechnienie systemu kredytów w transporcie, </w:t>
      </w:r>
    </w:p>
    <w:p w14:paraId="6548B401" w14:textId="77777777" w:rsidR="00491705" w:rsidRPr="007E79D9" w:rsidRDefault="00491705" w:rsidP="000625AC">
      <w:pPr>
        <w:pStyle w:val="Akapitzlist"/>
        <w:numPr>
          <w:ilvl w:val="0"/>
          <w:numId w:val="133"/>
        </w:numPr>
        <w:ind w:left="714" w:hanging="357"/>
        <w:contextualSpacing w:val="0"/>
        <w:rPr>
          <w:lang w:eastAsia="pl-PL"/>
        </w:rPr>
      </w:pPr>
      <w:r w:rsidRPr="007E79D9">
        <w:rPr>
          <w:lang w:eastAsia="pl-PL"/>
        </w:rPr>
        <w:t>wdrożenie rozwiązań umożliwiających inteligentne i dwukierunkowe ładowanie. </w:t>
      </w:r>
    </w:p>
    <w:p w14:paraId="312E64CE" w14:textId="7F8EEF0F" w:rsidR="00491705" w:rsidRPr="007E79D9" w:rsidRDefault="00491705" w:rsidP="000625AC">
      <w:pPr>
        <w:pStyle w:val="Akapitzlist"/>
        <w:numPr>
          <w:ilvl w:val="0"/>
          <w:numId w:val="130"/>
        </w:numPr>
        <w:rPr>
          <w:lang w:eastAsia="pl-PL"/>
        </w:rPr>
      </w:pPr>
      <w:r w:rsidRPr="007E79D9">
        <w:rPr>
          <w:lang w:eastAsia="pl-PL"/>
        </w:rPr>
        <w:t>W celu przezwyciężenia bariery dezinformacji i istnienia mitów: </w:t>
      </w:r>
    </w:p>
    <w:p w14:paraId="5BDDEF87" w14:textId="77777777" w:rsidR="00491705" w:rsidRPr="00BB495A" w:rsidRDefault="00491705" w:rsidP="000625AC">
      <w:pPr>
        <w:pStyle w:val="Akapitzlist"/>
        <w:numPr>
          <w:ilvl w:val="0"/>
          <w:numId w:val="134"/>
        </w:numPr>
        <w:rPr>
          <w:lang w:eastAsia="pl-PL"/>
        </w:rPr>
      </w:pPr>
      <w:r w:rsidRPr="00BB495A">
        <w:rPr>
          <w:lang w:eastAsia="pl-PL"/>
        </w:rPr>
        <w:t>kampanie edukacyjne promujące elektromobilność, </w:t>
      </w:r>
    </w:p>
    <w:p w14:paraId="2B9C523D" w14:textId="3F410AAD" w:rsidR="00491705" w:rsidRPr="00BB495A" w:rsidRDefault="00491705" w:rsidP="000625AC">
      <w:pPr>
        <w:pStyle w:val="Akapitzlist"/>
        <w:numPr>
          <w:ilvl w:val="0"/>
          <w:numId w:val="134"/>
        </w:numPr>
        <w:rPr>
          <w:lang w:eastAsia="pl-PL"/>
        </w:rPr>
      </w:pPr>
      <w:r w:rsidRPr="00BB495A">
        <w:rPr>
          <w:lang w:eastAsia="pl-PL"/>
        </w:rPr>
        <w:t>klarowna komunikacja długoterminowych celów polityki transportowej oraz stabilne i</w:t>
      </w:r>
      <w:r w:rsidR="003530A9">
        <w:rPr>
          <w:lang w:eastAsia="pl-PL"/>
        </w:rPr>
        <w:t> </w:t>
      </w:r>
      <w:r w:rsidRPr="00BB495A">
        <w:rPr>
          <w:lang w:eastAsia="pl-PL"/>
        </w:rPr>
        <w:t>przewidywalne ramy prawne.</w:t>
      </w:r>
      <w:r w:rsidR="00974007">
        <w:rPr>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47"/>
        <w:gridCol w:w="3870"/>
        <w:gridCol w:w="3960"/>
      </w:tblGrid>
      <w:tr w:rsidR="003B6773" w:rsidRPr="00BB495A" w14:paraId="65BED783" w14:textId="77777777" w:rsidTr="003C312A">
        <w:trPr>
          <w:trHeight w:val="300"/>
        </w:trPr>
        <w:tc>
          <w:tcPr>
            <w:tcW w:w="1083" w:type="dxa"/>
            <w:vMerge w:val="restart"/>
            <w:tcBorders>
              <w:top w:val="dashed" w:sz="12" w:space="0" w:color="FFFFFF"/>
              <w:left w:val="dashed" w:sz="12" w:space="0" w:color="FFFFFF"/>
              <w:bottom w:val="dashed" w:sz="12" w:space="0" w:color="FFFFFF"/>
              <w:right w:val="dashed" w:sz="12" w:space="0" w:color="FFFFFF"/>
            </w:tcBorders>
            <w:hideMark/>
          </w:tcPr>
          <w:p w14:paraId="096F0067" w14:textId="4FBD0BE1" w:rsidR="00491705" w:rsidRPr="00BB495A" w:rsidRDefault="00491705">
            <w:pPr>
              <w:spacing w:after="0" w:line="240" w:lineRule="auto"/>
              <w:textAlignment w:val="baseline"/>
              <w:rPr>
                <w:rFonts w:eastAsia="Times New Roman" w:cs="Times New Roman"/>
                <w:lang w:eastAsia="pl-PL"/>
              </w:rPr>
            </w:pPr>
            <w:r w:rsidRPr="00BB495A">
              <w:rPr>
                <w:rFonts w:eastAsia="Times New Roman" w:cs="Times New Roman"/>
                <w:lang w:eastAsia="pl-PL"/>
              </w:rPr>
              <w:t> </w:t>
            </w:r>
            <w:r w:rsidRPr="00BB495A">
              <w:rPr>
                <w:rFonts w:eastAsia="Times New Roman" w:cs="Times New Roman"/>
                <w:noProof/>
                <w:lang w:eastAsia="pl-PL"/>
              </w:rPr>
              <w:drawing>
                <wp:inline distT="0" distB="0" distL="0" distR="0" wp14:anchorId="715C867B" wp14:editId="05A020B6">
                  <wp:extent cx="617220" cy="617220"/>
                  <wp:effectExtent l="0" t="0" r="0" b="0"/>
                  <wp:docPr id="1833799268"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BB495A">
              <w:rPr>
                <w:rFonts w:eastAsia="Times New Roman" w:cs="Times New Roman"/>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26F1290" w14:textId="77777777" w:rsidR="00491705" w:rsidRPr="00BB495A" w:rsidRDefault="00491705">
            <w:pPr>
              <w:spacing w:after="0" w:line="240" w:lineRule="auto"/>
              <w:textAlignment w:val="baseline"/>
              <w:rPr>
                <w:rFonts w:eastAsia="Times New Roman" w:cs="Times New Roman"/>
                <w:lang w:eastAsia="pl-PL"/>
              </w:rPr>
            </w:pPr>
            <w:r w:rsidRPr="00BB495A">
              <w:rPr>
                <w:rFonts w:eastAsia="Times New Roman" w:cs="Times New Roman"/>
                <w:b/>
                <w:bCs/>
                <w:lang w:eastAsia="pl-PL"/>
              </w:rPr>
              <w:t>PODMIOT WIODĄCY</w:t>
            </w:r>
            <w:r w:rsidRPr="00BB495A">
              <w:rPr>
                <w:rFonts w:eastAsia="Times New Roman" w:cs="Times New Roman"/>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A27D90E" w14:textId="77777777" w:rsidR="00491705" w:rsidRPr="00BB495A" w:rsidRDefault="00491705">
            <w:pPr>
              <w:spacing w:after="0" w:line="240" w:lineRule="auto"/>
              <w:textAlignment w:val="baseline"/>
              <w:rPr>
                <w:rFonts w:eastAsia="Times New Roman" w:cs="Times New Roman"/>
                <w:lang w:eastAsia="pl-PL"/>
              </w:rPr>
            </w:pPr>
            <w:r w:rsidRPr="00BB495A">
              <w:rPr>
                <w:rFonts w:eastAsia="Times New Roman" w:cs="Times New Roman"/>
                <w:b/>
                <w:bCs/>
                <w:lang w:eastAsia="pl-PL"/>
              </w:rPr>
              <w:t>PODMIOTY WSPÓŁPRACUJĄCE</w:t>
            </w:r>
            <w:r w:rsidRPr="00BB495A">
              <w:rPr>
                <w:rFonts w:eastAsia="Times New Roman" w:cs="Times New Roman"/>
                <w:lang w:eastAsia="pl-PL"/>
              </w:rPr>
              <w:t> </w:t>
            </w:r>
          </w:p>
        </w:tc>
      </w:tr>
      <w:tr w:rsidR="003B6773" w:rsidRPr="00BB495A" w14:paraId="19CAE4D6"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55E9CDF" w14:textId="77777777" w:rsidR="00491705" w:rsidRPr="00BB495A" w:rsidRDefault="00491705">
            <w:pPr>
              <w:spacing w:after="0" w:line="240" w:lineRule="auto"/>
              <w:textAlignment w:val="baseline"/>
              <w:rPr>
                <w:rFonts w:eastAsia="Times New Roman" w:cs="Times New Roman"/>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9B50082" w14:textId="77777777" w:rsidR="00491705" w:rsidRPr="001412C1" w:rsidRDefault="00491705">
            <w:pPr>
              <w:spacing w:after="0" w:line="240" w:lineRule="auto"/>
              <w:textAlignment w:val="baseline"/>
              <w:rPr>
                <w:color w:val="808080"/>
                <w:sz w:val="18"/>
              </w:rPr>
            </w:pPr>
            <w:r w:rsidRPr="001412C1">
              <w:rPr>
                <w:color w:val="808080"/>
                <w:sz w:val="18"/>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FE171D7" w14:textId="77777777" w:rsidR="00491705" w:rsidRPr="001412C1" w:rsidRDefault="00491705">
            <w:pPr>
              <w:spacing w:after="0" w:line="240" w:lineRule="auto"/>
              <w:textAlignment w:val="baseline"/>
              <w:rPr>
                <w:color w:val="808080"/>
                <w:sz w:val="18"/>
              </w:rPr>
            </w:pPr>
            <w:r w:rsidRPr="001412C1">
              <w:rPr>
                <w:color w:val="808080"/>
                <w:sz w:val="18"/>
              </w:rPr>
              <w:t>minister wł. ds. transportu </w:t>
            </w:r>
          </w:p>
          <w:p w14:paraId="7FDE9A1A" w14:textId="1396DC58" w:rsidR="00491705" w:rsidRPr="001412C1" w:rsidRDefault="00491705">
            <w:pPr>
              <w:spacing w:after="0" w:line="240" w:lineRule="auto"/>
              <w:textAlignment w:val="baseline"/>
              <w:rPr>
                <w:color w:val="808080"/>
                <w:sz w:val="18"/>
              </w:rPr>
            </w:pPr>
            <w:r w:rsidRPr="001412C1">
              <w:rPr>
                <w:color w:val="808080"/>
                <w:sz w:val="18"/>
              </w:rPr>
              <w:t>minister wł. ds. finansów publicznych</w:t>
            </w:r>
            <w:r w:rsidR="003E2DE5">
              <w:rPr>
                <w:rFonts w:eastAsia="Times New Roman" w:cs="Times New Roman"/>
                <w:lang w:eastAsia="pl-PL"/>
              </w:rPr>
              <w:t xml:space="preserve"> </w:t>
            </w:r>
          </w:p>
        </w:tc>
      </w:tr>
    </w:tbl>
    <w:p w14:paraId="17B9B64B" w14:textId="3FE013AA"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54" w:name="_Toc195856557"/>
      <w:bookmarkStart w:id="1055" w:name="_Ref195882715"/>
      <w:bookmarkStart w:id="1056" w:name="_Ref195888798"/>
      <w:bookmarkStart w:id="1057" w:name="_Ref195889514"/>
      <w:r>
        <w:t xml:space="preserve">Działanie </w:t>
      </w:r>
      <w:r>
        <w:fldChar w:fldCharType="begin"/>
      </w:r>
      <w:r>
        <w:instrText>SEQ Działanie \* ARABIC</w:instrText>
      </w:r>
      <w:r>
        <w:fldChar w:fldCharType="separate"/>
      </w:r>
      <w:r w:rsidR="00871DD5">
        <w:rPr>
          <w:noProof/>
        </w:rPr>
        <w:t>39</w:t>
      </w:r>
      <w:r>
        <w:fldChar w:fldCharType="end"/>
      </w:r>
      <w:r>
        <w:t xml:space="preserve">. </w:t>
      </w:r>
      <w:r w:rsidRPr="00BC1D13">
        <w:t>Modernizacja taboru i infrastruktury kolejowej oraz rozbudowa lokalnej i</w:t>
      </w:r>
      <w:r w:rsidR="00421171">
        <w:t> </w:t>
      </w:r>
      <w:r w:rsidRPr="00BC1D13">
        <w:t>regionalnej infrastruktury kolejowej</w:t>
      </w:r>
      <w:bookmarkEnd w:id="1054"/>
      <w:bookmarkEnd w:id="1055"/>
      <w:bookmarkEnd w:id="1056"/>
      <w:bookmarkEnd w:id="1057"/>
    </w:p>
    <w:p w14:paraId="4A9318D6" w14:textId="3453AA94" w:rsidR="00491705" w:rsidRPr="00BB495A" w:rsidRDefault="00491705" w:rsidP="001412C1">
      <w:pPr>
        <w:spacing w:after="240"/>
        <w:rPr>
          <w:rFonts w:ascii="Times New Roman" w:hAnsi="Times New Roman"/>
          <w:sz w:val="24"/>
          <w:szCs w:val="24"/>
          <w:lang w:eastAsia="pl-PL"/>
        </w:rPr>
      </w:pPr>
      <w:r w:rsidRPr="00BB495A">
        <w:rPr>
          <w:lang w:eastAsia="pl-PL"/>
        </w:rPr>
        <w:t xml:space="preserve">Działania mają na celu wspieranie inwestycji </w:t>
      </w:r>
      <w:r w:rsidR="00554955">
        <w:rPr>
          <w:lang w:eastAsia="pl-PL"/>
        </w:rPr>
        <w:t xml:space="preserve">w obszarze </w:t>
      </w:r>
      <w:r w:rsidRPr="00BB495A">
        <w:rPr>
          <w:lang w:eastAsia="pl-PL"/>
        </w:rPr>
        <w:t>modernizacji infrastruktury kolejowej, modernizacji taboru do przewozów pasażerskich i towarowych, modernizacji dworców kolejowych. Ponadto wspierane będą inwestycje dotyczące dalszego rozwoju sieci kolejowej, budowy nowych linii kolejowych, inwestycje punktowe, jak np. budowa nowych przystanków, mijanek czy łącznic kolejowych, a</w:t>
      </w:r>
      <w:r w:rsidRPr="001412C1">
        <w:rPr>
          <w:rFonts w:ascii="Arial" w:hAnsi="Arial"/>
        </w:rPr>
        <w:t> </w:t>
      </w:r>
      <w:r w:rsidRPr="00BB495A">
        <w:rPr>
          <w:lang w:eastAsia="pl-PL"/>
        </w:rPr>
        <w:t>tak</w:t>
      </w:r>
      <w:r w:rsidRPr="00BB495A">
        <w:rPr>
          <w:rFonts w:cs="Lato"/>
          <w:lang w:eastAsia="pl-PL"/>
        </w:rPr>
        <w:t>ż</w:t>
      </w:r>
      <w:r w:rsidRPr="00BB495A">
        <w:rPr>
          <w:lang w:eastAsia="pl-PL"/>
        </w:rPr>
        <w:t>e wdra</w:t>
      </w:r>
      <w:r w:rsidRPr="00BB495A">
        <w:rPr>
          <w:rFonts w:cs="Lato"/>
          <w:lang w:eastAsia="pl-PL"/>
        </w:rPr>
        <w:t>ż</w:t>
      </w:r>
      <w:r w:rsidRPr="00BB495A">
        <w:rPr>
          <w:lang w:eastAsia="pl-PL"/>
        </w:rPr>
        <w:t>ania system</w:t>
      </w:r>
      <w:r w:rsidRPr="00BB495A">
        <w:rPr>
          <w:rFonts w:cs="Lato"/>
          <w:lang w:eastAsia="pl-PL"/>
        </w:rPr>
        <w:t>ó</w:t>
      </w:r>
      <w:r w:rsidRPr="00BB495A">
        <w:rPr>
          <w:lang w:eastAsia="pl-PL"/>
        </w:rPr>
        <w:t>w zarz</w:t>
      </w:r>
      <w:r w:rsidRPr="00BB495A">
        <w:rPr>
          <w:rFonts w:cs="Lato"/>
          <w:lang w:eastAsia="pl-PL"/>
        </w:rPr>
        <w:t>ą</w:t>
      </w:r>
      <w:r w:rsidRPr="00BB495A">
        <w:rPr>
          <w:lang w:eastAsia="pl-PL"/>
        </w:rPr>
        <w:t>dzania ruchem kolejowym. Nale</w:t>
      </w:r>
      <w:r w:rsidRPr="00BB495A">
        <w:rPr>
          <w:rFonts w:cs="Lato"/>
          <w:lang w:eastAsia="pl-PL"/>
        </w:rPr>
        <w:t>ż</w:t>
      </w:r>
      <w:r w:rsidRPr="00BB495A">
        <w:rPr>
          <w:lang w:eastAsia="pl-PL"/>
        </w:rPr>
        <w:t>y te</w:t>
      </w:r>
      <w:r w:rsidRPr="00BB495A">
        <w:rPr>
          <w:rFonts w:cs="Lato"/>
          <w:lang w:eastAsia="pl-PL"/>
        </w:rPr>
        <w:t>ż</w:t>
      </w:r>
      <w:r w:rsidRPr="00BB495A">
        <w:rPr>
          <w:lang w:eastAsia="pl-PL"/>
        </w:rPr>
        <w:t xml:space="preserve"> rozbudowa</w:t>
      </w:r>
      <w:r w:rsidRPr="00BB495A">
        <w:rPr>
          <w:rFonts w:cs="Lato"/>
          <w:lang w:eastAsia="pl-PL"/>
        </w:rPr>
        <w:t>ć</w:t>
      </w:r>
      <w:r w:rsidRPr="00BB495A">
        <w:rPr>
          <w:lang w:eastAsia="pl-PL"/>
        </w:rPr>
        <w:t xml:space="preserve"> infrastruktur</w:t>
      </w:r>
      <w:r w:rsidRPr="00BB495A">
        <w:rPr>
          <w:rFonts w:cs="Lato"/>
          <w:lang w:eastAsia="pl-PL"/>
        </w:rPr>
        <w:t>ę</w:t>
      </w:r>
      <w:r w:rsidRPr="00BB495A">
        <w:rPr>
          <w:lang w:eastAsia="pl-PL"/>
        </w:rPr>
        <w:t xml:space="preserve"> przesiadkow</w:t>
      </w:r>
      <w:r w:rsidRPr="00BB495A">
        <w:rPr>
          <w:rFonts w:cs="Lato"/>
          <w:lang w:eastAsia="pl-PL"/>
        </w:rPr>
        <w:t>ą</w:t>
      </w:r>
      <w:r w:rsidRPr="00BB495A">
        <w:rPr>
          <w:lang w:eastAsia="pl-PL"/>
        </w:rPr>
        <w:t xml:space="preserve"> i infrastruktur</w:t>
      </w:r>
      <w:r w:rsidRPr="00BB495A">
        <w:rPr>
          <w:rFonts w:cs="Lato"/>
          <w:lang w:eastAsia="pl-PL"/>
        </w:rPr>
        <w:t>ę</w:t>
      </w:r>
      <w:r w:rsidRPr="00BB495A">
        <w:rPr>
          <w:lang w:eastAsia="pl-PL"/>
        </w:rPr>
        <w:t xml:space="preserve"> dojazdową oraz rozwiązania typu </w:t>
      </w:r>
      <w:r w:rsidR="008B0C87">
        <w:rPr>
          <w:lang w:eastAsia="pl-PL"/>
        </w:rPr>
        <w:t>„</w:t>
      </w:r>
      <w:r w:rsidRPr="00BB495A">
        <w:rPr>
          <w:lang w:eastAsia="pl-PL"/>
        </w:rPr>
        <w:t>P</w:t>
      </w:r>
      <w:r w:rsidR="001C78E3">
        <w:rPr>
          <w:lang w:eastAsia="pl-PL"/>
        </w:rPr>
        <w:t>ark and Ride</w:t>
      </w:r>
      <w:r w:rsidR="008B0C87">
        <w:rPr>
          <w:lang w:eastAsia="pl-PL"/>
        </w:rPr>
        <w:t>”</w:t>
      </w:r>
      <w:r w:rsidRPr="00BB495A">
        <w:rPr>
          <w:lang w:eastAsia="pl-PL"/>
        </w:rPr>
        <w:t>, a także udostępniać dane o</w:t>
      </w:r>
      <w:r w:rsidR="008B0C87">
        <w:rPr>
          <w:lang w:eastAsia="pl-PL"/>
        </w:rPr>
        <w:t> </w:t>
      </w:r>
      <w:r w:rsidRPr="00BB495A">
        <w:rPr>
          <w:lang w:eastAsia="pl-PL"/>
        </w:rPr>
        <w:t xml:space="preserve">lokalizacji, dostępności oraz rozkładach i warunkach jazdy, w tym dane dynamiczne poprzez </w:t>
      </w:r>
      <w:r w:rsidRPr="005D0FB5">
        <w:rPr>
          <w:i/>
          <w:iCs/>
          <w:lang w:eastAsia="pl-PL"/>
        </w:rPr>
        <w:t>Krajowy Punkt Dostępu na rzecz usług dynamicznej informacji pasażerskiej</w:t>
      </w:r>
      <w:r w:rsidRPr="00BB495A">
        <w:rPr>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7C1558C" w14:textId="77777777" w:rsidTr="008B0C8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82CAF6C"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6B139BB0" wp14:editId="6A48AA44">
                  <wp:extent cx="622300" cy="622300"/>
                  <wp:effectExtent l="0" t="0" r="6350" b="6350"/>
                  <wp:docPr id="94" name="Obraz 1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552885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A465896"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47414D7B"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EFBBAA6"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A341D2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C4FAA3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rozwoju regionalnego </w:t>
            </w:r>
          </w:p>
        </w:tc>
      </w:tr>
    </w:tbl>
    <w:p w14:paraId="32DF9F49" w14:textId="7D417D07" w:rsidR="00491705" w:rsidRPr="00BB495A" w:rsidRDefault="00491705" w:rsidP="00D523F3">
      <w:pPr>
        <w:pStyle w:val="Nagwek6"/>
        <w:rPr>
          <w:rFonts w:ascii="Times New Roman" w:eastAsia="Times New Roman" w:hAnsi="Times New Roman" w:cs="Times New Roman"/>
          <w:sz w:val="24"/>
          <w:szCs w:val="24"/>
          <w:lang w:eastAsia="pl-PL"/>
        </w:rPr>
      </w:pPr>
      <w:bookmarkStart w:id="1058" w:name="_Toc195856558"/>
      <w:bookmarkStart w:id="1059" w:name="_Ref195883071"/>
      <w:bookmarkStart w:id="1060" w:name="_Ref195883080"/>
      <w:r>
        <w:t xml:space="preserve">Działanie </w:t>
      </w:r>
      <w:r>
        <w:fldChar w:fldCharType="begin"/>
      </w:r>
      <w:r>
        <w:instrText>SEQ Działanie \* ARABIC</w:instrText>
      </w:r>
      <w:r>
        <w:fldChar w:fldCharType="separate"/>
      </w:r>
      <w:r w:rsidR="00871DD5">
        <w:rPr>
          <w:noProof/>
        </w:rPr>
        <w:t>40</w:t>
      </w:r>
      <w:r>
        <w:fldChar w:fldCharType="end"/>
      </w:r>
      <w:r>
        <w:t>.</w:t>
      </w:r>
      <w:r w:rsidR="00E95885">
        <w:t xml:space="preserve"> </w:t>
      </w:r>
      <w:r w:rsidRPr="007B2901">
        <w:t>Rozwój transportu intermodalnego</w:t>
      </w:r>
      <w:bookmarkEnd w:id="1058"/>
      <w:bookmarkEnd w:id="1059"/>
      <w:bookmarkEnd w:id="1060"/>
    </w:p>
    <w:p w14:paraId="47EE94B4" w14:textId="3D435B33" w:rsidR="00491705" w:rsidRPr="00BB495A" w:rsidRDefault="00491705" w:rsidP="00E95885">
      <w:pPr>
        <w:rPr>
          <w:rFonts w:ascii="Times New Roman" w:hAnsi="Times New Roman"/>
          <w:sz w:val="24"/>
          <w:szCs w:val="24"/>
          <w:lang w:eastAsia="pl-PL"/>
        </w:rPr>
      </w:pPr>
      <w:r w:rsidRPr="00BB495A">
        <w:rPr>
          <w:lang w:eastAsia="pl-PL"/>
        </w:rPr>
        <w:t>Celem działania jest rozwój transportu intermodalnego poprzez przeniesienie przewozów ciężarowych z</w:t>
      </w:r>
      <w:r w:rsidR="00974007">
        <w:rPr>
          <w:lang w:eastAsia="pl-PL"/>
        </w:rPr>
        <w:t xml:space="preserve">  </w:t>
      </w:r>
      <w:r w:rsidRPr="00BB495A">
        <w:rPr>
          <w:lang w:eastAsia="pl-PL"/>
        </w:rPr>
        <w:t>dróg (TIRy) na kolej, co zwiększy efektywność transportu, ograniczy negatywny wpływ przewozów drogowych na środowisko oraz znacząco obniży emisję CO</w:t>
      </w:r>
      <w:r w:rsidRPr="00BB495A">
        <w:rPr>
          <w:sz w:val="16"/>
          <w:szCs w:val="16"/>
          <w:vertAlign w:val="subscript"/>
          <w:lang w:eastAsia="pl-PL"/>
        </w:rPr>
        <w:t>2</w:t>
      </w:r>
      <w:r w:rsidRPr="00BB495A">
        <w:rPr>
          <w:lang w:eastAsia="pl-PL"/>
        </w:rPr>
        <w:t>.</w:t>
      </w:r>
      <w:r w:rsidR="003E2DE5">
        <w:rPr>
          <w:rFonts w:eastAsia="Times New Roman" w:cs="Times New Roman"/>
          <w:lang w:eastAsia="pl-PL"/>
        </w:rPr>
        <w:t xml:space="preserve"> </w:t>
      </w:r>
    </w:p>
    <w:p w14:paraId="26CB876C" w14:textId="421632F0" w:rsidR="00491705" w:rsidRPr="00BB495A" w:rsidRDefault="00491705" w:rsidP="00E95885">
      <w:pPr>
        <w:rPr>
          <w:rFonts w:ascii="Times New Roman" w:hAnsi="Times New Roman"/>
          <w:sz w:val="24"/>
          <w:szCs w:val="24"/>
          <w:lang w:eastAsia="pl-PL"/>
        </w:rPr>
      </w:pPr>
      <w:r w:rsidRPr="00BB495A">
        <w:rPr>
          <w:lang w:eastAsia="pl-PL"/>
        </w:rPr>
        <w:t>Terminale intermodalne poza terminalami państwowych spółek kolejowych stanowią głównie inwestycje prywatne. Rozwijają się one z uwzględnieniem dogodnych warunków transportu towarów w</w:t>
      </w:r>
      <w:r w:rsidRPr="00E95885">
        <w:rPr>
          <w:rFonts w:ascii="Arial" w:hAnsi="Arial"/>
        </w:rPr>
        <w:t> </w:t>
      </w:r>
      <w:r w:rsidRPr="00BB495A">
        <w:rPr>
          <w:lang w:eastAsia="pl-PL"/>
        </w:rPr>
        <w:t>poszczeg</w:t>
      </w:r>
      <w:r w:rsidRPr="00BB495A">
        <w:rPr>
          <w:rFonts w:cs="Lato"/>
          <w:lang w:eastAsia="pl-PL"/>
        </w:rPr>
        <w:t>ó</w:t>
      </w:r>
      <w:r w:rsidRPr="00BB495A">
        <w:rPr>
          <w:lang w:eastAsia="pl-PL"/>
        </w:rPr>
        <w:t>lnych lokalizacjach kraju, w tym terminale morskie czy np. Suchy Port Ma</w:t>
      </w:r>
      <w:r w:rsidRPr="00BB495A">
        <w:rPr>
          <w:rFonts w:cs="Lato"/>
          <w:lang w:eastAsia="pl-PL"/>
        </w:rPr>
        <w:t>ł</w:t>
      </w:r>
      <w:r w:rsidRPr="00BB495A">
        <w:rPr>
          <w:lang w:eastAsia="pl-PL"/>
        </w:rPr>
        <w:t>aszewicze na Nowym Jedwabnym Szlaku.</w:t>
      </w:r>
      <w:r w:rsidR="003E2DE5">
        <w:rPr>
          <w:rFonts w:eastAsia="Times New Roman" w:cs="Times New Roman"/>
          <w:lang w:eastAsia="pl-PL"/>
        </w:rPr>
        <w:t xml:space="preserve"> </w:t>
      </w:r>
    </w:p>
    <w:p w14:paraId="6916FF64" w14:textId="23B815FA" w:rsidR="00491705" w:rsidRPr="00BB495A" w:rsidRDefault="00491705" w:rsidP="00E95885">
      <w:pPr>
        <w:rPr>
          <w:rFonts w:ascii="Times New Roman" w:hAnsi="Times New Roman"/>
          <w:sz w:val="24"/>
          <w:szCs w:val="24"/>
          <w:lang w:eastAsia="pl-PL"/>
        </w:rPr>
      </w:pPr>
      <w:r w:rsidRPr="00BB495A">
        <w:rPr>
          <w:lang w:eastAsia="pl-PL"/>
        </w:rPr>
        <w:lastRenderedPageBreak/>
        <w:t>Terminale otrzymują wsparcie finansowe na rozbudowę infrastruktury liniowej i punktowej w</w:t>
      </w:r>
      <w:r w:rsidRPr="00E95885">
        <w:rPr>
          <w:rFonts w:ascii="Arial" w:hAnsi="Arial"/>
        </w:rPr>
        <w:t> </w:t>
      </w:r>
      <w:r w:rsidRPr="00BB495A">
        <w:rPr>
          <w:lang w:eastAsia="pl-PL"/>
        </w:rPr>
        <w:t>programach ze wsparciem unijnym jak Connecting Europe Facility 2021-2027 (CEF2), Funduszy Europejskich na Infrastruktur</w:t>
      </w:r>
      <w:r w:rsidRPr="00BB495A">
        <w:rPr>
          <w:rFonts w:cs="Lato"/>
          <w:lang w:eastAsia="pl-PL"/>
        </w:rPr>
        <w:t>ę</w:t>
      </w:r>
      <w:r w:rsidRPr="00BB495A">
        <w:rPr>
          <w:lang w:eastAsia="pl-PL"/>
        </w:rPr>
        <w:t xml:space="preserve">, Klimat, </w:t>
      </w:r>
      <w:r w:rsidRPr="00BB495A">
        <w:rPr>
          <w:rFonts w:cs="Lato"/>
          <w:lang w:eastAsia="pl-PL"/>
        </w:rPr>
        <w:t>Ś</w:t>
      </w:r>
      <w:r w:rsidRPr="00BB495A">
        <w:rPr>
          <w:lang w:eastAsia="pl-PL"/>
        </w:rPr>
        <w:t>rodowisko 2021-2027 (FEnIKS), Krajowego Planu Odbudowy i Zwi</w:t>
      </w:r>
      <w:r w:rsidRPr="00BB495A">
        <w:rPr>
          <w:rFonts w:cs="Lato"/>
          <w:lang w:eastAsia="pl-PL"/>
        </w:rPr>
        <w:t>ę</w:t>
      </w:r>
      <w:r w:rsidRPr="00BB495A">
        <w:rPr>
          <w:lang w:eastAsia="pl-PL"/>
        </w:rPr>
        <w:t>kszania Odporno</w:t>
      </w:r>
      <w:r w:rsidRPr="00BB495A">
        <w:rPr>
          <w:rFonts w:cs="Lato"/>
          <w:lang w:eastAsia="pl-PL"/>
        </w:rPr>
        <w:t>ś</w:t>
      </w:r>
      <w:r w:rsidRPr="00BB495A">
        <w:rPr>
          <w:lang w:eastAsia="pl-PL"/>
        </w:rPr>
        <w:t xml:space="preserve">ci (KPO </w:t>
      </w:r>
      <w:r w:rsidRPr="00BB495A">
        <w:rPr>
          <w:rFonts w:cs="Lato"/>
          <w:lang w:eastAsia="pl-PL"/>
        </w:rPr>
        <w:t>–</w:t>
      </w:r>
      <w:r w:rsidRPr="00BB495A">
        <w:rPr>
          <w:lang w:eastAsia="pl-PL"/>
        </w:rPr>
        <w:t xml:space="preserve"> 2024-2026).</w:t>
      </w:r>
      <w:r w:rsidR="00974007">
        <w:rPr>
          <w:rFonts w:eastAsia="Times New Roman" w:cs="Times New Roman"/>
          <w:lang w:eastAsia="pl-PL"/>
        </w:rPr>
        <w:t xml:space="preserve">  </w:t>
      </w:r>
    </w:p>
    <w:p w14:paraId="32509245" w14:textId="682FCE5E" w:rsidR="00491705" w:rsidRPr="00BB495A" w:rsidRDefault="00491705" w:rsidP="00E95885">
      <w:pPr>
        <w:rPr>
          <w:rFonts w:ascii="Times New Roman" w:hAnsi="Times New Roman"/>
          <w:sz w:val="24"/>
          <w:szCs w:val="24"/>
          <w:lang w:eastAsia="pl-PL"/>
        </w:rPr>
      </w:pPr>
      <w:r w:rsidRPr="00BB495A">
        <w:rPr>
          <w:lang w:eastAsia="pl-PL"/>
        </w:rPr>
        <w:t xml:space="preserve">Cyfryzacja transportu intermodalnego w Polsce zmierza do ujednolicenia w zakresie transpozycji rozporządzenia </w:t>
      </w:r>
      <w:r w:rsidR="008B0C87">
        <w:rPr>
          <w:lang w:eastAsia="pl-PL"/>
        </w:rPr>
        <w:t>PE</w:t>
      </w:r>
      <w:r w:rsidRPr="00BB495A">
        <w:rPr>
          <w:lang w:eastAsia="pl-PL"/>
        </w:rPr>
        <w:t xml:space="preserve"> i Rady (UE) 2020/1056 z dnia 15 lipca 2020 r. </w:t>
      </w:r>
      <w:r w:rsidRPr="00BA5AF4">
        <w:rPr>
          <w:i/>
          <w:iCs/>
          <w:lang w:eastAsia="pl-PL"/>
        </w:rPr>
        <w:t xml:space="preserve">w sprawie elektronicznych informacji dotyczących transportu towarowego </w:t>
      </w:r>
      <w:r w:rsidRPr="00BB495A">
        <w:rPr>
          <w:lang w:eastAsia="pl-PL"/>
        </w:rPr>
        <w:t>(eFTI</w:t>
      </w:r>
      <w:r w:rsidR="00DA3E9C">
        <w:rPr>
          <w:lang w:eastAsia="pl-PL"/>
        </w:rPr>
        <w:t xml:space="preserve"> – ang. </w:t>
      </w:r>
      <w:r w:rsidR="00CC1DF2" w:rsidRPr="00CC1DF2">
        <w:rPr>
          <w:i/>
          <w:iCs/>
          <w:lang w:eastAsia="pl-PL"/>
        </w:rPr>
        <w:t>electronic freight transport information</w:t>
      </w:r>
      <w:r w:rsidRPr="00BB495A">
        <w:rPr>
          <w:lang w:eastAsia="pl-PL"/>
        </w:rPr>
        <w:t xml:space="preserve">). Platformy te są także wymieniane w pracach nad zmianą projektu dyrektywy </w:t>
      </w:r>
      <w:r w:rsidR="001E5083">
        <w:rPr>
          <w:lang w:eastAsia="pl-PL"/>
        </w:rPr>
        <w:t>PE</w:t>
      </w:r>
      <w:r w:rsidRPr="00BB495A">
        <w:rPr>
          <w:lang w:eastAsia="pl-PL"/>
        </w:rPr>
        <w:t xml:space="preserve"> i Rady, zmieniającej dyrektywę 92/106/EWG </w:t>
      </w:r>
      <w:r w:rsidR="00E71E3B">
        <w:rPr>
          <w:lang w:eastAsia="pl-PL"/>
        </w:rPr>
        <w:t>(</w:t>
      </w:r>
      <w:r w:rsidRPr="00BB495A">
        <w:rPr>
          <w:lang w:eastAsia="pl-PL"/>
        </w:rPr>
        <w:t>transport kombinowany</w:t>
      </w:r>
      <w:r w:rsidR="00E71E3B">
        <w:rPr>
          <w:lang w:eastAsia="pl-PL"/>
        </w:rPr>
        <w:t>)</w:t>
      </w:r>
      <w:r w:rsidRPr="00BB495A">
        <w:rPr>
          <w:lang w:eastAsia="pl-PL"/>
        </w:rPr>
        <w:t>, dotyczącej w szczególności transportu intermodalnego. Platformy cyfrowe eFTI pozwolą w szczególności na bieżące monitorowanie przewozów intermodalnych w czasie rzeczywistym na różnych gałęziach transportu i służyć mogą do kwalifikacji takiego transportu pod kątem ewentualnych środków wsparcia.</w:t>
      </w:r>
      <w:r w:rsidR="00974007">
        <w:rPr>
          <w:rFonts w:eastAsia="Times New Roman" w:cs="Times New Roman"/>
          <w:lang w:eastAsia="pl-PL"/>
        </w:rPr>
        <w:t xml:space="preserve">  </w:t>
      </w:r>
    </w:p>
    <w:p w14:paraId="58082CF8" w14:textId="77777777" w:rsidR="00491705" w:rsidRPr="00BB495A" w:rsidRDefault="00491705" w:rsidP="00E95885">
      <w:pPr>
        <w:rPr>
          <w:rFonts w:ascii="Times New Roman" w:eastAsia="Times New Roman" w:hAnsi="Times New Roman" w:cs="Times New Roman"/>
          <w:sz w:val="24"/>
          <w:szCs w:val="24"/>
          <w:lang w:eastAsia="pl-PL"/>
        </w:rPr>
      </w:pPr>
      <w:r w:rsidRPr="00BB495A">
        <w:rPr>
          <w:rFonts w:eastAsia="Times New Roman" w:cs="Times New Roman"/>
          <w:lang w:eastAsia="pl-PL"/>
        </w:rPr>
        <w:t>Równolegle powinna być przeprowadzona szeroka akcja informacyjno-promocyjna, podkreślająca zalety i korzyści wynikające z zastosowania transportu intermodalnego, m.in. możliwość pracy kierowców tylko na odcinkach tzw. „ostatniej mili”. </w:t>
      </w:r>
    </w:p>
    <w:p w14:paraId="4CB20002" w14:textId="12F03110" w:rsidR="00491705" w:rsidRPr="00BB495A" w:rsidRDefault="00491705" w:rsidP="00E95885">
      <w:pPr>
        <w:rPr>
          <w:rFonts w:ascii="Times New Roman" w:hAnsi="Times New Roman"/>
          <w:sz w:val="24"/>
          <w:szCs w:val="24"/>
          <w:lang w:eastAsia="pl-PL"/>
        </w:rPr>
      </w:pPr>
      <w:r w:rsidRPr="00BB495A">
        <w:rPr>
          <w:lang w:eastAsia="pl-PL"/>
        </w:rPr>
        <w:t xml:space="preserve">Działanie wymaga również prowadzenia intensywnych prac badawczo-rozwojowych w zakresie </w:t>
      </w:r>
      <w:r w:rsidR="004831C1">
        <w:rPr>
          <w:lang w:eastAsia="pl-PL"/>
        </w:rPr>
        <w:t>np.</w:t>
      </w:r>
      <w:r w:rsidR="0076656D">
        <w:rPr>
          <w:lang w:eastAsia="pl-PL"/>
        </w:rPr>
        <w:t> </w:t>
      </w:r>
      <w:r w:rsidRPr="00BB495A">
        <w:rPr>
          <w:lang w:eastAsia="pl-PL"/>
        </w:rPr>
        <w:t>opracowania i wdrożenia standardu specjalnych wagonów kolejowych, które umożliwią szybki, autonomiczny załadunek i rozładunek naczep ciągników siodłowych lub całych zestawów bez konieczności korzystania z przystosowanych stacji przeładunkowych. Niezbędne jest także opracowanie innych innowacyjnych technologii, które efektywnie wesprą rozwój transportu intermodalnego.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FA04130" w14:textId="77777777" w:rsidTr="008B0C87">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63B7255D"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00B8F24F" wp14:editId="523480FD">
                  <wp:extent cx="622300" cy="622300"/>
                  <wp:effectExtent l="0" t="0" r="6350" b="6350"/>
                  <wp:docPr id="12" name="Obraz 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4215C6C"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EE3437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5D625E88" w14:textId="77777777" w:rsidTr="008B0C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1F1AC2D"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F66F6B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C1499F0"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nauki i szkolnictwa wyższego </w:t>
            </w:r>
          </w:p>
        </w:tc>
      </w:tr>
    </w:tbl>
    <w:p w14:paraId="21D17926" w14:textId="16F364D7"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61" w:name="_Toc195856559"/>
      <w:bookmarkStart w:id="1062" w:name="_Ref195883937"/>
      <w:r>
        <w:t xml:space="preserve">Działanie </w:t>
      </w:r>
      <w:r>
        <w:fldChar w:fldCharType="begin"/>
      </w:r>
      <w:r>
        <w:instrText>SEQ Działanie \* ARABIC</w:instrText>
      </w:r>
      <w:r>
        <w:fldChar w:fldCharType="separate"/>
      </w:r>
      <w:r w:rsidR="00871DD5">
        <w:rPr>
          <w:noProof/>
        </w:rPr>
        <w:t>41</w:t>
      </w:r>
      <w:r>
        <w:fldChar w:fldCharType="end"/>
      </w:r>
      <w:r>
        <w:t xml:space="preserve">. </w:t>
      </w:r>
      <w:r w:rsidRPr="00803571">
        <w:t>Rozwój elektryfikacji drogowych przewozów towarowych (branża TSL)</w:t>
      </w:r>
      <w:bookmarkEnd w:id="1061"/>
      <w:bookmarkEnd w:id="1062"/>
    </w:p>
    <w:p w14:paraId="7C21764D" w14:textId="2396DD26" w:rsidR="00491705" w:rsidRPr="003E316F" w:rsidRDefault="00491705" w:rsidP="00E95885">
      <w:pPr>
        <w:rPr>
          <w:lang w:eastAsia="pl-PL"/>
        </w:rPr>
      </w:pPr>
      <w:r w:rsidRPr="003E316F">
        <w:rPr>
          <w:lang w:eastAsia="pl-PL"/>
        </w:rPr>
        <w:t xml:space="preserve">Sektor </w:t>
      </w:r>
      <w:r w:rsidRPr="003E316F">
        <w:rPr>
          <w:i/>
          <w:iCs/>
          <w:lang w:eastAsia="pl-PL"/>
        </w:rPr>
        <w:t xml:space="preserve">transportu, spedycji i logistyki </w:t>
      </w:r>
      <w:r w:rsidRPr="003E316F">
        <w:rPr>
          <w:lang w:eastAsia="pl-PL"/>
        </w:rPr>
        <w:t>(TSL) odpowiada za 6% polskiego PKB oraz za blisko milion miejsc pracy. Polska branża TSL stanowi nie tylko jeden z kluczowych elementów polskiej gospodarki, ale także fundament europejskich łańcuchów dostaw, realizując aż 20% wszystkich usług logistycznych w Unii Europejskiej. Jej dekarbonizacja, z przejściem na pojazdy zeroemisyjne, jest krytycznie ważnym procesem, który wymaga wsparcia zapewniającego utrzymanie jej konkurencyjności. Biorąc pod uwagę</w:t>
      </w:r>
      <w:r w:rsidR="00087216">
        <w:rPr>
          <w:lang w:eastAsia="pl-PL"/>
        </w:rPr>
        <w:t xml:space="preserve"> to</w:t>
      </w:r>
      <w:r w:rsidRPr="003E316F">
        <w:rPr>
          <w:lang w:eastAsia="pl-PL"/>
        </w:rPr>
        <w:t>, że</w:t>
      </w:r>
      <w:r w:rsidR="0076656D">
        <w:rPr>
          <w:lang w:eastAsia="pl-PL"/>
        </w:rPr>
        <w:t> </w:t>
      </w:r>
      <w:r w:rsidRPr="003E316F">
        <w:rPr>
          <w:lang w:eastAsia="pl-PL"/>
        </w:rPr>
        <w:t>elektryfikacja transportu ciężarowego na świecie i w Europie jest na początkowym etapie, lecz szybko się rozwija, należy podjąć działania</w:t>
      </w:r>
      <w:r w:rsidR="00344813">
        <w:rPr>
          <w:lang w:eastAsia="pl-PL"/>
        </w:rPr>
        <w:t xml:space="preserve"> uporządkowane według obszarów problemowych</w:t>
      </w:r>
      <w:r w:rsidRPr="003E316F">
        <w:rPr>
          <w:lang w:eastAsia="pl-PL"/>
        </w:rPr>
        <w:t>: </w:t>
      </w:r>
    </w:p>
    <w:p w14:paraId="0CDA991A" w14:textId="27C63B1A" w:rsidR="008D0CBA" w:rsidRPr="008D0CBA" w:rsidRDefault="008D0CBA" w:rsidP="000625AC">
      <w:pPr>
        <w:pStyle w:val="Akapitzlist"/>
        <w:numPr>
          <w:ilvl w:val="0"/>
          <w:numId w:val="135"/>
        </w:numPr>
        <w:rPr>
          <w:lang w:eastAsia="pl-PL"/>
        </w:rPr>
      </w:pPr>
      <w:r w:rsidRPr="008D0CBA">
        <w:rPr>
          <w:lang w:eastAsia="pl-PL"/>
        </w:rPr>
        <w:t xml:space="preserve">Struktura kosztów korzystna dla ciężarówek elektrycznych: </w:t>
      </w:r>
    </w:p>
    <w:p w14:paraId="393031AB" w14:textId="2A0301C5" w:rsidR="008D0CBA" w:rsidRPr="008D0CBA" w:rsidRDefault="001E5083" w:rsidP="000625AC">
      <w:pPr>
        <w:pStyle w:val="Akapitzlist"/>
        <w:numPr>
          <w:ilvl w:val="1"/>
          <w:numId w:val="135"/>
        </w:numPr>
        <w:ind w:left="709"/>
        <w:rPr>
          <w:lang w:eastAsia="pl-PL"/>
        </w:rPr>
      </w:pPr>
      <w:r>
        <w:rPr>
          <w:lang w:eastAsia="pl-PL"/>
        </w:rPr>
        <w:t>W</w:t>
      </w:r>
      <w:r w:rsidR="008D0CBA" w:rsidRPr="008D0CBA">
        <w:rPr>
          <w:lang w:eastAsia="pl-PL"/>
        </w:rPr>
        <w:t>iększe zróżnicowanie stawki opłaty elektronicznej zależne od poziomu emisji CO</w:t>
      </w:r>
      <w:r w:rsidR="008D0CBA" w:rsidRPr="00E00B96">
        <w:rPr>
          <w:vertAlign w:val="subscript"/>
        </w:rPr>
        <w:t>2</w:t>
      </w:r>
      <w:r w:rsidR="008D0CBA" w:rsidRPr="008D0CBA">
        <w:rPr>
          <w:lang w:eastAsia="pl-PL"/>
        </w:rPr>
        <w:t xml:space="preserve"> oraz zanieczyszczeń generowanych przez pojazd ciężki, które powinno prowadzić do dalszej systematycznej modernizacji flot, w tym również ich elektryfikacji. </w:t>
      </w:r>
    </w:p>
    <w:p w14:paraId="08EE41F2" w14:textId="0A8B9C62" w:rsidR="008D0CBA" w:rsidRPr="008D0CBA" w:rsidRDefault="001E5083" w:rsidP="000625AC">
      <w:pPr>
        <w:pStyle w:val="Akapitzlist"/>
        <w:numPr>
          <w:ilvl w:val="1"/>
          <w:numId w:val="135"/>
        </w:numPr>
        <w:ind w:left="709"/>
        <w:rPr>
          <w:lang w:eastAsia="pl-PL"/>
        </w:rPr>
      </w:pPr>
      <w:r>
        <w:rPr>
          <w:lang w:eastAsia="pl-PL"/>
        </w:rPr>
        <w:t>Z</w:t>
      </w:r>
      <w:r w:rsidR="008D0CBA" w:rsidRPr="008D0CBA">
        <w:rPr>
          <w:lang w:eastAsia="pl-PL"/>
        </w:rPr>
        <w:t xml:space="preserve">astosowanie preferencyjnej stawki opłaty elektronicznej dla ciężkich pojazdów elektrycznych jako pojazdów mniej zanieczyszczających środowisko naturalne niż pojazdy emisyjne. </w:t>
      </w:r>
    </w:p>
    <w:p w14:paraId="376485B4" w14:textId="217B46D8" w:rsidR="008D0CBA" w:rsidRPr="008D0CBA" w:rsidRDefault="008D0CBA" w:rsidP="000625AC">
      <w:pPr>
        <w:pStyle w:val="Akapitzlist"/>
        <w:numPr>
          <w:ilvl w:val="1"/>
          <w:numId w:val="135"/>
        </w:numPr>
        <w:ind w:left="709" w:hanging="357"/>
        <w:contextualSpacing w:val="0"/>
        <w:rPr>
          <w:lang w:eastAsia="pl-PL"/>
        </w:rPr>
      </w:pPr>
      <w:r w:rsidRPr="008D0CBA">
        <w:rPr>
          <w:lang w:eastAsia="pl-PL"/>
        </w:rPr>
        <w:t>Wprowadzenie preferencyjnych warunków amortyzacji pojazdów elektrycznych</w:t>
      </w:r>
      <w:r w:rsidR="000E0427">
        <w:rPr>
          <w:lang w:eastAsia="pl-PL"/>
        </w:rPr>
        <w:t>.</w:t>
      </w:r>
      <w:r w:rsidRPr="008D0CBA">
        <w:rPr>
          <w:lang w:eastAsia="pl-PL"/>
        </w:rPr>
        <w:t xml:space="preserve"> </w:t>
      </w:r>
    </w:p>
    <w:p w14:paraId="266A2B5A" w14:textId="7645676E" w:rsidR="008D0CBA" w:rsidRPr="008D0CBA" w:rsidRDefault="008D0CBA" w:rsidP="000625AC">
      <w:pPr>
        <w:pStyle w:val="Akapitzlist"/>
        <w:numPr>
          <w:ilvl w:val="0"/>
          <w:numId w:val="135"/>
        </w:numPr>
        <w:rPr>
          <w:lang w:eastAsia="pl-PL"/>
        </w:rPr>
      </w:pPr>
      <w:r w:rsidRPr="008D0CBA">
        <w:rPr>
          <w:lang w:eastAsia="pl-PL"/>
        </w:rPr>
        <w:t xml:space="preserve">Rozwój infrastruktury: </w:t>
      </w:r>
    </w:p>
    <w:p w14:paraId="520DD0D2" w14:textId="1FC3DF63" w:rsidR="008D0CBA" w:rsidRPr="008D0CBA" w:rsidRDefault="008D0CBA" w:rsidP="000625AC">
      <w:pPr>
        <w:pStyle w:val="Akapitzlist"/>
        <w:numPr>
          <w:ilvl w:val="1"/>
          <w:numId w:val="135"/>
        </w:numPr>
        <w:ind w:left="709"/>
        <w:rPr>
          <w:lang w:eastAsia="pl-PL"/>
        </w:rPr>
      </w:pPr>
      <w:r w:rsidRPr="008D0CBA">
        <w:rPr>
          <w:lang w:eastAsia="pl-PL"/>
        </w:rPr>
        <w:t xml:space="preserve">Bezterminowe uprawnienie dla pojazdów elektrycznych wykorzystywanych w dystrybucji </w:t>
      </w:r>
      <w:r w:rsidR="00540ACA">
        <w:rPr>
          <w:lang w:eastAsia="pl-PL"/>
        </w:rPr>
        <w:t>ostatniej mili (</w:t>
      </w:r>
      <w:r w:rsidR="000E0427">
        <w:rPr>
          <w:lang w:eastAsia="pl-PL"/>
        </w:rPr>
        <w:t xml:space="preserve">ang. </w:t>
      </w:r>
      <w:r w:rsidRPr="000E0427">
        <w:rPr>
          <w:i/>
          <w:lang w:eastAsia="pl-PL"/>
        </w:rPr>
        <w:t>last-mile</w:t>
      </w:r>
      <w:r w:rsidR="00540ACA">
        <w:rPr>
          <w:lang w:eastAsia="pl-PL"/>
        </w:rPr>
        <w:t>)</w:t>
      </w:r>
      <w:r w:rsidRPr="008D0CBA">
        <w:rPr>
          <w:lang w:eastAsia="pl-PL"/>
        </w:rPr>
        <w:t xml:space="preserve"> do korzystania z buspasów w miastach. </w:t>
      </w:r>
    </w:p>
    <w:p w14:paraId="7710D9CF" w14:textId="5067AD6B" w:rsidR="008D0CBA" w:rsidRPr="008D0CBA" w:rsidRDefault="008D0CBA" w:rsidP="000625AC">
      <w:pPr>
        <w:pStyle w:val="Akapitzlist"/>
        <w:numPr>
          <w:ilvl w:val="1"/>
          <w:numId w:val="135"/>
        </w:numPr>
        <w:ind w:left="709"/>
        <w:rPr>
          <w:lang w:eastAsia="pl-PL"/>
        </w:rPr>
      </w:pPr>
      <w:r w:rsidRPr="008D0CBA">
        <w:rPr>
          <w:lang w:eastAsia="pl-PL"/>
        </w:rPr>
        <w:t xml:space="preserve">Wprowadzenie ułatwień w zakresie uzyskania zgód na budowę punktów ładowania w ramach istniejących terminali przeładunkowych i obiektów magazynowych oraz usprawnienie procesu uzyskiwania </w:t>
      </w:r>
      <w:r w:rsidR="00940A35" w:rsidRPr="00940A35">
        <w:rPr>
          <w:lang w:eastAsia="pl-PL"/>
        </w:rPr>
        <w:t>warunków przyłączenia do sieci dla instalacji</w:t>
      </w:r>
      <w:r w:rsidRPr="008D0CBA">
        <w:rPr>
          <w:lang w:eastAsia="pl-PL"/>
        </w:rPr>
        <w:t xml:space="preserve"> OZE. </w:t>
      </w:r>
    </w:p>
    <w:p w14:paraId="5C80CC04" w14:textId="0D0CCEFB" w:rsidR="008D0CBA" w:rsidRPr="008D0CBA" w:rsidRDefault="008D0CBA" w:rsidP="000625AC">
      <w:pPr>
        <w:pStyle w:val="Akapitzlist"/>
        <w:numPr>
          <w:ilvl w:val="1"/>
          <w:numId w:val="135"/>
        </w:numPr>
        <w:ind w:left="709"/>
        <w:rPr>
          <w:lang w:eastAsia="pl-PL"/>
        </w:rPr>
      </w:pPr>
      <w:r w:rsidRPr="008D0CBA">
        <w:rPr>
          <w:lang w:eastAsia="pl-PL"/>
        </w:rPr>
        <w:t>Większe zróżnicowanie form wsparcia w zakresie dofinansowania do budowy infrastruktury ładowania dedykowanej dla pojazdów ciężkich.</w:t>
      </w:r>
      <w:r w:rsidR="00974007">
        <w:rPr>
          <w:lang w:eastAsia="pl-PL"/>
        </w:rPr>
        <w:t xml:space="preserve">  </w:t>
      </w:r>
    </w:p>
    <w:p w14:paraId="541F8BFF" w14:textId="3474CD52" w:rsidR="008D0CBA" w:rsidRPr="008D0CBA" w:rsidRDefault="008D0CBA" w:rsidP="000625AC">
      <w:pPr>
        <w:pStyle w:val="Akapitzlist"/>
        <w:numPr>
          <w:ilvl w:val="1"/>
          <w:numId w:val="135"/>
        </w:numPr>
        <w:ind w:left="709" w:hanging="357"/>
        <w:contextualSpacing w:val="0"/>
        <w:rPr>
          <w:lang w:eastAsia="pl-PL"/>
        </w:rPr>
      </w:pPr>
      <w:r w:rsidRPr="008D0CBA">
        <w:rPr>
          <w:lang w:eastAsia="pl-PL"/>
        </w:rPr>
        <w:lastRenderedPageBreak/>
        <w:t>Zobowiązanie inwestorów do wyposażania obiektów w infrastrukturę ładowania pojazdów elektrycznych, instalację źródeł OZE i magazynów energii wszystkich nowopowstających obiektów logistycznych (w krótszym horyzoncie czasowym) i do modernizacji istniejących (w</w:t>
      </w:r>
      <w:r w:rsidR="00552C84">
        <w:rPr>
          <w:lang w:eastAsia="pl-PL"/>
        </w:rPr>
        <w:t> </w:t>
      </w:r>
      <w:r w:rsidRPr="008D0CBA">
        <w:rPr>
          <w:lang w:eastAsia="pl-PL"/>
        </w:rPr>
        <w:t xml:space="preserve">dłuższym horyzoncie czasowym). </w:t>
      </w:r>
    </w:p>
    <w:p w14:paraId="594A879B" w14:textId="03B89384" w:rsidR="008D0CBA" w:rsidRPr="008D0CBA" w:rsidRDefault="008D0CBA" w:rsidP="000625AC">
      <w:pPr>
        <w:pStyle w:val="Akapitzlist"/>
        <w:numPr>
          <w:ilvl w:val="0"/>
          <w:numId w:val="135"/>
        </w:numPr>
        <w:rPr>
          <w:lang w:eastAsia="pl-PL"/>
        </w:rPr>
      </w:pPr>
      <w:r w:rsidRPr="008D0CBA">
        <w:rPr>
          <w:lang w:eastAsia="pl-PL"/>
        </w:rPr>
        <w:t xml:space="preserve">Preferencje dla najbardziej innowacyjnych firm: </w:t>
      </w:r>
    </w:p>
    <w:p w14:paraId="1B413A93" w14:textId="279850E0" w:rsidR="008D0CBA" w:rsidRPr="008D0CBA" w:rsidRDefault="008D0CBA" w:rsidP="000625AC">
      <w:pPr>
        <w:pStyle w:val="Akapitzlist"/>
        <w:numPr>
          <w:ilvl w:val="1"/>
          <w:numId w:val="135"/>
        </w:numPr>
        <w:ind w:left="709"/>
        <w:rPr>
          <w:lang w:eastAsia="pl-PL"/>
        </w:rPr>
      </w:pPr>
      <w:r w:rsidRPr="008D0CBA">
        <w:rPr>
          <w:lang w:eastAsia="pl-PL"/>
        </w:rPr>
        <w:t>Obniżenie stawki podatku VAT, którym obciążony jest zakup nowych pojazdów ciężarowych z</w:t>
      </w:r>
      <w:r w:rsidR="001E5083">
        <w:rPr>
          <w:lang w:eastAsia="pl-PL"/>
        </w:rPr>
        <w:t> </w:t>
      </w:r>
      <w:r w:rsidRPr="008D0CBA">
        <w:rPr>
          <w:lang w:eastAsia="pl-PL"/>
        </w:rPr>
        <w:t xml:space="preserve">napędem elektrycznym. </w:t>
      </w:r>
    </w:p>
    <w:p w14:paraId="3070D725" w14:textId="1333BB70" w:rsidR="008D0CBA" w:rsidRPr="008D0CBA" w:rsidRDefault="008D0CBA" w:rsidP="000625AC">
      <w:pPr>
        <w:pStyle w:val="Akapitzlist"/>
        <w:numPr>
          <w:ilvl w:val="1"/>
          <w:numId w:val="135"/>
        </w:numPr>
        <w:ind w:left="709"/>
        <w:rPr>
          <w:lang w:eastAsia="pl-PL"/>
        </w:rPr>
      </w:pPr>
      <w:r w:rsidRPr="008D0CBA">
        <w:rPr>
          <w:lang w:eastAsia="pl-PL"/>
        </w:rPr>
        <w:t>Stworzenie systemu, w którym właściciele pojazdów elektrycznych mogliby uzyskać</w:t>
      </w:r>
      <w:r w:rsidR="001E5083">
        <w:rPr>
          <w:lang w:eastAsia="pl-PL"/>
        </w:rPr>
        <w:t> </w:t>
      </w:r>
      <w:r w:rsidRPr="008D0CBA">
        <w:rPr>
          <w:lang w:eastAsia="pl-PL"/>
        </w:rPr>
        <w:t xml:space="preserve">preferencyjne stawki obowiązkowych ubezpieczeń flotowych. </w:t>
      </w:r>
    </w:p>
    <w:p w14:paraId="73FA73B1" w14:textId="219B5C60" w:rsidR="008D0CBA" w:rsidRPr="008D0CBA" w:rsidRDefault="008D0CBA" w:rsidP="000625AC">
      <w:pPr>
        <w:pStyle w:val="Akapitzlist"/>
        <w:numPr>
          <w:ilvl w:val="1"/>
          <w:numId w:val="135"/>
        </w:numPr>
        <w:ind w:left="709"/>
        <w:rPr>
          <w:lang w:eastAsia="pl-PL"/>
        </w:rPr>
      </w:pPr>
      <w:r w:rsidRPr="008D0CBA">
        <w:rPr>
          <w:lang w:eastAsia="pl-PL"/>
        </w:rPr>
        <w:t>Zabezpieczenie przez Skarb Państwa instrumentów finansowych dedykowanych dla instytucji finansowych wyłącznie dla produktów finansujących wymianę floty spalinowej na elektryczną z</w:t>
      </w:r>
      <w:r w:rsidR="001E5083">
        <w:rPr>
          <w:lang w:eastAsia="pl-PL"/>
        </w:rPr>
        <w:t> </w:t>
      </w:r>
      <w:r w:rsidRPr="008D0CBA">
        <w:rPr>
          <w:lang w:eastAsia="pl-PL"/>
        </w:rPr>
        <w:t xml:space="preserve">preferencją dla MŚP. </w:t>
      </w:r>
    </w:p>
    <w:p w14:paraId="6A35318D" w14:textId="000B5150" w:rsidR="008D0CBA" w:rsidRPr="008D0CBA" w:rsidRDefault="008D0CBA" w:rsidP="000625AC">
      <w:pPr>
        <w:pStyle w:val="Akapitzlist"/>
        <w:numPr>
          <w:ilvl w:val="1"/>
          <w:numId w:val="135"/>
        </w:numPr>
        <w:ind w:left="709" w:hanging="357"/>
        <w:contextualSpacing w:val="0"/>
        <w:rPr>
          <w:lang w:eastAsia="pl-PL"/>
        </w:rPr>
      </w:pPr>
      <w:r w:rsidRPr="008D0CBA">
        <w:rPr>
          <w:lang w:eastAsia="pl-PL"/>
        </w:rPr>
        <w:t>Utworzenie giełdy uprawnień do emisji CO</w:t>
      </w:r>
      <w:r w:rsidRPr="0084268C">
        <w:rPr>
          <w:vertAlign w:val="subscript"/>
        </w:rPr>
        <w:t>2</w:t>
      </w:r>
      <w:r w:rsidRPr="008D0CBA">
        <w:rPr>
          <w:lang w:eastAsia="pl-PL"/>
        </w:rPr>
        <w:t xml:space="preserve"> dedykowanej sektorowi transportowemu, która umożliwi pionierom sprzedaż nadwyżek uprawnień po cenach rynkowych na rynku – i</w:t>
      </w:r>
      <w:r w:rsidR="001E5083">
        <w:rPr>
          <w:lang w:eastAsia="pl-PL"/>
        </w:rPr>
        <w:t> </w:t>
      </w:r>
      <w:r w:rsidRPr="008D0CBA">
        <w:rPr>
          <w:lang w:eastAsia="pl-PL"/>
        </w:rPr>
        <w:t xml:space="preserve">sfinansowanie kolejnych inwestycji. </w:t>
      </w:r>
    </w:p>
    <w:p w14:paraId="15BAEFED" w14:textId="4D3B17FE" w:rsidR="008D0CBA" w:rsidRPr="008D0CBA" w:rsidRDefault="008D0CBA" w:rsidP="000625AC">
      <w:pPr>
        <w:pStyle w:val="Akapitzlist"/>
        <w:numPr>
          <w:ilvl w:val="0"/>
          <w:numId w:val="135"/>
        </w:numPr>
        <w:rPr>
          <w:lang w:eastAsia="pl-PL"/>
        </w:rPr>
      </w:pPr>
      <w:r w:rsidRPr="008D0CBA">
        <w:rPr>
          <w:lang w:eastAsia="pl-PL"/>
        </w:rPr>
        <w:t xml:space="preserve">Dostępność: </w:t>
      </w:r>
    </w:p>
    <w:p w14:paraId="3F931AAF" w14:textId="3F6D3D10" w:rsidR="008D0CBA" w:rsidRPr="008D0CBA" w:rsidRDefault="008D0CBA" w:rsidP="000625AC">
      <w:pPr>
        <w:pStyle w:val="Akapitzlist"/>
        <w:numPr>
          <w:ilvl w:val="1"/>
          <w:numId w:val="135"/>
        </w:numPr>
        <w:ind w:left="709"/>
        <w:rPr>
          <w:lang w:eastAsia="pl-PL"/>
        </w:rPr>
      </w:pPr>
      <w:r w:rsidRPr="008D0CBA">
        <w:rPr>
          <w:lang w:eastAsia="pl-PL"/>
        </w:rPr>
        <w:t>Kampania edukacyjna dla firm z sektora TSL na temat korzyści wynikających z wdrażania rozwiązań niskoemisyjnych.</w:t>
      </w:r>
      <w:r w:rsidR="00974007">
        <w:rPr>
          <w:lang w:eastAsia="pl-PL"/>
        </w:rPr>
        <w:t xml:space="preserve">  </w:t>
      </w:r>
    </w:p>
    <w:p w14:paraId="09737F46" w14:textId="79A911F3" w:rsidR="008D0CBA" w:rsidRPr="008D0CBA" w:rsidRDefault="008D0CBA" w:rsidP="000625AC">
      <w:pPr>
        <w:pStyle w:val="Akapitzlist"/>
        <w:numPr>
          <w:ilvl w:val="1"/>
          <w:numId w:val="135"/>
        </w:numPr>
        <w:ind w:left="709"/>
        <w:rPr>
          <w:lang w:eastAsia="pl-PL"/>
        </w:rPr>
      </w:pPr>
      <w:r w:rsidRPr="008D0CBA">
        <w:rPr>
          <w:lang w:eastAsia="pl-PL"/>
        </w:rPr>
        <w:t>Wsparcie dla małych i średnich firm z zakresu wdrażania rozwiązań z zakresu raportowania ESG, monitoringu emisji CO</w:t>
      </w:r>
      <w:r w:rsidRPr="001914C7">
        <w:rPr>
          <w:vertAlign w:val="subscript"/>
          <w:lang w:eastAsia="pl-PL"/>
        </w:rPr>
        <w:t>2</w:t>
      </w:r>
      <w:r w:rsidRPr="008D0CBA">
        <w:rPr>
          <w:lang w:eastAsia="pl-PL"/>
        </w:rPr>
        <w:t xml:space="preserve"> etc. </w:t>
      </w:r>
    </w:p>
    <w:p w14:paraId="6CFDE5AF" w14:textId="5C0E90E3" w:rsidR="00491705" w:rsidRPr="00117961" w:rsidRDefault="008D0CBA" w:rsidP="000625AC">
      <w:pPr>
        <w:pStyle w:val="Akapitzlist"/>
        <w:numPr>
          <w:ilvl w:val="1"/>
          <w:numId w:val="135"/>
        </w:numPr>
        <w:ind w:left="709"/>
      </w:pPr>
      <w:r w:rsidRPr="008D0CBA">
        <w:rPr>
          <w:lang w:eastAsia="pl-PL"/>
        </w:rPr>
        <w:t>Utworzenie kompendium wiedzy dla branży TSL a także uzupełnienie programu szkoleń kierowców o rzetelne informacje o elektromobilności (w tym o dostępnych możliwościach optymalizacji kosztów korzystania z energii elektrycznej do ładowania pojazdów elektrycznych w</w:t>
      </w:r>
      <w:r w:rsidR="0076656D">
        <w:rPr>
          <w:lang w:eastAsia="pl-PL"/>
        </w:rPr>
        <w:t> </w:t>
      </w:r>
      <w:r w:rsidRPr="008D0CBA">
        <w:rPr>
          <w:lang w:eastAsia="pl-PL"/>
        </w:rPr>
        <w:t xml:space="preserve">prywatnych instalacjach tj. e-taryfa, </w:t>
      </w:r>
      <w:r w:rsidR="00DC00B2">
        <w:rPr>
          <w:lang w:eastAsia="pl-PL"/>
        </w:rPr>
        <w:t>umowa z ceną dynamiczną</w:t>
      </w:r>
      <w:r w:rsidRPr="008D0CBA">
        <w:rPr>
          <w:lang w:eastAsia="pl-PL"/>
        </w:rPr>
        <w:t>, instalacja OZE, magazyn mocy, informacja o tym, że w przypadku jazdy osobowym pojazdem „po mieście” w 99% przypadków wystarczy ładowanie z prywatnego źródła, informacja o tym, że zasięg zależy też od masy przewożonego ładunku, etc.).</w:t>
      </w:r>
      <w:r w:rsidR="00974007">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18892623" w14:textId="77777777" w:rsidTr="001E5083">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63615C50"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43453DE8" wp14:editId="5264C3F9">
                  <wp:extent cx="622300" cy="622300"/>
                  <wp:effectExtent l="0" t="0" r="6350" b="6350"/>
                  <wp:docPr id="90" name="Obraz 1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91F5F14"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38F38F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7FB51AA0"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088CE5A"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B613107" w14:textId="1CFFEBF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p w14:paraId="5AA2CDA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2B97B08" w14:textId="210C1190"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p w14:paraId="0B741778" w14:textId="4CDD2382"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finansów publicznych</w:t>
            </w:r>
            <w:r w:rsidR="003E2DE5">
              <w:rPr>
                <w:rFonts w:eastAsia="Times New Roman" w:cs="Times New Roman"/>
                <w:color w:val="808080"/>
                <w:sz w:val="18"/>
                <w:szCs w:val="18"/>
                <w:lang w:eastAsia="pl-PL"/>
              </w:rPr>
              <w:t xml:space="preserve"> </w:t>
            </w:r>
          </w:p>
        </w:tc>
      </w:tr>
    </w:tbl>
    <w:p w14:paraId="53A028EB" w14:textId="30ED835E" w:rsidR="00491705" w:rsidRPr="00BB495A" w:rsidRDefault="00491705" w:rsidP="00807EAB">
      <w:pPr>
        <w:pStyle w:val="Nagwek6"/>
        <w:rPr>
          <w:rFonts w:ascii="Times New Roman" w:eastAsia="Times New Roman" w:hAnsi="Times New Roman" w:cs="Times New Roman"/>
          <w:i/>
          <w:iCs/>
          <w:color w:val="595959"/>
          <w:sz w:val="24"/>
          <w:szCs w:val="24"/>
          <w:lang w:eastAsia="pl-PL"/>
        </w:rPr>
      </w:pPr>
      <w:bookmarkStart w:id="1063" w:name="_Toc195856560"/>
      <w:bookmarkStart w:id="1064" w:name="_Ref195883954"/>
      <w:bookmarkStart w:id="1065" w:name="_Ref195887218"/>
      <w:r>
        <w:t xml:space="preserve">Działanie </w:t>
      </w:r>
      <w:r>
        <w:fldChar w:fldCharType="begin"/>
      </w:r>
      <w:r>
        <w:instrText>SEQ Działanie \* ARABIC</w:instrText>
      </w:r>
      <w:r>
        <w:fldChar w:fldCharType="separate"/>
      </w:r>
      <w:r w:rsidR="00871DD5">
        <w:rPr>
          <w:noProof/>
        </w:rPr>
        <w:t>42</w:t>
      </w:r>
      <w:r>
        <w:fldChar w:fldCharType="end"/>
      </w:r>
      <w:r>
        <w:t xml:space="preserve">. </w:t>
      </w:r>
      <w:r w:rsidRPr="006E4939">
        <w:t>Zapewnienie dostępności paliw alternatywnych w portach morskich</w:t>
      </w:r>
      <w:bookmarkEnd w:id="1063"/>
      <w:bookmarkEnd w:id="1064"/>
      <w:bookmarkEnd w:id="1065"/>
    </w:p>
    <w:p w14:paraId="424E9AA2" w14:textId="20A95263" w:rsidR="00491705" w:rsidRPr="00BB495A" w:rsidRDefault="00491705" w:rsidP="00807EAB">
      <w:pPr>
        <w:spacing w:after="24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lang w:eastAsia="pl-PL"/>
        </w:rPr>
        <w:t>Działanie obejmuje rozbudowę infrastruktury paliw alternatywnych w zakresie bunkrowania statków skroplonym gazem ziemnym oraz zasilania statków energią elektryczną w polskich portach leżących na</w:t>
      </w:r>
      <w:r w:rsidR="0076656D">
        <w:rPr>
          <w:rFonts w:eastAsia="Times New Roman" w:cs="Times New Roman"/>
          <w:lang w:eastAsia="pl-PL"/>
        </w:rPr>
        <w:t> </w:t>
      </w:r>
      <w:r w:rsidRPr="00BB495A">
        <w:rPr>
          <w:rFonts w:eastAsia="Times New Roman" w:cs="Times New Roman"/>
          <w:lang w:eastAsia="pl-PL"/>
        </w:rPr>
        <w:t>sieci TEN–T. LNG może być dostarczane na statki także za pomocą cystern – w rozporządzeniu AFIR brak jest obowiązku budowy stałej infrastruktury w tym zakresie.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1D419DF"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C8F1BD5"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7EBF075D" wp14:editId="018A67CF">
                  <wp:extent cx="622300" cy="622300"/>
                  <wp:effectExtent l="0" t="0" r="6350" b="6350"/>
                  <wp:docPr id="95" name="Obraz 1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92B923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7945D8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986124" w14:paraId="160A94EA"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0F14B17"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3DA8B58" w14:textId="7FF58865"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xml:space="preserve">minister wł. ds. </w:t>
            </w:r>
            <w:r w:rsidR="0074379F">
              <w:rPr>
                <w:rFonts w:eastAsia="Times New Roman" w:cs="Times New Roman"/>
                <w:color w:val="808080"/>
                <w:sz w:val="18"/>
                <w:szCs w:val="18"/>
                <w:lang w:eastAsia="pl-PL"/>
              </w:rPr>
              <w:t>gospodarki morskiej</w:t>
            </w:r>
            <w:r w:rsidR="0074379F" w:rsidRPr="00BB495A">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E287DF3" w14:textId="77777777" w:rsidR="00491705" w:rsidRPr="00986124" w:rsidRDefault="00491705">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klimatu</w:t>
            </w:r>
            <w:r w:rsidR="003E2DE5" w:rsidRPr="00986124">
              <w:rPr>
                <w:rFonts w:eastAsia="Times New Roman" w:cs="Times New Roman"/>
                <w:color w:val="808080"/>
                <w:sz w:val="18"/>
                <w:szCs w:val="18"/>
                <w:lang w:val="de-DE" w:eastAsia="pl-PL"/>
              </w:rPr>
              <w:t xml:space="preserve"> </w:t>
            </w:r>
          </w:p>
          <w:p w14:paraId="62208E93" w14:textId="705BA365" w:rsidR="00491705" w:rsidRPr="00986124" w:rsidRDefault="00382350">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transportu</w:t>
            </w:r>
          </w:p>
        </w:tc>
      </w:tr>
    </w:tbl>
    <w:p w14:paraId="2042BF42" w14:textId="2A42C327"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66" w:name="_Toc195856561"/>
      <w:bookmarkStart w:id="1067" w:name="_Ref195883965"/>
      <w:bookmarkStart w:id="1068" w:name="_Ref195887209"/>
      <w:r>
        <w:t xml:space="preserve">Działanie </w:t>
      </w:r>
      <w:r>
        <w:fldChar w:fldCharType="begin"/>
      </w:r>
      <w:r>
        <w:instrText>SEQ Działanie \* ARABIC</w:instrText>
      </w:r>
      <w:r>
        <w:fldChar w:fldCharType="separate"/>
      </w:r>
      <w:r w:rsidR="00871DD5">
        <w:rPr>
          <w:noProof/>
        </w:rPr>
        <w:t>43</w:t>
      </w:r>
      <w:r>
        <w:fldChar w:fldCharType="end"/>
      </w:r>
      <w:r>
        <w:t xml:space="preserve">. </w:t>
      </w:r>
      <w:r w:rsidRPr="00BB6ECD">
        <w:t>Wdrażanie innowacyjnych technologii w zarządzaniu ruchem statków morskich</w:t>
      </w:r>
      <w:bookmarkEnd w:id="1066"/>
      <w:bookmarkEnd w:id="1067"/>
      <w:bookmarkEnd w:id="1068"/>
      <w:r w:rsidRPr="00BB495A">
        <w:rPr>
          <w:rFonts w:eastAsia="Times New Roman" w:cs="Times New Roman"/>
          <w:bCs/>
          <w:color w:val="000000"/>
          <w:lang w:eastAsia="pl-PL"/>
        </w:rPr>
        <w:t xml:space="preserve"> </w:t>
      </w:r>
    </w:p>
    <w:p w14:paraId="3BB0101B" w14:textId="1ACA53F8" w:rsidR="00491705" w:rsidRPr="00BB495A" w:rsidRDefault="00491705" w:rsidP="00491705">
      <w:pPr>
        <w:spacing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lang w:eastAsia="pl-PL"/>
        </w:rPr>
        <w:t>Działanie obejmuje zastosowanie zaawansowanych systemów nawigacyjnych, monitorowania środowiska morskiego, automatyzacji sterowania statkiem oraz wykorzystywanie danych satelitarnych i</w:t>
      </w:r>
      <w:r w:rsidR="00867A86">
        <w:rPr>
          <w:rFonts w:eastAsia="Times New Roman" w:cs="Times New Roman"/>
          <w:lang w:eastAsia="pl-PL"/>
        </w:rPr>
        <w:t> </w:t>
      </w:r>
      <w:r w:rsidRPr="00BB495A">
        <w:rPr>
          <w:rFonts w:eastAsia="Times New Roman" w:cs="Times New Roman"/>
          <w:lang w:eastAsia="pl-PL"/>
        </w:rPr>
        <w:t xml:space="preserve">sensorów do optymalizacji tras i unikania kolizji. To także rozwój komunikacji morskiej i integracja technologii dla zwiększania efektywności i bezpieczeństwa żeglugi. Działanie ma na celu optymalizację </w:t>
      </w:r>
      <w:r w:rsidRPr="00BB495A">
        <w:rPr>
          <w:rFonts w:eastAsia="Times New Roman" w:cs="Times New Roman"/>
          <w:lang w:eastAsia="pl-PL"/>
        </w:rPr>
        <w:lastRenderedPageBreak/>
        <w:t>transportu morskiego w szczególności oszczędność energii</w:t>
      </w:r>
      <w:r w:rsidR="009B47CE">
        <w:rPr>
          <w:rFonts w:eastAsia="Times New Roman" w:cs="Times New Roman"/>
          <w:lang w:eastAsia="pl-PL"/>
        </w:rPr>
        <w:t>.</w:t>
      </w:r>
      <w:r w:rsidRPr="00BB495A">
        <w:rPr>
          <w:rFonts w:eastAsia="Times New Roman" w:cs="Times New Roman"/>
          <w:lang w:eastAsia="pl-PL"/>
        </w:rPr>
        <w:t xml:space="preserve"> System powinien uwzględniać preferencj</w:t>
      </w:r>
      <w:r w:rsidR="009B47CE">
        <w:rPr>
          <w:rFonts w:eastAsia="Times New Roman" w:cs="Times New Roman"/>
          <w:lang w:eastAsia="pl-PL"/>
        </w:rPr>
        <w:t>e</w:t>
      </w:r>
      <w:r w:rsidRPr="00BB495A">
        <w:rPr>
          <w:rFonts w:eastAsia="Times New Roman" w:cs="Times New Roman"/>
          <w:lang w:eastAsia="pl-PL"/>
        </w:rPr>
        <w:t xml:space="preserve"> transportowe dla statków bezemisyjnych.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0CDD54C9"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C66C06F"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bookmarkStart w:id="1069" w:name="_Hlk195640778"/>
            <w:r w:rsidRPr="00BB495A">
              <w:rPr>
                <w:rFonts w:ascii="Times New Roman" w:eastAsia="Times New Roman" w:hAnsi="Times New Roman" w:cs="Times New Roman"/>
                <w:noProof/>
                <w:sz w:val="24"/>
                <w:szCs w:val="24"/>
                <w:lang w:eastAsia="pl-PL"/>
              </w:rPr>
              <w:drawing>
                <wp:inline distT="0" distB="0" distL="0" distR="0" wp14:anchorId="35BD2EC4" wp14:editId="35B7E262">
                  <wp:extent cx="622300" cy="622300"/>
                  <wp:effectExtent l="0" t="0" r="6350" b="6350"/>
                  <wp:docPr id="96"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CF1605B"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30A4A9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986124" w14:paraId="230918C4"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20A5E24"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2CA4A9F" w14:textId="552AB5CE"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xml:space="preserve">minister wł. ds. </w:t>
            </w:r>
            <w:r w:rsidR="007D26CD">
              <w:rPr>
                <w:rFonts w:eastAsia="Times New Roman" w:cs="Times New Roman"/>
                <w:color w:val="808080"/>
                <w:sz w:val="18"/>
                <w:szCs w:val="18"/>
                <w:lang w:eastAsia="pl-PL"/>
              </w:rPr>
              <w:t xml:space="preserve">gospodarki morskiej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150C2D6" w14:textId="77777777" w:rsidR="00491705" w:rsidRPr="00986124" w:rsidRDefault="00491705">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klimatu </w:t>
            </w:r>
          </w:p>
          <w:p w14:paraId="259D6A70" w14:textId="436BBF6A" w:rsidR="00491705" w:rsidRPr="00986124" w:rsidRDefault="000C36CE">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 xml:space="preserve">minister wł. ds. </w:t>
            </w:r>
            <w:r w:rsidR="0027446E" w:rsidRPr="00986124">
              <w:rPr>
                <w:rFonts w:eastAsia="Times New Roman" w:cs="Times New Roman"/>
                <w:color w:val="808080"/>
                <w:sz w:val="18"/>
                <w:szCs w:val="18"/>
                <w:lang w:val="de-DE" w:eastAsia="pl-PL"/>
              </w:rPr>
              <w:t>transportu</w:t>
            </w:r>
          </w:p>
        </w:tc>
      </w:tr>
    </w:tbl>
    <w:p w14:paraId="5DF66D55" w14:textId="4E8183C5" w:rsidR="00491705" w:rsidRPr="00BB495A" w:rsidRDefault="00491705" w:rsidP="009B47CE">
      <w:pPr>
        <w:pStyle w:val="Nagwek6"/>
        <w:rPr>
          <w:rFonts w:eastAsia="Times New Roman" w:cs="Times New Roman"/>
          <w:bCs/>
          <w:color w:val="000000"/>
          <w:lang w:eastAsia="pl-PL"/>
        </w:rPr>
      </w:pPr>
      <w:bookmarkStart w:id="1070" w:name="_Toc195856562"/>
      <w:bookmarkStart w:id="1071" w:name="_Ref195883979"/>
      <w:bookmarkStart w:id="1072" w:name="_Ref195887228"/>
      <w:bookmarkEnd w:id="1069"/>
      <w:r>
        <w:t xml:space="preserve">Działanie </w:t>
      </w:r>
      <w:r>
        <w:fldChar w:fldCharType="begin"/>
      </w:r>
      <w:r>
        <w:instrText>SEQ Działanie \* ARABIC</w:instrText>
      </w:r>
      <w:r>
        <w:fldChar w:fldCharType="separate"/>
      </w:r>
      <w:r w:rsidR="00871DD5">
        <w:rPr>
          <w:noProof/>
        </w:rPr>
        <w:t>44</w:t>
      </w:r>
      <w:r>
        <w:fldChar w:fldCharType="end"/>
      </w:r>
      <w:r>
        <w:t xml:space="preserve">. </w:t>
      </w:r>
      <w:r w:rsidRPr="007F4BC9">
        <w:t>Wdrażanie napędu elektrycznego w żegludze przybrzeżnej</w:t>
      </w:r>
      <w:bookmarkEnd w:id="1070"/>
      <w:bookmarkEnd w:id="1071"/>
      <w:bookmarkEnd w:id="1072"/>
    </w:p>
    <w:p w14:paraId="48BD8B3B" w14:textId="45C8BD92" w:rsidR="00491705" w:rsidRPr="00BB495A" w:rsidRDefault="00491705" w:rsidP="00117961">
      <w:pPr>
        <w:rPr>
          <w:lang w:eastAsia="pl-PL"/>
        </w:rPr>
      </w:pPr>
      <w:r w:rsidRPr="00BB495A">
        <w:rPr>
          <w:lang w:eastAsia="pl-PL"/>
        </w:rPr>
        <w:t>W ramach działania planowane jest wsparcie na etapie badań, inwestycji i wdrożeń w obszarze</w:t>
      </w:r>
      <w:r w:rsidR="00FA2A6A">
        <w:rPr>
          <w:lang w:eastAsia="pl-PL"/>
        </w:rPr>
        <w:t xml:space="preserve"> w</w:t>
      </w:r>
      <w:r w:rsidRPr="00BB495A">
        <w:rPr>
          <w:lang w:eastAsia="pl-PL"/>
        </w:rPr>
        <w:t>drażani</w:t>
      </w:r>
      <w:r w:rsidR="00FA2A6A">
        <w:rPr>
          <w:lang w:eastAsia="pl-PL"/>
        </w:rPr>
        <w:t>a</w:t>
      </w:r>
      <w:r w:rsidRPr="00BB495A">
        <w:rPr>
          <w:lang w:eastAsia="pl-PL"/>
        </w:rPr>
        <w:t xml:space="preserve"> napędu elektrycznego w żegludze przybrzeżnej</w:t>
      </w:r>
      <w:r w:rsidR="00FA2A6A">
        <w:rPr>
          <w:lang w:eastAsia="pl-PL"/>
        </w:rPr>
        <w:t>.</w:t>
      </w:r>
      <w:r w:rsidRPr="00BB495A">
        <w:rPr>
          <w:lang w:eastAsia="pl-PL"/>
        </w:rPr>
        <w:t xml:space="preserve"> </w:t>
      </w:r>
      <w:r w:rsidR="00FA2A6A">
        <w:rPr>
          <w:lang w:eastAsia="pl-PL"/>
        </w:rPr>
        <w:t>O</w:t>
      </w:r>
      <w:r w:rsidRPr="00BB495A">
        <w:rPr>
          <w:lang w:eastAsia="pl-PL"/>
        </w:rPr>
        <w:t xml:space="preserve"> ile elektryfikacja żeglugi dalekomorskiej w oparciu o</w:t>
      </w:r>
      <w:r w:rsidR="00FA2A6A">
        <w:rPr>
          <w:lang w:eastAsia="pl-PL"/>
        </w:rPr>
        <w:t> </w:t>
      </w:r>
      <w:r w:rsidRPr="00BB495A">
        <w:rPr>
          <w:lang w:eastAsia="pl-PL"/>
        </w:rPr>
        <w:t>baterie nie jest jeszcze możliwa, to elektryfikacja żeglugi na bliskie dystanse już się rozpoczyna i warto, żeby polskie stocznie aktywnie uczestniczyły w tym procesie. Państwo polskie będzie wspierać badania i</w:t>
      </w:r>
      <w:r w:rsidR="00FA2A6A">
        <w:rPr>
          <w:lang w:eastAsia="pl-PL"/>
        </w:rPr>
        <w:t> </w:t>
      </w:r>
      <w:r w:rsidRPr="00BB495A">
        <w:rPr>
          <w:lang w:eastAsia="pl-PL"/>
        </w:rPr>
        <w:t>inwestycje w tym zakresie, stymulujące je zarówno za pomocą wsparcia finansowego jak i zamówień.</w:t>
      </w:r>
    </w:p>
    <w:p w14:paraId="0A78777D" w14:textId="77777777" w:rsidR="00CA5EC8" w:rsidRDefault="00CA5EC8" w:rsidP="00117961">
      <w:pPr>
        <w:rPr>
          <w:lang w:eastAsia="pl-PL"/>
        </w:rPr>
      </w:pPr>
    </w:p>
    <w:p w14:paraId="12C6F230" w14:textId="77777777" w:rsidR="00CA5EC8" w:rsidRPr="00BB495A" w:rsidRDefault="00CA5EC8" w:rsidP="00117961">
      <w:pPr>
        <w:rPr>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4C5F1676"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A9327F5"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6A748BFC" wp14:editId="142B4034">
                  <wp:extent cx="622300" cy="622300"/>
                  <wp:effectExtent l="0" t="0" r="6350" b="6350"/>
                  <wp:docPr id="97"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A70AD74"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FBB37F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986124" w14:paraId="1E066443" w14:textId="77777777" w:rsidTr="001E5083">
        <w:trPr>
          <w:trHeight w:val="452"/>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6ED7FF6"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052EB11" w14:textId="628D7BFF"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xml:space="preserve">minister wł. ds. </w:t>
            </w:r>
            <w:r w:rsidR="00BB00B5">
              <w:rPr>
                <w:rFonts w:eastAsia="Times New Roman" w:cs="Times New Roman"/>
                <w:color w:val="808080"/>
                <w:sz w:val="18"/>
                <w:szCs w:val="18"/>
                <w:lang w:eastAsia="pl-PL"/>
              </w:rPr>
              <w:t>gospodarki morskiej</w:t>
            </w:r>
            <w:r w:rsidR="00BB00B5" w:rsidRPr="00BB495A">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21F0D6C" w14:textId="77777777" w:rsidR="00491705" w:rsidRPr="00986124" w:rsidRDefault="00491705">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klimatu </w:t>
            </w:r>
          </w:p>
          <w:p w14:paraId="146912E4" w14:textId="611FC3B1" w:rsidR="00491705" w:rsidRPr="00986124" w:rsidRDefault="000D591A">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transport</w:t>
            </w:r>
          </w:p>
        </w:tc>
      </w:tr>
    </w:tbl>
    <w:p w14:paraId="764110FD" w14:textId="08D820C1"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73" w:name="_Toc195856563"/>
      <w:bookmarkStart w:id="1074" w:name="_Ref195883998"/>
      <w:r>
        <w:t xml:space="preserve">Działanie </w:t>
      </w:r>
      <w:r>
        <w:fldChar w:fldCharType="begin"/>
      </w:r>
      <w:r>
        <w:instrText>SEQ Działanie \* ARABIC</w:instrText>
      </w:r>
      <w:r>
        <w:fldChar w:fldCharType="separate"/>
      </w:r>
      <w:r w:rsidR="00871DD5">
        <w:rPr>
          <w:noProof/>
        </w:rPr>
        <w:t>45</w:t>
      </w:r>
      <w:r>
        <w:fldChar w:fldCharType="end"/>
      </w:r>
      <w:r>
        <w:t xml:space="preserve">. </w:t>
      </w:r>
      <w:r w:rsidRPr="00690D82">
        <w:t>Poprawa infrastruktury portów lotniczych oraz efektywności operacyjnej transportu lotniczego</w:t>
      </w:r>
      <w:bookmarkEnd w:id="1073"/>
      <w:bookmarkEnd w:id="1074"/>
    </w:p>
    <w:p w14:paraId="3935B205" w14:textId="77777777" w:rsidR="00491705" w:rsidRPr="00BB495A" w:rsidRDefault="00491705" w:rsidP="00CA5EC8">
      <w:pPr>
        <w:rPr>
          <w:lang w:eastAsia="pl-PL"/>
        </w:rPr>
      </w:pPr>
      <w:r w:rsidRPr="00BB495A">
        <w:rPr>
          <w:lang w:eastAsia="pl-PL"/>
        </w:rPr>
        <w:t>Działanie ma na celu dostosowanie infrastruktury portów lotniczych do obsługi zwiększającej się liczby pasażerów i operacji lotniczych oraz poprawę skomunikowania regionalnych portów lotniczych z drogową oraz kolejową siecią transportową oraz systematyczne unowocześnianie floty pojazdów w portach lotniczych o pojazdy napędzane energią elektryczną oraz innymi rodzajami paliw alternatywnych takich jak wodór. Ponadto, działanie obejmuje optymalizację korytarzy powietrznych, zwiększenie przepustowości przestrzeni powietrznej, jak również zwiększenie przepustowości dróg kołowania.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4A45FBA" w14:textId="77777777" w:rsidTr="001E5083">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5BFB4A3F"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5A4AD5D1" wp14:editId="03F9A558">
                  <wp:extent cx="622300" cy="622300"/>
                  <wp:effectExtent l="0" t="0" r="6350" b="6350"/>
                  <wp:docPr id="505099694"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25C4A52"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99C1A2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78D1036B"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0F92B54"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1FFF74E" w14:textId="767B902B"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3BF313F"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tc>
      </w:tr>
    </w:tbl>
    <w:p w14:paraId="057D0F4B" w14:textId="46980DDE"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75" w:name="_Toc195856564"/>
      <w:bookmarkStart w:id="1076" w:name="_Ref195884005"/>
      <w:r>
        <w:t xml:space="preserve">Działanie </w:t>
      </w:r>
      <w:r>
        <w:fldChar w:fldCharType="begin"/>
      </w:r>
      <w:r>
        <w:instrText>SEQ Działanie \* ARABIC</w:instrText>
      </w:r>
      <w:r>
        <w:fldChar w:fldCharType="separate"/>
      </w:r>
      <w:r w:rsidR="00871DD5">
        <w:rPr>
          <w:noProof/>
        </w:rPr>
        <w:t>46</w:t>
      </w:r>
      <w:r>
        <w:fldChar w:fldCharType="end"/>
      </w:r>
      <w:r>
        <w:t xml:space="preserve">. </w:t>
      </w:r>
      <w:r w:rsidRPr="00451DD7">
        <w:t>Wdrożenie innowacyjnych rozwiązań w ruchu lotniczym</w:t>
      </w:r>
      <w:bookmarkEnd w:id="1075"/>
      <w:bookmarkEnd w:id="1076"/>
    </w:p>
    <w:p w14:paraId="29C0679F" w14:textId="168A563B" w:rsidR="00491705" w:rsidRPr="00BB495A" w:rsidRDefault="00491705" w:rsidP="00117961">
      <w:pPr>
        <w:rPr>
          <w:lang w:eastAsia="pl-PL"/>
        </w:rPr>
      </w:pPr>
      <w:r w:rsidRPr="00BB495A">
        <w:rPr>
          <w:lang w:eastAsia="pl-PL"/>
        </w:rPr>
        <w:t>Działanie ma na celu wdrożenie nowoczesnego systemu zarządzania ruchem lotniczym</w:t>
      </w:r>
      <w:r w:rsidR="009C63B4">
        <w:rPr>
          <w:lang w:eastAsia="pl-PL"/>
        </w:rPr>
        <w:t xml:space="preserve"> (ATM, ang.</w:t>
      </w:r>
      <w:r w:rsidR="00867A86">
        <w:rPr>
          <w:lang w:eastAsia="pl-PL"/>
        </w:rPr>
        <w:t> </w:t>
      </w:r>
      <w:r w:rsidR="009C63B4" w:rsidRPr="00FC4DEB">
        <w:rPr>
          <w:i/>
          <w:iCs/>
          <w:lang w:eastAsia="pl-PL"/>
        </w:rPr>
        <w:t>Air</w:t>
      </w:r>
      <w:r w:rsidR="00867A86">
        <w:rPr>
          <w:i/>
          <w:iCs/>
          <w:lang w:eastAsia="pl-PL"/>
        </w:rPr>
        <w:t> </w:t>
      </w:r>
      <w:r w:rsidR="009C63B4" w:rsidRPr="00FC4DEB">
        <w:rPr>
          <w:i/>
          <w:iCs/>
          <w:lang w:eastAsia="pl-PL"/>
        </w:rPr>
        <w:t>Traffic Management</w:t>
      </w:r>
      <w:r w:rsidR="009C63B4">
        <w:rPr>
          <w:lang w:eastAsia="pl-PL"/>
        </w:rPr>
        <w:t>)</w:t>
      </w:r>
      <w:r w:rsidRPr="00BB495A">
        <w:rPr>
          <w:lang w:eastAsia="pl-PL"/>
        </w:rPr>
        <w:t xml:space="preserve">, pozwalającego na zwiększenie przepustowości </w:t>
      </w:r>
      <w:r w:rsidR="009C63B4">
        <w:rPr>
          <w:lang w:eastAsia="pl-PL"/>
        </w:rPr>
        <w:t>przestrzeni powietrznej zarządzanej w ramach systemu ATM</w:t>
      </w:r>
      <w:r w:rsidRPr="00BB495A">
        <w:rPr>
          <w:lang w:eastAsia="pl-PL"/>
        </w:rPr>
        <w:t xml:space="preserve">, poprawienie wskaźników bezpieczeństwa czy zredukowanie negatywnego wpływu lotnictwa na środowisko naturalne poprzez optymalizację tras. Skutkiem </w:t>
      </w:r>
      <w:r w:rsidR="003E1770">
        <w:rPr>
          <w:lang w:eastAsia="pl-PL"/>
        </w:rPr>
        <w:t>takiej</w:t>
      </w:r>
      <w:r w:rsidR="003E1770" w:rsidRPr="00BB495A">
        <w:rPr>
          <w:lang w:eastAsia="pl-PL"/>
        </w:rPr>
        <w:t xml:space="preserve"> </w:t>
      </w:r>
      <w:r w:rsidRPr="00BB495A">
        <w:rPr>
          <w:lang w:eastAsia="pl-PL"/>
        </w:rPr>
        <w:t xml:space="preserve">optymalizacji będzie redukcja hałasu oraz zmniejszenie emisji </w:t>
      </w:r>
      <w:r w:rsidR="003E1770">
        <w:rPr>
          <w:lang w:eastAsia="pl-PL"/>
        </w:rPr>
        <w:t>CO</w:t>
      </w:r>
      <w:r w:rsidR="003E1770" w:rsidRPr="003E1770">
        <w:rPr>
          <w:vertAlign w:val="subscript"/>
          <w:lang w:eastAsia="pl-PL"/>
        </w:rPr>
        <w:t>2</w:t>
      </w:r>
      <w:r w:rsidRPr="00BB495A">
        <w:rPr>
          <w:lang w:eastAsia="pl-PL"/>
        </w:rPr>
        <w:t xml:space="preserve"> i innych substancji szkodliwych do atmosfery, które powstają w wyniku spalania paliwa.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22D0E6EC"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553FB2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1B48E275" wp14:editId="562472E7">
                  <wp:extent cx="622300" cy="622300"/>
                  <wp:effectExtent l="0" t="0" r="6350" b="6350"/>
                  <wp:docPr id="1040622778"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1D6F072"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DD300C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0CA99177"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337BA7C"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BF9FD37" w14:textId="3C3DD0F0"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073FC7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tc>
      </w:tr>
    </w:tbl>
    <w:p w14:paraId="603E3E19" w14:textId="0238AB92"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77" w:name="_Toc195856565"/>
      <w:bookmarkStart w:id="1078" w:name="_Ref195884010"/>
      <w:r>
        <w:lastRenderedPageBreak/>
        <w:t xml:space="preserve">Działanie </w:t>
      </w:r>
      <w:r>
        <w:fldChar w:fldCharType="begin"/>
      </w:r>
      <w:r>
        <w:instrText>SEQ Działanie \* ARABIC</w:instrText>
      </w:r>
      <w:r>
        <w:fldChar w:fldCharType="separate"/>
      </w:r>
      <w:r w:rsidR="00871DD5">
        <w:rPr>
          <w:noProof/>
        </w:rPr>
        <w:t>47</w:t>
      </w:r>
      <w:r>
        <w:fldChar w:fldCharType="end"/>
      </w:r>
      <w:r>
        <w:t xml:space="preserve">. </w:t>
      </w:r>
      <w:r w:rsidRPr="005D0783">
        <w:t>Dekarbonizacja lotnictwa w zgodzie z priorytetami UE</w:t>
      </w:r>
      <w:bookmarkEnd w:id="1077"/>
      <w:bookmarkEnd w:id="1078"/>
      <w:r w:rsidRPr="00BB495A">
        <w:rPr>
          <w:rFonts w:eastAsia="Times New Roman" w:cs="Times New Roman"/>
          <w:bCs/>
          <w:color w:val="000000"/>
          <w:lang w:eastAsia="pl-PL"/>
        </w:rPr>
        <w:t xml:space="preserve"> </w:t>
      </w:r>
    </w:p>
    <w:p w14:paraId="2E2CACBE" w14:textId="35D93ABE" w:rsidR="00491705" w:rsidRPr="001E5083" w:rsidRDefault="00491705" w:rsidP="00117961">
      <w:pPr>
        <w:rPr>
          <w:rFonts w:ascii="Times New Roman" w:hAnsi="Times New Roman"/>
          <w:sz w:val="24"/>
          <w:szCs w:val="24"/>
          <w:lang w:eastAsia="pl-PL"/>
        </w:rPr>
      </w:pPr>
      <w:r w:rsidRPr="00BB495A">
        <w:rPr>
          <w:lang w:eastAsia="pl-PL"/>
        </w:rPr>
        <w:t>Działanie ma na celu kontynuację realizacji polityk UE w zakresie osiągnięcia neutralności klimatycznej dla lotnictwa cywilnego w perspektywie do 2050 r. (tzw. LTAG</w:t>
      </w:r>
      <w:r w:rsidR="00E32A25">
        <w:rPr>
          <w:lang w:eastAsia="pl-PL"/>
        </w:rPr>
        <w:t xml:space="preserve">, ang. </w:t>
      </w:r>
      <w:r w:rsidR="00E32A25" w:rsidRPr="00E32A25">
        <w:rPr>
          <w:i/>
          <w:iCs/>
          <w:lang w:eastAsia="pl-PL"/>
        </w:rPr>
        <w:t>long-term global aspirational goal</w:t>
      </w:r>
      <w:r w:rsidRPr="00BB495A">
        <w:rPr>
          <w:lang w:eastAsia="pl-PL"/>
        </w:rPr>
        <w:t>). Polityki te zostały określone w</w:t>
      </w:r>
      <w:r w:rsidR="001E5083">
        <w:rPr>
          <w:lang w:eastAsia="pl-PL"/>
        </w:rPr>
        <w:t> </w:t>
      </w:r>
      <w:r w:rsidRPr="00BB495A">
        <w:rPr>
          <w:lang w:eastAsia="pl-PL"/>
        </w:rPr>
        <w:t xml:space="preserve">poszczególnych elementach pakietu legislacyjnego </w:t>
      </w:r>
      <w:r w:rsidRPr="00117961">
        <w:rPr>
          <w:i/>
        </w:rPr>
        <w:t xml:space="preserve">Fit for 55 </w:t>
      </w:r>
      <w:r w:rsidRPr="00BB495A">
        <w:rPr>
          <w:lang w:eastAsia="pl-PL"/>
        </w:rPr>
        <w:t>i</w:t>
      </w:r>
      <w:r w:rsidR="00867A86">
        <w:rPr>
          <w:lang w:eastAsia="pl-PL"/>
        </w:rPr>
        <w:t> </w:t>
      </w:r>
      <w:r w:rsidRPr="00BB495A">
        <w:rPr>
          <w:lang w:eastAsia="pl-PL"/>
        </w:rPr>
        <w:t>uwzględniają rozwiązania takie jak obowiązek dostarczania oraz wykorzystani</w:t>
      </w:r>
      <w:r w:rsidR="00067DA4">
        <w:rPr>
          <w:lang w:eastAsia="pl-PL"/>
        </w:rPr>
        <w:t>e</w:t>
      </w:r>
      <w:r w:rsidRPr="00BB495A">
        <w:rPr>
          <w:lang w:eastAsia="pl-PL"/>
        </w:rPr>
        <w:t xml:space="preserve"> zrównoważonych paliw lotniczych SAF (</w:t>
      </w:r>
      <w:r w:rsidR="00E82306">
        <w:rPr>
          <w:lang w:eastAsia="pl-PL"/>
        </w:rPr>
        <w:t xml:space="preserve">zgodnie z rozporządzeniem </w:t>
      </w:r>
      <w:r w:rsidRPr="0051713B">
        <w:rPr>
          <w:i/>
          <w:lang w:eastAsia="pl-PL"/>
        </w:rPr>
        <w:t>ReFuelEU Aviation</w:t>
      </w:r>
      <w:r w:rsidRPr="00BB495A">
        <w:rPr>
          <w:lang w:eastAsia="pl-PL"/>
        </w:rPr>
        <w:t>), dostarczanie na terenie portu lotniczego energii elektrycznej i klimatyzowanego powietrza do statków powietrznych podczas postoju (</w:t>
      </w:r>
      <w:r w:rsidR="00600785">
        <w:rPr>
          <w:lang w:eastAsia="pl-PL"/>
        </w:rPr>
        <w:t>zgodnie z </w:t>
      </w:r>
      <w:r w:rsidR="007A5507">
        <w:rPr>
          <w:lang w:eastAsia="pl-PL"/>
        </w:rPr>
        <w:t xml:space="preserve">rozporządzeniem </w:t>
      </w:r>
      <w:r w:rsidRPr="00BB495A">
        <w:rPr>
          <w:lang w:eastAsia="pl-PL"/>
        </w:rPr>
        <w:t xml:space="preserve">AFIR oraz </w:t>
      </w:r>
      <w:r w:rsidR="00423FE2">
        <w:rPr>
          <w:lang w:eastAsia="pl-PL"/>
        </w:rPr>
        <w:t>rozporządzeniem</w:t>
      </w:r>
      <w:r w:rsidRPr="00BB495A">
        <w:rPr>
          <w:lang w:eastAsia="pl-PL"/>
        </w:rPr>
        <w:t xml:space="preserve"> TEN-T) oraz redukcję darmowych uprawnień do emisji w</w:t>
      </w:r>
      <w:r w:rsidR="00AA0B11">
        <w:rPr>
          <w:lang w:eastAsia="pl-PL"/>
        </w:rPr>
        <w:t> </w:t>
      </w:r>
      <w:r w:rsidRPr="00BB495A">
        <w:rPr>
          <w:lang w:eastAsia="pl-PL"/>
        </w:rPr>
        <w:t>ramach systemu ETS dla lotnictwa, który powiązano z mechanizmem kompensacji i redukcji emisji CO</w:t>
      </w:r>
      <w:r w:rsidRPr="00117961">
        <w:rPr>
          <w:vertAlign w:val="subscript"/>
        </w:rPr>
        <w:t>2</w:t>
      </w:r>
      <w:r w:rsidRPr="00BB495A">
        <w:rPr>
          <w:lang w:eastAsia="pl-PL"/>
        </w:rPr>
        <w:t xml:space="preserve"> w</w:t>
      </w:r>
      <w:r w:rsidR="001E5083">
        <w:rPr>
          <w:lang w:eastAsia="pl-PL"/>
        </w:rPr>
        <w:t> </w:t>
      </w:r>
      <w:r w:rsidRPr="00BB495A">
        <w:rPr>
          <w:lang w:eastAsia="pl-PL"/>
        </w:rPr>
        <w:t xml:space="preserve">lotnictwie międzynarodowym – CORSIA. Mechanizm ten wykorzystuje rynkowe instrumenty polityki ochrony środowiska w celu </w:t>
      </w:r>
      <w:r w:rsidR="00FD61F3">
        <w:rPr>
          <w:lang w:eastAsia="pl-PL"/>
        </w:rPr>
        <w:t>s</w:t>
      </w:r>
      <w:r w:rsidRPr="00BB495A">
        <w:rPr>
          <w:lang w:eastAsia="pl-PL"/>
        </w:rPr>
        <w:t>kompensowania emisji CO</w:t>
      </w:r>
      <w:r w:rsidRPr="00F00811">
        <w:rPr>
          <w:vertAlign w:val="subscript"/>
        </w:rPr>
        <w:t>2</w:t>
      </w:r>
      <w:r w:rsidRPr="00BB495A">
        <w:rPr>
          <w:lang w:eastAsia="pl-PL"/>
        </w:rPr>
        <w:t xml:space="preserve">. Operatorzy statków powietrznych są w nim zobowiązani do kupowania kredytów węglowych z rynku emisji </w:t>
      </w:r>
      <w:r w:rsidR="001E5083" w:rsidRPr="00BB495A">
        <w:rPr>
          <w:lang w:eastAsia="pl-PL"/>
        </w:rPr>
        <w:t>CO</w:t>
      </w:r>
      <w:r w:rsidR="001E5083" w:rsidRPr="001E5083">
        <w:rPr>
          <w:vertAlign w:val="subscript"/>
          <w:lang w:eastAsia="pl-PL"/>
        </w:rPr>
        <w:t>2</w:t>
      </w:r>
      <w:r w:rsidRPr="00117961">
        <w:t>.</w:t>
      </w:r>
      <w:r w:rsidRPr="00BB495A">
        <w:rPr>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19A67F3A"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2EBC6D9"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4F58DDEF" wp14:editId="1F4707BF">
                  <wp:extent cx="622300" cy="622300"/>
                  <wp:effectExtent l="0" t="0" r="6350" b="6350"/>
                  <wp:docPr id="1477035010"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A3833CC"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927DF1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42F3581F"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36B8FF1"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07DC90B" w14:textId="54B950F9"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496A98D"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tc>
      </w:tr>
    </w:tbl>
    <w:p w14:paraId="679EF106" w14:textId="44007922" w:rsidR="00491705" w:rsidRPr="00BB495A" w:rsidRDefault="00491705" w:rsidP="003B73D2">
      <w:pPr>
        <w:pStyle w:val="Nagwek6"/>
        <w:rPr>
          <w:rFonts w:ascii="Times New Roman" w:eastAsia="Times New Roman" w:hAnsi="Times New Roman" w:cs="Times New Roman"/>
          <w:i/>
          <w:iCs/>
          <w:color w:val="595959"/>
          <w:sz w:val="24"/>
          <w:szCs w:val="24"/>
          <w:lang w:eastAsia="pl-PL"/>
        </w:rPr>
      </w:pPr>
      <w:bookmarkStart w:id="1079" w:name="_Toc195856566"/>
      <w:bookmarkStart w:id="1080" w:name="_Ref195884139"/>
      <w:bookmarkStart w:id="1081" w:name="_Ref195884273"/>
      <w:bookmarkStart w:id="1082" w:name="_Ref195884288"/>
      <w:r>
        <w:t xml:space="preserve">Działanie </w:t>
      </w:r>
      <w:r>
        <w:fldChar w:fldCharType="begin"/>
      </w:r>
      <w:r>
        <w:instrText>SEQ Działanie \* ARABIC</w:instrText>
      </w:r>
      <w:r>
        <w:fldChar w:fldCharType="separate"/>
      </w:r>
      <w:r w:rsidR="00871DD5">
        <w:rPr>
          <w:noProof/>
        </w:rPr>
        <w:t>48</w:t>
      </w:r>
      <w:r>
        <w:fldChar w:fldCharType="end"/>
      </w:r>
      <w:r>
        <w:t xml:space="preserve">. </w:t>
      </w:r>
      <w:r w:rsidRPr="00C73AB4">
        <w:t>Wsparcie budowy innowacyjnych jednostek transportowych napędzanych wodorem i pochodnymi</w:t>
      </w:r>
      <w:bookmarkEnd w:id="1079"/>
      <w:bookmarkEnd w:id="1080"/>
      <w:bookmarkEnd w:id="1081"/>
      <w:bookmarkEnd w:id="1082"/>
      <w:r w:rsidRPr="00BB495A">
        <w:rPr>
          <w:rFonts w:eastAsia="Times New Roman" w:cs="Times New Roman"/>
          <w:bCs/>
          <w:color w:val="000000"/>
          <w:lang w:eastAsia="pl-PL"/>
        </w:rPr>
        <w:t xml:space="preserve"> </w:t>
      </w:r>
    </w:p>
    <w:p w14:paraId="5791666B" w14:textId="70A73F5C" w:rsidR="00491705" w:rsidRPr="00FC34F4" w:rsidRDefault="00491705" w:rsidP="00491705">
      <w:pPr>
        <w:spacing w:line="240" w:lineRule="auto"/>
        <w:textAlignment w:val="baseline"/>
        <w:rPr>
          <w:rFonts w:ascii="Times New Roman" w:hAnsi="Times New Roman"/>
          <w:sz w:val="24"/>
        </w:rPr>
      </w:pPr>
      <w:r w:rsidRPr="00BB495A">
        <w:rPr>
          <w:rFonts w:eastAsia="Times New Roman" w:cs="Times New Roman"/>
          <w:lang w:eastAsia="pl-PL"/>
        </w:rPr>
        <w:t>Działanie ma na celu wsparcie finansowe rozwoju, budowy i wdrożenia innowacyjnych jednostek transportowych zasilanych wodorem i pochodnymi, obejmujące zarówno prace badawczo-rozwojowe nad nowoczesnymi technologiami napędowymi, jak i inwestycje w infrastrukturę produkcyjną, zasobniki i dystrybutory. Wsparcie ma umożliwić producentom pojazdów i operatorom transportowym testowanie oraz komercjalizacje nowoczesnych rozwiązań, które przyczynią się do redukcji emisji w trudnych do</w:t>
      </w:r>
      <w:r w:rsidR="00AA0B11">
        <w:rPr>
          <w:rFonts w:eastAsia="Times New Roman" w:cs="Times New Roman"/>
          <w:lang w:eastAsia="pl-PL"/>
        </w:rPr>
        <w:t> </w:t>
      </w:r>
      <w:r w:rsidRPr="00BB495A">
        <w:rPr>
          <w:rFonts w:eastAsia="Times New Roman" w:cs="Times New Roman"/>
          <w:lang w:eastAsia="pl-PL"/>
        </w:rPr>
        <w:t>dekarbonizacji gałęziach transportu, m.in. w sektorze morskim i lotniczym (eSAF</w:t>
      </w:r>
      <w:r w:rsidR="00117961">
        <w:rPr>
          <w:rFonts w:eastAsia="Times New Roman" w:cs="Times New Roman"/>
          <w:lang w:eastAsia="pl-PL"/>
        </w:rPr>
        <w:t>, ang.</w:t>
      </w:r>
      <w:r w:rsidRPr="00BB495A">
        <w:rPr>
          <w:rFonts w:eastAsia="Times New Roman" w:cs="Times New Roman"/>
          <w:lang w:eastAsia="pl-PL"/>
        </w:rPr>
        <w:t xml:space="preserve"> </w:t>
      </w:r>
      <w:r w:rsidRPr="00117961">
        <w:rPr>
          <w:rFonts w:eastAsia="Times New Roman" w:cs="Times New Roman"/>
          <w:i/>
          <w:lang w:eastAsia="pl-PL"/>
        </w:rPr>
        <w:t>electric Sustainable Aviation Fuel</w:t>
      </w:r>
      <w:r w:rsidRPr="00BB495A">
        <w:rPr>
          <w:rFonts w:eastAsia="Times New Roman" w:cs="Times New Roman"/>
          <w:lang w:eastAsia="pl-PL"/>
        </w:rPr>
        <w:t>).</w:t>
      </w:r>
      <w:r w:rsidR="003E2DE5">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760E7294"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012FEA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0300EFC6" wp14:editId="55FB3A0C">
                  <wp:extent cx="622300" cy="622300"/>
                  <wp:effectExtent l="0" t="0" r="6350" b="6350"/>
                  <wp:docPr id="6"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3BFEFBB"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55CD970"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22EC813D"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34E9041"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800C417"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06F5BDA" w14:textId="77777777" w:rsidR="00491705" w:rsidRDefault="00491705">
            <w:pPr>
              <w:spacing w:after="0" w:line="240" w:lineRule="auto"/>
              <w:textAlignment w:val="baseline"/>
              <w:rPr>
                <w:rFonts w:eastAsia="Times New Roman" w:cs="Times New Roman"/>
                <w:color w:val="808080"/>
                <w:sz w:val="18"/>
                <w:szCs w:val="18"/>
                <w:lang w:eastAsia="pl-PL"/>
              </w:rPr>
            </w:pPr>
            <w:r w:rsidRPr="00BB495A">
              <w:rPr>
                <w:rFonts w:eastAsia="Times New Roman" w:cs="Times New Roman"/>
                <w:color w:val="808080"/>
                <w:sz w:val="18"/>
                <w:szCs w:val="18"/>
                <w:lang w:eastAsia="pl-PL"/>
              </w:rPr>
              <w:t>minister wł. ds. transportu </w:t>
            </w:r>
          </w:p>
          <w:p w14:paraId="1F064B57" w14:textId="7D319A1D" w:rsidR="001B62EF" w:rsidRPr="00BB495A" w:rsidRDefault="001B62EF">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w:t>
            </w:r>
            <w:r>
              <w:rPr>
                <w:rFonts w:eastAsia="Times New Roman" w:cs="Times New Roman"/>
                <w:color w:val="808080"/>
                <w:sz w:val="18"/>
                <w:szCs w:val="18"/>
                <w:lang w:eastAsia="pl-PL"/>
              </w:rPr>
              <w:t xml:space="preserve"> gospodarki morskiej</w:t>
            </w:r>
          </w:p>
          <w:p w14:paraId="7B23AE8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w:t>
            </w:r>
          </w:p>
        </w:tc>
      </w:tr>
    </w:tbl>
    <w:p w14:paraId="6626BA2E" w14:textId="77777777" w:rsidR="00491705" w:rsidRPr="00BB495A" w:rsidRDefault="00491705" w:rsidP="00491705">
      <w:pPr>
        <w:spacing w:line="240" w:lineRule="auto"/>
        <w:textAlignment w:val="baseline"/>
        <w:rPr>
          <w:rFonts w:ascii="Bahnschrift" w:eastAsia="Times New Roman" w:hAnsi="Bahnschrift" w:cs="Times New Roman"/>
          <w:b/>
          <w:bCs/>
          <w:sz w:val="22"/>
          <w:lang w:eastAsia="pl-PL"/>
        </w:rPr>
      </w:pPr>
    </w:p>
    <w:p w14:paraId="76C15950" w14:textId="0D3C75B2"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83" w:name="_Toc195856567"/>
      <w:bookmarkStart w:id="1084" w:name="_Ref195884065"/>
      <w:bookmarkStart w:id="1085" w:name="_Ref195887024"/>
      <w:r>
        <w:t xml:space="preserve">Działanie </w:t>
      </w:r>
      <w:r>
        <w:fldChar w:fldCharType="begin"/>
      </w:r>
      <w:r>
        <w:instrText>SEQ Działanie \* ARABIC</w:instrText>
      </w:r>
      <w:r>
        <w:fldChar w:fldCharType="separate"/>
      </w:r>
      <w:r w:rsidR="00871DD5">
        <w:rPr>
          <w:noProof/>
        </w:rPr>
        <w:t>49</w:t>
      </w:r>
      <w:r>
        <w:fldChar w:fldCharType="end"/>
      </w:r>
      <w:r>
        <w:t xml:space="preserve">. </w:t>
      </w:r>
      <w:r w:rsidRPr="00BA6B20">
        <w:t>Zwiększanie wymagań w zakresie emisyjności pojazdów</w:t>
      </w:r>
      <w:bookmarkEnd w:id="1083"/>
      <w:bookmarkEnd w:id="1084"/>
      <w:bookmarkEnd w:id="1085"/>
    </w:p>
    <w:p w14:paraId="728C53C3" w14:textId="69AF628A" w:rsidR="00491705" w:rsidRPr="00BB495A" w:rsidRDefault="00491705" w:rsidP="00117961">
      <w:pPr>
        <w:rPr>
          <w:rFonts w:ascii="Times New Roman" w:hAnsi="Times New Roman"/>
          <w:sz w:val="24"/>
          <w:szCs w:val="24"/>
          <w:lang w:eastAsia="pl-PL"/>
        </w:rPr>
      </w:pPr>
      <w:r w:rsidRPr="00BB495A">
        <w:rPr>
          <w:lang w:eastAsia="pl-PL"/>
        </w:rPr>
        <w:t>Działanie polega na stosowaniu klasyfikacji norm Euro określających dopuszczalne poziomy emisji zanieczyszczeń dla samochodów osobowych i lekkich samochodów dostawczych, samochodów ciężarowych, autobusów oraz skuterów i motocykli, stosownie do sukcesywnie zaostrzanych wymagań na poziomie UE. Dla wzmocnienia efektywności tego działania, planowane jest wdrożenie rozwiązań prawnych umożliwiających skuteczne eliminowanie z ruchu drogowego, przez uprawnione służby, pojazdów z uszkodzonymi lub zmanipulowanymi układami oczyszczania spalin jednostek napędowych w</w:t>
      </w:r>
      <w:r w:rsidR="00AA0B11">
        <w:rPr>
          <w:lang w:eastAsia="pl-PL"/>
        </w:rPr>
        <w:t> </w:t>
      </w:r>
      <w:r w:rsidRPr="00BB495A">
        <w:rPr>
          <w:lang w:eastAsia="pl-PL"/>
        </w:rPr>
        <w:t>pojazdach wykorzystywanych w transporcie drogowym oraz pojazdów z usuniętymi filtrami cząstek stałych (DPF</w:t>
      </w:r>
      <w:r w:rsidR="0001613B">
        <w:rPr>
          <w:lang w:eastAsia="pl-PL"/>
        </w:rPr>
        <w:t xml:space="preserve">, ang. </w:t>
      </w:r>
      <w:r w:rsidR="0001613B" w:rsidRPr="0001613B">
        <w:rPr>
          <w:i/>
          <w:iCs/>
          <w:lang w:eastAsia="pl-PL"/>
        </w:rPr>
        <w:t>diesel particulate filter</w:t>
      </w:r>
      <w:r w:rsidRPr="00BB495A">
        <w:rPr>
          <w:lang w:eastAsia="pl-PL"/>
        </w:rPr>
        <w:t>).</w:t>
      </w:r>
      <w:r w:rsidR="00974007">
        <w:rPr>
          <w:rFonts w:eastAsia="Times New Roman" w:cs="Times New Roman"/>
          <w:lang w:eastAsia="pl-PL"/>
        </w:rPr>
        <w:t xml:space="preserve">  </w:t>
      </w:r>
    </w:p>
    <w:p w14:paraId="30FC7E06" w14:textId="2312CAE1" w:rsidR="00491705" w:rsidRPr="001E5083" w:rsidRDefault="00491705" w:rsidP="00117961">
      <w:pPr>
        <w:spacing w:after="240"/>
        <w:rPr>
          <w:rFonts w:ascii="Times New Roman" w:hAnsi="Times New Roman"/>
          <w:sz w:val="24"/>
          <w:szCs w:val="24"/>
          <w:lang w:eastAsia="pl-PL"/>
        </w:rPr>
      </w:pPr>
      <w:r w:rsidRPr="00BB495A">
        <w:rPr>
          <w:lang w:eastAsia="pl-PL"/>
        </w:rPr>
        <w:t>Działanie to obejmuje również przestrzeganie przez producentów pojazdów unijnych norm emisji CO</w:t>
      </w:r>
      <w:r w:rsidRPr="00117961">
        <w:rPr>
          <w:vertAlign w:val="subscript"/>
          <w:lang w:eastAsia="pl-PL"/>
        </w:rPr>
        <w:t>2</w:t>
      </w:r>
      <w:r w:rsidRPr="00BB495A">
        <w:rPr>
          <w:lang w:eastAsia="pl-PL"/>
        </w:rPr>
        <w:t xml:space="preserve"> zarówno z lekkich, jak i ciężkich pojazdów drogowych.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38586E40"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17B84BE"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21EEC444" wp14:editId="5FEC3061">
                  <wp:extent cx="622300" cy="622300"/>
                  <wp:effectExtent l="0" t="0" r="6350" b="6350"/>
                  <wp:docPr id="93" name="Obraz 1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AA061AF"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5D06FA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4AE33B1F"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38A6E82"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0BE4239" w14:textId="22FDDB3A"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DFF6C1B" w14:textId="7FD010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klimatu</w:t>
            </w:r>
            <w:r w:rsidR="003E2DE5">
              <w:rPr>
                <w:rFonts w:eastAsia="Times New Roman" w:cs="Times New Roman"/>
                <w:color w:val="808080"/>
                <w:sz w:val="18"/>
                <w:szCs w:val="18"/>
                <w:lang w:eastAsia="pl-PL"/>
              </w:rPr>
              <w:t xml:space="preserve"> </w:t>
            </w:r>
          </w:p>
        </w:tc>
      </w:tr>
    </w:tbl>
    <w:p w14:paraId="0A600316" w14:textId="77777777" w:rsidR="00491705" w:rsidRPr="00BB495A" w:rsidRDefault="00491705" w:rsidP="00491705">
      <w:pPr>
        <w:spacing w:line="240" w:lineRule="auto"/>
        <w:textAlignment w:val="baseline"/>
        <w:rPr>
          <w:rFonts w:ascii="Times New Roman" w:eastAsia="Times New Roman" w:hAnsi="Times New Roman" w:cs="Times New Roman"/>
          <w:sz w:val="24"/>
          <w:szCs w:val="24"/>
          <w:lang w:eastAsia="pl-PL"/>
        </w:rPr>
      </w:pPr>
    </w:p>
    <w:p w14:paraId="206308E8" w14:textId="0CE00E3E"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86" w:name="_Toc195856568"/>
      <w:bookmarkStart w:id="1087" w:name="_Ref195884072"/>
      <w:bookmarkStart w:id="1088" w:name="_Ref195887029"/>
      <w:r>
        <w:t xml:space="preserve">Działanie </w:t>
      </w:r>
      <w:r>
        <w:fldChar w:fldCharType="begin"/>
      </w:r>
      <w:r>
        <w:instrText>SEQ Działanie \* ARABIC</w:instrText>
      </w:r>
      <w:r>
        <w:fldChar w:fldCharType="separate"/>
      </w:r>
      <w:r w:rsidR="00871DD5">
        <w:rPr>
          <w:noProof/>
        </w:rPr>
        <w:t>50</w:t>
      </w:r>
      <w:r>
        <w:fldChar w:fldCharType="end"/>
      </w:r>
      <w:r>
        <w:t xml:space="preserve">. </w:t>
      </w:r>
      <w:r w:rsidRPr="00A40AD9">
        <w:t>Opłata emisyjna</w:t>
      </w:r>
      <w:bookmarkEnd w:id="1086"/>
      <w:bookmarkEnd w:id="1087"/>
      <w:bookmarkEnd w:id="1088"/>
      <w:r w:rsidRPr="00BB495A">
        <w:rPr>
          <w:rFonts w:eastAsia="Times New Roman" w:cs="Times New Roman"/>
          <w:bCs/>
          <w:color w:val="000000"/>
          <w:lang w:eastAsia="pl-PL"/>
        </w:rPr>
        <w:t xml:space="preserve"> </w:t>
      </w:r>
    </w:p>
    <w:p w14:paraId="125982AD" w14:textId="671B56D1" w:rsidR="00491705" w:rsidRPr="00BB495A" w:rsidRDefault="00491705" w:rsidP="00117961">
      <w:pPr>
        <w:rPr>
          <w:rFonts w:ascii="Times New Roman" w:hAnsi="Times New Roman"/>
          <w:sz w:val="24"/>
          <w:szCs w:val="24"/>
          <w:lang w:eastAsia="pl-PL"/>
        </w:rPr>
      </w:pPr>
      <w:r w:rsidRPr="00AD459C">
        <w:rPr>
          <w:i/>
          <w:lang w:eastAsia="pl-PL"/>
        </w:rPr>
        <w:t>Opłata emisyjna</w:t>
      </w:r>
      <w:r w:rsidRPr="00BB495A">
        <w:rPr>
          <w:lang w:eastAsia="pl-PL"/>
        </w:rPr>
        <w:t xml:space="preserve"> stanowi obowiązek uiszczenia 80 zł/1000 l przez producentów i importerów paliw silnikowych, podmioty dokonujące nabycia wewnątrzwspólnotowego w rozumieniu przepisów o podatku akcyzowym wprowadzających na rynek krajowy paliw silnikowych w wysokości 80 zł/1000 l (w oparciu o</w:t>
      </w:r>
      <w:r w:rsidR="001E5083">
        <w:rPr>
          <w:lang w:eastAsia="pl-PL"/>
        </w:rPr>
        <w:t> </w:t>
      </w:r>
      <w:r w:rsidRPr="00BB495A">
        <w:rPr>
          <w:lang w:eastAsia="pl-PL"/>
        </w:rPr>
        <w:t>ustawę – Prawo ochrony środowiska (Dz. U. z 2022 r. poz. 2556)). 95% opłaty emisyjnej stanowi przychód Narodowego Funduszu Ochrony Środowiska i Gospodarki Wodnej, a pozostałe 5% tej opłaty – Funduszu rozwoju przewozów autobusowych o charakterze użyteczności publicznej.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2ADA9409" w14:textId="77777777" w:rsidTr="001E508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EF6EAE3"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0308E49D" wp14:editId="073719AE">
                  <wp:extent cx="622300" cy="622300"/>
                  <wp:effectExtent l="0" t="0" r="6350" b="6350"/>
                  <wp:docPr id="87" name="Obraz 2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19DB73F" w14:textId="77777777" w:rsidR="00491705" w:rsidRPr="00BB495A" w:rsidRDefault="00491705" w:rsidP="0011796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A8BA8E2" w14:textId="77777777" w:rsidR="00491705" w:rsidRPr="00BB495A" w:rsidRDefault="00491705" w:rsidP="0011796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7A65900D"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E6DDE03"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7EACA2A" w14:textId="77777777" w:rsidR="00491705" w:rsidRPr="00BB495A" w:rsidRDefault="00491705" w:rsidP="0011796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finansów publicznych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55AAC7D" w14:textId="77777777" w:rsidR="00491705" w:rsidRPr="00BB495A" w:rsidRDefault="00491705" w:rsidP="0011796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gospodarki surowcami energetycznymi </w:t>
            </w:r>
          </w:p>
          <w:p w14:paraId="0297FB60" w14:textId="77777777" w:rsidR="00491705" w:rsidRPr="00BB495A" w:rsidRDefault="00491705" w:rsidP="0011796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 </w:t>
            </w:r>
          </w:p>
          <w:p w14:paraId="1B933BB0" w14:textId="77777777" w:rsidR="00491705" w:rsidRPr="00BB495A" w:rsidRDefault="00491705" w:rsidP="0011796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 </w:t>
            </w:r>
          </w:p>
        </w:tc>
      </w:tr>
    </w:tbl>
    <w:p w14:paraId="25542DA6" w14:textId="77777777" w:rsidR="00491705" w:rsidRPr="00BB495A" w:rsidRDefault="00491705" w:rsidP="00491705">
      <w:pPr>
        <w:spacing w:line="240" w:lineRule="auto"/>
        <w:textAlignment w:val="baseline"/>
        <w:rPr>
          <w:rFonts w:eastAsia="Times New Roman" w:cs="Times New Roman"/>
          <w:color w:val="0A1D30"/>
          <w:lang w:eastAsia="pl-PL"/>
        </w:rPr>
      </w:pPr>
    </w:p>
    <w:p w14:paraId="2967F493" w14:textId="29ED7173" w:rsidR="00491705" w:rsidRPr="00BB495A" w:rsidRDefault="00491705" w:rsidP="00D523F3">
      <w:pPr>
        <w:pStyle w:val="Nagwek6"/>
        <w:rPr>
          <w:rFonts w:ascii="Times New Roman" w:eastAsia="Times New Roman" w:hAnsi="Times New Roman" w:cs="Times New Roman"/>
          <w:i/>
          <w:iCs/>
          <w:color w:val="595959"/>
          <w:sz w:val="24"/>
          <w:szCs w:val="24"/>
          <w:lang w:eastAsia="pl-PL"/>
        </w:rPr>
      </w:pPr>
      <w:bookmarkStart w:id="1089" w:name="_Toc195856569"/>
      <w:bookmarkStart w:id="1090" w:name="_Ref195884091"/>
      <w:r>
        <w:t xml:space="preserve">Działanie </w:t>
      </w:r>
      <w:r>
        <w:fldChar w:fldCharType="begin"/>
      </w:r>
      <w:r>
        <w:instrText>SEQ Działanie \* ARABIC</w:instrText>
      </w:r>
      <w:r>
        <w:fldChar w:fldCharType="separate"/>
      </w:r>
      <w:r w:rsidR="00871DD5">
        <w:rPr>
          <w:noProof/>
        </w:rPr>
        <w:t>51</w:t>
      </w:r>
      <w:r>
        <w:fldChar w:fldCharType="end"/>
      </w:r>
      <w:r>
        <w:t xml:space="preserve">. </w:t>
      </w:r>
      <w:r w:rsidRPr="00123801">
        <w:t>Rozwój ewidencji infrastruktury paliw alternatywnych</w:t>
      </w:r>
      <w:bookmarkEnd w:id="1089"/>
      <w:bookmarkEnd w:id="1090"/>
    </w:p>
    <w:p w14:paraId="141E78E2" w14:textId="3A7D7C37" w:rsidR="00491705" w:rsidRPr="00BB495A" w:rsidRDefault="00491705" w:rsidP="00117961">
      <w:pPr>
        <w:rPr>
          <w:rFonts w:ascii="Times New Roman" w:hAnsi="Times New Roman"/>
          <w:sz w:val="24"/>
          <w:szCs w:val="24"/>
          <w:lang w:eastAsia="pl-PL"/>
        </w:rPr>
      </w:pPr>
      <w:r w:rsidRPr="00BB495A">
        <w:rPr>
          <w:lang w:eastAsia="pl-PL"/>
        </w:rPr>
        <w:t>Działani</w:t>
      </w:r>
      <w:r w:rsidR="00A870A1">
        <w:rPr>
          <w:lang w:eastAsia="pl-PL"/>
        </w:rPr>
        <w:t>e polega na</w:t>
      </w:r>
      <w:r w:rsidRPr="00BB495A">
        <w:rPr>
          <w:lang w:eastAsia="pl-PL"/>
        </w:rPr>
        <w:t xml:space="preserve"> rozwoju rejestru zawierającego informacje o współrzędnych ogólnodostępnych stacji gazu ziemnego, wodoru i stacji ładowania, aktualnych cenach paliw alternatywnych oraz dostępności punktów ładowania zainstalowanych w ogólnodostępnych stacjach ładowania.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495A" w14:paraId="25F0386F" w14:textId="77777777" w:rsidTr="00EB68A7">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7010228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ascii="Times New Roman" w:eastAsia="Times New Roman" w:hAnsi="Times New Roman" w:cs="Times New Roman"/>
                <w:noProof/>
                <w:sz w:val="24"/>
                <w:szCs w:val="24"/>
                <w:lang w:eastAsia="pl-PL"/>
              </w:rPr>
              <w:drawing>
                <wp:inline distT="0" distB="0" distL="0" distR="0" wp14:anchorId="67E0D5FE" wp14:editId="377E616F">
                  <wp:extent cx="622300" cy="622300"/>
                  <wp:effectExtent l="0" t="0" r="6350" b="6350"/>
                  <wp:docPr id="91" name="Obraz 1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BB495A">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609B098"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smallCaps/>
                <w:color w:val="000000"/>
                <w:sz w:val="18"/>
                <w:szCs w:val="18"/>
                <w:lang w:eastAsia="pl-PL"/>
              </w:rPr>
              <w:t>PODMIOT WIODĄCY</w:t>
            </w:r>
            <w:r w:rsidRPr="00BB495A">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CC8945B"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b/>
                <w:bCs/>
                <w:color w:val="000000"/>
                <w:sz w:val="18"/>
                <w:szCs w:val="18"/>
                <w:lang w:eastAsia="pl-PL"/>
              </w:rPr>
              <w:t>PODMIOTY WSPÓŁPRACUJĄCE</w:t>
            </w:r>
            <w:r w:rsidRPr="00BB495A">
              <w:rPr>
                <w:rFonts w:eastAsia="Times New Roman" w:cs="Times New Roman"/>
                <w:color w:val="000000"/>
                <w:sz w:val="18"/>
                <w:szCs w:val="18"/>
                <w:lang w:eastAsia="pl-PL"/>
              </w:rPr>
              <w:t> </w:t>
            </w:r>
          </w:p>
        </w:tc>
      </w:tr>
      <w:tr w:rsidR="003B6773" w:rsidRPr="00BB495A" w14:paraId="40596D54" w14:textId="77777777" w:rsidTr="001E508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BB1B7D8" w14:textId="77777777" w:rsidR="00491705" w:rsidRPr="00BB495A" w:rsidRDefault="00491705">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BE691D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k</w:t>
            </w:r>
            <w:r w:rsidRPr="00BB495A">
              <w:rPr>
                <w:rFonts w:eastAsia="Times New Roman" w:cs="Times New Roman"/>
                <w:color w:val="808080"/>
                <w:sz w:val="18"/>
                <w:szCs w:val="18"/>
                <w:lang w:val="fr-BE" w:eastAsia="pl-PL"/>
              </w:rPr>
              <w:t>limatu</w:t>
            </w:r>
            <w:r w:rsidRPr="00BB495A">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774C92F" w14:textId="56492ECF"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transportu</w:t>
            </w:r>
            <w:r w:rsidR="003E2DE5">
              <w:rPr>
                <w:rFonts w:eastAsia="Times New Roman" w:cs="Times New Roman"/>
                <w:color w:val="808080"/>
                <w:sz w:val="18"/>
                <w:szCs w:val="18"/>
                <w:lang w:eastAsia="pl-PL"/>
              </w:rPr>
              <w:t xml:space="preserve"> </w:t>
            </w:r>
          </w:p>
          <w:p w14:paraId="7656C3C6" w14:textId="50959A35" w:rsidR="00491705" w:rsidRPr="00BB495A" w:rsidRDefault="00491705" w:rsidP="003640E1">
            <w:pPr>
              <w:spacing w:after="0" w:line="240" w:lineRule="auto"/>
              <w:jc w:val="left"/>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eastAsia="pl-PL"/>
              </w:rPr>
              <w:t>minister wł. ds. gospodarki surowcami energetycznymi</w:t>
            </w:r>
            <w:r w:rsidR="003E2DE5">
              <w:rPr>
                <w:rFonts w:eastAsia="Times New Roman" w:cs="Times New Roman"/>
                <w:color w:val="808080"/>
                <w:sz w:val="18"/>
                <w:szCs w:val="18"/>
                <w:lang w:eastAsia="pl-PL"/>
              </w:rPr>
              <w:t xml:space="preserve"> </w:t>
            </w:r>
          </w:p>
          <w:p w14:paraId="79A16981" w14:textId="77777777" w:rsidR="00491705" w:rsidRPr="00BB495A" w:rsidRDefault="00491705">
            <w:pPr>
              <w:spacing w:after="0" w:line="240" w:lineRule="auto"/>
              <w:textAlignment w:val="baseline"/>
              <w:rPr>
                <w:rFonts w:ascii="Times New Roman" w:eastAsia="Times New Roman" w:hAnsi="Times New Roman" w:cs="Times New Roman"/>
                <w:sz w:val="24"/>
                <w:szCs w:val="24"/>
                <w:lang w:eastAsia="pl-PL"/>
              </w:rPr>
            </w:pPr>
            <w:r w:rsidRPr="00BB495A">
              <w:rPr>
                <w:rFonts w:eastAsia="Times New Roman" w:cs="Times New Roman"/>
                <w:color w:val="808080"/>
                <w:sz w:val="18"/>
                <w:szCs w:val="18"/>
                <w:lang w:val="fr-BE" w:eastAsia="pl-PL"/>
              </w:rPr>
              <w:t>minister wł. ds. cyfryzacji</w:t>
            </w:r>
            <w:r w:rsidRPr="00BB495A">
              <w:rPr>
                <w:rFonts w:eastAsia="Times New Roman" w:cs="Times New Roman"/>
                <w:color w:val="808080"/>
                <w:sz w:val="18"/>
                <w:szCs w:val="18"/>
                <w:lang w:eastAsia="pl-PL"/>
              </w:rPr>
              <w:t> </w:t>
            </w:r>
          </w:p>
        </w:tc>
      </w:tr>
    </w:tbl>
    <w:p w14:paraId="18237FAF" w14:textId="77777777" w:rsidR="00EB68A7" w:rsidRDefault="00EB68A7" w:rsidP="00EB68A7"/>
    <w:tbl>
      <w:tblPr>
        <w:tblStyle w:val="Tabela-Siatka"/>
        <w:tblW w:w="9356" w:type="dxa"/>
        <w:tblInd w:w="-14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EB68A7" w14:paraId="09F492B1" w14:textId="77777777" w:rsidTr="007F5B1D">
        <w:tc>
          <w:tcPr>
            <w:tcW w:w="9356" w:type="dxa"/>
          </w:tcPr>
          <w:p w14:paraId="74DAD399" w14:textId="5E8BFC45" w:rsidR="00EB68A7" w:rsidRPr="00987AA2" w:rsidRDefault="00EB68A7" w:rsidP="007F5B1D">
            <w:pPr>
              <w:spacing w:before="240" w:after="240"/>
              <w:jc w:val="center"/>
              <w:rPr>
                <w:b/>
                <w:bCs/>
                <w:sz w:val="48"/>
                <w:szCs w:val="48"/>
              </w:rPr>
            </w:pPr>
            <w:r>
              <w:rPr>
                <w:b/>
                <w:bCs/>
                <w:color w:val="808080" w:themeColor="background1" w:themeShade="80"/>
                <w:sz w:val="48"/>
                <w:szCs w:val="48"/>
              </w:rPr>
              <w:t>Przemysł</w:t>
            </w:r>
          </w:p>
        </w:tc>
      </w:tr>
    </w:tbl>
    <w:p w14:paraId="611CDC04" w14:textId="771D9A46" w:rsidR="00491705" w:rsidRPr="0087370E" w:rsidRDefault="00491705" w:rsidP="00D523F3">
      <w:pPr>
        <w:pStyle w:val="Nagwek6"/>
        <w:rPr>
          <w:rFonts w:eastAsia="Times New Roman" w:cs="Times New Roman"/>
          <w:color w:val="000000"/>
          <w:kern w:val="0"/>
          <w:lang w:eastAsia="pl-PL"/>
          <w14:ligatures w14:val="none"/>
        </w:rPr>
      </w:pPr>
      <w:bookmarkStart w:id="1091" w:name="_Toc195856570"/>
      <w:bookmarkStart w:id="1092" w:name="_Ref195884511"/>
      <w:bookmarkStart w:id="1093" w:name="_Ref195892413"/>
      <w:r>
        <w:t xml:space="preserve">Działanie </w:t>
      </w:r>
      <w:r>
        <w:fldChar w:fldCharType="begin"/>
      </w:r>
      <w:r>
        <w:instrText>SEQ Działanie \* ARABIC</w:instrText>
      </w:r>
      <w:r>
        <w:fldChar w:fldCharType="separate"/>
      </w:r>
      <w:r w:rsidR="00871DD5">
        <w:rPr>
          <w:noProof/>
        </w:rPr>
        <w:t>52</w:t>
      </w:r>
      <w:r>
        <w:fldChar w:fldCharType="end"/>
      </w:r>
      <w:r>
        <w:t xml:space="preserve">. </w:t>
      </w:r>
      <w:r w:rsidRPr="008A1ED6">
        <w:t>Aktualizacja Polskiej Strategii Wodorowej</w:t>
      </w:r>
      <w:bookmarkEnd w:id="1091"/>
      <w:bookmarkEnd w:id="1092"/>
      <w:bookmarkEnd w:id="1093"/>
    </w:p>
    <w:p w14:paraId="2B316C8E" w14:textId="587CD96F" w:rsidR="00491705" w:rsidRPr="00117961" w:rsidRDefault="00491705" w:rsidP="00117961">
      <w:pPr>
        <w:rPr>
          <w:rFonts w:ascii="Times New Roman" w:hAnsi="Times New Roman"/>
          <w:strike/>
        </w:rPr>
      </w:pPr>
      <w:r w:rsidRPr="00117961">
        <w:t xml:space="preserve">Celem działania jest </w:t>
      </w:r>
      <w:r w:rsidR="2EABD49F">
        <w:t>aktualizacja</w:t>
      </w:r>
      <w:r w:rsidRPr="00117961">
        <w:t xml:space="preserve"> </w:t>
      </w:r>
      <w:r w:rsidRPr="09056258">
        <w:rPr>
          <w:i/>
          <w:iCs/>
        </w:rPr>
        <w:t>Polskiej Strategii Wodorowej</w:t>
      </w:r>
      <w:r w:rsidRPr="00117961">
        <w:t xml:space="preserve">. Dokument w szczególności powinien adresować wyzwania, takie jak określenie krajowego potencjału produkcji </w:t>
      </w:r>
      <w:r w:rsidR="42F30FB6">
        <w:t xml:space="preserve">wodoru odnawialnego, w tym pochodzenia niebiologicznego oraz wodoru </w:t>
      </w:r>
      <w:r w:rsidRPr="00117961">
        <w:t>niskoemisyjnego, w odniesieniu do specyfiki działania systemu elektroenergetycznego z dużym udziałem OZE, budowę infrastruktury do przesyłu oraz potencjalny import wodoru odnawialnego</w:t>
      </w:r>
      <w:r w:rsidR="49E3C380">
        <w:t xml:space="preserve"> pochodzenia niebiologicznego</w:t>
      </w:r>
      <w:r w:rsidRPr="00117961">
        <w:t xml:space="preserve"> lub jego pochodnych (zielonego amoniaku). </w:t>
      </w:r>
      <w:r w:rsidR="00E52D9A">
        <w:t>Dokument</w:t>
      </w:r>
      <w:r w:rsidR="00674682">
        <w:t xml:space="preserve"> powinien</w:t>
      </w:r>
      <w:r w:rsidRPr="00117961">
        <w:t xml:space="preserve"> także wskazywać mocne strony </w:t>
      </w:r>
      <w:r w:rsidR="001E5083">
        <w:rPr>
          <w:lang w:eastAsia="pl-PL"/>
        </w:rPr>
        <w:t>Polski,</w:t>
      </w:r>
      <w:r w:rsidRPr="00117961">
        <w:t xml:space="preserve"> które należy rozwijać oraz</w:t>
      </w:r>
      <w:r w:rsidR="00AA0B11">
        <w:t> </w:t>
      </w:r>
      <w:r w:rsidRPr="00117961">
        <w:t xml:space="preserve">identyfikować zagrożenia, które należy mitygować.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6D0F303D" w14:textId="77777777" w:rsidTr="00C3652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21E5B08"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384BC5DB" wp14:editId="4DF24756">
                  <wp:extent cx="617220" cy="617220"/>
                  <wp:effectExtent l="0" t="0" r="0" b="0"/>
                  <wp:docPr id="696051931" name="Obraz 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196F469"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72B23F5"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33EECD15" w14:textId="77777777" w:rsidTr="00C3652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ABA8F60"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21B5E2B"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0E9C9C8" w14:textId="7A9D017A" w:rsidR="00491705" w:rsidRPr="0087370E" w:rsidRDefault="00491705" w:rsidP="00427525">
            <w:pPr>
              <w:spacing w:after="0" w:line="240" w:lineRule="auto"/>
              <w:jc w:val="left"/>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surowcami energetycznymi</w:t>
            </w:r>
            <w:r w:rsidR="003E2DE5">
              <w:rPr>
                <w:rFonts w:eastAsia="Times New Roman" w:cs="Times New Roman"/>
                <w:color w:val="808080"/>
                <w:kern w:val="0"/>
                <w:sz w:val="18"/>
                <w:szCs w:val="18"/>
                <w:lang w:eastAsia="pl-PL"/>
                <w14:ligatures w14:val="none"/>
              </w:rPr>
              <w:t xml:space="preserve"> </w:t>
            </w:r>
          </w:p>
        </w:tc>
      </w:tr>
    </w:tbl>
    <w:p w14:paraId="6B3E66C8" w14:textId="4ED7DBC7" w:rsidR="00491705" w:rsidRPr="0087370E" w:rsidRDefault="00491705" w:rsidP="00D523F3">
      <w:pPr>
        <w:pStyle w:val="Nagwek6"/>
        <w:rPr>
          <w:rFonts w:eastAsia="Times New Roman" w:cs="Times New Roman"/>
          <w:bCs/>
          <w:color w:val="000000"/>
          <w:kern w:val="0"/>
          <w:lang w:eastAsia="pl-PL"/>
          <w14:ligatures w14:val="none"/>
        </w:rPr>
      </w:pPr>
      <w:bookmarkStart w:id="1094" w:name="_Toc195856571"/>
      <w:bookmarkStart w:id="1095" w:name="_Ref195884519"/>
      <w:r>
        <w:lastRenderedPageBreak/>
        <w:t xml:space="preserve">Działanie </w:t>
      </w:r>
      <w:r>
        <w:fldChar w:fldCharType="begin"/>
      </w:r>
      <w:r>
        <w:instrText>SEQ Działanie \* ARABIC</w:instrText>
      </w:r>
      <w:r>
        <w:fldChar w:fldCharType="separate"/>
      </w:r>
      <w:r w:rsidR="00871DD5">
        <w:rPr>
          <w:noProof/>
        </w:rPr>
        <w:t>53</w:t>
      </w:r>
      <w:r>
        <w:fldChar w:fldCharType="end"/>
      </w:r>
      <w:r>
        <w:t xml:space="preserve">. </w:t>
      </w:r>
      <w:r w:rsidRPr="0014742C">
        <w:t>Instrument finansowy – wsparcie transformacji w przemyśle</w:t>
      </w:r>
      <w:bookmarkEnd w:id="1094"/>
      <w:bookmarkEnd w:id="1095"/>
    </w:p>
    <w:p w14:paraId="5A33BB61" w14:textId="086427F8" w:rsidR="00491705" w:rsidRPr="00EB68A7" w:rsidRDefault="00491705" w:rsidP="00117961">
      <w:r w:rsidRPr="00117961">
        <w:t>Wsparcie ma polegać na zapewnieniu pomocy finansowej w ustalonej formie, która będzie wspierała produkcję wodoru odnawialnego na wczesnym etapie rozwoju technologii, do momentu uzyskania ekonomii skali i obniżenia cen do poziomu konkurencyjnego rynkowo (m.in. z nośnikami opartymi na paliwach kopalnych). Wsparcie będzie miało na celu zmniejszenie różnicy pomiędzy ceną wodoru odnawialnego i wodoru otrzymywanego z surowców kopalnych, którego produkcja wiąże się z emisją gazów cieplarnianych. Wsparcie ma umożliwić konkurowanie wodoru odnawialnego na rynku wodoru.</w:t>
      </w:r>
      <w:r w:rsidRPr="0D3CF0B3">
        <w:rPr>
          <w:rFonts w:eastAsia="Times New Roman" w:cs="Times New Roman"/>
          <w:kern w:val="0"/>
          <w:lang w:eastAsia="pl-PL"/>
          <w14:ligatures w14:val="none"/>
        </w:rPr>
        <w:t xml:space="preserve"> </w:t>
      </w:r>
      <w:r w:rsidRPr="00117961">
        <w:t>Mechanizm ma ułatwić zastępowanie wykorzystywanego obecnie głównie w przemyśle wodoru otrzymywanego z surowców kopalnych, wodorem odnawialnym. Wsparcie będzie przewidziane dla przedsiębiorców zapewniających realizację obligatoryjnych celów klimatycznych dla Polski, wynikających z przepisów unijnych i krajowych. Wsparcie będzie mogło uwzględniać także</w:t>
      </w:r>
      <w:r w:rsidR="00974007">
        <w:t xml:space="preserve"> </w:t>
      </w:r>
      <w:r w:rsidRPr="00117961">
        <w:t>stosowani</w:t>
      </w:r>
      <w:r w:rsidR="51145692" w:rsidRPr="00117961">
        <w:t>e</w:t>
      </w:r>
      <w:r w:rsidRPr="00117961">
        <w:t xml:space="preserve"> technologii wychwytu i składowania lub utylizacji dwutlenku węgla, których zastosowanie pozwoli na </w:t>
      </w:r>
      <w:r w:rsidRPr="00E75ABC">
        <w:t xml:space="preserve">redukcję emisji gazów </w:t>
      </w:r>
      <w:r w:rsidRPr="00EB68A7">
        <w:t xml:space="preserve">cieplarnianych w całym cyklu życia wynoszącym co najmniej 70% </w:t>
      </w:r>
      <w:r w:rsidR="4AE7F49A" w:rsidRPr="00EB68A7">
        <w:t>w</w:t>
      </w:r>
      <w:r w:rsidRPr="00EB68A7">
        <w:t xml:space="preserve"> stosunku do odpowiednika kopalnego. Instrument wsparcia finansowego nie powinien być je</w:t>
      </w:r>
      <w:r w:rsidR="000B7D01">
        <w:t>d</w:t>
      </w:r>
      <w:r w:rsidRPr="00EB68A7">
        <w:t>ynym instrumentem stymulującym rozwój rynku.</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288C8E96" w14:textId="77777777" w:rsidTr="00C3652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39701D0C"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62A793D8" wp14:editId="51DFAAFF">
                  <wp:extent cx="617220" cy="617220"/>
                  <wp:effectExtent l="0" t="0" r="0" b="0"/>
                  <wp:docPr id="1487289441" name="Obraz 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D1725D6"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C13395E"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69CD40EB" w14:textId="77777777" w:rsidTr="00C3652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346D640"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F963336"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0376FEB"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tc>
      </w:tr>
    </w:tbl>
    <w:p w14:paraId="02405A35" w14:textId="77777777" w:rsidR="00491705" w:rsidRPr="0087370E" w:rsidRDefault="00491705" w:rsidP="00491705">
      <w:pPr>
        <w:spacing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kern w:val="0"/>
          <w:szCs w:val="20"/>
          <w:lang w:eastAsia="pl-PL"/>
          <w14:ligatures w14:val="none"/>
        </w:rPr>
        <w:t> </w:t>
      </w:r>
    </w:p>
    <w:p w14:paraId="79D15527" w14:textId="4A5F0219" w:rsidR="00491705" w:rsidRPr="0087370E" w:rsidRDefault="00491705" w:rsidP="009A66CB">
      <w:pPr>
        <w:pStyle w:val="Nagwek6"/>
        <w:rPr>
          <w:rFonts w:eastAsia="Times New Roman" w:cs="Times New Roman"/>
          <w:bCs/>
          <w:color w:val="000000"/>
          <w:kern w:val="0"/>
          <w:lang w:eastAsia="pl-PL"/>
          <w14:ligatures w14:val="none"/>
        </w:rPr>
      </w:pPr>
      <w:bookmarkStart w:id="1096" w:name="_Toc195856572"/>
      <w:bookmarkStart w:id="1097" w:name="_Ref195884525"/>
      <w:bookmarkStart w:id="1098" w:name="_Ref195892401"/>
      <w:r>
        <w:t xml:space="preserve">Działanie </w:t>
      </w:r>
      <w:r>
        <w:fldChar w:fldCharType="begin"/>
      </w:r>
      <w:r>
        <w:instrText>SEQ Działanie \* ARABIC</w:instrText>
      </w:r>
      <w:r>
        <w:fldChar w:fldCharType="separate"/>
      </w:r>
      <w:r w:rsidR="00871DD5">
        <w:rPr>
          <w:noProof/>
        </w:rPr>
        <w:t>54</w:t>
      </w:r>
      <w:r>
        <w:fldChar w:fldCharType="end"/>
      </w:r>
      <w:r>
        <w:t xml:space="preserve">. </w:t>
      </w:r>
      <w:r w:rsidRPr="00870F65">
        <w:t>Wsparcie budowy mocy wytwórczych do produkcji wodoru odnawialnego</w:t>
      </w:r>
      <w:r w:rsidR="00F765BB">
        <w:t xml:space="preserve"> (</w:t>
      </w:r>
      <w:r w:rsidR="150DB6E2">
        <w:t>w tym pochodzenia niebiologicznego</w:t>
      </w:r>
      <w:r w:rsidR="00A066BD">
        <w:t>)</w:t>
      </w:r>
      <w:r w:rsidR="004D4620">
        <w:t xml:space="preserve"> i niskoemisyjnego</w:t>
      </w:r>
      <w:bookmarkEnd w:id="1096"/>
      <w:bookmarkEnd w:id="1097"/>
      <w:bookmarkEnd w:id="1098"/>
    </w:p>
    <w:p w14:paraId="6EBCB852" w14:textId="7A4003BB" w:rsidR="00491705" w:rsidRPr="00EB68A7" w:rsidRDefault="00491705" w:rsidP="00EB68A7">
      <w:pPr>
        <w:rPr>
          <w:rFonts w:ascii="Times New Roman" w:hAnsi="Times New Roman"/>
        </w:rPr>
      </w:pPr>
      <w:r w:rsidRPr="00EB68A7">
        <w:t>Działanie ma na celu rozpoczęcie procesu budowy mocy wytwórczych wodoru niskoemisyjnego</w:t>
      </w:r>
      <w:r w:rsidR="6B38900B">
        <w:t xml:space="preserve">, </w:t>
      </w:r>
      <w:r w:rsidRPr="00EB68A7">
        <w:t xml:space="preserve">odnawialnego </w:t>
      </w:r>
      <w:r w:rsidR="55AE510D">
        <w:t>oraz odnawialnego pochodzenia niebiologicznego</w:t>
      </w:r>
      <w:r>
        <w:t xml:space="preserve"> w Polsce.</w:t>
      </w:r>
      <w:r w:rsidRPr="00EB68A7">
        <w:t xml:space="preserve"> Aktywność instytucji publicznych powinna koncentrować się na wsparciu budowy mocy wytwórczych, infrastruktury magazynowania i przesyłu, co wpłynie na uruchomienie pierwszych inwestycji w moce produkcyjne. Rozwój tego sektora wymaga odpowiedniego wsparcia regulacyjnego, finansowego i technologicznego, aby skutecznie integrować produkcje niskoemisyjnego i</w:t>
      </w:r>
      <w:r w:rsidR="00204889">
        <w:t> </w:t>
      </w:r>
      <w:r w:rsidRPr="00EB68A7">
        <w:t>odnawialnego wodoru z infrastrukturą transportową oraz gałęziami przemysłu, które wykazują największe zapotrzebowanie w jego użyciu.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405BAF3B" w14:textId="77777777" w:rsidTr="00C3652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8F81BFF"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0CAFD733" wp14:editId="50DF7BD8">
                  <wp:extent cx="617220" cy="617220"/>
                  <wp:effectExtent l="0" t="0" r="0" b="0"/>
                  <wp:docPr id="19" name="Obraz 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156E95E"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E438BEC"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36199165" w14:textId="77777777" w:rsidTr="00C3652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85E43C0"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359E401"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A8CF099"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p w14:paraId="6BF70FB2" w14:textId="77777777" w:rsidR="00491705" w:rsidRPr="0087370E" w:rsidRDefault="00491705">
            <w:pPr>
              <w:spacing w:after="0" w:line="240" w:lineRule="auto"/>
              <w:textAlignment w:val="baseline"/>
              <w:rPr>
                <w:rFonts w:eastAsia="Times New Roman" w:cs="Times New Roman"/>
                <w:color w:val="808080"/>
                <w:kern w:val="0"/>
                <w:sz w:val="18"/>
                <w:szCs w:val="18"/>
                <w:lang w:eastAsia="pl-PL"/>
                <w14:ligatures w14:val="none"/>
              </w:rPr>
            </w:pPr>
            <w:r w:rsidRPr="0087370E">
              <w:rPr>
                <w:rFonts w:eastAsia="Times New Roman" w:cs="Times New Roman"/>
                <w:color w:val="808080"/>
                <w:kern w:val="0"/>
                <w:sz w:val="18"/>
                <w:szCs w:val="18"/>
                <w:lang w:eastAsia="pl-PL"/>
                <w14:ligatures w14:val="none"/>
              </w:rPr>
              <w:t>minister wł. ds. finansów publicznych</w:t>
            </w:r>
          </w:p>
          <w:p w14:paraId="00221202"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p>
        </w:tc>
      </w:tr>
    </w:tbl>
    <w:p w14:paraId="261E3798" w14:textId="483976F6" w:rsidR="00491705" w:rsidRPr="0087370E" w:rsidRDefault="00491705" w:rsidP="00204889">
      <w:pPr>
        <w:pStyle w:val="Nagwek6"/>
        <w:rPr>
          <w:rFonts w:eastAsia="Times New Roman" w:cs="Times New Roman"/>
          <w:color w:val="000000"/>
          <w:kern w:val="0"/>
          <w:lang w:eastAsia="pl-PL"/>
          <w14:ligatures w14:val="none"/>
        </w:rPr>
      </w:pPr>
      <w:bookmarkStart w:id="1099" w:name="_Toc195856573"/>
      <w:bookmarkStart w:id="1100" w:name="_Ref195884563"/>
      <w:bookmarkStart w:id="1101" w:name="_Ref195892436"/>
      <w:r>
        <w:t xml:space="preserve">Działanie </w:t>
      </w:r>
      <w:r>
        <w:fldChar w:fldCharType="begin"/>
      </w:r>
      <w:r>
        <w:instrText>SEQ Działanie \* ARABIC</w:instrText>
      </w:r>
      <w:r>
        <w:fldChar w:fldCharType="separate"/>
      </w:r>
      <w:r w:rsidR="00871DD5">
        <w:rPr>
          <w:noProof/>
        </w:rPr>
        <w:t>55</w:t>
      </w:r>
      <w:r>
        <w:fldChar w:fldCharType="end"/>
      </w:r>
      <w:r>
        <w:t xml:space="preserve">. </w:t>
      </w:r>
      <w:r w:rsidRPr="00477751">
        <w:t xml:space="preserve">Analiza </w:t>
      </w:r>
      <w:r w:rsidR="68324396" w:rsidRPr="00477751">
        <w:t xml:space="preserve">potrzeby </w:t>
      </w:r>
      <w:r w:rsidRPr="00477751">
        <w:t>budowy</w:t>
      </w:r>
      <w:r w:rsidR="0C2D4951" w:rsidRPr="00477751">
        <w:t xml:space="preserve"> i wykorzystania infrastruktury do importu amoniaku lub wodoru</w:t>
      </w:r>
      <w:r w:rsidR="56F11787" w:rsidRPr="00477751">
        <w:t xml:space="preserve">, w tym </w:t>
      </w:r>
      <w:r w:rsidRPr="00477751">
        <w:t>budowy morskiego terminalu portowego do przeładunku amoniaku lub wodoru</w:t>
      </w:r>
      <w:bookmarkEnd w:id="1099"/>
      <w:bookmarkEnd w:id="1100"/>
      <w:bookmarkEnd w:id="1101"/>
      <w:r w:rsidRPr="09056258">
        <w:rPr>
          <w:rFonts w:eastAsia="Times New Roman" w:cs="Times New Roman"/>
          <w:color w:val="000000"/>
          <w:kern w:val="0"/>
          <w:lang w:eastAsia="pl-PL"/>
          <w14:ligatures w14:val="none"/>
        </w:rPr>
        <w:t xml:space="preserve"> </w:t>
      </w:r>
    </w:p>
    <w:p w14:paraId="70478940" w14:textId="055E14C9" w:rsidR="00491705" w:rsidRPr="00EB68A7" w:rsidRDefault="00491705" w:rsidP="00EB68A7">
      <w:r w:rsidRPr="00EB68A7">
        <w:t xml:space="preserve">W związku z rosnącym zapotrzebowaniem na wodór odnawialny i amoniak odnawialny, oraz koniecznością realizacji celów </w:t>
      </w:r>
      <w:r w:rsidRPr="0087370E">
        <w:rPr>
          <w:lang w:eastAsia="pl-PL"/>
        </w:rPr>
        <w:t>RED</w:t>
      </w:r>
      <w:r w:rsidR="00C3652A">
        <w:rPr>
          <w:lang w:eastAsia="pl-PL"/>
        </w:rPr>
        <w:t> </w:t>
      </w:r>
      <w:r w:rsidRPr="0087370E">
        <w:rPr>
          <w:lang w:eastAsia="pl-PL"/>
        </w:rPr>
        <w:t>III</w:t>
      </w:r>
      <w:r w:rsidRPr="00EB68A7">
        <w:t>, działanie ma na celu ustalenie w jakim zakresie zapotrzebowanie Polski na te odnawialne surowce powinn</w:t>
      </w:r>
      <w:r w:rsidR="006F639B">
        <w:t>o</w:t>
      </w:r>
      <w:r w:rsidRPr="00EB68A7">
        <w:t xml:space="preserve"> zostać zaspokojon</w:t>
      </w:r>
      <w:r w:rsidR="006F639B">
        <w:t>e</w:t>
      </w:r>
      <w:r w:rsidRPr="00EB68A7">
        <w:t xml:space="preserve"> przez import oraz jakimi drogami i</w:t>
      </w:r>
      <w:r w:rsidR="00C3652A">
        <w:rPr>
          <w:lang w:eastAsia="pl-PL"/>
        </w:rPr>
        <w:t> </w:t>
      </w:r>
      <w:r w:rsidRPr="00EB68A7">
        <w:t xml:space="preserve">sposobami ten import powinien być zapewniony a także w jaki sposób surowce te powinny być dostarczone do </w:t>
      </w:r>
      <w:r w:rsidR="00994F64" w:rsidRPr="00EB68A7">
        <w:t>obecnych</w:t>
      </w:r>
      <w:r w:rsidR="00994F64">
        <w:t xml:space="preserve"> i przyszłych</w:t>
      </w:r>
      <w:r w:rsidR="00994F64" w:rsidRPr="00EB68A7">
        <w:t xml:space="preserve"> </w:t>
      </w:r>
      <w:r w:rsidRPr="00EB68A7">
        <w:t xml:space="preserve">odbiorców przemysłowych. </w:t>
      </w:r>
    </w:p>
    <w:p w14:paraId="03693D96" w14:textId="6C11D40C" w:rsidR="00491705" w:rsidRPr="00EB68A7" w:rsidRDefault="00491705" w:rsidP="00EB68A7">
      <w:r w:rsidRPr="00EB68A7">
        <w:t>Analiza powinna uwzględniać zarówno zapotrzebowanie krajowe na wodór RFNBO potrzebny do</w:t>
      </w:r>
      <w:r w:rsidR="00A64BE6">
        <w:t> </w:t>
      </w:r>
      <w:r w:rsidRPr="00EB68A7">
        <w:t xml:space="preserve">realizacji celów dyrektywy </w:t>
      </w:r>
      <w:r w:rsidRPr="0087370E">
        <w:rPr>
          <w:lang w:eastAsia="pl-PL"/>
        </w:rPr>
        <w:t>RED</w:t>
      </w:r>
      <w:r w:rsidR="00C3652A">
        <w:rPr>
          <w:lang w:eastAsia="pl-PL"/>
        </w:rPr>
        <w:t> </w:t>
      </w:r>
      <w:r w:rsidRPr="0087370E">
        <w:rPr>
          <w:lang w:eastAsia="pl-PL"/>
        </w:rPr>
        <w:t>III</w:t>
      </w:r>
      <w:r w:rsidRPr="00EB68A7">
        <w:t xml:space="preserve"> i inne uwarunkowania wynikające z polityki klimatycznej UE lokalizację zakładów przemysłowych objętych celami </w:t>
      </w:r>
      <w:r w:rsidRPr="0087370E">
        <w:rPr>
          <w:lang w:eastAsia="pl-PL"/>
        </w:rPr>
        <w:t>RED</w:t>
      </w:r>
      <w:r w:rsidR="00C3652A">
        <w:rPr>
          <w:lang w:eastAsia="pl-PL"/>
        </w:rPr>
        <w:t> </w:t>
      </w:r>
      <w:r w:rsidRPr="0087370E">
        <w:rPr>
          <w:lang w:eastAsia="pl-PL"/>
        </w:rPr>
        <w:t>III</w:t>
      </w:r>
      <w:r w:rsidRPr="00EB68A7">
        <w:t xml:space="preserve">, powstające nowe zakłady przemysłowe wymagające zasilenia wodorem RFNBO, a także istniejącą i nową infrastrukturę (w tym portową), możliwości jej wykorzystania, rozbudowy i budowy. Analiza powinna także uwzględniać projektowane </w:t>
      </w:r>
      <w:r w:rsidRPr="00EB68A7">
        <w:lastRenderedPageBreak/>
        <w:t xml:space="preserve">europejskie korytarze wodorowe (np. </w:t>
      </w:r>
      <w:r w:rsidRPr="00EB68A7">
        <w:rPr>
          <w:i/>
        </w:rPr>
        <w:t>Nordic Baltic Hydrogen Backbone</w:t>
      </w:r>
      <w:r w:rsidRPr="00EB68A7">
        <w:t>), i możliwości budowy dedykowanych sieci wodorowych do przesyłu wodoru i płynne przechodzenie od importu i transportu tych surowców od miejsca ich dostarczenia do miejsc ich wykorzystania w okresie do powstania korytarzy wodorowych i</w:t>
      </w:r>
      <w:r w:rsidR="00C3652A">
        <w:rPr>
          <w:lang w:eastAsia="pl-PL"/>
        </w:rPr>
        <w:t> </w:t>
      </w:r>
      <w:r w:rsidRPr="00EB68A7">
        <w:t>wodorowych sieci przesyłowych oraz po ich wybudowaniu (płynne przechodzenie od</w:t>
      </w:r>
      <w:r w:rsidR="00A64BE6">
        <w:t> </w:t>
      </w:r>
      <w:r w:rsidRPr="00EB68A7">
        <w:t>transportu opartego na środkach innych niż rurociągi do wykorzystania rurociągów).</w:t>
      </w:r>
    </w:p>
    <w:p w14:paraId="776C552B" w14:textId="365220E5" w:rsidR="00491705" w:rsidRPr="00EB68A7" w:rsidRDefault="00491705" w:rsidP="00EB68A7">
      <w:r w:rsidRPr="00EB68A7">
        <w:t xml:space="preserve">Analiza powinna zawierać dane ilościowe i jakościowe wodoru odnawialnego i amoniaku odnawialnego (część importowa) pozwalające na realizację celów </w:t>
      </w:r>
      <w:r w:rsidRPr="0087370E">
        <w:rPr>
          <w:lang w:eastAsia="pl-PL"/>
        </w:rPr>
        <w:t>RED</w:t>
      </w:r>
      <w:r w:rsidR="00C3652A">
        <w:rPr>
          <w:lang w:eastAsia="pl-PL"/>
        </w:rPr>
        <w:t> </w:t>
      </w:r>
      <w:r w:rsidRPr="0087370E">
        <w:rPr>
          <w:lang w:eastAsia="pl-PL"/>
        </w:rPr>
        <w:t>III</w:t>
      </w:r>
      <w:r w:rsidRPr="00EB68A7">
        <w:t xml:space="preserve">, oraz dalsze etapy dekarbonizacji przemysłu zgodnie z UE i polskimi celami klimatycznymi, w tym ew. zmienność udziału wodoru i amoniaku w czasie, w imporcie tych surowców dla realizacji celów </w:t>
      </w:r>
      <w:r w:rsidRPr="0087370E">
        <w:rPr>
          <w:lang w:eastAsia="pl-PL"/>
        </w:rPr>
        <w:t>RED</w:t>
      </w:r>
      <w:r w:rsidR="00C3652A">
        <w:rPr>
          <w:lang w:eastAsia="pl-PL"/>
        </w:rPr>
        <w:t> </w:t>
      </w:r>
      <w:r w:rsidRPr="0087370E">
        <w:rPr>
          <w:lang w:eastAsia="pl-PL"/>
        </w:rPr>
        <w:t>III</w:t>
      </w:r>
      <w:r w:rsidRPr="00EB68A7">
        <w:t xml:space="preserve"> i klimatycznych długookresowych.</w:t>
      </w:r>
    </w:p>
    <w:p w14:paraId="120C3CDF" w14:textId="4E069BD2" w:rsidR="00491705" w:rsidRPr="00EB68A7" w:rsidRDefault="00491705" w:rsidP="00EB68A7">
      <w:r w:rsidRPr="00EB68A7">
        <w:t>Analiza powinna też uwzględniać liczbę, proponowane lokalizacje i rol</w:t>
      </w:r>
      <w:r w:rsidR="0055125B">
        <w:t>ę</w:t>
      </w:r>
      <w:r w:rsidRPr="00EB68A7">
        <w:t xml:space="preserve"> infrastruktury niezbędnej do</w:t>
      </w:r>
      <w:r w:rsidR="00A64BE6">
        <w:t> </w:t>
      </w:r>
      <w:r w:rsidRPr="00EB68A7">
        <w:t>realizacji importu wodoru odnawialnego i amoniaku odnawialnego np. terminali portowych, w tym także potencjał rozbudowy już istniejących i budowy nowych, oraz wykorzystania środków transportu wodoru do jego odbiorców okresie do postania korytarzy o sieci wodorowych oraz w czasie gdy</w:t>
      </w:r>
      <w:r w:rsidR="003E2DE5">
        <w:rPr>
          <w:rFonts w:eastAsia="Times New Roman" w:cs="Times New Roman"/>
          <w:kern w:val="0"/>
          <w:szCs w:val="20"/>
          <w:lang w:eastAsia="pl-PL"/>
          <w14:ligatures w14:val="none"/>
        </w:rPr>
        <w:t xml:space="preserve"> </w:t>
      </w:r>
      <w:r w:rsidRPr="00EB68A7">
        <w:t>część transportu, w tym transportu wodoru importowego, będzie realizowana z wykorzystaniem korytarzy i</w:t>
      </w:r>
      <w:r w:rsidR="00A64BE6">
        <w:t> </w:t>
      </w:r>
      <w:r w:rsidRPr="00EB68A7">
        <w:t>sieci wodorowych.</w:t>
      </w:r>
      <w:r w:rsidR="003E2DE5">
        <w:rPr>
          <w:rFonts w:eastAsia="Times New Roman" w:cs="Times New Roman"/>
          <w:kern w:val="0"/>
          <w:szCs w:val="20"/>
          <w:lang w:eastAsia="pl-PL"/>
          <w14:ligatures w14:val="none"/>
        </w:rPr>
        <w:t xml:space="preserve"> </w:t>
      </w:r>
    </w:p>
    <w:p w14:paraId="7A88005D" w14:textId="05FC2B84" w:rsidR="00491705" w:rsidRPr="0087370E" w:rsidRDefault="00491705" w:rsidP="00491705">
      <w:pPr>
        <w:spacing w:line="240" w:lineRule="auto"/>
        <w:textAlignment w:val="baseline"/>
        <w:rPr>
          <w:rFonts w:eastAsia="Times New Roman" w:cs="Times New Roman"/>
          <w:kern w:val="0"/>
          <w:szCs w:val="20"/>
          <w:lang w:eastAsia="pl-PL"/>
          <w14:ligatures w14:val="none"/>
        </w:rPr>
      </w:pPr>
      <w:r w:rsidRPr="0087370E">
        <w:rPr>
          <w:rFonts w:eastAsia="Times New Roman" w:cs="Times New Roman"/>
          <w:kern w:val="0"/>
          <w:szCs w:val="20"/>
          <w:lang w:eastAsia="pl-PL"/>
          <w14:ligatures w14:val="none"/>
        </w:rPr>
        <w:t>Analiza powinna także zawierać szacunkowe koszty realizacji poszczególnych elementów inwestycji pozwalających na realizację celów RED</w:t>
      </w:r>
      <w:r w:rsidR="00C3652A">
        <w:rPr>
          <w:rFonts w:eastAsia="Times New Roman" w:cs="Times New Roman"/>
          <w:kern w:val="0"/>
          <w:szCs w:val="20"/>
          <w:lang w:eastAsia="pl-PL"/>
          <w14:ligatures w14:val="none"/>
        </w:rPr>
        <w:t> </w:t>
      </w:r>
      <w:r w:rsidRPr="0087370E">
        <w:rPr>
          <w:rFonts w:eastAsia="Times New Roman" w:cs="Times New Roman"/>
          <w:kern w:val="0"/>
          <w:szCs w:val="20"/>
          <w:lang w:eastAsia="pl-PL"/>
          <w14:ligatures w14:val="none"/>
        </w:rPr>
        <w:t>III i celów klimatycznych w części importowej.</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0AC58548" w14:textId="77777777" w:rsidTr="00C3652A">
        <w:trPr>
          <w:trHeight w:val="300"/>
        </w:trPr>
        <w:tc>
          <w:tcPr>
            <w:tcW w:w="1049" w:type="dxa"/>
            <w:vMerge w:val="restart"/>
            <w:tcBorders>
              <w:top w:val="dashed" w:sz="12" w:space="0" w:color="FFFFFF"/>
              <w:left w:val="dashed" w:sz="12" w:space="0" w:color="FFFFFF"/>
              <w:bottom w:val="dashed" w:sz="12" w:space="0" w:color="FFFFFF"/>
              <w:right w:val="dashed" w:sz="12" w:space="0" w:color="FFFFFF"/>
            </w:tcBorders>
            <w:hideMark/>
          </w:tcPr>
          <w:p w14:paraId="4E82E951"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289EEFC7" wp14:editId="746164C1">
                  <wp:extent cx="617220" cy="617220"/>
                  <wp:effectExtent l="0" t="0" r="0" b="0"/>
                  <wp:docPr id="20" name="Obraz 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F3DBA3F" w14:textId="77777777" w:rsidR="00491705" w:rsidRPr="0087370E" w:rsidRDefault="00491705" w:rsidP="00EB68A7">
            <w:pPr>
              <w:spacing w:after="0" w:line="240" w:lineRule="auto"/>
              <w:jc w:val="left"/>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E1EB2FD" w14:textId="77777777" w:rsidR="00491705" w:rsidRPr="0087370E" w:rsidRDefault="00491705" w:rsidP="00EB68A7">
            <w:pPr>
              <w:spacing w:after="0" w:line="240" w:lineRule="auto"/>
              <w:jc w:val="left"/>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7B074446" w14:textId="77777777" w:rsidTr="00C3652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696C7D0"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17C5A4A" w14:textId="77777777" w:rsidR="00491705" w:rsidRPr="0087370E" w:rsidRDefault="00491705" w:rsidP="00EB68A7">
            <w:pPr>
              <w:spacing w:after="0" w:line="240" w:lineRule="auto"/>
              <w:jc w:val="left"/>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AA0C005" w14:textId="394DFF5E" w:rsidR="00491705" w:rsidRDefault="00491705" w:rsidP="00EB68A7">
            <w:pPr>
              <w:spacing w:after="0" w:line="240" w:lineRule="auto"/>
              <w:jc w:val="left"/>
              <w:textAlignment w:val="baseline"/>
              <w:rPr>
                <w:rFonts w:eastAsia="Times New Roman" w:cs="Times New Roman"/>
                <w:color w:val="808080"/>
                <w:kern w:val="0"/>
                <w:sz w:val="18"/>
                <w:szCs w:val="18"/>
                <w:lang w:eastAsia="pl-PL"/>
                <w14:ligatures w14:val="none"/>
              </w:rPr>
            </w:pPr>
            <w:r w:rsidRPr="0087370E">
              <w:rPr>
                <w:rFonts w:eastAsia="Times New Roman" w:cs="Times New Roman"/>
                <w:color w:val="808080"/>
                <w:kern w:val="0"/>
                <w:sz w:val="18"/>
                <w:szCs w:val="18"/>
                <w:lang w:eastAsia="pl-PL"/>
                <w14:ligatures w14:val="none"/>
              </w:rPr>
              <w:t>minister wł. ds. gospodarki surowcami energetycznymi</w:t>
            </w:r>
            <w:r w:rsidR="003E2DE5">
              <w:rPr>
                <w:rFonts w:eastAsia="Times New Roman" w:cs="Times New Roman"/>
                <w:color w:val="808080"/>
                <w:kern w:val="0"/>
                <w:sz w:val="18"/>
                <w:szCs w:val="18"/>
                <w:lang w:eastAsia="pl-PL"/>
                <w14:ligatures w14:val="none"/>
              </w:rPr>
              <w:t xml:space="preserve"> </w:t>
            </w:r>
          </w:p>
          <w:p w14:paraId="46C1F3A3" w14:textId="4D2E7268" w:rsidR="00876D79" w:rsidRPr="0087370E" w:rsidRDefault="00491705" w:rsidP="00EB68A7">
            <w:pPr>
              <w:spacing w:after="0" w:line="240" w:lineRule="auto"/>
              <w:jc w:val="left"/>
              <w:textAlignment w:val="baseline"/>
              <w:rPr>
                <w:rFonts w:ascii="Times New Roman" w:eastAsia="Times New Roman" w:hAnsi="Times New Roman" w:cs="Times New Roman"/>
                <w:kern w:val="0"/>
                <w:lang w:eastAsia="pl-PL"/>
                <w14:ligatures w14:val="none"/>
              </w:rPr>
            </w:pPr>
            <w:r w:rsidRPr="00876D79">
              <w:rPr>
                <w:rFonts w:ascii="Times New Roman" w:eastAsia="Times New Roman" w:hAnsi="Times New Roman" w:cs="Times New Roman"/>
                <w:kern w:val="0"/>
                <w:lang w:eastAsia="pl-PL"/>
                <w14:ligatures w14:val="none"/>
              </w:rPr>
              <w:t xml:space="preserve">minister wł. ds. </w:t>
            </w:r>
            <w:r w:rsidR="00876D79" w:rsidRPr="00876D79">
              <w:rPr>
                <w:rFonts w:ascii="Times New Roman" w:eastAsia="Times New Roman" w:hAnsi="Times New Roman" w:cs="Times New Roman"/>
                <w:kern w:val="0"/>
                <w:lang w:eastAsia="pl-PL"/>
                <w14:ligatures w14:val="none"/>
              </w:rPr>
              <w:t>gospodarki morskiej</w:t>
            </w:r>
            <w:r w:rsidR="00974007">
              <w:rPr>
                <w:rFonts w:ascii="Times New Roman" w:eastAsia="Times New Roman" w:hAnsi="Times New Roman" w:cs="Times New Roman"/>
                <w:kern w:val="0"/>
                <w:lang w:eastAsia="pl-PL"/>
                <w14:ligatures w14:val="none"/>
              </w:rPr>
              <w:t xml:space="preserve">  </w:t>
            </w:r>
          </w:p>
          <w:p w14:paraId="78AF601E" w14:textId="3F79D1BA" w:rsidR="00491705" w:rsidRPr="0087370E" w:rsidRDefault="00491705" w:rsidP="00EB68A7">
            <w:pPr>
              <w:spacing w:after="0" w:line="240" w:lineRule="auto"/>
              <w:jc w:val="left"/>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transportu</w:t>
            </w:r>
            <w:r w:rsidR="003E2DE5">
              <w:rPr>
                <w:rFonts w:eastAsia="Times New Roman" w:cs="Times New Roman"/>
                <w:color w:val="808080"/>
                <w:kern w:val="0"/>
                <w:sz w:val="18"/>
                <w:szCs w:val="18"/>
                <w:lang w:eastAsia="pl-PL"/>
                <w14:ligatures w14:val="none"/>
              </w:rPr>
              <w:t xml:space="preserve"> </w:t>
            </w:r>
          </w:p>
        </w:tc>
      </w:tr>
    </w:tbl>
    <w:p w14:paraId="60D3287D" w14:textId="3F5A8408" w:rsidR="00491705" w:rsidRPr="0087370E" w:rsidRDefault="00491705" w:rsidP="00D523F3">
      <w:pPr>
        <w:pStyle w:val="Nagwek6"/>
        <w:rPr>
          <w:rFonts w:ascii="Times New Roman" w:eastAsia="Times New Roman" w:hAnsi="Times New Roman" w:cs="Times New Roman"/>
          <w:i/>
          <w:iCs/>
          <w:color w:val="595959"/>
          <w:kern w:val="0"/>
          <w:lang w:eastAsia="pl-PL"/>
          <w14:ligatures w14:val="none"/>
        </w:rPr>
      </w:pPr>
      <w:bookmarkStart w:id="1102" w:name="_Toc195856574"/>
      <w:bookmarkStart w:id="1103" w:name="_Ref195884578"/>
      <w:bookmarkStart w:id="1104" w:name="_Ref195890654"/>
      <w:bookmarkStart w:id="1105" w:name="_Hlk195723536"/>
      <w:r>
        <w:t xml:space="preserve">Działanie </w:t>
      </w:r>
      <w:r>
        <w:fldChar w:fldCharType="begin"/>
      </w:r>
      <w:r>
        <w:instrText>SEQ Działanie \* ARABIC</w:instrText>
      </w:r>
      <w:r>
        <w:fldChar w:fldCharType="separate"/>
      </w:r>
      <w:r w:rsidR="00871DD5">
        <w:rPr>
          <w:noProof/>
        </w:rPr>
        <w:t>56</w:t>
      </w:r>
      <w:r>
        <w:fldChar w:fldCharType="end"/>
      </w:r>
      <w:r>
        <w:t xml:space="preserve">. </w:t>
      </w:r>
      <w:r w:rsidRPr="001F6E20">
        <w:t>Działania wspierające komercyjne projekty CCS i CCU</w:t>
      </w:r>
      <w:bookmarkEnd w:id="1102"/>
      <w:bookmarkEnd w:id="1103"/>
      <w:bookmarkEnd w:id="1104"/>
    </w:p>
    <w:p w14:paraId="1FC53561" w14:textId="77777777" w:rsidR="00491705" w:rsidRPr="00EB68A7" w:rsidRDefault="00491705" w:rsidP="00EB68A7">
      <w:pPr>
        <w:spacing w:after="80"/>
      </w:pPr>
      <w:r w:rsidRPr="00EB68A7">
        <w:t xml:space="preserve">Działanie obejmuje przygotowanie propozycji finansowego instrumentu wsparcia oraz listy działań –regulacyjnych mających na celu wsparcie szerszego stosowania technologii CCS (ang. </w:t>
      </w:r>
      <w:r w:rsidRPr="00EB68A7">
        <w:rPr>
          <w:i/>
        </w:rPr>
        <w:t>Carbon Capture and Storage</w:t>
      </w:r>
      <w:r w:rsidRPr="00EB68A7">
        <w:t xml:space="preserve">) oraz CCU (ang. </w:t>
      </w:r>
      <w:r w:rsidRPr="00EB68A7">
        <w:rPr>
          <w:i/>
        </w:rPr>
        <w:t>Carbon Capture and Utilization</w:t>
      </w:r>
      <w:r w:rsidRPr="00EB68A7">
        <w:t>) redukujących emisje CO</w:t>
      </w:r>
      <w:r w:rsidRPr="00EB68A7">
        <w:rPr>
          <w:vertAlign w:val="subscript"/>
        </w:rPr>
        <w:t>2</w:t>
      </w:r>
      <w:r w:rsidRPr="00EB68A7">
        <w:t>, w procesach, w których inne ścieżki dekarbonizacji nie są możliwe do zaimplementowania. Celem instrumentu jest tworzenie działań związanych z: </w:t>
      </w:r>
    </w:p>
    <w:p w14:paraId="6B9D8847" w14:textId="18D0BDAB" w:rsidR="00491705" w:rsidRPr="00AA3B67" w:rsidRDefault="00491705" w:rsidP="000625AC">
      <w:pPr>
        <w:pStyle w:val="Akapitzlist"/>
        <w:numPr>
          <w:ilvl w:val="0"/>
          <w:numId w:val="143"/>
        </w:numPr>
        <w:spacing w:after="80"/>
        <w:ind w:left="425" w:hanging="357"/>
        <w:contextualSpacing w:val="0"/>
      </w:pPr>
      <w:r w:rsidRPr="00EB68A7">
        <w:t xml:space="preserve">Budową strategicznej infrastruktury </w:t>
      </w:r>
      <w:r w:rsidRPr="00AA3B67">
        <w:t xml:space="preserve">do przesyłu, składowania i dystrybucji </w:t>
      </w:r>
      <w:r w:rsidR="0019165F">
        <w:t>CO</w:t>
      </w:r>
      <w:r w:rsidR="0019165F" w:rsidRPr="0019165F">
        <w:rPr>
          <w:vertAlign w:val="subscript"/>
        </w:rPr>
        <w:t>2</w:t>
      </w:r>
      <w:r w:rsidRPr="00AA3B67">
        <w:t xml:space="preserve"> (gazociągi, sieć składowisk na lądzie w Polsce).</w:t>
      </w:r>
      <w:r w:rsidR="003E2DE5">
        <w:rPr>
          <w:rFonts w:eastAsia="Times New Roman" w:cs="Times New Roman"/>
          <w:kern w:val="0"/>
          <w:szCs w:val="20"/>
          <w:lang w:eastAsia="pl-PL"/>
          <w14:ligatures w14:val="none"/>
        </w:rPr>
        <w:t xml:space="preserve"> </w:t>
      </w:r>
    </w:p>
    <w:p w14:paraId="1581F4EC" w14:textId="6FA237C3" w:rsidR="00491705" w:rsidRPr="00D15F5D" w:rsidRDefault="00491705" w:rsidP="000625AC">
      <w:pPr>
        <w:pStyle w:val="Akapitzlist"/>
        <w:numPr>
          <w:ilvl w:val="0"/>
          <w:numId w:val="143"/>
        </w:numPr>
        <w:spacing w:after="80"/>
        <w:ind w:left="425" w:hanging="357"/>
        <w:contextualSpacing w:val="0"/>
      </w:pPr>
      <w:r w:rsidRPr="00AA3B67">
        <w:t>Przyspieszeniem działań legislacyjnych, które pozwolą na rozpoczęcie badań geologicznych nad poszukiwaniem i rozpoznawani</w:t>
      </w:r>
      <w:r w:rsidRPr="00D15F5D">
        <w:t>em kompleksów podziemnego składowania CO</w:t>
      </w:r>
      <w:r w:rsidRPr="00D15F5D">
        <w:rPr>
          <w:vertAlign w:val="subscript"/>
        </w:rPr>
        <w:t>2</w:t>
      </w:r>
      <w:r w:rsidRPr="00D15F5D">
        <w:t xml:space="preserve"> w Polsce (onshore).</w:t>
      </w:r>
      <w:r w:rsidR="003E2DE5">
        <w:rPr>
          <w:rFonts w:eastAsia="Times New Roman" w:cs="Times New Roman"/>
          <w:kern w:val="0"/>
          <w:szCs w:val="20"/>
          <w:lang w:eastAsia="pl-PL"/>
          <w14:ligatures w14:val="none"/>
        </w:rPr>
        <w:t xml:space="preserve"> </w:t>
      </w:r>
    </w:p>
    <w:p w14:paraId="359DAF38" w14:textId="504A98B1" w:rsidR="00491705" w:rsidRPr="00D15F5D" w:rsidRDefault="00491705" w:rsidP="000625AC">
      <w:pPr>
        <w:pStyle w:val="Akapitzlist"/>
        <w:numPr>
          <w:ilvl w:val="0"/>
          <w:numId w:val="143"/>
        </w:numPr>
        <w:spacing w:after="80"/>
        <w:ind w:left="425" w:hanging="357"/>
        <w:contextualSpacing w:val="0"/>
      </w:pPr>
      <w:r w:rsidRPr="00D15F5D">
        <w:t>Zainicjowaniem budowy klastrów przemysłowych na potrzeby wspomnianego rozwoju infrastruktury umożlwiającej transport do miejsc składowania, w tym powołanie operatora przesyłu dwutlenku węgla.</w:t>
      </w:r>
      <w:r w:rsidR="003E2DE5">
        <w:rPr>
          <w:rFonts w:eastAsia="Times New Roman" w:cs="Times New Roman"/>
          <w:kern w:val="0"/>
          <w:szCs w:val="20"/>
          <w:lang w:eastAsia="pl-PL"/>
          <w14:ligatures w14:val="none"/>
        </w:rPr>
        <w:t xml:space="preserve"> </w:t>
      </w:r>
    </w:p>
    <w:p w14:paraId="7D57B4A2" w14:textId="58D09BCF" w:rsidR="00491705" w:rsidRPr="00D15F5D" w:rsidRDefault="00491705" w:rsidP="000625AC">
      <w:pPr>
        <w:pStyle w:val="Akapitzlist"/>
        <w:numPr>
          <w:ilvl w:val="0"/>
          <w:numId w:val="143"/>
        </w:numPr>
        <w:spacing w:after="80"/>
        <w:ind w:left="425" w:hanging="357"/>
        <w:contextualSpacing w:val="0"/>
      </w:pPr>
      <w:r w:rsidRPr="00D15F5D">
        <w:t>Prowadzeniem prac badawczo-rozwojowych oraz projektów pilotażowych.</w:t>
      </w:r>
      <w:r w:rsidR="003E2DE5">
        <w:rPr>
          <w:rFonts w:eastAsia="Times New Roman" w:cs="Times New Roman"/>
          <w:kern w:val="0"/>
          <w:szCs w:val="20"/>
          <w:lang w:eastAsia="pl-PL"/>
          <w14:ligatures w14:val="none"/>
        </w:rPr>
        <w:t xml:space="preserve"> </w:t>
      </w:r>
    </w:p>
    <w:p w14:paraId="28B99B05" w14:textId="77777777" w:rsidR="00491705" w:rsidRPr="0019165F" w:rsidRDefault="00491705" w:rsidP="000625AC">
      <w:pPr>
        <w:pStyle w:val="Akapitzlist"/>
        <w:numPr>
          <w:ilvl w:val="0"/>
          <w:numId w:val="143"/>
        </w:numPr>
        <w:spacing w:after="240"/>
        <w:ind w:left="425" w:hanging="357"/>
        <w:contextualSpacing w:val="0"/>
        <w:rPr>
          <w:rFonts w:eastAsia="Times New Roman" w:cs="Times New Roman"/>
          <w:kern w:val="0"/>
          <w:szCs w:val="20"/>
          <w:lang w:eastAsia="pl-PL"/>
          <w14:ligatures w14:val="none"/>
        </w:rPr>
      </w:pPr>
      <w:r w:rsidRPr="00D15F5D">
        <w:t>Rozpoczęciem ogólnokrajowej kampanii społecznej dot. działań związanych z rozwojem technologii CCS, mających na celu zwiększenie świadomości społeczeństwa na temat bezpieczeństwa składowania CO</w:t>
      </w:r>
      <w:r w:rsidRPr="00D15F5D">
        <w:rPr>
          <w:vertAlign w:val="subscript"/>
        </w:rPr>
        <w:t>2</w:t>
      </w:r>
      <w:r w:rsidRPr="00D15F5D">
        <w:t xml:space="preserve"> na lądzie</w:t>
      </w:r>
      <w:r w:rsidRPr="0019165F">
        <w:rPr>
          <w:rFonts w:eastAsia="Times New Roman" w:cs="Times New Roman"/>
          <w:kern w:val="0"/>
          <w:szCs w:val="20"/>
          <w:lang w:eastAsia="pl-PL"/>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7370E" w14:paraId="4553DE5D" w14:textId="77777777" w:rsidTr="0019165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bookmarkEnd w:id="1105"/>
          <w:p w14:paraId="737CE581"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57633A8C" wp14:editId="14C9DF35">
                  <wp:extent cx="621030" cy="621030"/>
                  <wp:effectExtent l="0" t="0" r="7620" b="7620"/>
                  <wp:docPr id="2071209899"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97D8C23"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075E160"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358BBA11" w14:textId="77777777" w:rsidTr="0019165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D86825C"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C43C9ED"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FA68660"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środowiska </w:t>
            </w:r>
          </w:p>
          <w:p w14:paraId="327E05B0" w14:textId="5D080B1B"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w:t>
            </w:r>
            <w:r w:rsidR="003E2DE5">
              <w:rPr>
                <w:rFonts w:eastAsia="Times New Roman" w:cs="Times New Roman"/>
                <w:color w:val="808080"/>
                <w:kern w:val="0"/>
                <w:sz w:val="18"/>
                <w:szCs w:val="18"/>
                <w:lang w:eastAsia="pl-PL"/>
                <w14:ligatures w14:val="none"/>
              </w:rPr>
              <w:t xml:space="preserve"> </w:t>
            </w:r>
          </w:p>
          <w:p w14:paraId="27AD11AC"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 </w:t>
            </w:r>
          </w:p>
        </w:tc>
      </w:tr>
    </w:tbl>
    <w:p w14:paraId="4C6DFC0F" w14:textId="77777777" w:rsidR="00491705" w:rsidRPr="0087370E" w:rsidRDefault="00491705" w:rsidP="00491705">
      <w:pPr>
        <w:spacing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kern w:val="0"/>
          <w:szCs w:val="20"/>
          <w:lang w:eastAsia="pl-PL"/>
          <w14:ligatures w14:val="none"/>
        </w:rPr>
        <w:t> </w:t>
      </w:r>
    </w:p>
    <w:p w14:paraId="326BBC24" w14:textId="6537722F" w:rsidR="00491705" w:rsidRPr="0087370E" w:rsidRDefault="00491705" w:rsidP="00D523F3">
      <w:pPr>
        <w:pStyle w:val="Nagwek6"/>
        <w:rPr>
          <w:rFonts w:eastAsia="Times New Roman" w:cs="Times New Roman"/>
          <w:bCs/>
          <w:color w:val="000000"/>
          <w:kern w:val="0"/>
          <w:lang w:eastAsia="pl-PL"/>
          <w14:ligatures w14:val="none"/>
        </w:rPr>
      </w:pPr>
      <w:bookmarkStart w:id="1106" w:name="_Toc195856575"/>
      <w:bookmarkStart w:id="1107" w:name="_Ref195884584"/>
      <w:bookmarkStart w:id="1108" w:name="_Ref195890662"/>
      <w:r>
        <w:lastRenderedPageBreak/>
        <w:t xml:space="preserve">Działanie </w:t>
      </w:r>
      <w:r>
        <w:fldChar w:fldCharType="begin"/>
      </w:r>
      <w:r>
        <w:instrText>SEQ Działanie \* ARABIC</w:instrText>
      </w:r>
      <w:r>
        <w:fldChar w:fldCharType="separate"/>
      </w:r>
      <w:r w:rsidR="00871DD5">
        <w:rPr>
          <w:noProof/>
        </w:rPr>
        <w:t>57</w:t>
      </w:r>
      <w:r>
        <w:fldChar w:fldCharType="end"/>
      </w:r>
      <w:r>
        <w:t xml:space="preserve">. </w:t>
      </w:r>
      <w:r w:rsidRPr="000139BC">
        <w:t>Działania na rzecz wsparcia dekarbonizacji przemysłu energochłonnego</w:t>
      </w:r>
      <w:bookmarkEnd w:id="1106"/>
      <w:bookmarkEnd w:id="1107"/>
      <w:bookmarkEnd w:id="1108"/>
    </w:p>
    <w:p w14:paraId="6A1D921C" w14:textId="42252C53" w:rsidR="00491705" w:rsidRPr="00EB68A7" w:rsidRDefault="00491705" w:rsidP="00EB68A7">
      <w:pPr>
        <w:spacing w:after="80"/>
      </w:pPr>
      <w:r w:rsidRPr="00D15F5D">
        <w:t xml:space="preserve">Działanie </w:t>
      </w:r>
      <w:r w:rsidRPr="00EB68A7">
        <w:t>dotyczy wsparcia (w tym wsparcie finansowe) przemysłu energochłonnego objętego unijnym systemem handlu uprawnieniami do emisji (EU ETS) w procesie zwiększenia konkurencyjności i</w:t>
      </w:r>
      <w:r w:rsidR="0019165F">
        <w:rPr>
          <w:lang w:eastAsia="pl-PL"/>
        </w:rPr>
        <w:t> </w:t>
      </w:r>
      <w:r w:rsidRPr="00EB68A7">
        <w:t>transformacji energetycznej. Aktywność instytucji publicznych powinna koncentrować się na wpieraniu działań zapewniających:</w:t>
      </w:r>
      <w:r w:rsidR="003E2DE5">
        <w:rPr>
          <w:rFonts w:eastAsia="Times New Roman" w:cs="Times New Roman"/>
          <w:kern w:val="0"/>
          <w:szCs w:val="20"/>
          <w:lang w:eastAsia="pl-PL"/>
          <w14:ligatures w14:val="none"/>
        </w:rPr>
        <w:t xml:space="preserve"> </w:t>
      </w:r>
    </w:p>
    <w:p w14:paraId="0B7B1EA2" w14:textId="272232ED" w:rsidR="00491705" w:rsidRPr="00EB68A7" w:rsidRDefault="00491705" w:rsidP="000625AC">
      <w:pPr>
        <w:pStyle w:val="Akapitzlist"/>
        <w:numPr>
          <w:ilvl w:val="0"/>
          <w:numId w:val="144"/>
        </w:numPr>
        <w:ind w:left="567"/>
      </w:pPr>
      <w:r w:rsidRPr="00EB68A7">
        <w:t>poprawę efektywności energetycznej procesów produkcyjnych,</w:t>
      </w:r>
      <w:r w:rsidR="003E2DE5">
        <w:rPr>
          <w:rFonts w:eastAsia="Times New Roman" w:cs="Times New Roman"/>
          <w:kern w:val="0"/>
          <w:szCs w:val="20"/>
          <w:lang w:eastAsia="pl-PL"/>
          <w14:ligatures w14:val="none"/>
        </w:rPr>
        <w:t xml:space="preserve"> </w:t>
      </w:r>
    </w:p>
    <w:p w14:paraId="0D52D3E5" w14:textId="660863E5" w:rsidR="00491705" w:rsidRPr="00EB68A7" w:rsidRDefault="00491705" w:rsidP="000625AC">
      <w:pPr>
        <w:pStyle w:val="Akapitzlist"/>
        <w:numPr>
          <w:ilvl w:val="0"/>
          <w:numId w:val="144"/>
        </w:numPr>
        <w:ind w:left="567"/>
      </w:pPr>
      <w:r w:rsidRPr="00EB68A7">
        <w:t>zwiększenie udziału odnawialnych źródeł energii w przemyśle,</w:t>
      </w:r>
      <w:r w:rsidR="003E2DE5">
        <w:rPr>
          <w:rFonts w:eastAsia="Times New Roman" w:cs="Times New Roman"/>
          <w:kern w:val="0"/>
          <w:szCs w:val="20"/>
          <w:lang w:eastAsia="pl-PL"/>
          <w14:ligatures w14:val="none"/>
        </w:rPr>
        <w:t xml:space="preserve"> </w:t>
      </w:r>
    </w:p>
    <w:p w14:paraId="3D979DA8" w14:textId="22CD114C" w:rsidR="00491705" w:rsidRPr="00EB68A7" w:rsidRDefault="00491705" w:rsidP="000625AC">
      <w:pPr>
        <w:pStyle w:val="Akapitzlist"/>
        <w:numPr>
          <w:ilvl w:val="0"/>
          <w:numId w:val="144"/>
        </w:numPr>
        <w:ind w:left="567"/>
      </w:pPr>
      <w:r w:rsidRPr="00EB68A7">
        <w:t>budowę własnych źródeł OZE wspartych magazynami energii</w:t>
      </w:r>
      <w:r w:rsidR="00505141" w:rsidRPr="0019165F">
        <w:t>,</w:t>
      </w:r>
      <w:r w:rsidRPr="00EB68A7">
        <w:t> </w:t>
      </w:r>
    </w:p>
    <w:p w14:paraId="7C8808F9" w14:textId="77777777" w:rsidR="00491705" w:rsidRPr="00EB68A7" w:rsidRDefault="00491705" w:rsidP="000625AC">
      <w:pPr>
        <w:pStyle w:val="Akapitzlist"/>
        <w:numPr>
          <w:ilvl w:val="0"/>
          <w:numId w:val="144"/>
        </w:numPr>
        <w:ind w:left="567"/>
      </w:pPr>
      <w:r w:rsidRPr="00EB68A7">
        <w:t>modernizację, w tym cyfryzację, procesów przemysłowych, </w:t>
      </w:r>
    </w:p>
    <w:p w14:paraId="09CD3B96" w14:textId="6AED3210" w:rsidR="00491705" w:rsidRPr="00EB68A7" w:rsidRDefault="00491705" w:rsidP="000625AC">
      <w:pPr>
        <w:pStyle w:val="Akapitzlist"/>
        <w:numPr>
          <w:ilvl w:val="0"/>
          <w:numId w:val="144"/>
        </w:numPr>
        <w:ind w:left="567"/>
      </w:pPr>
      <w:r w:rsidRPr="00EB68A7">
        <w:t>elektryfikację i zastosowanie niskoemisyjnego wodoru oraz wykorzystanie paliw niskoemisyjnych,</w:t>
      </w:r>
      <w:r w:rsidR="003E2DE5">
        <w:rPr>
          <w:rFonts w:eastAsia="Times New Roman" w:cs="Times New Roman"/>
          <w:kern w:val="0"/>
          <w:szCs w:val="20"/>
          <w:lang w:eastAsia="pl-PL"/>
          <w14:ligatures w14:val="none"/>
        </w:rPr>
        <w:t xml:space="preserve"> </w:t>
      </w:r>
    </w:p>
    <w:p w14:paraId="2173982D" w14:textId="28A682E7" w:rsidR="00491705" w:rsidRPr="008C25DB" w:rsidRDefault="00491705" w:rsidP="000625AC">
      <w:pPr>
        <w:pStyle w:val="Akapitzlist"/>
        <w:numPr>
          <w:ilvl w:val="0"/>
          <w:numId w:val="144"/>
        </w:numPr>
        <w:ind w:left="567"/>
      </w:pPr>
      <w:r w:rsidRPr="00EB68A7">
        <w:t>wdrożenie technologii pozwalających na redukcje emisyjności zarówno energetycznych jak i</w:t>
      </w:r>
      <w:r w:rsidR="0019165F">
        <w:t> </w:t>
      </w:r>
      <w:r w:rsidRPr="00EB68A7">
        <w:t xml:space="preserve">procesowych, w tym technologii </w:t>
      </w:r>
      <w:r w:rsidRPr="008C25DB">
        <w:t>CCS, </w:t>
      </w:r>
    </w:p>
    <w:p w14:paraId="6AA1B00A" w14:textId="6E94B5BC" w:rsidR="00491705" w:rsidRPr="00D15F5D" w:rsidRDefault="00491705" w:rsidP="000625AC">
      <w:pPr>
        <w:pStyle w:val="Akapitzlist"/>
        <w:numPr>
          <w:ilvl w:val="0"/>
          <w:numId w:val="144"/>
        </w:numPr>
        <w:ind w:left="567"/>
      </w:pPr>
      <w:r w:rsidRPr="008C25DB">
        <w:t xml:space="preserve">implementacje rozwiązań minimalizujących </w:t>
      </w:r>
      <w:r w:rsidR="00BB677D">
        <w:rPr>
          <w:rFonts w:eastAsia="Times New Roman" w:cs="Times New Roman"/>
          <w:kern w:val="0"/>
          <w:szCs w:val="20"/>
          <w:lang w:eastAsia="pl-PL"/>
          <w14:ligatures w14:val="none"/>
        </w:rPr>
        <w:t>powstawanie</w:t>
      </w:r>
      <w:r w:rsidRPr="0087370E">
        <w:rPr>
          <w:rFonts w:eastAsia="Times New Roman" w:cs="Times New Roman"/>
          <w:kern w:val="0"/>
          <w:szCs w:val="20"/>
          <w:lang w:eastAsia="pl-PL"/>
          <w14:ligatures w14:val="none"/>
        </w:rPr>
        <w:t xml:space="preserve"> odpad</w:t>
      </w:r>
      <w:r w:rsidR="00BB677D">
        <w:rPr>
          <w:rFonts w:eastAsia="Times New Roman" w:cs="Times New Roman"/>
          <w:kern w:val="0"/>
          <w:szCs w:val="20"/>
          <w:lang w:eastAsia="pl-PL"/>
          <w14:ligatures w14:val="none"/>
        </w:rPr>
        <w:t>ów</w:t>
      </w:r>
      <w:r w:rsidRPr="008C25DB">
        <w:t xml:space="preserve"> i zużycie surowców zgodnie z</w:t>
      </w:r>
      <w:r w:rsidR="00A64BE6">
        <w:t> </w:t>
      </w:r>
      <w:r w:rsidRPr="008C25DB">
        <w:t xml:space="preserve">zasadami </w:t>
      </w:r>
      <w:r w:rsidRPr="00D15F5D">
        <w:t>GOZ</w:t>
      </w:r>
      <w:r w:rsidR="00505141" w:rsidRPr="0019165F">
        <w:t>,</w:t>
      </w:r>
      <w:r w:rsidRPr="00D15F5D">
        <w:t> </w:t>
      </w:r>
    </w:p>
    <w:p w14:paraId="57EB6A97" w14:textId="77777777" w:rsidR="00491705" w:rsidRPr="00D15F5D" w:rsidRDefault="00491705" w:rsidP="000625AC">
      <w:pPr>
        <w:pStyle w:val="Akapitzlist"/>
        <w:numPr>
          <w:ilvl w:val="0"/>
          <w:numId w:val="144"/>
        </w:numPr>
        <w:ind w:left="567"/>
      </w:pPr>
      <w:r w:rsidRPr="00D15F5D">
        <w:t>prowadzenie prac badawczo-rozwojowych, projektów pilotażowych oraz tworzenie innowacji. </w:t>
      </w:r>
    </w:p>
    <w:p w14:paraId="7D64FF77" w14:textId="77777777" w:rsidR="00491705" w:rsidRPr="00D15F5D" w:rsidRDefault="00491705" w:rsidP="00D15F5D">
      <w:pPr>
        <w:spacing w:after="240"/>
        <w:rPr>
          <w:rFonts w:ascii="Times New Roman" w:hAnsi="Times New Roman"/>
        </w:rPr>
      </w:pPr>
      <w:r w:rsidRPr="00D15F5D">
        <w:t xml:space="preserve">Wsparcie dla przemysłu energochłonnego ma na celu zwiększenie dostępu do taniej i czystej energii, elektryfikacje i dekarbonizacje procesów przemysłowych oraz opracowanie nowych rozwiązań pozwalających na zapewnienie konkurencyjności polskich produktów. Ze względu na złożoność procesów produkcyjnych w przemyśle energochłonnym wpierane powinno być dostosowane do potrzeb poszczególnych sektorów.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2437C490" w14:textId="77777777" w:rsidTr="0019165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6A9658D"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1F84BFA2" wp14:editId="42B8795A">
                  <wp:extent cx="617220" cy="617220"/>
                  <wp:effectExtent l="0" t="0" r="0" b="0"/>
                  <wp:docPr id="16"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BA9ACA9"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751B273"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3164A8DF" w14:textId="77777777" w:rsidTr="0019165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A7C998A"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91AF2B6"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9DE1712" w14:textId="77777777" w:rsidR="00491705" w:rsidRPr="0087370E" w:rsidRDefault="00491705">
            <w:pPr>
              <w:spacing w:after="0" w:line="240" w:lineRule="auto"/>
              <w:textAlignment w:val="baseline"/>
              <w:rPr>
                <w:rFonts w:eastAsia="Times New Roman" w:cs="Times New Roman"/>
                <w:color w:val="808080"/>
                <w:kern w:val="0"/>
                <w:sz w:val="18"/>
                <w:szCs w:val="18"/>
                <w:lang w:eastAsia="pl-PL"/>
                <w14:ligatures w14:val="none"/>
              </w:rPr>
            </w:pPr>
            <w:r w:rsidRPr="0087370E">
              <w:rPr>
                <w:rFonts w:eastAsia="Times New Roman" w:cs="Times New Roman"/>
                <w:color w:val="808080"/>
                <w:kern w:val="0"/>
                <w:sz w:val="18"/>
                <w:szCs w:val="18"/>
                <w:lang w:eastAsia="pl-PL"/>
                <w14:ligatures w14:val="none"/>
              </w:rPr>
              <w:t>minister wł. ds. klimatu </w:t>
            </w:r>
          </w:p>
          <w:p w14:paraId="6827D70B" w14:textId="77777777" w:rsidR="00491705" w:rsidRPr="0087370E" w:rsidRDefault="00491705">
            <w:pPr>
              <w:spacing w:after="0" w:line="240" w:lineRule="auto"/>
              <w:textAlignment w:val="baseline"/>
              <w:rPr>
                <w:rFonts w:eastAsia="Times New Roman" w:cs="Times New Roman"/>
                <w:color w:val="808080"/>
                <w:kern w:val="0"/>
                <w:sz w:val="18"/>
                <w:szCs w:val="18"/>
                <w:lang w:eastAsia="pl-PL"/>
                <w14:ligatures w14:val="none"/>
              </w:rPr>
            </w:pPr>
            <w:r w:rsidRPr="0087370E">
              <w:rPr>
                <w:rFonts w:eastAsia="Times New Roman" w:cs="Times New Roman"/>
                <w:color w:val="808080"/>
                <w:kern w:val="0"/>
                <w:sz w:val="18"/>
                <w:szCs w:val="18"/>
                <w:lang w:eastAsia="pl-PL"/>
                <w14:ligatures w14:val="none"/>
              </w:rPr>
              <w:t>minister wł. ds. finansów publicznych</w:t>
            </w:r>
          </w:p>
          <w:p w14:paraId="5B71A21A" w14:textId="77777777" w:rsidR="00491705" w:rsidRPr="0087370E" w:rsidRDefault="00491705">
            <w:pPr>
              <w:spacing w:after="0" w:line="240" w:lineRule="auto"/>
              <w:textAlignment w:val="baseline"/>
              <w:rPr>
                <w:rFonts w:eastAsia="Times New Roman" w:cs="Times New Roman"/>
                <w:color w:val="808080"/>
                <w:kern w:val="0"/>
                <w:sz w:val="18"/>
                <w:szCs w:val="18"/>
                <w:lang w:eastAsia="pl-PL"/>
                <w14:ligatures w14:val="none"/>
              </w:rPr>
            </w:pPr>
            <w:r w:rsidRPr="0087370E">
              <w:rPr>
                <w:rFonts w:eastAsia="Times New Roman" w:cs="Times New Roman"/>
                <w:color w:val="808080"/>
                <w:kern w:val="0"/>
                <w:sz w:val="18"/>
                <w:szCs w:val="18"/>
                <w:lang w:eastAsia="pl-PL"/>
                <w14:ligatures w14:val="none"/>
              </w:rPr>
              <w:t>minister wł. ds. rozwoju regionalnego</w:t>
            </w:r>
          </w:p>
        </w:tc>
      </w:tr>
    </w:tbl>
    <w:p w14:paraId="7DAF3C4A" w14:textId="346DEC93" w:rsidR="00491705" w:rsidRPr="0087370E" w:rsidRDefault="00491705" w:rsidP="00D523F3">
      <w:pPr>
        <w:pStyle w:val="Nagwek6"/>
        <w:rPr>
          <w:bCs/>
          <w:color w:val="000000"/>
          <w:lang w:eastAsia="pl-PL"/>
        </w:rPr>
      </w:pPr>
      <w:bookmarkStart w:id="1109" w:name="_Ref196492818"/>
      <w:bookmarkStart w:id="1110" w:name="_Toc195856576"/>
      <w:bookmarkStart w:id="1111" w:name="_Ref195884587"/>
      <w:bookmarkStart w:id="1112" w:name="_Ref195890669"/>
      <w:r>
        <w:t xml:space="preserve">Działanie </w:t>
      </w:r>
      <w:r>
        <w:fldChar w:fldCharType="begin"/>
      </w:r>
      <w:r>
        <w:instrText>SEQ Działanie \* ARABIC</w:instrText>
      </w:r>
      <w:r>
        <w:fldChar w:fldCharType="separate"/>
      </w:r>
      <w:r w:rsidR="00871DD5">
        <w:rPr>
          <w:noProof/>
        </w:rPr>
        <w:t>58</w:t>
      </w:r>
      <w:r>
        <w:fldChar w:fldCharType="end"/>
      </w:r>
      <w:bookmarkEnd w:id="1109"/>
      <w:r>
        <w:t xml:space="preserve">. </w:t>
      </w:r>
      <w:r w:rsidRPr="008E73FB">
        <w:t>Działania na rzecz wsparcia konkurencyjności i dekarbonizacji przemysłu cementowego</w:t>
      </w:r>
      <w:bookmarkEnd w:id="1110"/>
      <w:bookmarkEnd w:id="1111"/>
      <w:bookmarkEnd w:id="1112"/>
    </w:p>
    <w:p w14:paraId="46A8D573" w14:textId="77777777" w:rsidR="00491705" w:rsidRPr="00B878BB" w:rsidRDefault="00491705" w:rsidP="00A035C9">
      <w:pPr>
        <w:rPr>
          <w:rFonts w:ascii="Times New Roman" w:hAnsi="Times New Roman"/>
        </w:rPr>
      </w:pPr>
      <w:r w:rsidRPr="00A035C9">
        <w:t>Celem działania jest wspieranie innowacyjnych technologii oraz inwestycji przyczyniających się do modernizacji procesów produkcyjnych oraz redukcji emisji CO</w:t>
      </w:r>
      <w:r w:rsidRPr="00A035C9">
        <w:rPr>
          <w:sz w:val="16"/>
          <w:vertAlign w:val="subscript"/>
        </w:rPr>
        <w:t>2</w:t>
      </w:r>
      <w:r w:rsidRPr="00A035C9">
        <w:t xml:space="preserve"> w procesie produkcji cementu, przy jednoczesnym zwiększeniu konkurencyjności sektora. Wsparcie powinno być skierowane na działania dotyczące rozwoju innowacyjnych cementów, spoiw i dodatków mineralnych do betonu o obniżonym śladzie węglowym, technologii wychwytu, składowania i wykorzystania dwutlenku węgla (CCUS), a także optymalizacji proc</w:t>
      </w:r>
      <w:r w:rsidRPr="00B878BB">
        <w:t>esów produkcyjnych w kierunku zwiększania efektywności energetycznej. </w:t>
      </w:r>
    </w:p>
    <w:p w14:paraId="56116C46" w14:textId="3D18949A" w:rsidR="00491705" w:rsidRPr="00B878BB" w:rsidRDefault="00491705" w:rsidP="00B878BB">
      <w:pPr>
        <w:spacing w:after="240"/>
        <w:rPr>
          <w:rFonts w:ascii="Times New Roman" w:hAnsi="Times New Roman"/>
        </w:rPr>
      </w:pPr>
      <w:r w:rsidRPr="00B878BB">
        <w:t xml:space="preserve">Istotnym rozwiązaniem pozwalającym na dekarbonizacje oraz uniknięcie opłat w ramach EU ETS jest technologia CCS, której rozwój powinien nastąpić do 2030 r. W celu zapewnienia konkurencyjności branży należy ograniczyć </w:t>
      </w:r>
      <w:r w:rsidRPr="00901FEA">
        <w:t xml:space="preserve">import </w:t>
      </w:r>
      <w:r w:rsidR="00EA7880" w:rsidRPr="0087370E">
        <w:rPr>
          <w:rFonts w:eastAsia="Times New Roman" w:cs="Times New Roman"/>
          <w:kern w:val="0"/>
          <w:szCs w:val="20"/>
          <w:lang w:eastAsia="pl-PL"/>
          <w14:ligatures w14:val="none"/>
        </w:rPr>
        <w:t>cementu</w:t>
      </w:r>
      <w:r w:rsidR="00EA7880">
        <w:rPr>
          <w:rFonts w:eastAsia="Times New Roman" w:cs="Times New Roman"/>
          <w:strike/>
          <w:kern w:val="0"/>
          <w:szCs w:val="20"/>
          <w:lang w:eastAsia="pl-PL"/>
          <w14:ligatures w14:val="none"/>
        </w:rPr>
        <w:t xml:space="preserve"> </w:t>
      </w:r>
      <w:r w:rsidRPr="00901FEA">
        <w:t xml:space="preserve">z krajów, w których jest wytwarzany z wyższym śladem węglowym niż w Polsce. Ważne jest również zapewnienie </w:t>
      </w:r>
      <w:r w:rsidRPr="00B878BB">
        <w:t>dostępu do taniej energii elektrycznej z OZE oraz analiza możliwości rewizji taryf przemysłowych i opłat dodatkowych. Na uwagę zasługuje również mechanizm Zielonych Zamówień Publicznych, który powinien nadać pierwszeństwo zakupu niskoemisyjnych produktów. Rekomendowane jest opracowanie szczegółowej strategii z zakresu zapewnienia konkurencyjności i dekarbonizacji przemysłu cementowego wspólnie z przedstawicielami branży.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4B5E7EB7" w14:textId="77777777" w:rsidTr="00885C6C">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573AEEA"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3A1440D2" wp14:editId="36078AF0">
                  <wp:extent cx="617220" cy="617220"/>
                  <wp:effectExtent l="0" t="0" r="0" b="0"/>
                  <wp:docPr id="39" name="Obraz 1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20A4004"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E46C0C8"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00221A0D" w14:textId="77777777" w:rsidTr="00885C6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33005F4"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4612274"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D739A8D"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p w14:paraId="56FCFEF8"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środowiska </w:t>
            </w:r>
          </w:p>
          <w:p w14:paraId="42CE51BA"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 </w:t>
            </w:r>
          </w:p>
        </w:tc>
      </w:tr>
    </w:tbl>
    <w:p w14:paraId="374E1128" w14:textId="77777777" w:rsidR="00491705" w:rsidRPr="0087370E" w:rsidRDefault="00491705" w:rsidP="00491705">
      <w:pPr>
        <w:spacing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kern w:val="0"/>
          <w:szCs w:val="20"/>
          <w:lang w:eastAsia="pl-PL"/>
          <w14:ligatures w14:val="none"/>
        </w:rPr>
        <w:t> </w:t>
      </w:r>
    </w:p>
    <w:p w14:paraId="48F4FA5B" w14:textId="61340F6F" w:rsidR="00491705" w:rsidRPr="0087370E" w:rsidRDefault="00491705" w:rsidP="00D523F3">
      <w:pPr>
        <w:pStyle w:val="Nagwek6"/>
        <w:rPr>
          <w:rFonts w:eastAsia="Times New Roman" w:cs="Times New Roman"/>
          <w:bCs/>
          <w:color w:val="000000"/>
          <w:kern w:val="0"/>
          <w:lang w:eastAsia="pl-PL"/>
          <w14:ligatures w14:val="none"/>
        </w:rPr>
      </w:pPr>
      <w:bookmarkStart w:id="1113" w:name="_Toc195856577"/>
      <w:bookmarkStart w:id="1114" w:name="_Ref195884591"/>
      <w:bookmarkStart w:id="1115" w:name="_Ref195890807"/>
      <w:r>
        <w:lastRenderedPageBreak/>
        <w:t xml:space="preserve">Działanie </w:t>
      </w:r>
      <w:r>
        <w:fldChar w:fldCharType="begin"/>
      </w:r>
      <w:r>
        <w:instrText>SEQ Działanie \* ARABIC</w:instrText>
      </w:r>
      <w:r>
        <w:fldChar w:fldCharType="separate"/>
      </w:r>
      <w:r w:rsidR="00871DD5">
        <w:rPr>
          <w:noProof/>
        </w:rPr>
        <w:t>59</w:t>
      </w:r>
      <w:r>
        <w:fldChar w:fldCharType="end"/>
      </w:r>
      <w:r>
        <w:t xml:space="preserve">. </w:t>
      </w:r>
      <w:r w:rsidRPr="00F05312">
        <w:t>Działania na rzecz wsparcia konkurencyjności i dekarbonizacji przemysłu chemicznego</w:t>
      </w:r>
      <w:bookmarkEnd w:id="1113"/>
      <w:bookmarkEnd w:id="1114"/>
      <w:bookmarkEnd w:id="1115"/>
    </w:p>
    <w:p w14:paraId="79356094" w14:textId="7309B1C8" w:rsidR="00491705" w:rsidRPr="005F3E00" w:rsidRDefault="00491705" w:rsidP="00B878BB">
      <w:r w:rsidRPr="00B878BB">
        <w:t>Celem działania jest wspieranie innowa</w:t>
      </w:r>
      <w:r w:rsidRPr="00B2560E">
        <w:t>cyjnych rozwiązań technologicznych oraz inwestycji umożlwiających redukcj</w:t>
      </w:r>
      <w:r w:rsidR="00B878BB">
        <w:t>ę</w:t>
      </w:r>
      <w:r w:rsidRPr="00901FEA">
        <w:t xml:space="preserve"> emisji gazów </w:t>
      </w:r>
      <w:r w:rsidRPr="005F3E00">
        <w:t>cieplarnianych. Wsparcie powinno obejmować rozwój i wdrożenie niskoemisyjnych procesów produkcyjnych oraz wykorzystanie niskoemisyjnego i odnawialnego wodoru i</w:t>
      </w:r>
      <w:r w:rsidR="00885C6C">
        <w:rPr>
          <w:lang w:eastAsia="pl-PL"/>
        </w:rPr>
        <w:t> </w:t>
      </w:r>
      <w:r w:rsidRPr="005F3E00">
        <w:t xml:space="preserve">technologii CCUS (ang. </w:t>
      </w:r>
      <w:r w:rsidRPr="005F3E00">
        <w:rPr>
          <w:i/>
        </w:rPr>
        <w:t>Carbon Capture, Utilization and Storage</w:t>
      </w:r>
      <w:r w:rsidRPr="005F3E00">
        <w:t>). Kluczowe jest zwiększenie efektywności energetycznej zakładów chemicznych poprzez modernizacje instalacji oraz integrację z OZE. Inicjatywy powinny zakładać wsparcie badań nad nowymi, zrównoważonymi surowcami oraz zachęty dla przedsiębiorstw inwestujących w gospodarkę obiegu zamkniętego. W celu zapewnienia konkurencyjności branży należy ograniczyć import produktów przemysłu chemicznego z krajów, w których jest wytwarzany z wyższym śladem węglowym niż w Polsce</w:t>
      </w:r>
      <w:r w:rsidRPr="0087370E">
        <w:rPr>
          <w:lang w:eastAsia="pl-PL"/>
        </w:rPr>
        <w:t>.</w:t>
      </w:r>
      <w:r w:rsidRPr="005F3E00">
        <w:t xml:space="preserve"> Ważne jest również zapewnienie dostępu do taniej energii elektrycznej z OZE oraz analiza możliwości rewizji taryf przemysłowych i opłat dodatkowych oraz rozwój infrastruktury do importu wodoru i paliw pochodnych m.in. terminale, magazyny i rurociągi.</w:t>
      </w:r>
      <w:r w:rsidR="003E2DE5">
        <w:rPr>
          <w:rFonts w:eastAsia="Times New Roman" w:cs="Times New Roman"/>
          <w:kern w:val="0"/>
          <w:szCs w:val="20"/>
          <w:lang w:eastAsia="pl-PL"/>
          <w14:ligatures w14:val="none"/>
        </w:rPr>
        <w:t xml:space="preserve"> </w:t>
      </w:r>
    </w:p>
    <w:p w14:paraId="0FC700B5" w14:textId="5A0CD419" w:rsidR="00491705" w:rsidRPr="005F3E00" w:rsidRDefault="00491705" w:rsidP="005F3E00">
      <w:pPr>
        <w:spacing w:after="240"/>
        <w:rPr>
          <w:rFonts w:ascii="Times New Roman" w:hAnsi="Times New Roman"/>
        </w:rPr>
      </w:pPr>
      <w:r w:rsidRPr="005F3E00">
        <w:t>W zakresie działań dekarbonizacyjnych należy wspierać rozwój zapewnić mocy wytwórczych do</w:t>
      </w:r>
      <w:r w:rsidR="00A64BE6">
        <w:t> </w:t>
      </w:r>
      <w:r w:rsidRPr="005F3E00">
        <w:t>produkcji niskoemisyjnego i odnawialnego wodoru z uwzględnieniem specyfiki zapotrzebowania (stały profil, niskie możliwości magazynowania) oraz potencjału produkcji na zmiennym rynku energii biorąc pod uwagę szczegółowe zasady produkcji paliw odnawialnych pochodzenia niebiologicznego (RFNBO) określone przez rozporządzenia delegowane UE. Rekomendowane jest opracowanie szczegółowej strategii z</w:t>
      </w:r>
      <w:r w:rsidR="00885C6C">
        <w:rPr>
          <w:lang w:eastAsia="pl-PL"/>
        </w:rPr>
        <w:t> </w:t>
      </w:r>
      <w:r w:rsidRPr="005F3E00">
        <w:t>zakresu zapewnienia konkurencyjności i dekarbonizacji przemysłu chemicznego wspólnie z</w:t>
      </w:r>
      <w:r w:rsidR="00885C6C">
        <w:rPr>
          <w:lang w:eastAsia="pl-PL"/>
        </w:rPr>
        <w:t> </w:t>
      </w:r>
      <w:r w:rsidRPr="005F3E00">
        <w:t>przedstawicielami branży.</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87370E" w14:paraId="04D93644" w14:textId="77777777" w:rsidTr="00885C6C">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072EBCE"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5A69DA13" wp14:editId="29DFF048">
                  <wp:extent cx="617220" cy="617220"/>
                  <wp:effectExtent l="0" t="0" r="0" b="0"/>
                  <wp:docPr id="40" name="Obraz 1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3CD25B0"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02BA155"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4404D238" w14:textId="77777777" w:rsidTr="00885C6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C036FE6"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AE88FF0"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6E6CBAB"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p w14:paraId="6F204505" w14:textId="58DC3139"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środowiska</w:t>
            </w:r>
            <w:r w:rsidR="003E2DE5">
              <w:rPr>
                <w:rFonts w:eastAsia="Times New Roman" w:cs="Times New Roman"/>
                <w:color w:val="808080"/>
                <w:kern w:val="0"/>
                <w:sz w:val="18"/>
                <w:szCs w:val="18"/>
                <w:lang w:eastAsia="pl-PL"/>
                <w14:ligatures w14:val="none"/>
              </w:rPr>
              <w:t xml:space="preserve"> </w:t>
            </w:r>
          </w:p>
        </w:tc>
      </w:tr>
    </w:tbl>
    <w:p w14:paraId="08017C7F" w14:textId="070B7A8A" w:rsidR="00491705" w:rsidRPr="0087370E" w:rsidRDefault="00491705" w:rsidP="00D523F3">
      <w:pPr>
        <w:pStyle w:val="Nagwek6"/>
        <w:rPr>
          <w:rFonts w:eastAsia="Times New Roman" w:cs="Times New Roman"/>
          <w:bCs/>
          <w:color w:val="000000"/>
          <w:kern w:val="0"/>
          <w:lang w:eastAsia="pl-PL"/>
          <w14:ligatures w14:val="none"/>
        </w:rPr>
      </w:pPr>
      <w:bookmarkStart w:id="1116" w:name="_Ref196492822"/>
      <w:bookmarkStart w:id="1117" w:name="_Toc195856578"/>
      <w:bookmarkStart w:id="1118" w:name="_Ref195884600"/>
      <w:r>
        <w:t xml:space="preserve">Działanie </w:t>
      </w:r>
      <w:r>
        <w:fldChar w:fldCharType="begin"/>
      </w:r>
      <w:r>
        <w:instrText>SEQ Działanie \* ARABIC</w:instrText>
      </w:r>
      <w:r>
        <w:fldChar w:fldCharType="separate"/>
      </w:r>
      <w:r w:rsidR="00871DD5">
        <w:rPr>
          <w:noProof/>
        </w:rPr>
        <w:t>60</w:t>
      </w:r>
      <w:r>
        <w:fldChar w:fldCharType="end"/>
      </w:r>
      <w:bookmarkEnd w:id="1116"/>
      <w:r>
        <w:t xml:space="preserve">. </w:t>
      </w:r>
      <w:r w:rsidRPr="00406D5B">
        <w:t>Działania na rzecz wsparcia konkurencyjności i dekarbonizacji przemysłu hutniczego</w:t>
      </w:r>
      <w:bookmarkEnd w:id="1117"/>
      <w:bookmarkEnd w:id="1118"/>
      <w:r w:rsidRPr="0087370E">
        <w:rPr>
          <w:rFonts w:eastAsia="Times New Roman" w:cs="Times New Roman"/>
          <w:bCs/>
          <w:color w:val="000000"/>
          <w:kern w:val="0"/>
          <w:lang w:eastAsia="pl-PL"/>
          <w14:ligatures w14:val="none"/>
        </w:rPr>
        <w:t xml:space="preserve"> </w:t>
      </w:r>
    </w:p>
    <w:p w14:paraId="3C11D8EC" w14:textId="146BAA5E" w:rsidR="00491705" w:rsidRPr="00F45909" w:rsidRDefault="00491705" w:rsidP="005F3E00">
      <w:pPr>
        <w:spacing w:after="240"/>
        <w:rPr>
          <w:rFonts w:ascii="Times New Roman" w:hAnsi="Times New Roman"/>
        </w:rPr>
      </w:pPr>
      <w:r w:rsidRPr="005F3E00">
        <w:t>Celem działania jest wsparcie transformacji przemysłu hutniczego w kierunku niskoemisyjnych technologii, zwiększających jego zgodność z wymaganiami klimatycznymi, przy zachowaniu konkurencyjności. Kluczowe obszary wsparcia powinny obejmować rozwój i wdrożenie metod produkcji stali, takich jak hutnictwo oparte na elektrycznych piecach łukowych (EAF</w:t>
      </w:r>
      <w:r w:rsidR="00885C6C">
        <w:rPr>
          <w:lang w:eastAsia="pl-PL"/>
        </w:rPr>
        <w:t>, ang.</w:t>
      </w:r>
      <w:r w:rsidRPr="005F3E00">
        <w:t xml:space="preserve"> </w:t>
      </w:r>
      <w:r w:rsidRPr="005F3E00">
        <w:rPr>
          <w:i/>
        </w:rPr>
        <w:t>Electric Arc Furnace</w:t>
      </w:r>
      <w:r w:rsidRPr="005F3E00">
        <w:t>) zasilane w jak największym stopniu energią odnawialną, w tym wytwarzaną przez przemysł, oraz</w:t>
      </w:r>
      <w:r w:rsidR="00A64BE6">
        <w:t> </w:t>
      </w:r>
      <w:r w:rsidRPr="005F3E00">
        <w:t xml:space="preserve">działające w oparciu o niskoemisyjny i odnawialny wodór (technologia </w:t>
      </w:r>
      <w:r w:rsidRPr="00F45909">
        <w:t>DRI</w:t>
      </w:r>
      <w:r w:rsidR="00885C6C">
        <w:rPr>
          <w:lang w:eastAsia="pl-PL"/>
        </w:rPr>
        <w:t>, ang.</w:t>
      </w:r>
      <w:r w:rsidRPr="00F45909">
        <w:t xml:space="preserve"> </w:t>
      </w:r>
      <w:r w:rsidRPr="00F45909">
        <w:rPr>
          <w:i/>
        </w:rPr>
        <w:t>Direct Reduced Iron</w:t>
      </w:r>
      <w:r w:rsidRPr="00F45909">
        <w:t>). Wsparcie powinno obejmować również modernizację procesów produkcyjnych w celu poprawy efektywności energetycznej i redukcji emisji. Działania powinny przewidywać także finansowanie badań nad nowymi stopami metali oraz obiegiem zamkniętym surowców, a także technologiami przeróbki złomu. W celu wsparcia GOZ i konkurencyjności należy ograniczyć eksport złomu, który jest głównym produktem używanym do wytwarzania stali. Rekomendowane jest opracowanie szczegółowej strategii z</w:t>
      </w:r>
      <w:r w:rsidR="00A64BE6">
        <w:t> </w:t>
      </w:r>
      <w:r w:rsidRPr="00F45909">
        <w:t>zakresu zapewnienia konkurencyjności i dekarbonizacji przemysłu stalowego i hutniczego wspólnie z</w:t>
      </w:r>
      <w:r w:rsidR="00A64BE6">
        <w:t> </w:t>
      </w:r>
      <w:r w:rsidRPr="00F45909">
        <w:t>przedstawicielami branży.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7370E" w14:paraId="476AC71D" w14:textId="77777777" w:rsidTr="00885C6C">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3BBA5D6"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0F11CAC8" wp14:editId="389D1F37">
                  <wp:extent cx="622300" cy="622300"/>
                  <wp:effectExtent l="0" t="0" r="6350" b="6350"/>
                  <wp:docPr id="760581452"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0D5BCE4"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2BC2881"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3B6773" w:rsidRPr="0087370E" w14:paraId="7FFB4163" w14:textId="77777777" w:rsidTr="00885C6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6656CBD" w14:textId="77777777" w:rsidR="00491705" w:rsidRPr="0087370E"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C097A41" w14:textId="09887F3D" w:rsidR="00491705" w:rsidRPr="0087370E" w:rsidRDefault="00491705" w:rsidP="00F45909">
            <w:pPr>
              <w:spacing w:after="0" w:line="240" w:lineRule="auto"/>
              <w:jc w:val="left"/>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surowcami energetycznymi</w:t>
            </w:r>
            <w:r w:rsidR="003E2DE5">
              <w:rPr>
                <w:rFonts w:eastAsia="Times New Roman" w:cs="Times New Roman"/>
                <w:color w:val="808080"/>
                <w:kern w:val="0"/>
                <w:sz w:val="18"/>
                <w:szCs w:val="18"/>
                <w:lang w:eastAsia="pl-PL"/>
                <w14:ligatures w14:val="none"/>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2A40985"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p w14:paraId="1A0E2177" w14:textId="77777777"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p w14:paraId="2B26864F" w14:textId="54860892" w:rsidR="00491705" w:rsidRPr="0087370E" w:rsidRDefault="00491705">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Prezes URE</w:t>
            </w:r>
            <w:r w:rsidR="003E2DE5">
              <w:rPr>
                <w:rFonts w:eastAsia="Times New Roman" w:cs="Times New Roman"/>
                <w:color w:val="808080"/>
                <w:kern w:val="0"/>
                <w:sz w:val="18"/>
                <w:szCs w:val="18"/>
                <w:lang w:eastAsia="pl-PL"/>
                <w14:ligatures w14:val="none"/>
              </w:rPr>
              <w:t xml:space="preserve"> </w:t>
            </w:r>
          </w:p>
        </w:tc>
      </w:tr>
    </w:tbl>
    <w:p w14:paraId="6508781C" w14:textId="77777777" w:rsidR="00491705" w:rsidRDefault="00491705" w:rsidP="00491705">
      <w:pPr>
        <w:spacing w:after="240" w:line="240" w:lineRule="auto"/>
        <w:textAlignment w:val="baseline"/>
        <w:rPr>
          <w:rFonts w:eastAsia="Times New Roman" w:cs="Times New Roman"/>
          <w:kern w:val="0"/>
          <w:szCs w:val="20"/>
          <w:lang w:eastAsia="pl-PL"/>
          <w14:ligatures w14:val="none"/>
        </w:rPr>
      </w:pPr>
      <w:r w:rsidRPr="0087370E">
        <w:rPr>
          <w:rFonts w:eastAsia="Times New Roman" w:cs="Times New Roman"/>
          <w:kern w:val="0"/>
          <w:szCs w:val="20"/>
          <w:lang w:eastAsia="pl-PL"/>
          <w14:ligatures w14:val="none"/>
        </w:rPr>
        <w:t> </w:t>
      </w:r>
    </w:p>
    <w:p w14:paraId="10F4C1D6" w14:textId="2E3919BF" w:rsidR="00491705" w:rsidRPr="0087370E" w:rsidRDefault="00491705" w:rsidP="00D523F3">
      <w:pPr>
        <w:pStyle w:val="Nagwek6"/>
        <w:rPr>
          <w:rFonts w:eastAsia="Times New Roman" w:cs="Times New Roman"/>
          <w:bCs/>
          <w:color w:val="000000"/>
          <w:kern w:val="0"/>
          <w:lang w:eastAsia="pl-PL"/>
          <w14:ligatures w14:val="none"/>
        </w:rPr>
      </w:pPr>
      <w:bookmarkStart w:id="1119" w:name="_Toc195856579"/>
      <w:bookmarkStart w:id="1120" w:name="_Ref195884622"/>
      <w:bookmarkStart w:id="1121" w:name="_Ref195890813"/>
      <w:r>
        <w:lastRenderedPageBreak/>
        <w:t xml:space="preserve">Działanie </w:t>
      </w:r>
      <w:r>
        <w:fldChar w:fldCharType="begin"/>
      </w:r>
      <w:r>
        <w:instrText>SEQ Działanie \* ARABIC</w:instrText>
      </w:r>
      <w:r>
        <w:fldChar w:fldCharType="separate"/>
      </w:r>
      <w:r w:rsidR="00871DD5">
        <w:rPr>
          <w:noProof/>
        </w:rPr>
        <w:t>61</w:t>
      </w:r>
      <w:r>
        <w:fldChar w:fldCharType="end"/>
      </w:r>
      <w:r>
        <w:t xml:space="preserve">. </w:t>
      </w:r>
      <w:r w:rsidRPr="00776D01">
        <w:t>Działania na rzecz wsparcia konkurencyjności i dekarbonizacji branż przemysłu</w:t>
      </w:r>
      <w:bookmarkEnd w:id="1119"/>
      <w:bookmarkEnd w:id="1120"/>
      <w:bookmarkEnd w:id="1121"/>
    </w:p>
    <w:p w14:paraId="18BCE54B" w14:textId="25B88741" w:rsidR="00491705" w:rsidRPr="00F45909" w:rsidRDefault="00491705" w:rsidP="00F45909">
      <w:r w:rsidRPr="00B2560E">
        <w:t>Celem działania jest wsparcie transformacji przemysłu nieujętych w działaniach</w:t>
      </w:r>
      <w:r w:rsidR="00F45909">
        <w:t>:</w:t>
      </w:r>
      <w:r w:rsidRPr="00B2560E">
        <w:t xml:space="preserve"> </w:t>
      </w:r>
      <w:r w:rsidR="00885C6C">
        <w:rPr>
          <w:lang w:eastAsia="pl-PL"/>
        </w:rPr>
        <w:fldChar w:fldCharType="begin"/>
      </w:r>
      <w:r w:rsidR="00885C6C">
        <w:rPr>
          <w:lang w:eastAsia="pl-PL"/>
        </w:rPr>
        <w:instrText xml:space="preserve"> REF _Ref196492818 \h </w:instrText>
      </w:r>
      <w:r w:rsidR="00885C6C">
        <w:rPr>
          <w:lang w:eastAsia="pl-PL"/>
        </w:rPr>
      </w:r>
      <w:r w:rsidR="00885C6C">
        <w:rPr>
          <w:lang w:eastAsia="pl-PL"/>
        </w:rPr>
        <w:fldChar w:fldCharType="separate"/>
      </w:r>
      <w:r w:rsidR="00871DD5">
        <w:t xml:space="preserve">Działanie </w:t>
      </w:r>
      <w:r w:rsidR="00871DD5">
        <w:rPr>
          <w:noProof/>
        </w:rPr>
        <w:t>58</w:t>
      </w:r>
      <w:r w:rsidR="00885C6C">
        <w:rPr>
          <w:lang w:eastAsia="pl-PL"/>
        </w:rPr>
        <w:fldChar w:fldCharType="end"/>
      </w:r>
      <w:r w:rsidR="00F45909">
        <w:rPr>
          <w:lang w:eastAsia="pl-PL"/>
        </w:rPr>
        <w:t>–</w:t>
      </w:r>
      <w:r w:rsidR="00885C6C">
        <w:rPr>
          <w:lang w:eastAsia="pl-PL"/>
        </w:rPr>
        <w:fldChar w:fldCharType="begin"/>
      </w:r>
      <w:r w:rsidR="00885C6C">
        <w:rPr>
          <w:lang w:eastAsia="pl-PL"/>
        </w:rPr>
        <w:instrText xml:space="preserve"> REF _Ref196492822 \h </w:instrText>
      </w:r>
      <w:r w:rsidR="00885C6C">
        <w:rPr>
          <w:lang w:eastAsia="pl-PL"/>
        </w:rPr>
      </w:r>
      <w:r w:rsidR="00885C6C">
        <w:rPr>
          <w:lang w:eastAsia="pl-PL"/>
        </w:rPr>
        <w:fldChar w:fldCharType="separate"/>
      </w:r>
      <w:r w:rsidR="00871DD5">
        <w:t xml:space="preserve">Działanie </w:t>
      </w:r>
      <w:r w:rsidR="00871DD5">
        <w:rPr>
          <w:noProof/>
        </w:rPr>
        <w:t>60</w:t>
      </w:r>
      <w:r w:rsidR="00885C6C">
        <w:rPr>
          <w:lang w:eastAsia="pl-PL"/>
        </w:rPr>
        <w:fldChar w:fldCharType="end"/>
      </w:r>
      <w:r w:rsidRPr="0087370E">
        <w:rPr>
          <w:lang w:eastAsia="pl-PL"/>
        </w:rPr>
        <w:t>,</w:t>
      </w:r>
      <w:r w:rsidRPr="00B2560E">
        <w:t xml:space="preserve"> obejmując m.in. sektory gazów technicznych, metali </w:t>
      </w:r>
      <w:r w:rsidRPr="00F45909">
        <w:t xml:space="preserve">nieżelaznych, papierniczego, szklarskiego, wapienniczego, przemysłu szklarniowego, przetwórstwa rolniczego, drukarskiego oraz innych gałęzi przemysłu. Kluczowe obszary wsparcia dotyczą rozwoju produkcji o obniżonym śladzie węglowym, modernizacji procesów produkcyjnych, integracji odnawialnych źródeł energii z infrastrukturą energetyczną zakładów oraz obniżania zużycia energii. </w:t>
      </w:r>
    </w:p>
    <w:p w14:paraId="21B52AB7" w14:textId="77777777" w:rsidR="00491705" w:rsidRPr="00F45909" w:rsidRDefault="00491705" w:rsidP="00F45909">
      <w:r w:rsidRPr="00F45909">
        <w:t xml:space="preserve">Wsparcie powinno koncentrować się m.in. na zastępowaniu pieców oraz kotłów opalanych paliwami kopalnymi nowoczesnymi urządzeniami elektrycznymi lub hybrydowymi, stosowaniu odnawialnych źródeł ciepła (w tym w przemyśle przetwórczym oraz szklarniach), a także na zastępowaniu gazu ziemnego niskoemisyjnym lub odnawialnym wodorem. </w:t>
      </w:r>
    </w:p>
    <w:p w14:paraId="3E34785C" w14:textId="43F32694" w:rsidR="00491705" w:rsidRPr="000B5DCB" w:rsidRDefault="00491705" w:rsidP="00F45909">
      <w:r w:rsidRPr="00F45909">
        <w:t>Istotnym elementem wsparcia będzie rozwój oraz wdrażanie technologii wychwytu, składowania i</w:t>
      </w:r>
      <w:r w:rsidR="00885C6C">
        <w:rPr>
          <w:lang w:eastAsia="pl-PL"/>
        </w:rPr>
        <w:t> </w:t>
      </w:r>
      <w:r w:rsidRPr="00F45909">
        <w:t xml:space="preserve">wykorzystania </w:t>
      </w:r>
      <w:r w:rsidR="00885C6C">
        <w:rPr>
          <w:lang w:eastAsia="pl-PL"/>
        </w:rPr>
        <w:t>CO</w:t>
      </w:r>
      <w:r w:rsidR="00885C6C" w:rsidRPr="00885C6C">
        <w:rPr>
          <w:vertAlign w:val="subscript"/>
          <w:lang w:eastAsia="pl-PL"/>
        </w:rPr>
        <w:t>2</w:t>
      </w:r>
      <w:r w:rsidRPr="00F45909">
        <w:t xml:space="preserve"> (CCUS</w:t>
      </w:r>
      <w:r w:rsidRPr="00901FEA">
        <w:t xml:space="preserve">) w wymienionych branżach. Niezbędne jest ustalenie odpowiednich ram prawno-regulacyjnych, określenie dostępnych </w:t>
      </w:r>
      <w:r w:rsidR="00B3450A">
        <w:rPr>
          <w:rFonts w:eastAsia="Times New Roman" w:cs="Times New Roman"/>
          <w:kern w:val="0"/>
          <w:szCs w:val="20"/>
          <w:lang w:eastAsia="pl-PL"/>
          <w14:ligatures w14:val="none"/>
        </w:rPr>
        <w:t>lokalizacji</w:t>
      </w:r>
      <w:r w:rsidR="00B3450A" w:rsidRPr="0087370E">
        <w:rPr>
          <w:rFonts w:eastAsia="Times New Roman" w:cs="Times New Roman"/>
          <w:kern w:val="0"/>
          <w:szCs w:val="20"/>
          <w:lang w:eastAsia="pl-PL"/>
          <w14:ligatures w14:val="none"/>
        </w:rPr>
        <w:t xml:space="preserve"> </w:t>
      </w:r>
      <w:r w:rsidRPr="0087370E">
        <w:rPr>
          <w:rFonts w:eastAsia="Times New Roman" w:cs="Times New Roman"/>
          <w:kern w:val="0"/>
          <w:szCs w:val="20"/>
          <w:lang w:eastAsia="pl-PL"/>
          <w14:ligatures w14:val="none"/>
        </w:rPr>
        <w:t xml:space="preserve">do </w:t>
      </w:r>
      <w:r w:rsidR="00B3450A">
        <w:rPr>
          <w:rFonts w:eastAsia="Times New Roman" w:cs="Times New Roman"/>
          <w:kern w:val="0"/>
          <w:szCs w:val="20"/>
          <w:lang w:eastAsia="pl-PL"/>
          <w14:ligatures w14:val="none"/>
        </w:rPr>
        <w:t>podziemnego</w:t>
      </w:r>
      <w:r w:rsidRPr="00901FEA">
        <w:t xml:space="preserve"> składowania CO</w:t>
      </w:r>
      <w:r w:rsidRPr="00901FEA">
        <w:rPr>
          <w:vertAlign w:val="subscript"/>
        </w:rPr>
        <w:t>2</w:t>
      </w:r>
      <w:r w:rsidRPr="00901FEA">
        <w:t xml:space="preserve">, dopuszczenie </w:t>
      </w:r>
      <w:r w:rsidR="00B3450A">
        <w:rPr>
          <w:rFonts w:eastAsia="Times New Roman" w:cs="Times New Roman"/>
          <w:kern w:val="0"/>
          <w:szCs w:val="20"/>
          <w:lang w:eastAsia="pl-PL"/>
          <w14:ligatures w14:val="none"/>
        </w:rPr>
        <w:t>składowania</w:t>
      </w:r>
      <w:r w:rsidR="00B3450A" w:rsidRPr="0087370E">
        <w:rPr>
          <w:rFonts w:eastAsia="Times New Roman" w:cs="Times New Roman"/>
          <w:kern w:val="0"/>
          <w:szCs w:val="20"/>
          <w:lang w:eastAsia="pl-PL"/>
          <w14:ligatures w14:val="none"/>
        </w:rPr>
        <w:t xml:space="preserve"> </w:t>
      </w:r>
      <w:r w:rsidR="003814AC">
        <w:t>CO</w:t>
      </w:r>
      <w:r w:rsidR="003814AC" w:rsidRPr="003814AC">
        <w:rPr>
          <w:vertAlign w:val="subscript"/>
        </w:rPr>
        <w:t>2</w:t>
      </w:r>
      <w:r w:rsidRPr="00C12D92">
        <w:t xml:space="preserve"> na lądzie, wyznaczenie operatorów przesyłu oraz stworzenie dedykowanych instrumentów finansowych</w:t>
      </w:r>
      <w:r w:rsidRPr="000B5DCB">
        <w:t xml:space="preserve">. </w:t>
      </w:r>
    </w:p>
    <w:p w14:paraId="7DFA3F01" w14:textId="77777777" w:rsidR="00491705" w:rsidRPr="000B5DCB" w:rsidRDefault="00491705" w:rsidP="000B5DCB">
      <w:r w:rsidRPr="000B5DCB">
        <w:t xml:space="preserve">Działania powinny obejmować także promocję stosowania surowców i modeli gospodarki o obiegu zamkniętym (GOZ), zwłaszcza poprzez wdrażanie zaawansowanych metod recyklingu, efektywne zagospodarowanie produktów ubocznych i odpadów organicznych oraz minimalizowanie zużycia zasobów naturalnych. Należy również ograniczyć eksport surowców umożliwiających lokalną redukcję emisji. </w:t>
      </w:r>
    </w:p>
    <w:p w14:paraId="0450048D" w14:textId="0173821D" w:rsidR="00491705" w:rsidRPr="000B5DCB" w:rsidRDefault="00491705" w:rsidP="000B5DCB">
      <w:r w:rsidRPr="000B5DCB">
        <w:t>Kluczowym elementem procesu jest prowadzenie intensywnych prac badawczo-rozwojowych, ukierunkowanych na tworzenie nowych technologii oraz realizację projektów pilotażowych demonstrujących praktyczne zastosowanie opracowanych rozwiązań. Szczególnie w przypadku przemysłu szklarniowego i rolniczego należy skoncentrować się na poprawie efektywności energetycznej oraz oszczędności innych zasobów, takich jak woda. Prace badawczo-rozwojowe powinny prowadzić do</w:t>
      </w:r>
      <w:r w:rsidR="00A64BE6">
        <w:t> </w:t>
      </w:r>
      <w:r w:rsidRPr="000B5DCB">
        <w:t>wdrożenia technologii znacząco redukujących zapotrzebowanie na energię oraz zasoby naturalne w</w:t>
      </w:r>
      <w:r w:rsidR="00885C6C">
        <w:rPr>
          <w:lang w:eastAsia="pl-PL"/>
        </w:rPr>
        <w:t> </w:t>
      </w:r>
      <w:r w:rsidRPr="000B5DCB">
        <w:t xml:space="preserve">procesach produkcyjnych. </w:t>
      </w:r>
    </w:p>
    <w:p w14:paraId="0CCB3A04" w14:textId="5AE0B9E8" w:rsidR="00491705" w:rsidRPr="00485729" w:rsidRDefault="00491705" w:rsidP="00485729">
      <w:r w:rsidRPr="000B5DCB">
        <w:t>Istotnym aspektem transformacji jest ochrona rynku krajowego przed importem wyrobów wytwarzanych w krajach, gdzie emisje związane z produkcją są wyższe niż w Polsce, co pozwoli chronić konkurencyjność krajowych producentów. W szczególności, w kontekście strat</w:t>
      </w:r>
      <w:r w:rsidRPr="00C12D92">
        <w:t>egicznego bezpieczeństwa żywnościowego, konieczne jest zapobieganie importowi tańszych produktów rolnych, takich jak warzywa szklarniowe, z</w:t>
      </w:r>
      <w:r w:rsidR="00C12D92">
        <w:t> </w:t>
      </w:r>
      <w:r w:rsidRPr="00C12D92">
        <w:t xml:space="preserve">państw nieponoszących kosztów polityki </w:t>
      </w:r>
      <w:r w:rsidRPr="00485729">
        <w:t xml:space="preserve">klimatycznej. </w:t>
      </w:r>
    </w:p>
    <w:p w14:paraId="06E7C86B" w14:textId="47533B39" w:rsidR="00EB68A7" w:rsidRPr="00485729" w:rsidRDefault="00491705" w:rsidP="00485729">
      <w:pPr>
        <w:spacing w:after="240" w:line="240" w:lineRule="auto"/>
        <w:textAlignment w:val="baseline"/>
        <w:rPr>
          <w:kern w:val="0"/>
          <w14:ligatures w14:val="none"/>
        </w:rPr>
      </w:pPr>
      <w:r w:rsidRPr="00485729">
        <w:t xml:space="preserve">Kluczowe dla </w:t>
      </w:r>
      <w:r w:rsidRPr="00EB68A7">
        <w:rPr>
          <w:kern w:val="0"/>
          <w14:ligatures w14:val="none"/>
        </w:rPr>
        <w:t>sukcesu transformacji jest zapewnienie dostęp</w:t>
      </w:r>
      <w:r w:rsidR="00EB68A7">
        <w:rPr>
          <w:kern w:val="0"/>
          <w14:ligatures w14:val="none"/>
        </w:rPr>
        <w:t xml:space="preserve">u </w:t>
      </w:r>
      <w:r w:rsidR="00EB68A7" w:rsidRPr="00EB68A7">
        <w:rPr>
          <w:kern w:val="0"/>
          <w14:ligatures w14:val="none"/>
        </w:rPr>
        <w:t>do taniej i stabilnej energii elektrycznej ze</w:t>
      </w:r>
      <w:r w:rsidR="00A64BE6">
        <w:rPr>
          <w:kern w:val="0"/>
          <w14:ligatures w14:val="none"/>
        </w:rPr>
        <w:t> </w:t>
      </w:r>
      <w:r w:rsidR="00EB68A7" w:rsidRPr="00EB68A7">
        <w:rPr>
          <w:kern w:val="0"/>
          <w14:ligatures w14:val="none"/>
        </w:rPr>
        <w:t>źródeł odnawialnych, oraz analiza możliwości rewizji taryf przemysłowych i opłat dodatkowych.</w:t>
      </w:r>
    </w:p>
    <w:tbl>
      <w:tblPr>
        <w:tblpPr w:leftFromText="141" w:rightFromText="141" w:vertAnchor="text" w:horzAnchor="margin" w:tblpY="229"/>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444"/>
        <w:gridCol w:w="3738"/>
        <w:gridCol w:w="3860"/>
      </w:tblGrid>
      <w:tr w:rsidR="00EB68A7" w:rsidRPr="0087370E" w14:paraId="6186354D" w14:textId="77777777" w:rsidTr="00EB68A7">
        <w:trPr>
          <w:trHeight w:val="300"/>
        </w:trPr>
        <w:tc>
          <w:tcPr>
            <w:tcW w:w="1444" w:type="dxa"/>
            <w:vMerge w:val="restart"/>
            <w:tcBorders>
              <w:top w:val="dashed" w:sz="12" w:space="0" w:color="FFFFFF"/>
              <w:left w:val="dashed" w:sz="12" w:space="0" w:color="FFFFFF"/>
              <w:bottom w:val="dashed" w:sz="12" w:space="0" w:color="FFFFFF"/>
              <w:right w:val="dashed" w:sz="12" w:space="0" w:color="FFFFFF"/>
            </w:tcBorders>
            <w:hideMark/>
          </w:tcPr>
          <w:p w14:paraId="050068C6" w14:textId="0DF2A3EF" w:rsidR="00EB68A7" w:rsidRPr="0087370E"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87370E">
              <w:rPr>
                <w:rFonts w:ascii="Times New Roman" w:eastAsia="Times New Roman" w:hAnsi="Times New Roman" w:cs="Times New Roman"/>
                <w:noProof/>
                <w:kern w:val="0"/>
                <w:lang w:eastAsia="pl-PL"/>
                <w14:ligatures w14:val="none"/>
              </w:rPr>
              <w:drawing>
                <wp:inline distT="0" distB="0" distL="0" distR="0" wp14:anchorId="0C5B4913" wp14:editId="250F1FD7">
                  <wp:extent cx="622300" cy="622300"/>
                  <wp:effectExtent l="0" t="0" r="6350" b="6350"/>
                  <wp:docPr id="199443738"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87370E">
              <w:rPr>
                <w:rFonts w:eastAsia="Times New Roman" w:cs="Times New Roman"/>
                <w:color w:val="FFFFFF"/>
                <w:kern w:val="0"/>
                <w:sz w:val="18"/>
                <w:szCs w:val="18"/>
                <w:lang w:eastAsia="pl-PL"/>
                <w14:ligatures w14:val="none"/>
              </w:rPr>
              <w:t> </w:t>
            </w:r>
          </w:p>
        </w:tc>
        <w:tc>
          <w:tcPr>
            <w:tcW w:w="3738"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BC0145F" w14:textId="77777777" w:rsidR="00EB68A7" w:rsidRPr="0087370E"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smallCaps/>
                <w:color w:val="000000"/>
                <w:kern w:val="0"/>
                <w:sz w:val="18"/>
                <w:szCs w:val="18"/>
                <w:lang w:eastAsia="pl-PL"/>
                <w14:ligatures w14:val="none"/>
              </w:rPr>
              <w:t>PODMIOT WIODĄCY</w:t>
            </w:r>
            <w:r w:rsidRPr="0087370E">
              <w:rPr>
                <w:rFonts w:eastAsia="Times New Roman" w:cs="Times New Roman"/>
                <w:color w:val="000000"/>
                <w:kern w:val="0"/>
                <w:sz w:val="18"/>
                <w:szCs w:val="18"/>
                <w:lang w:eastAsia="pl-PL"/>
                <w14:ligatures w14:val="none"/>
              </w:rPr>
              <w:t> </w:t>
            </w:r>
          </w:p>
        </w:tc>
        <w:tc>
          <w:tcPr>
            <w:tcW w:w="38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2DA734E" w14:textId="77777777" w:rsidR="00EB68A7" w:rsidRPr="0087370E"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b/>
                <w:bCs/>
                <w:color w:val="000000"/>
                <w:kern w:val="0"/>
                <w:sz w:val="18"/>
                <w:szCs w:val="18"/>
                <w:lang w:eastAsia="pl-PL"/>
                <w14:ligatures w14:val="none"/>
              </w:rPr>
              <w:t>PODMIOTY WSPÓŁPRACUJĄCE</w:t>
            </w:r>
            <w:r w:rsidRPr="0087370E">
              <w:rPr>
                <w:rFonts w:eastAsia="Times New Roman" w:cs="Times New Roman"/>
                <w:color w:val="000000"/>
                <w:kern w:val="0"/>
                <w:sz w:val="18"/>
                <w:szCs w:val="18"/>
                <w:lang w:eastAsia="pl-PL"/>
                <w14:ligatures w14:val="none"/>
              </w:rPr>
              <w:t> </w:t>
            </w:r>
          </w:p>
        </w:tc>
      </w:tr>
      <w:tr w:rsidR="00EB68A7" w:rsidRPr="000300D0" w14:paraId="056B9C64" w14:textId="77777777" w:rsidTr="00EB68A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4B7AD20" w14:textId="77777777" w:rsidR="00EB68A7" w:rsidRPr="0087370E" w:rsidRDefault="00EB68A7" w:rsidP="00EB68A7">
            <w:pPr>
              <w:spacing w:after="0" w:line="240" w:lineRule="auto"/>
              <w:rPr>
                <w:rFonts w:ascii="Times New Roman" w:eastAsia="Times New Roman" w:hAnsi="Times New Roman" w:cs="Times New Roman"/>
                <w:kern w:val="0"/>
                <w:lang w:eastAsia="pl-PL"/>
                <w14:ligatures w14:val="none"/>
              </w:rPr>
            </w:pPr>
          </w:p>
        </w:tc>
        <w:tc>
          <w:tcPr>
            <w:tcW w:w="3738"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579A2E1" w14:textId="77777777" w:rsidR="00EB68A7" w:rsidRPr="0087370E"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gospodarki </w:t>
            </w:r>
          </w:p>
        </w:tc>
        <w:tc>
          <w:tcPr>
            <w:tcW w:w="38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66A6E1F" w14:textId="77777777" w:rsidR="00EB68A7" w:rsidRPr="0087370E"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klimatu </w:t>
            </w:r>
          </w:p>
          <w:p w14:paraId="1C0F9A0B" w14:textId="77777777" w:rsidR="00EB68A7" w:rsidRPr="000300D0"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87370E">
              <w:rPr>
                <w:rFonts w:eastAsia="Times New Roman" w:cs="Times New Roman"/>
                <w:color w:val="808080"/>
                <w:kern w:val="0"/>
                <w:sz w:val="18"/>
                <w:szCs w:val="18"/>
                <w:lang w:eastAsia="pl-PL"/>
                <w14:ligatures w14:val="none"/>
              </w:rPr>
              <w:t>minister wł. ds. środowiska</w:t>
            </w:r>
            <w:r w:rsidRPr="000300D0">
              <w:rPr>
                <w:rFonts w:eastAsia="Times New Roman" w:cs="Times New Roman"/>
                <w:color w:val="808080"/>
                <w:kern w:val="0"/>
                <w:sz w:val="18"/>
                <w:szCs w:val="18"/>
                <w:lang w:eastAsia="pl-PL"/>
                <w14:ligatures w14:val="none"/>
              </w:rPr>
              <w:t> </w:t>
            </w:r>
          </w:p>
          <w:p w14:paraId="1D95585D" w14:textId="77777777" w:rsidR="00EB68A7" w:rsidRPr="000300D0" w:rsidRDefault="00EB68A7" w:rsidP="00EB68A7">
            <w:pPr>
              <w:spacing w:after="0" w:line="240" w:lineRule="auto"/>
              <w:textAlignment w:val="baseline"/>
              <w:rPr>
                <w:rFonts w:ascii="Times New Roman" w:eastAsia="Times New Roman" w:hAnsi="Times New Roman" w:cs="Times New Roman"/>
                <w:kern w:val="0"/>
                <w:lang w:eastAsia="pl-PL"/>
                <w14:ligatures w14:val="none"/>
              </w:rPr>
            </w:pPr>
            <w:r w:rsidRPr="000300D0">
              <w:rPr>
                <w:rFonts w:eastAsia="Times New Roman" w:cs="Times New Roman"/>
                <w:color w:val="808080"/>
                <w:kern w:val="0"/>
                <w:sz w:val="18"/>
                <w:szCs w:val="18"/>
                <w:lang w:eastAsia="pl-PL"/>
                <w14:ligatures w14:val="none"/>
              </w:rPr>
              <w:t> </w:t>
            </w:r>
          </w:p>
        </w:tc>
      </w:tr>
    </w:tbl>
    <w:p w14:paraId="0091E516" w14:textId="68D96EF0" w:rsidR="00491705" w:rsidRDefault="00491705" w:rsidP="00491705">
      <w:pPr>
        <w:rPr>
          <w:szCs w:val="20"/>
        </w:rPr>
      </w:pPr>
    </w:p>
    <w:tbl>
      <w:tblPr>
        <w:tblStyle w:val="Tabela-Siatka"/>
        <w:tblpPr w:leftFromText="141" w:rightFromText="141" w:vertAnchor="text" w:horzAnchor="margin" w:tblpY="195"/>
        <w:tblW w:w="935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485729" w14:paraId="0802E26B" w14:textId="77777777" w:rsidTr="007F5B1D">
        <w:tc>
          <w:tcPr>
            <w:tcW w:w="9356" w:type="dxa"/>
          </w:tcPr>
          <w:p w14:paraId="092FC0C4" w14:textId="32DC497E" w:rsidR="00485729" w:rsidRPr="00987AA2" w:rsidRDefault="00485729" w:rsidP="007F5B1D">
            <w:pPr>
              <w:spacing w:before="240" w:after="240"/>
              <w:jc w:val="center"/>
              <w:rPr>
                <w:b/>
                <w:bCs/>
                <w:sz w:val="48"/>
                <w:szCs w:val="48"/>
              </w:rPr>
            </w:pPr>
            <w:r>
              <w:rPr>
                <w:b/>
                <w:bCs/>
                <w:color w:val="808080" w:themeColor="background1" w:themeShade="80"/>
                <w:sz w:val="48"/>
                <w:szCs w:val="48"/>
              </w:rPr>
              <w:t>Rolnictwo</w:t>
            </w:r>
          </w:p>
        </w:tc>
      </w:tr>
    </w:tbl>
    <w:p w14:paraId="06BAC7F9" w14:textId="45613CCF" w:rsidR="00491705" w:rsidRPr="0096716D" w:rsidRDefault="00491705" w:rsidP="00D523F3">
      <w:pPr>
        <w:pStyle w:val="Nagwek6"/>
        <w:rPr>
          <w:rFonts w:ascii="Times New Roman" w:eastAsia="Times New Roman" w:hAnsi="Times New Roman" w:cs="Times New Roman"/>
          <w:i/>
          <w:iCs/>
          <w:color w:val="595959"/>
          <w:sz w:val="24"/>
          <w:szCs w:val="24"/>
          <w:lang w:eastAsia="pl-PL"/>
        </w:rPr>
      </w:pPr>
      <w:bookmarkStart w:id="1122" w:name="_Toc195856580"/>
      <w:bookmarkStart w:id="1123" w:name="_Ref195884633"/>
      <w:bookmarkStart w:id="1124" w:name="_Ref195885530"/>
      <w:r>
        <w:lastRenderedPageBreak/>
        <w:t xml:space="preserve">Działanie </w:t>
      </w:r>
      <w:r>
        <w:fldChar w:fldCharType="begin"/>
      </w:r>
      <w:r>
        <w:instrText>SEQ Działanie \* ARABIC</w:instrText>
      </w:r>
      <w:r>
        <w:fldChar w:fldCharType="separate"/>
      </w:r>
      <w:r w:rsidR="00871DD5">
        <w:rPr>
          <w:noProof/>
        </w:rPr>
        <w:t>62</w:t>
      </w:r>
      <w:r>
        <w:fldChar w:fldCharType="end"/>
      </w:r>
      <w:r>
        <w:t xml:space="preserve">. </w:t>
      </w:r>
      <w:r w:rsidRPr="00656C99">
        <w:t>Wspieranie działań zastosowania ekologicznych źródeł energii i poprawy efektywności energetycznej w gospodarstwach rolnych w ramach WPR</w:t>
      </w:r>
      <w:bookmarkEnd w:id="1122"/>
      <w:bookmarkEnd w:id="1123"/>
      <w:bookmarkEnd w:id="1124"/>
    </w:p>
    <w:p w14:paraId="4696614A" w14:textId="77777777" w:rsidR="00491705" w:rsidRPr="0096716D" w:rsidRDefault="00491705" w:rsidP="00485729">
      <w:pPr>
        <w:rPr>
          <w:rFonts w:ascii="Times New Roman" w:hAnsi="Times New Roman"/>
          <w:sz w:val="24"/>
          <w:szCs w:val="24"/>
          <w:lang w:eastAsia="pl-PL"/>
        </w:rPr>
      </w:pPr>
      <w:r w:rsidRPr="0096716D">
        <w:rPr>
          <w:lang w:eastAsia="pl-PL"/>
        </w:rPr>
        <w:t>Działanie polegające na wspieraniu inwestycji związanych z ochroną klimatu podejmowanych przez gospodarstwa rolne poprzez budowę biogazowni rolniczych do 50 kW oraz instalację modułów fotowoltaicznych do 50 kW, a także dofinansowanie do systemów poprawiających efektywność energetyczną budynków gospodarskich służących produkcji rolnej takich jak budowa, przebudowa lub zakup systemów odzyskiwania ciepła, przeszkleń dachowych, oświetlenia LED, a</w:t>
      </w:r>
      <w:r w:rsidRPr="00485729">
        <w:t> </w:t>
      </w:r>
      <w:r w:rsidRPr="0096716D">
        <w:rPr>
          <w:lang w:eastAsia="pl-PL"/>
        </w:rPr>
        <w:t>tak</w:t>
      </w:r>
      <w:r w:rsidRPr="0096716D">
        <w:rPr>
          <w:rFonts w:cs="Lato"/>
          <w:lang w:eastAsia="pl-PL"/>
        </w:rPr>
        <w:t>ż</w:t>
      </w:r>
      <w:r w:rsidRPr="0096716D">
        <w:rPr>
          <w:lang w:eastAsia="pl-PL"/>
        </w:rPr>
        <w:t>e termomodernizacj</w:t>
      </w:r>
      <w:r w:rsidRPr="0096716D">
        <w:rPr>
          <w:rFonts w:cs="Lato"/>
          <w:lang w:eastAsia="pl-PL"/>
        </w:rPr>
        <w:t>ę</w:t>
      </w:r>
      <w:r w:rsidRPr="0096716D">
        <w:rPr>
          <w:lang w:eastAsia="pl-PL"/>
        </w:rPr>
        <w:t xml:space="preserve"> budynk</w:t>
      </w:r>
      <w:r w:rsidRPr="0096716D">
        <w:rPr>
          <w:rFonts w:cs="Lato"/>
          <w:lang w:eastAsia="pl-PL"/>
        </w:rPr>
        <w:t>ó</w:t>
      </w:r>
      <w:r w:rsidRPr="0096716D">
        <w:rPr>
          <w:lang w:eastAsia="pl-PL"/>
        </w:rPr>
        <w:t>w gospodarskich s</w:t>
      </w:r>
      <w:r w:rsidRPr="0096716D">
        <w:rPr>
          <w:rFonts w:cs="Lato"/>
          <w:lang w:eastAsia="pl-PL"/>
        </w:rPr>
        <w:t>ł</w:t>
      </w:r>
      <w:r w:rsidRPr="0096716D">
        <w:rPr>
          <w:lang w:eastAsia="pl-PL"/>
        </w:rPr>
        <w:t>u</w:t>
      </w:r>
      <w:r w:rsidRPr="0096716D">
        <w:rPr>
          <w:rFonts w:cs="Lato"/>
          <w:lang w:eastAsia="pl-PL"/>
        </w:rPr>
        <w:t>żą</w:t>
      </w:r>
      <w:r w:rsidRPr="0096716D">
        <w:rPr>
          <w:lang w:eastAsia="pl-PL"/>
        </w:rPr>
        <w:t>cych do produkcji rolnej. Dzia</w:t>
      </w:r>
      <w:r w:rsidRPr="0096716D">
        <w:rPr>
          <w:rFonts w:cs="Lato"/>
          <w:lang w:eastAsia="pl-PL"/>
        </w:rPr>
        <w:t>ł</w:t>
      </w:r>
      <w:r w:rsidRPr="0096716D">
        <w:rPr>
          <w:lang w:eastAsia="pl-PL"/>
        </w:rPr>
        <w:t>anie ma na celu wzmocnienie adaptacji do zmian klimatu oraz redukcj</w:t>
      </w:r>
      <w:r w:rsidRPr="0096716D">
        <w:rPr>
          <w:rFonts w:cs="Lato"/>
          <w:lang w:eastAsia="pl-PL"/>
        </w:rPr>
        <w:t>ę</w:t>
      </w:r>
      <w:r w:rsidRPr="0096716D">
        <w:rPr>
          <w:lang w:eastAsia="pl-PL"/>
        </w:rPr>
        <w:t xml:space="preserve"> emisji w gospodarstwach rolnych.</w:t>
      </w:r>
      <w:r w:rsidRPr="0096716D">
        <w:rPr>
          <w:rFonts w:cs="Lato"/>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96716D" w14:paraId="501B0639" w14:textId="77777777" w:rsidTr="00885C6C">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21F38D0"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ascii="Times New Roman" w:eastAsia="Times New Roman" w:hAnsi="Times New Roman" w:cs="Times New Roman"/>
                <w:noProof/>
                <w:sz w:val="24"/>
                <w:szCs w:val="24"/>
                <w:lang w:eastAsia="pl-PL"/>
              </w:rPr>
              <w:drawing>
                <wp:inline distT="0" distB="0" distL="0" distR="0" wp14:anchorId="4399030A" wp14:editId="60167D0F">
                  <wp:extent cx="622300" cy="622300"/>
                  <wp:effectExtent l="0" t="0" r="6350" b="6350"/>
                  <wp:docPr id="36" name="Obraz 1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96716D">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2D350B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smallCaps/>
                <w:color w:val="000000"/>
                <w:sz w:val="18"/>
                <w:szCs w:val="18"/>
                <w:lang w:eastAsia="pl-PL"/>
              </w:rPr>
              <w:t>PODMIOT WIODĄCY</w:t>
            </w:r>
            <w:r w:rsidRPr="0096716D">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FCD3FF3"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b/>
                <w:bCs/>
                <w:color w:val="000000"/>
                <w:sz w:val="18"/>
                <w:szCs w:val="18"/>
                <w:lang w:eastAsia="pl-PL"/>
              </w:rPr>
              <w:t>PODMIOTY WSPÓŁPRACUJĄCE</w:t>
            </w:r>
            <w:r w:rsidRPr="0096716D">
              <w:rPr>
                <w:rFonts w:eastAsia="Times New Roman" w:cs="Times New Roman"/>
                <w:color w:val="000000"/>
                <w:sz w:val="18"/>
                <w:szCs w:val="18"/>
                <w:lang w:eastAsia="pl-PL"/>
              </w:rPr>
              <w:t> </w:t>
            </w:r>
          </w:p>
        </w:tc>
      </w:tr>
      <w:tr w:rsidR="003B6773" w:rsidRPr="00986124" w14:paraId="044357BA" w14:textId="77777777" w:rsidTr="00885C6C">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7CA9458" w14:textId="77777777" w:rsidR="00491705" w:rsidRPr="0096716D"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1A9D36D" w14:textId="77777777" w:rsidR="00491705" w:rsidRPr="0096716D" w:rsidRDefault="00491705">
            <w:pPr>
              <w:spacing w:after="0" w:line="240" w:lineRule="auto"/>
              <w:textAlignment w:val="baseline"/>
              <w:rPr>
                <w:rFonts w:ascii="Times New Roman" w:eastAsia="Times New Roman" w:hAnsi="Times New Roman" w:cs="Times New Roman"/>
                <w:sz w:val="24"/>
                <w:szCs w:val="24"/>
                <w:lang w:eastAsia="pl-PL"/>
              </w:rPr>
            </w:pPr>
            <w:r w:rsidRPr="0096716D">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B20E62D" w14:textId="77777777" w:rsidR="00491705" w:rsidRPr="00986124" w:rsidRDefault="00491705">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klimatu </w:t>
            </w:r>
          </w:p>
          <w:p w14:paraId="582AFD46" w14:textId="17BABCC6" w:rsidR="00491705" w:rsidRPr="00986124" w:rsidRDefault="00491705">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energii</w:t>
            </w:r>
            <w:r w:rsidR="003E2DE5" w:rsidRPr="00986124">
              <w:rPr>
                <w:rFonts w:eastAsia="Times New Roman" w:cs="Times New Roman"/>
                <w:color w:val="808080"/>
                <w:sz w:val="18"/>
                <w:szCs w:val="18"/>
                <w:lang w:val="de-DE" w:eastAsia="pl-PL"/>
              </w:rPr>
              <w:t xml:space="preserve"> </w:t>
            </w:r>
          </w:p>
        </w:tc>
      </w:tr>
    </w:tbl>
    <w:p w14:paraId="26892043" w14:textId="187AF84F" w:rsidR="00491705" w:rsidRDefault="00491705" w:rsidP="00D523F3">
      <w:pPr>
        <w:pStyle w:val="Nagwek6"/>
        <w:rPr>
          <w:rFonts w:eastAsia="Bahnschrift" w:cs="Bahnschrift"/>
          <w:bCs/>
          <w:i/>
          <w:iCs/>
        </w:rPr>
      </w:pPr>
      <w:bookmarkStart w:id="1125" w:name="_Toc195856581"/>
      <w:bookmarkStart w:id="1126" w:name="_Ref195885537"/>
      <w:bookmarkStart w:id="1127" w:name="_Ref195886480"/>
      <w:bookmarkStart w:id="1128" w:name="_Ref195887057"/>
      <w:bookmarkStart w:id="1129" w:name="_Ref195888674"/>
      <w:r>
        <w:t xml:space="preserve">Działanie </w:t>
      </w:r>
      <w:r>
        <w:fldChar w:fldCharType="begin"/>
      </w:r>
      <w:r>
        <w:instrText>SEQ Działanie \* ARABIC</w:instrText>
      </w:r>
      <w:r>
        <w:fldChar w:fldCharType="separate"/>
      </w:r>
      <w:r w:rsidR="00871DD5">
        <w:rPr>
          <w:noProof/>
        </w:rPr>
        <w:t>63</w:t>
      </w:r>
      <w:r>
        <w:fldChar w:fldCharType="end"/>
      </w:r>
      <w:r>
        <w:t xml:space="preserve">. </w:t>
      </w:r>
      <w:r w:rsidRPr="004040E0">
        <w:t>Stosowanie warunkowości (środowiskowej) w ramach WPR</w:t>
      </w:r>
      <w:bookmarkEnd w:id="1125"/>
      <w:bookmarkEnd w:id="1126"/>
      <w:bookmarkEnd w:id="1127"/>
      <w:bookmarkEnd w:id="1128"/>
      <w:bookmarkEnd w:id="1129"/>
      <w:r w:rsidRPr="61A939A5">
        <w:rPr>
          <w:rFonts w:eastAsia="Bahnschrift" w:cs="Bahnschrift"/>
          <w:bCs/>
        </w:rPr>
        <w:t xml:space="preserve"> </w:t>
      </w:r>
    </w:p>
    <w:p w14:paraId="75A76BD3" w14:textId="3B04F495" w:rsidR="00491705" w:rsidRPr="004F0FC3" w:rsidRDefault="00491705" w:rsidP="00491705">
      <w:pPr>
        <w:rPr>
          <w:rFonts w:eastAsia="Lato" w:cs="Lato"/>
          <w:szCs w:val="20"/>
        </w:rPr>
      </w:pPr>
      <w:r w:rsidRPr="004F0FC3">
        <w:rPr>
          <w:rFonts w:eastAsia="Lato" w:cs="Lato"/>
          <w:szCs w:val="20"/>
        </w:rPr>
        <w:t>Warunkowość to grupa zasad składająca się z norm dobrej kultury rolnej (GAEC</w:t>
      </w:r>
      <w:r w:rsidR="00CE3E80">
        <w:rPr>
          <w:rFonts w:eastAsia="Lato" w:cs="Lato"/>
          <w:szCs w:val="20"/>
        </w:rPr>
        <w:t>, ang.</w:t>
      </w:r>
      <w:r w:rsidR="002F2E65">
        <w:rPr>
          <w:rFonts w:eastAsia="Lato" w:cs="Lato"/>
          <w:szCs w:val="20"/>
        </w:rPr>
        <w:t xml:space="preserve"> </w:t>
      </w:r>
      <w:r w:rsidR="002F2E65" w:rsidRPr="002F2E65">
        <w:rPr>
          <w:rFonts w:eastAsia="Lato" w:cs="Lato"/>
          <w:i/>
          <w:iCs/>
          <w:szCs w:val="20"/>
        </w:rPr>
        <w:t>Good Agricultural and Environmental Conditions</w:t>
      </w:r>
      <w:r w:rsidRPr="004F0FC3">
        <w:rPr>
          <w:rFonts w:eastAsia="Lato" w:cs="Lato"/>
          <w:szCs w:val="20"/>
        </w:rPr>
        <w:t>) zgodnej z ochroną środowiska oraz wymogów podstawowych z zakresu zarządzania, których rolnik musi przestrzegać w swoim gospodarstwie, aby otrzymać wsparcie w ramach WPR w pełnej wysokości. To również baza do określenia wymagań dla dodatkowo płatnych, dobrowolnych działań podejmowanych przez rolnika.</w:t>
      </w:r>
    </w:p>
    <w:p w14:paraId="010A8322" w14:textId="71E8AEC6" w:rsidR="00DC5F87" w:rsidRDefault="00491705" w:rsidP="00DC5F87">
      <w:pPr>
        <w:spacing w:after="80"/>
        <w:rPr>
          <w:rFonts w:eastAsia="Lato" w:cs="Lato"/>
          <w:szCs w:val="20"/>
        </w:rPr>
      </w:pPr>
      <w:r w:rsidRPr="004F0FC3">
        <w:rPr>
          <w:rFonts w:eastAsia="Lato" w:cs="Lato"/>
          <w:szCs w:val="20"/>
        </w:rPr>
        <w:t>Dla celu redukcji emisji GHG oraz zwiększania pochłaniania i ograniczenia emisji w sektorze LULUCF w</w:t>
      </w:r>
      <w:r w:rsidR="00DC5F87">
        <w:rPr>
          <w:rFonts w:eastAsia="Lato" w:cs="Lato"/>
          <w:szCs w:val="20"/>
        </w:rPr>
        <w:t> </w:t>
      </w:r>
      <w:r w:rsidRPr="004F0FC3">
        <w:rPr>
          <w:rFonts w:eastAsia="Lato" w:cs="Lato"/>
          <w:szCs w:val="20"/>
        </w:rPr>
        <w:t>rolnictwie</w:t>
      </w:r>
      <w:r>
        <w:rPr>
          <w:rFonts w:eastAsia="Lato" w:cs="Lato"/>
          <w:szCs w:val="20"/>
        </w:rPr>
        <w:t xml:space="preserve"> obecnie</w:t>
      </w:r>
      <w:r w:rsidRPr="004F0FC3">
        <w:rPr>
          <w:rFonts w:eastAsia="Lato" w:cs="Lato"/>
          <w:szCs w:val="20"/>
        </w:rPr>
        <w:t xml:space="preserve"> najważniejsze są normy: </w:t>
      </w:r>
    </w:p>
    <w:p w14:paraId="13F414B2" w14:textId="77777777" w:rsidR="00DC5F87" w:rsidRPr="00DC5F87" w:rsidRDefault="00491705" w:rsidP="000625AC">
      <w:pPr>
        <w:pStyle w:val="Akapitzlist"/>
        <w:numPr>
          <w:ilvl w:val="0"/>
          <w:numId w:val="145"/>
        </w:numPr>
      </w:pPr>
      <w:r w:rsidRPr="00DC5F87">
        <w:rPr>
          <w:rFonts w:eastAsia="Lato" w:cs="Lato"/>
          <w:szCs w:val="20"/>
        </w:rPr>
        <w:t xml:space="preserve">GAEC 1 – utrzymywanie trwałych użytków zielonych na określonym poziomie w całym kraju, </w:t>
      </w:r>
    </w:p>
    <w:p w14:paraId="1D04685A" w14:textId="77777777" w:rsidR="00DC5F87" w:rsidRPr="00DC5F87" w:rsidRDefault="00491705" w:rsidP="000625AC">
      <w:pPr>
        <w:pStyle w:val="Akapitzlist"/>
        <w:numPr>
          <w:ilvl w:val="0"/>
          <w:numId w:val="145"/>
        </w:numPr>
      </w:pPr>
      <w:r w:rsidRPr="00DC5F87">
        <w:rPr>
          <w:rFonts w:eastAsia="Lato" w:cs="Lato"/>
          <w:szCs w:val="20"/>
        </w:rPr>
        <w:t xml:space="preserve">GAEC 2 – ochrona terenów podmokłych i torfowisk, </w:t>
      </w:r>
    </w:p>
    <w:p w14:paraId="7A55E63C" w14:textId="77777777" w:rsidR="00DC5F87" w:rsidRPr="00DC5F87" w:rsidRDefault="00491705" w:rsidP="000625AC">
      <w:pPr>
        <w:pStyle w:val="Akapitzlist"/>
        <w:numPr>
          <w:ilvl w:val="0"/>
          <w:numId w:val="145"/>
        </w:numPr>
      </w:pPr>
      <w:r w:rsidRPr="00DC5F87">
        <w:rPr>
          <w:rFonts w:eastAsia="Lato" w:cs="Lato"/>
          <w:szCs w:val="20"/>
        </w:rPr>
        <w:t xml:space="preserve">GAEC 6 – wymóg minimalnej pokrywy gleby w najbardziej newralgicznych okresach oraz </w:t>
      </w:r>
    </w:p>
    <w:p w14:paraId="32E0746A" w14:textId="4D24080E" w:rsidR="00491705" w:rsidRDefault="00491705" w:rsidP="000625AC">
      <w:pPr>
        <w:pStyle w:val="Akapitzlist"/>
        <w:numPr>
          <w:ilvl w:val="0"/>
          <w:numId w:val="145"/>
        </w:numPr>
      </w:pPr>
      <w:r w:rsidRPr="00DC5F87">
        <w:rPr>
          <w:rFonts w:eastAsia="Lato" w:cs="Lato"/>
          <w:szCs w:val="20"/>
        </w:rPr>
        <w:t>GAEC 3 – zakaz wypalania użytków rolnych.</w:t>
      </w:r>
      <w:r w:rsidRPr="004F0FC3">
        <w:t xml:space="preserve"> </w:t>
      </w:r>
    </w:p>
    <w:p w14:paraId="67DEDC99" w14:textId="5F13C562" w:rsidR="00491705" w:rsidRDefault="00491705" w:rsidP="00485729">
      <w:pPr>
        <w:spacing w:after="240"/>
      </w:pPr>
      <w:r w:rsidRPr="00884E79">
        <w:t>System warunkowości wynikający z przepisów UE obowiązujących obecnie (2025 r.) może w przyszłości ulec zmianie</w:t>
      </w:r>
      <w:r w:rsidR="00D774A0">
        <w:t>.</w:t>
      </w:r>
      <w:r w:rsidRPr="00884E79">
        <w:t xml:space="preserve"> Polska stosować będzie odpowiednie przepisy UE modyfikując wymogi dla rolnictwa z</w:t>
      </w:r>
      <w:r w:rsidR="00A64BE6">
        <w:t> </w:t>
      </w:r>
      <w:r w:rsidRPr="00884E79">
        <w:t xml:space="preserve">uwzględnieniem specyfiki sektora i zidentyfikowane potrzeby krajowe.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5D9B3B1A"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377C029" w14:textId="77777777" w:rsidR="00C0675B" w:rsidRPr="00BB6462" w:rsidRDefault="00C0675B">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0397E765" wp14:editId="7594AE48">
                  <wp:extent cx="619125" cy="619125"/>
                  <wp:effectExtent l="0" t="0" r="9525" b="9525"/>
                  <wp:docPr id="1561869597"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413B358" w14:textId="77777777" w:rsidR="00C0675B" w:rsidRPr="00BB6462" w:rsidRDefault="00C0675B">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2D417A0" w14:textId="77777777" w:rsidR="00C0675B" w:rsidRPr="00BB6462" w:rsidRDefault="00C0675B">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701C2A83"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7373674" w14:textId="77777777" w:rsidR="00C0675B" w:rsidRPr="00BB6462" w:rsidRDefault="00C0675B">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C30CA19" w14:textId="77777777" w:rsidR="00C0675B" w:rsidRPr="00BB6462" w:rsidRDefault="00C0675B">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6C5DF46" w14:textId="77777777" w:rsidR="00C0675B" w:rsidRDefault="00C0675B">
            <w:pPr>
              <w:spacing w:after="0" w:line="240" w:lineRule="auto"/>
              <w:textAlignment w:val="baseline"/>
              <w:rPr>
                <w:rFonts w:eastAsia="Times New Roman" w:cs="Times New Roman"/>
                <w:color w:val="808080"/>
                <w:sz w:val="18"/>
                <w:szCs w:val="18"/>
                <w:lang w:eastAsia="pl-PL"/>
              </w:rPr>
            </w:pPr>
            <w:r w:rsidRPr="00BB6462">
              <w:rPr>
                <w:rFonts w:eastAsia="Times New Roman" w:cs="Times New Roman"/>
                <w:color w:val="808080"/>
                <w:sz w:val="18"/>
                <w:szCs w:val="18"/>
                <w:lang w:eastAsia="pl-PL"/>
              </w:rPr>
              <w:t>minister wł. ds. klimatu </w:t>
            </w:r>
          </w:p>
          <w:p w14:paraId="30135121" w14:textId="409531D0" w:rsidR="00C0675B" w:rsidRPr="00BB6462" w:rsidRDefault="00C0675B">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minister wł. ds. środowiska</w:t>
            </w:r>
            <w:r w:rsidRPr="00BB6462">
              <w:rPr>
                <w:rFonts w:eastAsia="Times New Roman" w:cs="Times New Roman"/>
                <w:color w:val="808080"/>
                <w:sz w:val="18"/>
                <w:szCs w:val="18"/>
                <w:lang w:eastAsia="pl-PL"/>
              </w:rPr>
              <w:t> </w:t>
            </w:r>
          </w:p>
        </w:tc>
      </w:tr>
    </w:tbl>
    <w:p w14:paraId="0DAE9AC6" w14:textId="73CA8DC7" w:rsidR="00491705" w:rsidRPr="00DC5F87" w:rsidRDefault="00491705" w:rsidP="005B18B0">
      <w:pPr>
        <w:pStyle w:val="Nagwek6"/>
        <w:rPr>
          <w:rFonts w:eastAsia="Bahnschrift" w:cs="Bahnschrift"/>
          <w:bCs/>
          <w:i/>
          <w:iCs/>
        </w:rPr>
      </w:pPr>
      <w:bookmarkStart w:id="1130" w:name="_Toc195856582"/>
      <w:bookmarkStart w:id="1131" w:name="_Ref195885544"/>
      <w:bookmarkStart w:id="1132" w:name="_Ref195886487"/>
      <w:bookmarkStart w:id="1133" w:name="_Ref195887064"/>
      <w:bookmarkStart w:id="1134" w:name="_Ref195888667"/>
      <w:r>
        <w:t xml:space="preserve">Działanie </w:t>
      </w:r>
      <w:r>
        <w:fldChar w:fldCharType="begin"/>
      </w:r>
      <w:r>
        <w:instrText>SEQ Działanie \* ARABIC</w:instrText>
      </w:r>
      <w:r>
        <w:fldChar w:fldCharType="separate"/>
      </w:r>
      <w:r w:rsidR="00871DD5">
        <w:rPr>
          <w:noProof/>
        </w:rPr>
        <w:t>64</w:t>
      </w:r>
      <w:r>
        <w:fldChar w:fldCharType="end"/>
      </w:r>
      <w:r>
        <w:t xml:space="preserve">. </w:t>
      </w:r>
      <w:r w:rsidRPr="000C3864">
        <w:t>Stosowanie ekoschematów w ramach WPR</w:t>
      </w:r>
      <w:bookmarkEnd w:id="1130"/>
      <w:bookmarkEnd w:id="1131"/>
      <w:bookmarkEnd w:id="1132"/>
      <w:bookmarkEnd w:id="1133"/>
      <w:bookmarkEnd w:id="1134"/>
    </w:p>
    <w:p w14:paraId="7E744F9B" w14:textId="7E29765E" w:rsidR="00491705" w:rsidRPr="001F6C85" w:rsidRDefault="00491705" w:rsidP="00DC5F87">
      <w:r w:rsidRPr="001F6C85">
        <w:t xml:space="preserve">Grupa interwencji w ramach I filaru WPR promujących praktyki rolnicze korzystne dla środowiska, klimatu i dobrostanu zwierząt. Są to roczne, dobrowolne i dodatkowo płatne praktyki, dostosowane do warunków i potrzeb krajowych, służące ochronie zasobów gleby, wód, klimatu, dobrostanu zwierząt i różnorodności biologicznej w produkcji rolnej. </w:t>
      </w:r>
      <w:r w:rsidRPr="00D91169">
        <w:t xml:space="preserve">Płatność przyznawana jest do obszaru lub do zwierząt (w przypadku interwencji ekoschematu </w:t>
      </w:r>
      <w:r w:rsidR="00DC5F87">
        <w:t>„</w:t>
      </w:r>
      <w:r w:rsidRPr="00D91169">
        <w:t>Dobrostan zwierząt</w:t>
      </w:r>
      <w:r w:rsidR="00DC5F87">
        <w:t>”</w:t>
      </w:r>
      <w:r w:rsidRPr="00D91169">
        <w:t>).</w:t>
      </w:r>
    </w:p>
    <w:p w14:paraId="4F1ED78E" w14:textId="0F618B6C" w:rsidR="00491705" w:rsidRDefault="00491705" w:rsidP="00DC5F87">
      <w:r w:rsidRPr="001F6C85">
        <w:t xml:space="preserve">Dla ograniczenia emisji gazów cieplarnianych w rolnictwie </w:t>
      </w:r>
      <w:r>
        <w:t xml:space="preserve">obecnie </w:t>
      </w:r>
      <w:r w:rsidRPr="001F6C85">
        <w:t>największe znaczenie mają ekoschematy: „Rolnictwo węglowe i zarządzanie składnikami odżywczymi”, „Integrowana produkcja roślin”. Część praktyk ekoschematu „Rolnictwo węglowe i zarządzanie składnikami odżywczymi” realizuje również cel ograniczenia zanieczyszczeń powietrza, gleb i wód oraz zwiększania pochłaniania i</w:t>
      </w:r>
      <w:r w:rsidR="00DC5F87">
        <w:t> </w:t>
      </w:r>
      <w:r w:rsidRPr="001F6C85">
        <w:t xml:space="preserve">ograniczenia emisji w sektorze LULUCF. </w:t>
      </w:r>
    </w:p>
    <w:p w14:paraId="6D40524D" w14:textId="2C2E67C8" w:rsidR="00491705" w:rsidRPr="00D91169" w:rsidRDefault="00491705" w:rsidP="005B18B0">
      <w:pPr>
        <w:spacing w:after="80" w:line="279" w:lineRule="auto"/>
        <w:rPr>
          <w:rFonts w:eastAsia="Lato" w:cs="Lato"/>
          <w:szCs w:val="20"/>
        </w:rPr>
      </w:pPr>
      <w:r>
        <w:rPr>
          <w:rFonts w:eastAsia="Lato" w:cs="Lato"/>
          <w:szCs w:val="20"/>
        </w:rPr>
        <w:lastRenderedPageBreak/>
        <w:t>W ramach ekoschematu „</w:t>
      </w:r>
      <w:r w:rsidRPr="00D91169">
        <w:rPr>
          <w:rFonts w:eastAsia="Lato" w:cs="Lato"/>
          <w:szCs w:val="20"/>
        </w:rPr>
        <w:t>Rolnictwo węglowe i zarządzanie składnikami odżywczymi</w:t>
      </w:r>
      <w:r>
        <w:rPr>
          <w:rFonts w:eastAsia="Lato" w:cs="Lato"/>
          <w:szCs w:val="20"/>
        </w:rPr>
        <w:t>” realizowane są praktyki</w:t>
      </w:r>
      <w:r w:rsidRPr="00D91169">
        <w:rPr>
          <w:rFonts w:eastAsia="Lato" w:cs="Lato"/>
          <w:szCs w:val="20"/>
        </w:rPr>
        <w:t>:</w:t>
      </w:r>
    </w:p>
    <w:p w14:paraId="57A24D81" w14:textId="14883771" w:rsidR="00491705" w:rsidRPr="00857B93"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 xml:space="preserve">Ekstensywne użytkowanie trwałych użytków zielonych z obsadą zwierząt – promocja ekstensywnego </w:t>
      </w:r>
      <w:r w:rsidRPr="004E5950">
        <w:rPr>
          <w:rFonts w:eastAsia="Lato" w:cs="Lato"/>
          <w:szCs w:val="20"/>
        </w:rPr>
        <w:t xml:space="preserve">użytkowania </w:t>
      </w:r>
      <w:r>
        <w:rPr>
          <w:rFonts w:eastAsia="Lato" w:cs="Lato"/>
          <w:szCs w:val="20"/>
        </w:rPr>
        <w:t>trwałych użytków zielonych</w:t>
      </w:r>
      <w:r w:rsidRPr="00857B93">
        <w:rPr>
          <w:rFonts w:eastAsia="Lato" w:cs="Lato"/>
          <w:szCs w:val="20"/>
        </w:rPr>
        <w:t xml:space="preserve"> z zachowaniem obsady zwierząt w</w:t>
      </w:r>
      <w:r w:rsidR="00A64BE6">
        <w:rPr>
          <w:rFonts w:eastAsia="Lato" w:cs="Lato"/>
          <w:szCs w:val="20"/>
        </w:rPr>
        <w:t> </w:t>
      </w:r>
      <w:r w:rsidRPr="00857B93">
        <w:rPr>
          <w:rFonts w:eastAsia="Lato" w:cs="Lato"/>
          <w:szCs w:val="20"/>
        </w:rPr>
        <w:t xml:space="preserve">granicach od 0,3 DJP/ha TUZ </w:t>
      </w:r>
      <w:r>
        <w:rPr>
          <w:rFonts w:eastAsia="Lato" w:cs="Lato"/>
          <w:szCs w:val="20"/>
        </w:rPr>
        <w:t>do</w:t>
      </w:r>
      <w:r w:rsidRPr="00857B93">
        <w:rPr>
          <w:rFonts w:eastAsia="Lato" w:cs="Lato"/>
          <w:szCs w:val="20"/>
        </w:rPr>
        <w:t xml:space="preserve"> 2 DJP/ha TUZ.</w:t>
      </w:r>
    </w:p>
    <w:p w14:paraId="08843FAF" w14:textId="1626732D" w:rsidR="00491705" w:rsidRPr="00857B93"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Międzyplony ozime lub wsiewki śródplonowe – płatność ma na celu ochronę gleby przed erozją oraz zwiększ</w:t>
      </w:r>
      <w:r>
        <w:rPr>
          <w:rFonts w:eastAsia="Lato" w:cs="Lato"/>
          <w:szCs w:val="20"/>
        </w:rPr>
        <w:t>a</w:t>
      </w:r>
      <w:r w:rsidRPr="00857B93">
        <w:rPr>
          <w:rFonts w:eastAsia="Lato" w:cs="Lato"/>
          <w:szCs w:val="20"/>
        </w:rPr>
        <w:t>nie</w:t>
      </w:r>
      <w:r w:rsidRPr="00857B93" w:rsidDel="00C90239">
        <w:rPr>
          <w:rFonts w:eastAsia="Lato" w:cs="Lato"/>
          <w:szCs w:val="20"/>
        </w:rPr>
        <w:t xml:space="preserve"> </w:t>
      </w:r>
      <w:r w:rsidRPr="00857B93">
        <w:rPr>
          <w:rFonts w:eastAsia="Lato" w:cs="Lato"/>
          <w:szCs w:val="20"/>
        </w:rPr>
        <w:t>zawartości węgla organicznego</w:t>
      </w:r>
      <w:r w:rsidR="00505141">
        <w:rPr>
          <w:rFonts w:eastAsia="Lato" w:cs="Lato"/>
          <w:szCs w:val="20"/>
        </w:rPr>
        <w:t>.</w:t>
      </w:r>
    </w:p>
    <w:p w14:paraId="548BCCAD" w14:textId="5C1D3DEB" w:rsidR="00491705" w:rsidRPr="00857B93"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Opracowanie i przestrzeganie planu nawożenia, wariant podstawowy i wariant z wapnowaniem – promocja stosowania racjonalnego nawożenia opartego na wynikach analizy gleby i działania na rzecz poprawy odczynu gleby</w:t>
      </w:r>
      <w:r w:rsidR="00505141">
        <w:rPr>
          <w:rFonts w:eastAsia="Lato" w:cs="Lato"/>
          <w:szCs w:val="20"/>
        </w:rPr>
        <w:t>.</w:t>
      </w:r>
    </w:p>
    <w:p w14:paraId="1237FA38" w14:textId="0ADB121C" w:rsidR="00491705"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 xml:space="preserve">Zróżnicowana struktura upraw – płatność dotycząca stosowania </w:t>
      </w:r>
      <w:r>
        <w:rPr>
          <w:rFonts w:eastAsia="Lato" w:cs="Lato"/>
          <w:szCs w:val="20"/>
        </w:rPr>
        <w:t>co najmniej trzech różnych upraw</w:t>
      </w:r>
      <w:r w:rsidRPr="00857B93">
        <w:rPr>
          <w:rFonts w:eastAsia="Lato" w:cs="Lato"/>
          <w:szCs w:val="20"/>
        </w:rPr>
        <w:t xml:space="preserve"> </w:t>
      </w:r>
      <w:r>
        <w:rPr>
          <w:rFonts w:eastAsia="Lato" w:cs="Lato"/>
          <w:szCs w:val="20"/>
        </w:rPr>
        <w:t>w określonych proporcjach, w tym z powierzchnią upraw mających pozytywny wpływ na bilans materii organicznej, nie mniejszą niż 20%</w:t>
      </w:r>
      <w:r w:rsidDel="00505141">
        <w:rPr>
          <w:rFonts w:eastAsia="Lato" w:cs="Lato"/>
          <w:szCs w:val="20"/>
        </w:rPr>
        <w:t>,</w:t>
      </w:r>
      <w:r w:rsidRPr="00857B93">
        <w:rPr>
          <w:rFonts w:eastAsia="Lato" w:cs="Lato"/>
          <w:szCs w:val="20"/>
        </w:rPr>
        <w:t xml:space="preserve"> </w:t>
      </w:r>
      <w:r>
        <w:rPr>
          <w:rFonts w:eastAsia="Lato" w:cs="Lato"/>
          <w:szCs w:val="20"/>
        </w:rPr>
        <w:t>ma na celu</w:t>
      </w:r>
      <w:r w:rsidRPr="004E5950">
        <w:rPr>
          <w:rFonts w:eastAsia="Lato" w:cs="Lato"/>
          <w:szCs w:val="20"/>
        </w:rPr>
        <w:t xml:space="preserve"> popraw</w:t>
      </w:r>
      <w:r>
        <w:rPr>
          <w:rFonts w:eastAsia="Lato" w:cs="Lato"/>
          <w:szCs w:val="20"/>
        </w:rPr>
        <w:t>ę</w:t>
      </w:r>
      <w:r w:rsidRPr="004E5950">
        <w:rPr>
          <w:rFonts w:eastAsia="Lato" w:cs="Lato"/>
          <w:szCs w:val="20"/>
        </w:rPr>
        <w:t xml:space="preserve"> jakości gleby i potrzeb</w:t>
      </w:r>
      <w:r>
        <w:rPr>
          <w:rFonts w:eastAsia="Lato" w:cs="Lato"/>
          <w:szCs w:val="20"/>
        </w:rPr>
        <w:t>ę</w:t>
      </w:r>
      <w:r w:rsidRPr="004E5950">
        <w:rPr>
          <w:rFonts w:eastAsia="Lato" w:cs="Lato"/>
          <w:szCs w:val="20"/>
        </w:rPr>
        <w:t xml:space="preserve"> odbudowy materii organicznej poprzez wzbogacenie struktury upraw o</w:t>
      </w:r>
      <w:r w:rsidRPr="00826087">
        <w:rPr>
          <w:rFonts w:eastAsia="Lato" w:cs="Lato"/>
          <w:szCs w:val="20"/>
        </w:rPr>
        <w:t xml:space="preserve"> </w:t>
      </w:r>
      <w:r>
        <w:rPr>
          <w:rFonts w:eastAsia="Lato" w:cs="Lato"/>
          <w:szCs w:val="20"/>
        </w:rPr>
        <w:t>określone</w:t>
      </w:r>
      <w:r w:rsidRPr="004E5950">
        <w:rPr>
          <w:rFonts w:eastAsia="Lato" w:cs="Lato"/>
          <w:szCs w:val="20"/>
        </w:rPr>
        <w:t xml:space="preserve"> gatunki roślin</w:t>
      </w:r>
      <w:r w:rsidR="00505141">
        <w:rPr>
          <w:rFonts w:eastAsia="Lato" w:cs="Lato"/>
          <w:szCs w:val="20"/>
        </w:rPr>
        <w:t>.</w:t>
      </w:r>
      <w:r w:rsidRPr="004E5950">
        <w:rPr>
          <w:rFonts w:eastAsia="Lato" w:cs="Lato"/>
          <w:szCs w:val="20"/>
        </w:rPr>
        <w:t xml:space="preserve"> </w:t>
      </w:r>
    </w:p>
    <w:p w14:paraId="0886E301" w14:textId="77777777" w:rsidR="00491705" w:rsidRPr="00857B93"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Wymieszanie obornika na gruntach ornych w terminie 12 godzin od jego aplikacji – przeciwdziała emisji amoniaku, sprzyja poprawie zasobności i właściwości fizycznych gleb</w:t>
      </w:r>
      <w:r w:rsidRPr="004E5950">
        <w:rPr>
          <w:rFonts w:eastAsia="Lato" w:cs="Lato"/>
          <w:szCs w:val="20"/>
        </w:rPr>
        <w:t>.</w:t>
      </w:r>
    </w:p>
    <w:p w14:paraId="39BF5ABB" w14:textId="19AB72D1" w:rsidR="00491705" w:rsidRPr="00857B93"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Stosowanie nawozów naturalnych płynnych innymi metodami</w:t>
      </w:r>
      <w:r w:rsidRPr="004E5950">
        <w:rPr>
          <w:rFonts w:eastAsia="Lato" w:cs="Lato"/>
          <w:szCs w:val="20"/>
        </w:rPr>
        <w:t xml:space="preserve"> niż rozbryzgowo – ogranicza </w:t>
      </w:r>
      <w:r w:rsidRPr="00857B93">
        <w:rPr>
          <w:rFonts w:eastAsia="Lato" w:cs="Lato"/>
          <w:szCs w:val="20"/>
        </w:rPr>
        <w:t>emisj</w:t>
      </w:r>
      <w:r>
        <w:rPr>
          <w:rFonts w:eastAsia="Lato" w:cs="Lato"/>
          <w:szCs w:val="20"/>
        </w:rPr>
        <w:t>e</w:t>
      </w:r>
      <w:r w:rsidRPr="00857B93">
        <w:rPr>
          <w:rFonts w:eastAsia="Lato" w:cs="Lato"/>
          <w:szCs w:val="20"/>
        </w:rPr>
        <w:t xml:space="preserve"> związków azotu i lepsze wykorzystanie składników z nawozu</w:t>
      </w:r>
      <w:r w:rsidR="00505141">
        <w:rPr>
          <w:rFonts w:eastAsia="Lato" w:cs="Lato"/>
          <w:szCs w:val="20"/>
        </w:rPr>
        <w:t>.</w:t>
      </w:r>
    </w:p>
    <w:p w14:paraId="7D0888B4" w14:textId="77777777" w:rsidR="00491705"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Uproszczone systemy uprawy – upowszechni</w:t>
      </w:r>
      <w:r w:rsidRPr="004E5950">
        <w:rPr>
          <w:rFonts w:eastAsia="Lato" w:cs="Lato"/>
          <w:szCs w:val="20"/>
        </w:rPr>
        <w:t>e</w:t>
      </w:r>
      <w:r w:rsidRPr="00857B93">
        <w:rPr>
          <w:rFonts w:eastAsia="Lato" w:cs="Lato"/>
          <w:szCs w:val="20"/>
        </w:rPr>
        <w:t>nie</w:t>
      </w:r>
      <w:r>
        <w:rPr>
          <w:rFonts w:eastAsia="Lato" w:cs="Lato"/>
          <w:szCs w:val="20"/>
        </w:rPr>
        <w:t xml:space="preserve"> konserwujących </w:t>
      </w:r>
      <w:r w:rsidRPr="004E5950">
        <w:rPr>
          <w:rFonts w:eastAsia="Lato" w:cs="Lato"/>
          <w:szCs w:val="20"/>
        </w:rPr>
        <w:t>system</w:t>
      </w:r>
      <w:r>
        <w:rPr>
          <w:rFonts w:eastAsia="Lato" w:cs="Lato"/>
          <w:szCs w:val="20"/>
        </w:rPr>
        <w:t xml:space="preserve">ów </w:t>
      </w:r>
      <w:r w:rsidRPr="00857B93">
        <w:rPr>
          <w:rFonts w:eastAsia="Lato" w:cs="Lato"/>
          <w:szCs w:val="20"/>
        </w:rPr>
        <w:t xml:space="preserve">uprawy </w:t>
      </w:r>
      <w:r>
        <w:rPr>
          <w:rFonts w:eastAsia="Lato" w:cs="Lato"/>
          <w:szCs w:val="20"/>
        </w:rPr>
        <w:t xml:space="preserve">gleby, </w:t>
      </w:r>
      <w:r w:rsidRPr="00857B93">
        <w:rPr>
          <w:rFonts w:eastAsia="Lato" w:cs="Lato"/>
          <w:szCs w:val="20"/>
        </w:rPr>
        <w:t>bez stosowania orki przyczyniając</w:t>
      </w:r>
      <w:r>
        <w:rPr>
          <w:rFonts w:eastAsia="Lato" w:cs="Lato"/>
          <w:szCs w:val="20"/>
        </w:rPr>
        <w:t>ych</w:t>
      </w:r>
      <w:r w:rsidRPr="00857B93">
        <w:rPr>
          <w:rFonts w:eastAsia="Lato" w:cs="Lato"/>
          <w:szCs w:val="20"/>
        </w:rPr>
        <w:t xml:space="preserve"> się do </w:t>
      </w:r>
      <w:r w:rsidRPr="004E5950">
        <w:rPr>
          <w:rFonts w:eastAsia="Lato" w:cs="Lato"/>
          <w:szCs w:val="20"/>
        </w:rPr>
        <w:t>ograniczenia</w:t>
      </w:r>
      <w:r w:rsidRPr="00857B93">
        <w:rPr>
          <w:rFonts w:eastAsia="Lato" w:cs="Lato"/>
          <w:szCs w:val="20"/>
        </w:rPr>
        <w:t xml:space="preserve"> strat substancji organicznej w glebach.</w:t>
      </w:r>
    </w:p>
    <w:p w14:paraId="4B715A40" w14:textId="616069DB" w:rsidR="00491705" w:rsidRPr="00857B93" w:rsidRDefault="00491705" w:rsidP="000625AC">
      <w:pPr>
        <w:pStyle w:val="Akapitzlist"/>
        <w:numPr>
          <w:ilvl w:val="0"/>
          <w:numId w:val="89"/>
        </w:numPr>
        <w:spacing w:line="279" w:lineRule="auto"/>
        <w:ind w:left="426"/>
        <w:rPr>
          <w:rFonts w:eastAsia="Lato" w:cs="Lato"/>
          <w:szCs w:val="20"/>
        </w:rPr>
      </w:pPr>
      <w:r w:rsidRPr="00857B93">
        <w:rPr>
          <w:rFonts w:eastAsia="Lato" w:cs="Lato"/>
          <w:szCs w:val="20"/>
        </w:rPr>
        <w:t>Wymieszanie słomy z glebą – działanie na rzecz zwiększenia retencjonowania węgla w glebach i</w:t>
      </w:r>
      <w:r w:rsidR="00C0675B">
        <w:rPr>
          <w:rFonts w:eastAsia="Lato" w:cs="Lato"/>
          <w:szCs w:val="20"/>
        </w:rPr>
        <w:t> </w:t>
      </w:r>
      <w:r w:rsidRPr="00857B93">
        <w:rPr>
          <w:rFonts w:eastAsia="Lato" w:cs="Lato"/>
          <w:szCs w:val="20"/>
        </w:rPr>
        <w:t>zwiększ</w:t>
      </w:r>
      <w:r>
        <w:rPr>
          <w:rFonts w:eastAsia="Lato" w:cs="Lato"/>
          <w:szCs w:val="20"/>
        </w:rPr>
        <w:t>a</w:t>
      </w:r>
      <w:r w:rsidRPr="00857B93">
        <w:rPr>
          <w:rFonts w:eastAsia="Lato" w:cs="Lato"/>
          <w:szCs w:val="20"/>
        </w:rPr>
        <w:t>nia</w:t>
      </w:r>
      <w:r w:rsidRPr="00857B93" w:rsidDel="000778C9">
        <w:rPr>
          <w:rFonts w:eastAsia="Lato" w:cs="Lato"/>
          <w:szCs w:val="20"/>
        </w:rPr>
        <w:t xml:space="preserve"> </w:t>
      </w:r>
      <w:r w:rsidRPr="00857B93">
        <w:rPr>
          <w:rFonts w:eastAsia="Lato" w:cs="Lato"/>
          <w:szCs w:val="20"/>
        </w:rPr>
        <w:t>ich żyzności.</w:t>
      </w:r>
    </w:p>
    <w:p w14:paraId="56A022A3" w14:textId="4AC9DDA9" w:rsidR="00491705" w:rsidRDefault="00491705" w:rsidP="00DC5F87">
      <w:r w:rsidRPr="000778C9">
        <w:t>Działania na rzecz stosowania racjonalnej agrotechniki, sprzyjającej ograniczeniu emisji gazów cieplarnianych i zwiększaniu zawartości węgla w glebie, mające znaczenie dla utrzymania żyzności gleby i</w:t>
      </w:r>
      <w:r w:rsidR="00C0675B">
        <w:t> </w:t>
      </w:r>
      <w:r w:rsidRPr="000778C9">
        <w:t>jednocześnie sprzyjające mitygacji i adaptacji do zmian klimatu będą utrzymane i rozwijane w skali uzależnionej m. in. od kształtu i budżetu przyszłej WPR.</w:t>
      </w:r>
    </w:p>
    <w:p w14:paraId="65B3E884" w14:textId="77777777" w:rsidR="002C574F" w:rsidRDefault="002C574F" w:rsidP="00DC5F87"/>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35CA2943" w14:textId="77777777" w:rsidTr="00DC5F8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85DBBCD"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484B9807" wp14:editId="1714267A">
                  <wp:extent cx="619125" cy="619125"/>
                  <wp:effectExtent l="0" t="0" r="9525" b="9525"/>
                  <wp:docPr id="1007633367"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EFA9997"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EE301D6"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702DDB19" w14:textId="77777777" w:rsidTr="00DC5F8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79DC3DC"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A6FA490"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A6F4BCC" w14:textId="77777777" w:rsidR="00491705" w:rsidRDefault="00491705">
            <w:pPr>
              <w:spacing w:after="0" w:line="240" w:lineRule="auto"/>
              <w:textAlignment w:val="baseline"/>
              <w:rPr>
                <w:rFonts w:eastAsia="Times New Roman" w:cs="Times New Roman"/>
                <w:color w:val="808080"/>
                <w:sz w:val="18"/>
                <w:szCs w:val="18"/>
                <w:lang w:eastAsia="pl-PL"/>
              </w:rPr>
            </w:pPr>
            <w:r w:rsidRPr="00BB6462">
              <w:rPr>
                <w:rFonts w:eastAsia="Times New Roman" w:cs="Times New Roman"/>
                <w:color w:val="808080"/>
                <w:sz w:val="18"/>
                <w:szCs w:val="18"/>
                <w:lang w:eastAsia="pl-PL"/>
              </w:rPr>
              <w:t>minister wł. ds. klimatu </w:t>
            </w:r>
          </w:p>
          <w:p w14:paraId="580919C1" w14:textId="3B18470D" w:rsidR="00C0675B" w:rsidRPr="00BB6462" w:rsidRDefault="00C0675B">
            <w:pPr>
              <w:spacing w:after="0" w:line="240" w:lineRule="auto"/>
              <w:textAlignment w:val="baseline"/>
              <w:rPr>
                <w:rFonts w:ascii="Times New Roman" w:eastAsia="Times New Roman" w:hAnsi="Times New Roman" w:cs="Times New Roman"/>
                <w:sz w:val="24"/>
                <w:szCs w:val="24"/>
                <w:lang w:eastAsia="pl-PL"/>
              </w:rPr>
            </w:pPr>
            <w:r w:rsidRPr="005B18B0">
              <w:rPr>
                <w:color w:val="808080"/>
                <w:sz w:val="18"/>
              </w:rPr>
              <w:t xml:space="preserve">minister wł. ds. </w:t>
            </w:r>
            <w:r>
              <w:rPr>
                <w:rFonts w:eastAsia="Times New Roman" w:cs="Times New Roman"/>
                <w:color w:val="808080"/>
                <w:sz w:val="18"/>
                <w:szCs w:val="18"/>
                <w:lang w:eastAsia="pl-PL"/>
              </w:rPr>
              <w:t>środowiska</w:t>
            </w:r>
            <w:r w:rsidRPr="00BB6462">
              <w:rPr>
                <w:rFonts w:eastAsia="Times New Roman" w:cs="Times New Roman"/>
                <w:color w:val="808080"/>
                <w:sz w:val="18"/>
                <w:szCs w:val="18"/>
                <w:lang w:eastAsia="pl-PL"/>
              </w:rPr>
              <w:t> </w:t>
            </w:r>
          </w:p>
        </w:tc>
      </w:tr>
    </w:tbl>
    <w:p w14:paraId="41146E3C" w14:textId="4B2159F0" w:rsidR="00491705" w:rsidRPr="00C01309" w:rsidRDefault="00491705" w:rsidP="006D59C3">
      <w:pPr>
        <w:pStyle w:val="Nagwek6"/>
        <w:rPr>
          <w:rFonts w:eastAsia="Bahnschrift" w:cs="Bahnschrift"/>
          <w:bCs/>
          <w:i/>
          <w:iCs/>
        </w:rPr>
      </w:pPr>
      <w:bookmarkStart w:id="1135" w:name="_Toc195856583"/>
      <w:bookmarkStart w:id="1136" w:name="_Ref195885892"/>
      <w:bookmarkStart w:id="1137" w:name="_Ref195886492"/>
      <w:bookmarkStart w:id="1138" w:name="_Ref195888656"/>
      <w:r>
        <w:t xml:space="preserve">Działanie </w:t>
      </w:r>
      <w:r>
        <w:fldChar w:fldCharType="begin"/>
      </w:r>
      <w:r>
        <w:instrText>SEQ Działanie \* ARABIC</w:instrText>
      </w:r>
      <w:r>
        <w:fldChar w:fldCharType="separate"/>
      </w:r>
      <w:r w:rsidR="00871DD5">
        <w:rPr>
          <w:noProof/>
        </w:rPr>
        <w:t>65</w:t>
      </w:r>
      <w:r>
        <w:fldChar w:fldCharType="end"/>
      </w:r>
      <w:r>
        <w:t xml:space="preserve">. </w:t>
      </w:r>
      <w:r w:rsidRPr="003B4C4B">
        <w:t>Działania rolno-środowiskowo-klimatyczne w ramach WPR</w:t>
      </w:r>
      <w:bookmarkEnd w:id="1135"/>
      <w:bookmarkEnd w:id="1136"/>
      <w:bookmarkEnd w:id="1137"/>
      <w:bookmarkEnd w:id="1138"/>
    </w:p>
    <w:p w14:paraId="47D5C2C5" w14:textId="24FE4648" w:rsidR="00491705" w:rsidRDefault="00491705" w:rsidP="00DC5F87">
      <w:r>
        <w:t>I</w:t>
      </w:r>
      <w:r w:rsidRPr="001F6C85">
        <w:t xml:space="preserve">nterwencje rolno-środowiskowo-klimatyczne w ramach </w:t>
      </w:r>
      <w:r w:rsidR="00DC5F87">
        <w:t>Planu Strategicznego</w:t>
      </w:r>
      <w:r w:rsidRPr="001F6C85">
        <w:t xml:space="preserve"> WPR 2023-2027</w:t>
      </w:r>
      <w:r>
        <w:t xml:space="preserve"> oraz </w:t>
      </w:r>
      <w:r w:rsidRPr="001F6C85">
        <w:t xml:space="preserve">Działanie rolno-środowiskowo-klimatyczne w ramach PROW 2014–2020 (kontynuacja wybranych pakietów do </w:t>
      </w:r>
      <w:r>
        <w:t xml:space="preserve">marca </w:t>
      </w:r>
      <w:r w:rsidRPr="001F6C85">
        <w:t>2027 r.) polegają na stosowaniu płatności rekompensujących poniesione dodatkowe koszty i utracone dochody rolnikom, którzy dobrowolnie stosują metody produkcji sprzyjające zachowaniu różnorodności biologicznej, krajobrazu oraz zasobów środowiska, przede wszystkim gleby i</w:t>
      </w:r>
      <w:r w:rsidR="00A64BE6">
        <w:t> </w:t>
      </w:r>
      <w:r w:rsidRPr="001F6C85">
        <w:t xml:space="preserve">wody. Do kluczowych praktyk promowanych w ramach płatności rolno-środowiskowo-klimatycznych należą: ekstensyfikacja rolniczego użytkowania łąk i pastwisk (w tym na obszarach Natura 2000), zachowanie starych tradycyjnych sadów, </w:t>
      </w:r>
      <w:r>
        <w:t xml:space="preserve">ochrona zasobów genetycznych roślin i zwierząt oraz </w:t>
      </w:r>
      <w:r w:rsidRPr="001F6C85">
        <w:t>ochrona bioróżnorodności na gruntach ornych. Wszystkie te praktyki oddziaływają korzystnie na klimat. Co</w:t>
      </w:r>
      <w:r w:rsidR="00A64BE6">
        <w:t> </w:t>
      </w:r>
      <w:r w:rsidRPr="001F6C85">
        <w:t>do</w:t>
      </w:r>
      <w:r w:rsidR="00A64BE6">
        <w:t> </w:t>
      </w:r>
      <w:r w:rsidRPr="001F6C85">
        <w:t>zasady, płatność przyznawana jest do obszaru.</w:t>
      </w:r>
    </w:p>
    <w:p w14:paraId="6E9DEAA3" w14:textId="75F6DB36" w:rsidR="00491705" w:rsidRDefault="00491705" w:rsidP="00DC5F87">
      <w:r>
        <w:t>Działania rolno</w:t>
      </w:r>
      <w:r w:rsidR="00DC5F87">
        <w:t>-</w:t>
      </w:r>
      <w:r>
        <w:t>środowiskowo</w:t>
      </w:r>
      <w:r w:rsidR="00DC5F87">
        <w:t>-</w:t>
      </w:r>
      <w:r>
        <w:t>klimatyczne zależą od przyszłej legislacji unijnej i krajowej, kształtu i</w:t>
      </w:r>
      <w:r w:rsidR="00DC5F87">
        <w:t> </w:t>
      </w:r>
      <w:r>
        <w:t>budżetu przyszłej WPR po 2027</w:t>
      </w:r>
      <w:r w:rsidR="00DC5F87">
        <w:t xml:space="preserve"> r</w:t>
      </w:r>
      <w:r>
        <w:t xml:space="preserve">. </w:t>
      </w:r>
      <w:r w:rsidRPr="002F14CC">
        <w:t xml:space="preserve">Polska stosować będzie odpowiednie przepisy UE modyfikując </w:t>
      </w:r>
      <w:r>
        <w:t>działania</w:t>
      </w:r>
      <w:r w:rsidRPr="002F14CC">
        <w:t xml:space="preserve"> dla rolnictwa z uwzględnieniem specyfiki sektora i zidentyfikowan</w:t>
      </w:r>
      <w:r>
        <w:t>ych</w:t>
      </w:r>
      <w:r w:rsidRPr="002F14CC">
        <w:t xml:space="preserve"> potrzeb krajow</w:t>
      </w:r>
      <w:r>
        <w:t>ych</w:t>
      </w:r>
      <w:r w:rsidRPr="002F14CC">
        <w:t>.</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1D1E2AC3"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AA9FF27" w14:textId="77777777" w:rsidR="00302298" w:rsidRPr="00BB6462" w:rsidRDefault="00302298">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lastRenderedPageBreak/>
              <w:drawing>
                <wp:inline distT="0" distB="0" distL="0" distR="0" wp14:anchorId="47E3FA0F" wp14:editId="0FFCE8F8">
                  <wp:extent cx="619125" cy="619125"/>
                  <wp:effectExtent l="0" t="0" r="9525" b="9525"/>
                  <wp:docPr id="2013819187"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6AE3CCF" w14:textId="77777777" w:rsidR="00302298" w:rsidRPr="00BB6462" w:rsidRDefault="00302298">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55F892B" w14:textId="77777777" w:rsidR="00302298" w:rsidRPr="00BB6462" w:rsidRDefault="00302298">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50B19668"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95B4326" w14:textId="77777777" w:rsidR="00302298" w:rsidRPr="00BB6462" w:rsidRDefault="00302298">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D2BC726" w14:textId="77777777" w:rsidR="00302298" w:rsidRPr="00BB6462" w:rsidRDefault="00302298">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383B514" w14:textId="77777777" w:rsidR="00302298" w:rsidRDefault="00302298">
            <w:pPr>
              <w:spacing w:after="0" w:line="240" w:lineRule="auto"/>
              <w:textAlignment w:val="baseline"/>
              <w:rPr>
                <w:rFonts w:eastAsia="Times New Roman" w:cs="Times New Roman"/>
                <w:color w:val="808080"/>
                <w:sz w:val="18"/>
                <w:szCs w:val="18"/>
                <w:lang w:eastAsia="pl-PL"/>
              </w:rPr>
            </w:pPr>
            <w:r w:rsidRPr="00BB6462">
              <w:rPr>
                <w:rFonts w:eastAsia="Times New Roman" w:cs="Times New Roman"/>
                <w:color w:val="808080"/>
                <w:sz w:val="18"/>
                <w:szCs w:val="18"/>
                <w:lang w:eastAsia="pl-PL"/>
              </w:rPr>
              <w:t>minister wł. ds. klimatu </w:t>
            </w:r>
          </w:p>
          <w:p w14:paraId="6EC6838C" w14:textId="77777777" w:rsidR="00302298" w:rsidRPr="00BB6462" w:rsidRDefault="00302298">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minister wł. ds. środowiska</w:t>
            </w:r>
            <w:r w:rsidRPr="00BB6462">
              <w:rPr>
                <w:rFonts w:eastAsia="Times New Roman" w:cs="Times New Roman"/>
                <w:color w:val="808080"/>
                <w:sz w:val="18"/>
                <w:szCs w:val="18"/>
                <w:lang w:eastAsia="pl-PL"/>
              </w:rPr>
              <w:t> </w:t>
            </w:r>
          </w:p>
        </w:tc>
      </w:tr>
    </w:tbl>
    <w:p w14:paraId="6FA905F9" w14:textId="77777777" w:rsidR="00302298" w:rsidRDefault="00302298" w:rsidP="00DC5F87"/>
    <w:p w14:paraId="2F38F1E1" w14:textId="4A822225" w:rsidR="00491705" w:rsidRPr="00C01309" w:rsidRDefault="00491705" w:rsidP="00D523F3">
      <w:pPr>
        <w:pStyle w:val="Nagwek6"/>
        <w:rPr>
          <w:rFonts w:eastAsia="Bahnschrift" w:cs="Bahnschrift"/>
          <w:bCs/>
          <w:i/>
          <w:iCs/>
        </w:rPr>
      </w:pPr>
      <w:bookmarkStart w:id="1139" w:name="_Toc195856584"/>
      <w:bookmarkStart w:id="1140" w:name="_Ref195885913"/>
      <w:bookmarkStart w:id="1141" w:name="_Ref195886497"/>
      <w:bookmarkStart w:id="1142" w:name="_Ref195888645"/>
      <w:r>
        <w:t xml:space="preserve">Działanie </w:t>
      </w:r>
      <w:r>
        <w:fldChar w:fldCharType="begin"/>
      </w:r>
      <w:r>
        <w:instrText>SEQ Działanie \* ARABIC</w:instrText>
      </w:r>
      <w:r>
        <w:fldChar w:fldCharType="separate"/>
      </w:r>
      <w:r w:rsidR="00871DD5">
        <w:rPr>
          <w:noProof/>
        </w:rPr>
        <w:t>66</w:t>
      </w:r>
      <w:r>
        <w:fldChar w:fldCharType="end"/>
      </w:r>
      <w:r>
        <w:t xml:space="preserve">. </w:t>
      </w:r>
      <w:r w:rsidRPr="001462C7">
        <w:t>Wsparcie w zakresie rolnictwa ekologicznego w ramach WPR</w:t>
      </w:r>
      <w:bookmarkEnd w:id="1139"/>
      <w:bookmarkEnd w:id="1140"/>
      <w:bookmarkEnd w:id="1141"/>
      <w:bookmarkEnd w:id="1142"/>
      <w:r w:rsidRPr="61A939A5">
        <w:rPr>
          <w:rFonts w:eastAsia="Bahnschrift" w:cs="Bahnschrift"/>
          <w:bCs/>
        </w:rPr>
        <w:t xml:space="preserve"> </w:t>
      </w:r>
    </w:p>
    <w:p w14:paraId="36A405C7" w14:textId="77777777" w:rsidR="00491705" w:rsidRPr="001F6C85" w:rsidRDefault="00491705" w:rsidP="00DC5F87">
      <w:r w:rsidRPr="001F6C85">
        <w:t xml:space="preserve">Systemem zarządzania gospodarstwem i produkcją żywności, łączący praktyki najkorzystniejsze dla środowiska i klimatu, wysoki stopień różnorodności biologicznej, ochronę zasobów naturalnych oraz stosowanie wysokich norm dotyczących dobrostanu zwierząt i produkcji. Działanie polega na wspieraniu dobrowolnych zobowiązań rolników, którzy podejmują się utrzymać lub przejść na praktyki i metody rolnictwa ekologicznego określone w prawodawstwie unijnym i krajowym. </w:t>
      </w:r>
    </w:p>
    <w:p w14:paraId="4D7E703E" w14:textId="49DAEFC1" w:rsidR="00491705" w:rsidRDefault="00491705" w:rsidP="00DC5F87">
      <w:r w:rsidRPr="001F6C85">
        <w:t xml:space="preserve">Wsparciem w ramach interwencji </w:t>
      </w:r>
      <w:r>
        <w:t xml:space="preserve">obecnie </w:t>
      </w:r>
      <w:r w:rsidRPr="001F6C85">
        <w:t>objęte są następujące grupy upraw: rolnicze, warzywne, zielarskie, sadownicze podstawowe, jagodowe, sadownicze ekstensywne, paszowe oraz trwale użytki zielone. Płatność odnosi się do obszaru. Dodatkowo stosowana jest premia dla gospodarstw prowadzących zrównoważoną produkcję roślinno-zwierzęcą, tj. posiadających zwierzęta w obsadzie od</w:t>
      </w:r>
      <w:r w:rsidR="00A64BE6">
        <w:t> </w:t>
      </w:r>
      <w:r w:rsidRPr="001F6C85">
        <w:t>0,3 DJP/ha do 1,5 DJP/ha wszystkich użytków rolnych w gospodarstwie</w:t>
      </w:r>
      <w:r w:rsidRPr="006C369E">
        <w:t>.</w:t>
      </w:r>
    </w:p>
    <w:p w14:paraId="06A4E945" w14:textId="0148F01E" w:rsidR="00491705" w:rsidRDefault="00491705" w:rsidP="00901FEA">
      <w:pPr>
        <w:spacing w:after="240"/>
      </w:pPr>
      <w:r>
        <w:t>Działanie w zakresie wsparcia rolnictwa ekologicznego</w:t>
      </w:r>
      <w:r w:rsidR="003E2DE5">
        <w:t xml:space="preserve"> </w:t>
      </w:r>
      <w:r>
        <w:t>będzie modyfikowane</w:t>
      </w:r>
      <w:r w:rsidRPr="00D5018B">
        <w:t xml:space="preserve"> w zal</w:t>
      </w:r>
      <w:r>
        <w:t xml:space="preserve">eżności od </w:t>
      </w:r>
      <w:r w:rsidRPr="00D5018B">
        <w:t>przyszłej legislacji unijnej i krajowej.</w:t>
      </w:r>
      <w:r w:rsidRPr="002F14CC">
        <w:t xml:space="preserve"> Polska stosować będzie odpowiednie przepisy UE modyfikując </w:t>
      </w:r>
      <w:r>
        <w:t>działania</w:t>
      </w:r>
      <w:r w:rsidRPr="002F14CC">
        <w:t xml:space="preserve"> dla rolnictwa z uwzględnieniem specyfiki sektora i zidentyfikowan</w:t>
      </w:r>
      <w:r>
        <w:t>ych</w:t>
      </w:r>
      <w:r w:rsidRPr="002F14CC">
        <w:t xml:space="preserve"> potrzeb krajow</w:t>
      </w:r>
      <w:r>
        <w:t>ych</w:t>
      </w:r>
      <w:r w:rsidRPr="002F14CC">
        <w:t>.</w:t>
      </w:r>
      <w:r w:rsidR="003E2DE5">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09C1D194"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F95C15F"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0846397E" wp14:editId="0918466E">
                  <wp:extent cx="619125" cy="619125"/>
                  <wp:effectExtent l="0" t="0" r="9525" b="9525"/>
                  <wp:docPr id="466794517"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F285A64"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A2071FD"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53763C82"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B91C5FF"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265C06C"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3340231" w14:textId="77777777" w:rsidR="00491705" w:rsidRDefault="00491705">
            <w:pPr>
              <w:spacing w:after="0" w:line="240" w:lineRule="auto"/>
              <w:textAlignment w:val="baseline"/>
              <w:rPr>
                <w:rFonts w:eastAsia="Times New Roman" w:cs="Times New Roman"/>
                <w:color w:val="808080"/>
                <w:sz w:val="18"/>
                <w:szCs w:val="18"/>
                <w:lang w:eastAsia="pl-PL"/>
              </w:rPr>
            </w:pPr>
            <w:r w:rsidRPr="00BB6462">
              <w:rPr>
                <w:rFonts w:eastAsia="Times New Roman" w:cs="Times New Roman"/>
                <w:color w:val="808080"/>
                <w:sz w:val="18"/>
                <w:szCs w:val="18"/>
                <w:lang w:eastAsia="pl-PL"/>
              </w:rPr>
              <w:t>minister wł. ds. klimatu </w:t>
            </w:r>
          </w:p>
          <w:p w14:paraId="2493C195" w14:textId="1BF817E8" w:rsidR="00302298" w:rsidRPr="00BB6462" w:rsidRDefault="00302298">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minister wł. ds. środowiska</w:t>
            </w:r>
            <w:r w:rsidRPr="00BB6462">
              <w:rPr>
                <w:rFonts w:eastAsia="Times New Roman" w:cs="Times New Roman"/>
                <w:color w:val="808080"/>
                <w:sz w:val="18"/>
                <w:szCs w:val="18"/>
                <w:lang w:eastAsia="pl-PL"/>
              </w:rPr>
              <w:t> </w:t>
            </w:r>
          </w:p>
        </w:tc>
      </w:tr>
    </w:tbl>
    <w:p w14:paraId="79FC16B9" w14:textId="77777777" w:rsidR="00491705" w:rsidRDefault="00491705" w:rsidP="00491705">
      <w:pPr>
        <w:spacing w:line="279" w:lineRule="auto"/>
        <w:rPr>
          <w:rFonts w:eastAsia="Lato" w:cs="Lato"/>
          <w:szCs w:val="20"/>
        </w:rPr>
      </w:pPr>
    </w:p>
    <w:p w14:paraId="5700ACB2" w14:textId="4575F420" w:rsidR="00491705" w:rsidRDefault="00491705" w:rsidP="00D523F3">
      <w:pPr>
        <w:pStyle w:val="Nagwek6"/>
        <w:rPr>
          <w:rFonts w:eastAsia="Bahnschrift" w:cs="Bahnschrift"/>
          <w:bCs/>
          <w:i/>
          <w:iCs/>
        </w:rPr>
      </w:pPr>
      <w:bookmarkStart w:id="1143" w:name="_Toc195856585"/>
      <w:bookmarkStart w:id="1144" w:name="_Ref195886202"/>
      <w:bookmarkStart w:id="1145" w:name="_Ref195886511"/>
      <w:bookmarkStart w:id="1146" w:name="_Ref195887086"/>
      <w:bookmarkStart w:id="1147" w:name="_Ref195888548"/>
      <w:r>
        <w:t xml:space="preserve">Działanie </w:t>
      </w:r>
      <w:r>
        <w:fldChar w:fldCharType="begin"/>
      </w:r>
      <w:r>
        <w:instrText>SEQ Działanie \* ARABIC</w:instrText>
      </w:r>
      <w:r>
        <w:fldChar w:fldCharType="separate"/>
      </w:r>
      <w:r w:rsidR="00871DD5">
        <w:rPr>
          <w:noProof/>
        </w:rPr>
        <w:t>67</w:t>
      </w:r>
      <w:r>
        <w:fldChar w:fldCharType="end"/>
      </w:r>
      <w:r>
        <w:t xml:space="preserve">. </w:t>
      </w:r>
      <w:r w:rsidRPr="00101B21">
        <w:t>Interwencje leśne i zadrzewieniowe w ramach WPR</w:t>
      </w:r>
      <w:bookmarkEnd w:id="1143"/>
      <w:bookmarkEnd w:id="1144"/>
      <w:bookmarkEnd w:id="1145"/>
      <w:bookmarkEnd w:id="1146"/>
      <w:bookmarkEnd w:id="1147"/>
    </w:p>
    <w:p w14:paraId="4FEDFB4F" w14:textId="77777777" w:rsidR="00491705" w:rsidRDefault="00491705" w:rsidP="002C574F">
      <w:r w:rsidRPr="000D6A9B">
        <w:t xml:space="preserve">Grupa interwencji w ramach II filaru WPR, w ramach których </w:t>
      </w:r>
      <w:r>
        <w:t xml:space="preserve">można </w:t>
      </w:r>
      <w:r w:rsidRPr="000D6A9B">
        <w:t xml:space="preserve">otrzymać wsparcie na: zalesianie gruntów rolnych, tworzenie zadrzewień śródpolnych, zakładanie systemów rolno-leśnych oraz zwiększanie bioróżnorodności lasów prywatnych. Jednocześnie w ramach WPR przyznawana jest pomoc na kontynuację zobowiązań </w:t>
      </w:r>
      <w:r>
        <w:t xml:space="preserve">dotyczących zalesień </w:t>
      </w:r>
      <w:r w:rsidRPr="000D6A9B">
        <w:t xml:space="preserve">podjętych w ramach </w:t>
      </w:r>
      <w:r>
        <w:t xml:space="preserve">Planu Rozwoju Obszarów Wiejskich </w:t>
      </w:r>
      <w:r w:rsidRPr="000D6A9B">
        <w:t>2004-2006</w:t>
      </w:r>
      <w:r>
        <w:t xml:space="preserve"> oraz </w:t>
      </w:r>
      <w:r w:rsidRPr="000D6A9B">
        <w:t>Program</w:t>
      </w:r>
      <w:r>
        <w:t>u</w:t>
      </w:r>
      <w:r w:rsidRPr="000D6A9B">
        <w:t xml:space="preserve"> Rozwoju Obszarów Wiejskich (PROW) 2007-2013 i 2014-2020. Działania leśne i zadrzewieniowe przyczyniają się do sekwestracji dwutlenku węgla, a tym samym do łagodzenia zmian klimatu. Mają również korzystny wpływ na gleby i warunki wodne poprzez m.in. zapobieganie erozji i zwiększenie retencji na obszarach wiejskich. Pełnią także ważne funkcje w zakresie ochrony bioróżnorodności i wzbogacania krajobrazu. Stanowią istotny element przeciwdziałania skutkom suszy, ograniczając straty wody z gleby oraz przyczyniając się do zmniejszenia spływu powierzchniowego wód</w:t>
      </w:r>
      <w:r w:rsidRPr="6F3D87D5">
        <w:t>.</w:t>
      </w:r>
    </w:p>
    <w:p w14:paraId="77CEECF3" w14:textId="6F2C9068" w:rsidR="00491705" w:rsidRDefault="00491705" w:rsidP="00851BA5">
      <w:pPr>
        <w:spacing w:after="240"/>
      </w:pPr>
      <w:r w:rsidRPr="000A6E8F">
        <w:t xml:space="preserve">Działanie w zakresie </w:t>
      </w:r>
      <w:r>
        <w:t>interwencji leśnych i zadrzewieniowych będą</w:t>
      </w:r>
      <w:r w:rsidRPr="000A6E8F">
        <w:t xml:space="preserve"> modyfikowane w zależności od</w:t>
      </w:r>
      <w:r w:rsidR="00A64BE6">
        <w:t> </w:t>
      </w:r>
      <w:r w:rsidRPr="000A6E8F">
        <w:t xml:space="preserve">przyszłej legislacji unijnej i krajowej. Polska stosować będzie odpowiednie przepisy UE modyfikując </w:t>
      </w:r>
      <w:r>
        <w:t>działania</w:t>
      </w:r>
      <w:r w:rsidRPr="000A6E8F">
        <w:t xml:space="preserve"> dla rolnictwa z uwzględnieniem specyfiki sektora i zidentyfikowanych potrzeb krajowych.</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6326554D"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8650BA7"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0352B186" wp14:editId="167100B4">
                  <wp:extent cx="619125" cy="619125"/>
                  <wp:effectExtent l="0" t="0" r="9525" b="9525"/>
                  <wp:docPr id="721905361"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77CFCBB"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0F85D76"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5D091114"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0A35838"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57C2FBE"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84045DF"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środowiska </w:t>
            </w:r>
          </w:p>
          <w:p w14:paraId="44C5382E"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tc>
      </w:tr>
    </w:tbl>
    <w:p w14:paraId="39BC2890" w14:textId="6A0FF4CC" w:rsidR="00491705" w:rsidRPr="00814CD3" w:rsidRDefault="00491705" w:rsidP="00851BA5">
      <w:pPr>
        <w:pStyle w:val="Nagwek6"/>
        <w:rPr>
          <w:rFonts w:eastAsia="Bahnschrift" w:cs="Bahnschrift"/>
          <w:bCs/>
          <w:i/>
          <w:iCs/>
        </w:rPr>
      </w:pPr>
      <w:bookmarkStart w:id="1148" w:name="_Toc195856586"/>
      <w:bookmarkStart w:id="1149" w:name="_Ref195885942"/>
      <w:bookmarkStart w:id="1150" w:name="_Ref195888217"/>
      <w:bookmarkStart w:id="1151" w:name="_Ref195891856"/>
      <w:bookmarkStart w:id="1152" w:name="_Ref195894230"/>
      <w:r>
        <w:lastRenderedPageBreak/>
        <w:t xml:space="preserve">Działanie </w:t>
      </w:r>
      <w:r>
        <w:fldChar w:fldCharType="begin"/>
      </w:r>
      <w:r>
        <w:instrText>SEQ Działanie \* ARABIC</w:instrText>
      </w:r>
      <w:r>
        <w:fldChar w:fldCharType="separate"/>
      </w:r>
      <w:r w:rsidR="00871DD5">
        <w:rPr>
          <w:noProof/>
        </w:rPr>
        <w:t>68</w:t>
      </w:r>
      <w:r>
        <w:fldChar w:fldCharType="end"/>
      </w:r>
      <w:r>
        <w:t xml:space="preserve">. </w:t>
      </w:r>
      <w:r w:rsidRPr="006E75AF">
        <w:t>Wsparcie rozwoju biogazowni rolniczych</w:t>
      </w:r>
      <w:bookmarkEnd w:id="1148"/>
      <w:bookmarkEnd w:id="1149"/>
      <w:bookmarkEnd w:id="1150"/>
      <w:bookmarkEnd w:id="1151"/>
      <w:bookmarkEnd w:id="1152"/>
    </w:p>
    <w:p w14:paraId="026CF58E" w14:textId="77777777" w:rsidR="00491705" w:rsidRDefault="00491705" w:rsidP="002C574F">
      <w:r w:rsidRPr="00814CD3">
        <w:t>Działanie polega na zapewnieniu warunków uruchomienia biogazowni rolniczych przez podmioty prywatne, w tym m.in.: przygotowanie regulacji, rozwój zasobów ludzkich, instrumenty finansowe, budowanie świadomości, wydawanie zgód środowiskowych.</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411EB2E2"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91508E0"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0834B484" wp14:editId="68FDDC21">
                  <wp:extent cx="619125" cy="619125"/>
                  <wp:effectExtent l="0" t="0" r="9525" b="9525"/>
                  <wp:docPr id="1987770821"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7024D60"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E5F17BF"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408C88D9"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1C1604B"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297EF12"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9BB4681"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tc>
      </w:tr>
    </w:tbl>
    <w:p w14:paraId="1EC7557A" w14:textId="6D0FA8AB" w:rsidR="00491705" w:rsidRPr="00040F3E" w:rsidRDefault="00491705" w:rsidP="00851BA5">
      <w:pPr>
        <w:pStyle w:val="Nagwek6"/>
        <w:rPr>
          <w:rFonts w:eastAsia="Bahnschrift" w:cs="Bahnschrift"/>
          <w:bCs/>
          <w:i/>
          <w:iCs/>
        </w:rPr>
      </w:pPr>
      <w:bookmarkStart w:id="1153" w:name="_Toc195856587"/>
      <w:bookmarkStart w:id="1154" w:name="_Ref195885955"/>
      <w:bookmarkStart w:id="1155" w:name="_Ref195885997"/>
      <w:bookmarkStart w:id="1156" w:name="_Ref195894213"/>
      <w:r>
        <w:t xml:space="preserve">Działanie </w:t>
      </w:r>
      <w:r>
        <w:fldChar w:fldCharType="begin"/>
      </w:r>
      <w:r>
        <w:instrText>SEQ Działanie \* ARABIC</w:instrText>
      </w:r>
      <w:r>
        <w:fldChar w:fldCharType="separate"/>
      </w:r>
      <w:r w:rsidR="00871DD5">
        <w:rPr>
          <w:noProof/>
        </w:rPr>
        <w:t>69</w:t>
      </w:r>
      <w:r>
        <w:fldChar w:fldCharType="end"/>
      </w:r>
      <w:r>
        <w:t xml:space="preserve">. </w:t>
      </w:r>
      <w:r w:rsidRPr="00A47125">
        <w:t>Instrument finansowy – Program NFOŚiGW „Energia dla wsi”</w:t>
      </w:r>
      <w:bookmarkEnd w:id="1153"/>
      <w:bookmarkEnd w:id="1154"/>
      <w:bookmarkEnd w:id="1155"/>
      <w:bookmarkEnd w:id="1156"/>
      <w:r>
        <w:t xml:space="preserve"> </w:t>
      </w:r>
    </w:p>
    <w:p w14:paraId="6026E1D1" w14:textId="2121A315" w:rsidR="00491705" w:rsidRDefault="00491705" w:rsidP="00851BA5">
      <w:pPr>
        <w:spacing w:after="240"/>
        <w:rPr>
          <w:rFonts w:eastAsia="Lato" w:cs="Lato"/>
          <w:szCs w:val="20"/>
        </w:rPr>
      </w:pPr>
      <w:r w:rsidRPr="00040F3E">
        <w:rPr>
          <w:rFonts w:eastAsia="Lato" w:cs="Lato"/>
          <w:szCs w:val="20"/>
        </w:rPr>
        <w:t>Program obejmuje obecnie wsparcie inwestycji dotyczących budowy: elektrowni wodnych, instalacji wytwarzania energii z biogazu rolniczego w warunkach wysokosprawnej kogeneracji</w:t>
      </w:r>
      <w:r>
        <w:rPr>
          <w:rFonts w:eastAsia="Lato" w:cs="Lato"/>
          <w:szCs w:val="20"/>
        </w:rPr>
        <w:t xml:space="preserve"> </w:t>
      </w:r>
      <w:r w:rsidRPr="00040F3E">
        <w:rPr>
          <w:rFonts w:eastAsia="Lato" w:cs="Lato"/>
          <w:szCs w:val="20"/>
        </w:rPr>
        <w:t>oraz magazynów energii. Beneficjentami mogą być spółdzielnie energetyczne i jej członkowie będący przedsiębiorcami, a</w:t>
      </w:r>
      <w:r w:rsidR="002C574F">
        <w:rPr>
          <w:rFonts w:eastAsia="Lato" w:cs="Lato"/>
          <w:szCs w:val="20"/>
        </w:rPr>
        <w:t> </w:t>
      </w:r>
      <w:r w:rsidRPr="00040F3E">
        <w:rPr>
          <w:rFonts w:eastAsia="Lato" w:cs="Lato"/>
          <w:szCs w:val="20"/>
        </w:rPr>
        <w:t>także rolnicy.</w:t>
      </w:r>
      <w:r w:rsidR="003E2DE5">
        <w:rPr>
          <w:rFonts w:eastAsia="Lato" w:cs="Lato"/>
          <w:szCs w:val="20"/>
        </w:rPr>
        <w:t xml:space="preserve"> </w:t>
      </w:r>
    </w:p>
    <w:p w14:paraId="44B33FDD" w14:textId="77777777" w:rsidR="003C312A" w:rsidRDefault="003C312A" w:rsidP="00851BA5">
      <w:pPr>
        <w:spacing w:after="240"/>
        <w:rPr>
          <w:rFonts w:eastAsia="Lato" w:cs="Lato"/>
          <w:szCs w:val="20"/>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1E7D02F8"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EB1E71E"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6DF2D652" wp14:editId="1814FD0E">
                  <wp:extent cx="619125" cy="619125"/>
                  <wp:effectExtent l="0" t="0" r="9525" b="9525"/>
                  <wp:docPr id="832522136"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9FC3BB9"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C8BE92B"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25BD76E1"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CE7B0BF"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F746242"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EEA53C5"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p w14:paraId="0E9C8596"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p>
        </w:tc>
      </w:tr>
    </w:tbl>
    <w:p w14:paraId="70864FBB" w14:textId="35CC74D2" w:rsidR="00491705" w:rsidRPr="00B70285" w:rsidRDefault="00491705" w:rsidP="00D523F3">
      <w:pPr>
        <w:pStyle w:val="Nagwek6"/>
        <w:rPr>
          <w:rFonts w:eastAsia="Bahnschrift" w:cs="Bahnschrift"/>
          <w:bCs/>
          <w:i/>
          <w:iCs/>
        </w:rPr>
      </w:pPr>
      <w:bookmarkStart w:id="1157" w:name="_Toc195856588"/>
      <w:bookmarkStart w:id="1158" w:name="_Ref195886049"/>
      <w:bookmarkStart w:id="1159" w:name="_Ref195887777"/>
      <w:r>
        <w:t xml:space="preserve">Działanie </w:t>
      </w:r>
      <w:r>
        <w:fldChar w:fldCharType="begin"/>
      </w:r>
      <w:r>
        <w:instrText>SEQ Działanie \* ARABIC</w:instrText>
      </w:r>
      <w:r>
        <w:fldChar w:fldCharType="separate"/>
      </w:r>
      <w:r w:rsidR="00871DD5">
        <w:rPr>
          <w:noProof/>
        </w:rPr>
        <w:t>70</w:t>
      </w:r>
      <w:r>
        <w:fldChar w:fldCharType="end"/>
      </w:r>
      <w:r>
        <w:t xml:space="preserve">. </w:t>
      </w:r>
      <w:r w:rsidRPr="00A24CCD">
        <w:t>Ograniczenie marnotrawstwa żywności</w:t>
      </w:r>
      <w:bookmarkEnd w:id="1157"/>
      <w:bookmarkEnd w:id="1158"/>
      <w:bookmarkEnd w:id="1159"/>
      <w:r>
        <w:t xml:space="preserve"> </w:t>
      </w:r>
    </w:p>
    <w:p w14:paraId="6BADA966" w14:textId="77777777" w:rsidR="00491705" w:rsidRPr="00321765" w:rsidRDefault="00491705" w:rsidP="00851BA5">
      <w:r w:rsidRPr="00321765">
        <w:t>Działanie polega na wspieraniu rozwiązań redukujących marnowanie żywności na każdym etapie łańcucha jej produkcji, co pozwoli ograniczyć wpływ produkcji żywności na emisje, ponieważ wytworzenie i przechowywanie każdej partii żywności pociąga za sobą obecnie określone emisje GHG. Wdrażane będą zarówno działania legislacyjne jak i edukacyjne, w szczególności:</w:t>
      </w:r>
    </w:p>
    <w:p w14:paraId="0048A0A0" w14:textId="08427BED" w:rsidR="00491705" w:rsidRPr="00321765" w:rsidRDefault="00505141" w:rsidP="000625AC">
      <w:pPr>
        <w:pStyle w:val="Akapitzlist"/>
        <w:numPr>
          <w:ilvl w:val="0"/>
          <w:numId w:val="88"/>
        </w:numPr>
        <w:spacing w:line="278" w:lineRule="auto"/>
        <w:rPr>
          <w:rFonts w:eastAsia="Lato" w:cs="Lato"/>
          <w:szCs w:val="20"/>
        </w:rPr>
      </w:pPr>
      <w:r>
        <w:rPr>
          <w:rFonts w:eastAsia="Lato" w:cs="Lato"/>
          <w:szCs w:val="20"/>
        </w:rPr>
        <w:t>U</w:t>
      </w:r>
      <w:r w:rsidR="00491705" w:rsidRPr="00321765">
        <w:rPr>
          <w:rFonts w:eastAsia="Lato" w:cs="Lato"/>
          <w:szCs w:val="20"/>
        </w:rPr>
        <w:t>stawa z dnia 19 lipca 2019 r o przeciwdziałaniu marnowaniu żywności (Dz. U. z 2020 r, poz. 1645) zostanie znowelizowana tak, aby doprecyzować niejasności dotyczące definicji marnowania żywności i możliwości przekazywania żywności na cele charytatywne</w:t>
      </w:r>
      <w:r>
        <w:rPr>
          <w:rFonts w:eastAsia="Lato" w:cs="Lato"/>
          <w:szCs w:val="20"/>
        </w:rPr>
        <w:t>.</w:t>
      </w:r>
    </w:p>
    <w:p w14:paraId="7D46C342" w14:textId="174CA904" w:rsidR="00491705" w:rsidRDefault="00505141" w:rsidP="000625AC">
      <w:pPr>
        <w:pStyle w:val="Akapitzlist"/>
        <w:numPr>
          <w:ilvl w:val="0"/>
          <w:numId w:val="88"/>
        </w:numPr>
        <w:spacing w:line="278" w:lineRule="auto"/>
        <w:rPr>
          <w:rFonts w:eastAsia="Lato" w:cs="Lato"/>
          <w:szCs w:val="20"/>
        </w:rPr>
      </w:pPr>
      <w:r>
        <w:rPr>
          <w:rFonts w:eastAsia="Lato" w:cs="Lato"/>
          <w:szCs w:val="20"/>
        </w:rPr>
        <w:t>P</w:t>
      </w:r>
      <w:r w:rsidR="00491705" w:rsidRPr="00321765">
        <w:rPr>
          <w:rFonts w:eastAsia="Lato" w:cs="Lato"/>
          <w:szCs w:val="20"/>
        </w:rPr>
        <w:t>rowadzone będą kampani</w:t>
      </w:r>
      <w:r w:rsidR="007342E1">
        <w:rPr>
          <w:rFonts w:eastAsia="Lato" w:cs="Lato"/>
          <w:szCs w:val="20"/>
        </w:rPr>
        <w:t>e</w:t>
      </w:r>
      <w:r w:rsidR="00491705" w:rsidRPr="00321765">
        <w:rPr>
          <w:rFonts w:eastAsia="Lato" w:cs="Lato"/>
          <w:szCs w:val="20"/>
        </w:rPr>
        <w:t xml:space="preserve"> uświadamiające i edukujące o możliwości redukcji marnotrawstwa żywności, w tym dotyczące mądrego planowania zakupów i właściwego przechowywania żywności.</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763671A8"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EBDB078"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783CBFE6" wp14:editId="4D9AD523">
                  <wp:extent cx="619125" cy="619125"/>
                  <wp:effectExtent l="0" t="0" r="9525" b="9525"/>
                  <wp:docPr id="1859736129"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E27A643"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2223ACD"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7D0B54E4"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1B33A2A"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3CB18AC"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17E8042"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tc>
      </w:tr>
    </w:tbl>
    <w:p w14:paraId="36C4A4C4" w14:textId="77777777" w:rsidR="00491705" w:rsidRPr="00321765" w:rsidRDefault="00491705" w:rsidP="00491705">
      <w:pPr>
        <w:pStyle w:val="Akapitzlist"/>
        <w:spacing w:line="278" w:lineRule="auto"/>
        <w:ind w:left="0"/>
        <w:rPr>
          <w:rFonts w:eastAsia="Lato" w:cs="Lato"/>
          <w:szCs w:val="20"/>
        </w:rPr>
      </w:pPr>
    </w:p>
    <w:p w14:paraId="30F1C972" w14:textId="64C8A1DF" w:rsidR="00491705" w:rsidRPr="00386535" w:rsidRDefault="00491705" w:rsidP="00D523F3">
      <w:pPr>
        <w:pStyle w:val="Nagwek6"/>
        <w:rPr>
          <w:rFonts w:eastAsia="Bahnschrift" w:cs="Bahnschrift"/>
          <w:bCs/>
          <w:i/>
          <w:iCs/>
        </w:rPr>
      </w:pPr>
      <w:bookmarkStart w:id="1160" w:name="_Toc195856589"/>
      <w:bookmarkStart w:id="1161" w:name="_Ref195886057"/>
      <w:r>
        <w:t xml:space="preserve">Działanie </w:t>
      </w:r>
      <w:r>
        <w:fldChar w:fldCharType="begin"/>
      </w:r>
      <w:r>
        <w:instrText>SEQ Działanie \* ARABIC</w:instrText>
      </w:r>
      <w:r>
        <w:fldChar w:fldCharType="separate"/>
      </w:r>
      <w:r w:rsidR="00871DD5">
        <w:rPr>
          <w:noProof/>
        </w:rPr>
        <w:t>71</w:t>
      </w:r>
      <w:r>
        <w:fldChar w:fldCharType="end"/>
      </w:r>
      <w:r>
        <w:t xml:space="preserve">. </w:t>
      </w:r>
      <w:r w:rsidRPr="00B80A3E">
        <w:t>Kształtowania postaw proekologicznych przyszłych rolników i producentów żywności.</w:t>
      </w:r>
      <w:bookmarkEnd w:id="1160"/>
      <w:bookmarkEnd w:id="1161"/>
      <w:r>
        <w:t xml:space="preserve"> </w:t>
      </w:r>
    </w:p>
    <w:p w14:paraId="46C9F6E0" w14:textId="1BACE90F" w:rsidR="00491705" w:rsidRDefault="00491705" w:rsidP="002C574F">
      <w:r w:rsidRPr="005B66EB">
        <w:t>Rolnictwo ukierunkowane na zapewnienie bezpieczeństwa żywnościowego</w:t>
      </w:r>
      <w:r>
        <w:t>, zaopatrzone w energię z</w:t>
      </w:r>
      <w:r w:rsidR="00A64BE6">
        <w:t> </w:t>
      </w:r>
      <w:r>
        <w:t>OZE produkowaną na terenach wiejskich</w:t>
      </w:r>
      <w:r w:rsidRPr="005B66EB">
        <w:t xml:space="preserve"> powinno jednocześnie wdrażać praktyki adaptacyjne do zmiany klimatu</w:t>
      </w:r>
      <w:r>
        <w:t xml:space="preserve"> oraz praktyki mitygacyjne</w:t>
      </w:r>
      <w:r w:rsidRPr="005B66EB">
        <w:t xml:space="preserve">. Takie podejście nie tylko zwiększy odporność sektora rolnego, ale także będzie działać synergicznie na rzecz przeciwdziałania zmianie klimatu. </w:t>
      </w:r>
      <w:r>
        <w:t>Zwiększy konkurencyjność polskiego rolnictwa poprzez redukcję śladu węglowego żywności i innych produktów rolnictwa.</w:t>
      </w:r>
    </w:p>
    <w:p w14:paraId="4D10CEC2" w14:textId="227A1D4B" w:rsidR="00491705" w:rsidRDefault="00491705" w:rsidP="00851BA5">
      <w:pPr>
        <w:spacing w:after="240"/>
        <w:rPr>
          <w:rFonts w:eastAsia="Lato" w:cs="Lato"/>
          <w:szCs w:val="20"/>
        </w:rPr>
      </w:pPr>
      <w:r w:rsidRPr="005B66EB">
        <w:rPr>
          <w:rFonts w:eastAsia="Lato" w:cs="Lato"/>
          <w:szCs w:val="20"/>
        </w:rPr>
        <w:lastRenderedPageBreak/>
        <w:t>Działanie polega na</w:t>
      </w:r>
      <w:r>
        <w:rPr>
          <w:rFonts w:eastAsia="Lato" w:cs="Lato"/>
          <w:szCs w:val="20"/>
        </w:rPr>
        <w:t xml:space="preserve"> w</w:t>
      </w:r>
      <w:r w:rsidRPr="00EF1D04">
        <w:rPr>
          <w:rFonts w:eastAsia="Lato" w:cs="Lato"/>
          <w:szCs w:val="20"/>
        </w:rPr>
        <w:t>eryfikacji programów nauczania uczniów i studentów pod kątem wprowadzania rozwiązań w uprawie roli, hodowli i przetwórstwie służących ochronie klimatu i adaptacji do jego zmian przy jednoczesnym zapewnieniu ochrony różnorodności biologicznej i usług ekosystemów oraz produkcji wysokiej jakości żywności. Aby te treści docierały do przyszłych rolników i producentów żywności ważnym jest położenie nacisku na ww. zagadnienia w szkoleniu akademickim, podyplomowy i</w:t>
      </w:r>
      <w:r w:rsidR="002C574F">
        <w:rPr>
          <w:rFonts w:eastAsia="Lato" w:cs="Lato"/>
          <w:szCs w:val="20"/>
        </w:rPr>
        <w:t> </w:t>
      </w:r>
      <w:r w:rsidRPr="00EF1D04">
        <w:rPr>
          <w:rFonts w:eastAsia="Lato" w:cs="Lato"/>
          <w:szCs w:val="20"/>
        </w:rPr>
        <w:t>dostosowawczym nauczycieli przedmiotów rolniczych.</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20DBF6E8"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8D8CB16"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47EF7FD9" wp14:editId="4A088365">
                  <wp:extent cx="619125" cy="619125"/>
                  <wp:effectExtent l="0" t="0" r="9525" b="9525"/>
                  <wp:docPr id="1195123441"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FF3BFF7"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51850AE"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3759250E"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19BF800"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785EA0C"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770A439"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tc>
      </w:tr>
    </w:tbl>
    <w:p w14:paraId="0607A1B9" w14:textId="35A6CF28" w:rsidR="00491705" w:rsidRPr="00C77CE3" w:rsidRDefault="00491705" w:rsidP="00B219B1">
      <w:pPr>
        <w:pStyle w:val="Nagwek6"/>
        <w:rPr>
          <w:rFonts w:eastAsia="Bahnschrift" w:cs="Bahnschrift"/>
          <w:bCs/>
          <w:i/>
          <w:iCs/>
        </w:rPr>
      </w:pPr>
      <w:bookmarkStart w:id="1162" w:name="_Toc195856590"/>
      <w:bookmarkStart w:id="1163" w:name="_Ref195886081"/>
      <w:bookmarkStart w:id="1164" w:name="_Ref195886534"/>
      <w:r>
        <w:t xml:space="preserve">Działanie </w:t>
      </w:r>
      <w:r>
        <w:fldChar w:fldCharType="begin"/>
      </w:r>
      <w:r>
        <w:instrText>SEQ Działanie \* ARABIC</w:instrText>
      </w:r>
      <w:r>
        <w:fldChar w:fldCharType="separate"/>
      </w:r>
      <w:r w:rsidR="00871DD5">
        <w:rPr>
          <w:noProof/>
        </w:rPr>
        <w:t>72</w:t>
      </w:r>
      <w:r>
        <w:fldChar w:fldCharType="end"/>
      </w:r>
      <w:r>
        <w:t xml:space="preserve">. </w:t>
      </w:r>
      <w:r w:rsidRPr="004F305B">
        <w:t>Wprowadzenie systemu certyfikacji pochłaniania dwutlenku węgla i redukcji emisji z gleb użytkowanych rolniczo</w:t>
      </w:r>
      <w:bookmarkEnd w:id="1162"/>
      <w:bookmarkEnd w:id="1163"/>
      <w:bookmarkEnd w:id="1164"/>
    </w:p>
    <w:p w14:paraId="6DD3F8AA" w14:textId="62AB2140" w:rsidR="00491705" w:rsidRDefault="00491705" w:rsidP="00491705">
      <w:r w:rsidRPr="00C77CE3">
        <w:t xml:space="preserve">Działanie polega na przygotowaniu </w:t>
      </w:r>
      <w:r>
        <w:t>mechanizmów</w:t>
      </w:r>
      <w:r w:rsidRPr="00C77CE3">
        <w:t xml:space="preserve"> legislac</w:t>
      </w:r>
      <w:r>
        <w:t xml:space="preserve">yjnych </w:t>
      </w:r>
      <w:r w:rsidRPr="00C77CE3">
        <w:t>do wprowadzenia systemu certyfikowanych kredytów węglowych w rolnictwie. Możliwość uzyskania dodatkowego dochodu ze</w:t>
      </w:r>
      <w:r w:rsidR="00A64BE6">
        <w:t> </w:t>
      </w:r>
      <w:r w:rsidRPr="00C77CE3">
        <w:t>sprzedaży certyfikowanych jednostek pochłaniania/redukcji emisji będzie dodatkowym impulsem do podjęcia przez rolników praktyk rolnictwa węglowego. Praktyki takie sprzyjają zwiększeniu sekwestracji dwutlenku węgla w glebach użytkowanych rolniczo oraz w biomasie, a także przyczyniają się do</w:t>
      </w:r>
      <w:r w:rsidR="00A64BE6">
        <w:t> </w:t>
      </w:r>
      <w:r w:rsidRPr="00C77CE3">
        <w:t>ograniczenia emisji gazów cieplarnianych z gleb (np. emisji podtlenku azotu wynikających ze stosowania nawożenia).</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0CF37519" w14:textId="77777777" w:rsidTr="002C574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7F79661"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43A5922F" wp14:editId="41E5DC68">
                  <wp:extent cx="619125" cy="619125"/>
                  <wp:effectExtent l="0" t="0" r="9525" b="9525"/>
                  <wp:docPr id="762304969"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050F48E"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CC2EC63"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0D699595" w14:textId="77777777" w:rsidTr="002C574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2DFFF8B"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65B71EF"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D2E89CF"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tc>
      </w:tr>
    </w:tbl>
    <w:p w14:paraId="269C1E44" w14:textId="570857BC" w:rsidR="00491705" w:rsidRPr="00B70285" w:rsidRDefault="00491705" w:rsidP="00D523F3">
      <w:pPr>
        <w:pStyle w:val="Nagwek6"/>
        <w:rPr>
          <w:rFonts w:eastAsia="Bahnschrift" w:cs="Bahnschrift"/>
          <w:bCs/>
          <w:i/>
          <w:iCs/>
        </w:rPr>
      </w:pPr>
      <w:bookmarkStart w:id="1165" w:name="_Toc195856591"/>
      <w:bookmarkStart w:id="1166" w:name="_Ref195886097"/>
      <w:bookmarkStart w:id="1167" w:name="_Ref200465564"/>
      <w:r>
        <w:t xml:space="preserve">Działanie </w:t>
      </w:r>
      <w:r>
        <w:fldChar w:fldCharType="begin"/>
      </w:r>
      <w:r>
        <w:instrText>SEQ Działanie \* ARABIC</w:instrText>
      </w:r>
      <w:r>
        <w:fldChar w:fldCharType="separate"/>
      </w:r>
      <w:r w:rsidR="00871DD5">
        <w:rPr>
          <w:noProof/>
        </w:rPr>
        <w:t>73</w:t>
      </w:r>
      <w:r>
        <w:fldChar w:fldCharType="end"/>
      </w:r>
      <w:r>
        <w:t xml:space="preserve">. </w:t>
      </w:r>
      <w:r w:rsidRPr="00E20A77">
        <w:t>Racjonalizacja nawożenia</w:t>
      </w:r>
      <w:bookmarkEnd w:id="1165"/>
      <w:bookmarkEnd w:id="1166"/>
      <w:bookmarkEnd w:id="1167"/>
      <w:r w:rsidRPr="00B70285">
        <w:rPr>
          <w:rFonts w:eastAsia="Bahnschrift" w:cs="Bahnschrift"/>
          <w:bCs/>
        </w:rPr>
        <w:t xml:space="preserve"> </w:t>
      </w:r>
    </w:p>
    <w:p w14:paraId="4E41E5D4" w14:textId="5A2771D6" w:rsidR="00491705" w:rsidRPr="00321765" w:rsidRDefault="00491705" w:rsidP="002C574F">
      <w:r w:rsidRPr="00321765">
        <w:t>Racjonalizacja nawożenia obejmuje przede wszystkim następujące obszary: program azotanowy, zakaz stosowania mocznika w formie granulowanej z wyłączeniem stosowania mocznika w formie granulowanej zawierającego inhibitor ureazy albo otoczkę biodegradowalną oraz działania związane z</w:t>
      </w:r>
      <w:r w:rsidR="00A64BE6">
        <w:t> </w:t>
      </w:r>
      <w:r w:rsidRPr="00321765">
        <w:t>regulacją odczynu gleby (zabiegi wapnowania). Działania te są wdrażane w oparciu o regulacje prawne (ustawa – Prawo wodne</w:t>
      </w:r>
      <w:r w:rsidRPr="00321765">
        <w:rPr>
          <w:vertAlign w:val="superscript"/>
        </w:rPr>
        <w:footnoteReference w:id="139"/>
      </w:r>
      <w:r w:rsidRPr="00321765">
        <w:t xml:space="preserve"> i rozporządzenia wydawane na podstawie art. 106 tej ustawy (tzw. program azotanowy), ustawa o nawozach i nawożeniu</w:t>
      </w:r>
      <w:r w:rsidRPr="00321765">
        <w:rPr>
          <w:vertAlign w:val="superscript"/>
        </w:rPr>
        <w:footnoteReference w:id="140"/>
      </w:r>
      <w:r w:rsidRPr="00321765">
        <w:t>).</w:t>
      </w:r>
    </w:p>
    <w:p w14:paraId="511AC8A9" w14:textId="77777777" w:rsidR="00491705" w:rsidRPr="00321765" w:rsidRDefault="00491705" w:rsidP="00491705">
      <w:r w:rsidRPr="00321765">
        <w:t>Aktualnie z uwagi na obserwowane anomalia pogodowe istotnym jest dostosowywanie zasad w ramach wymogów prawnych do zmieniającego się klimatu oraz potrzeb pokarmowych roślin. W obszarze nawożenia obszar ten obejmuje przede wszystkim terminy stosowania nawozów, dawki nawożenia oraz techniki nawożenia. Zachowanie zdolności produkcyjnych, niezbędnych dla bezpieczeństwa żywnościowego przy jednoczesnej dbałości o środowisko, wymaga zapewnienia m.in. opłacalności produkcji, dbałości o żyzność gleb i przestrzeń dla produkcji rolniczej.</w:t>
      </w:r>
    </w:p>
    <w:p w14:paraId="0B90E2A6" w14:textId="73D59A55" w:rsidR="00491705" w:rsidRPr="005B74B7" w:rsidRDefault="00491705" w:rsidP="000625AC">
      <w:pPr>
        <w:pStyle w:val="Akapitzlist"/>
        <w:numPr>
          <w:ilvl w:val="0"/>
          <w:numId w:val="147"/>
        </w:numPr>
        <w:suppressAutoHyphens/>
        <w:spacing w:before="120" w:after="120" w:line="276" w:lineRule="auto"/>
        <w:ind w:left="426"/>
        <w:rPr>
          <w:i/>
          <w:szCs w:val="20"/>
        </w:rPr>
      </w:pPr>
      <w:r w:rsidRPr="005B74B7">
        <w:rPr>
          <w:i/>
          <w:szCs w:val="20"/>
        </w:rPr>
        <w:t>Program azotanowy</w:t>
      </w:r>
    </w:p>
    <w:p w14:paraId="5053B952" w14:textId="58C3543B" w:rsidR="00491705" w:rsidRPr="00321765" w:rsidRDefault="00491705" w:rsidP="00C247F2">
      <w:pPr>
        <w:spacing w:after="80"/>
        <w:ind w:left="426"/>
      </w:pPr>
      <w:r w:rsidRPr="00321765">
        <w:t xml:space="preserve">Minister właściwy do spraw gospodarki wodnej został zobowiązany ustawą z dnia 20 lipca 2017 r. – Prawo wodne do opracowania programu działań, którego podstawowym celem jest zmniejszanie zanieczyszczenia wód azotanami pochodzącymi ze źródeł rolniczych m.in. spowodowanego nawożeniem użytków rolnych nawozami zawierającymi w składzie azot oraz zapobieganie dalszym zanieczyszczeniom tego rodzaju. W związku z tym w 2017 r. został przyjęty pierwszy </w:t>
      </w:r>
      <w:r w:rsidRPr="00C247F2">
        <w:rPr>
          <w:i/>
        </w:rPr>
        <w:t xml:space="preserve">Program działań </w:t>
      </w:r>
      <w:r w:rsidRPr="00C247F2">
        <w:rPr>
          <w:i/>
        </w:rPr>
        <w:lastRenderedPageBreak/>
        <w:t>mających na celu zmniejszenie zanieczyszczenia wód azotanami pochodzącymi ze źródeł rolniczych oraz zapobieganie dalszemu zanieczyszczeniu</w:t>
      </w:r>
      <w:r w:rsidRPr="00321765">
        <w:t xml:space="preserve"> (tzw. Program azotanowy), który podlegał przeglądowi. Obecnie obowiązuje nowy, zaktualizowany Program, który wszedł w życie w lutym 2023 r. Najważniejszymi działaniami określonymi w Programie są:</w:t>
      </w:r>
    </w:p>
    <w:p w14:paraId="36F94F6A" w14:textId="77777777" w:rsidR="00491705" w:rsidRPr="00321765" w:rsidRDefault="00491705" w:rsidP="000625AC">
      <w:pPr>
        <w:pStyle w:val="Akapitzlist"/>
        <w:numPr>
          <w:ilvl w:val="0"/>
          <w:numId w:val="146"/>
        </w:numPr>
        <w:ind w:left="851"/>
      </w:pPr>
      <w:r w:rsidRPr="00321765">
        <w:t>ustalenie warunków rolniczego wykorzystania nawozów azotowych w pobliżu wód, na terenach o dużym nachyleniu, a także na glebach zamarzniętych, zalanych wodą lub przykrytych śniegiem;</w:t>
      </w:r>
    </w:p>
    <w:p w14:paraId="15685A12" w14:textId="77777777" w:rsidR="00491705" w:rsidRPr="00321765" w:rsidRDefault="00491705" w:rsidP="000625AC">
      <w:pPr>
        <w:pStyle w:val="Akapitzlist"/>
        <w:numPr>
          <w:ilvl w:val="0"/>
          <w:numId w:val="146"/>
        </w:numPr>
        <w:ind w:left="851"/>
      </w:pPr>
      <w:r w:rsidRPr="00321765">
        <w:t>wprowadzenie terminów, w których dozwolone jest rolnicze wykorzystanie nawozów;</w:t>
      </w:r>
    </w:p>
    <w:p w14:paraId="5F541FBB" w14:textId="77777777" w:rsidR="00491705" w:rsidRPr="00321765" w:rsidRDefault="00491705" w:rsidP="000625AC">
      <w:pPr>
        <w:pStyle w:val="Akapitzlist"/>
        <w:numPr>
          <w:ilvl w:val="0"/>
          <w:numId w:val="146"/>
        </w:numPr>
        <w:ind w:left="851"/>
      </w:pPr>
      <w:r w:rsidRPr="00321765">
        <w:t>określenie warunków przechowywania nawozów naturalnych oraz postępowania z odciekami;</w:t>
      </w:r>
    </w:p>
    <w:p w14:paraId="395235CE" w14:textId="77777777" w:rsidR="00491705" w:rsidRPr="00321765" w:rsidRDefault="00491705" w:rsidP="000625AC">
      <w:pPr>
        <w:pStyle w:val="Akapitzlist"/>
        <w:numPr>
          <w:ilvl w:val="0"/>
          <w:numId w:val="146"/>
        </w:numPr>
        <w:ind w:left="851"/>
      </w:pPr>
      <w:r w:rsidRPr="00321765">
        <w:t>ustalenie sposobu obliczania rocznej dawki nawozów naturalnych zawierającej nie więcej niż 170 kg N/ha;</w:t>
      </w:r>
    </w:p>
    <w:p w14:paraId="21E6F6C1" w14:textId="77777777" w:rsidR="00491705" w:rsidRPr="00321765" w:rsidRDefault="00491705" w:rsidP="000625AC">
      <w:pPr>
        <w:pStyle w:val="Akapitzlist"/>
        <w:numPr>
          <w:ilvl w:val="0"/>
          <w:numId w:val="146"/>
        </w:numPr>
        <w:ind w:left="851"/>
      </w:pPr>
      <w:r w:rsidRPr="00321765">
        <w:t>wprowadzenie obowiązku opracowywania planu nawożenia azotem poszczególnych roślin.</w:t>
      </w:r>
    </w:p>
    <w:p w14:paraId="34951890" w14:textId="77777777" w:rsidR="00491705" w:rsidRPr="00321765" w:rsidRDefault="00491705" w:rsidP="00567E4A">
      <w:pPr>
        <w:spacing w:after="80"/>
        <w:ind w:left="426"/>
      </w:pPr>
      <w:r w:rsidRPr="00321765">
        <w:t xml:space="preserve">Wprowadzone zmiany w szczególności dotyczącą: </w:t>
      </w:r>
    </w:p>
    <w:p w14:paraId="56DC2CF8" w14:textId="028CABA9" w:rsidR="00491705" w:rsidRPr="00321765" w:rsidRDefault="00505141" w:rsidP="000625AC">
      <w:pPr>
        <w:pStyle w:val="Akapitzlist"/>
        <w:numPr>
          <w:ilvl w:val="0"/>
          <w:numId w:val="148"/>
        </w:numPr>
        <w:ind w:left="851"/>
      </w:pPr>
      <w:r>
        <w:t>Z</w:t>
      </w:r>
      <w:r w:rsidR="00491705" w:rsidRPr="00321765">
        <w:t xml:space="preserve">astosowania elastycznego wiosennego terminu nawożenia; </w:t>
      </w:r>
    </w:p>
    <w:p w14:paraId="57B60C12" w14:textId="69A22711" w:rsidR="00491705" w:rsidRPr="00321765" w:rsidRDefault="00505141" w:rsidP="000625AC">
      <w:pPr>
        <w:pStyle w:val="Akapitzlist"/>
        <w:numPr>
          <w:ilvl w:val="0"/>
          <w:numId w:val="148"/>
        </w:numPr>
        <w:ind w:left="851"/>
      </w:pPr>
      <w:r>
        <w:t>A</w:t>
      </w:r>
      <w:r w:rsidR="00491705" w:rsidRPr="00321765">
        <w:t xml:space="preserve">ktualizacji wskaźników produkcji nawozów naturalnych i zawartego w nich azotu; </w:t>
      </w:r>
    </w:p>
    <w:p w14:paraId="7DF9F08B" w14:textId="0CC1AB9F" w:rsidR="00491705" w:rsidRPr="00321765" w:rsidRDefault="00505141" w:rsidP="000625AC">
      <w:pPr>
        <w:pStyle w:val="Akapitzlist"/>
        <w:numPr>
          <w:ilvl w:val="0"/>
          <w:numId w:val="148"/>
        </w:numPr>
        <w:ind w:left="851"/>
      </w:pPr>
      <w:r>
        <w:t>S</w:t>
      </w:r>
      <w:r w:rsidR="00491705" w:rsidRPr="00321765">
        <w:t xml:space="preserve">posobu obliczania maksymalnych dawek nawozów azotowych; </w:t>
      </w:r>
    </w:p>
    <w:p w14:paraId="788DF4CF" w14:textId="7CE1A137" w:rsidR="00491705" w:rsidRPr="00321765" w:rsidRDefault="00505141" w:rsidP="000625AC">
      <w:pPr>
        <w:pStyle w:val="Akapitzlist"/>
        <w:numPr>
          <w:ilvl w:val="0"/>
          <w:numId w:val="148"/>
        </w:numPr>
        <w:ind w:left="851"/>
      </w:pPr>
      <w:r>
        <w:t>D</w:t>
      </w:r>
      <w:r w:rsidR="00491705" w:rsidRPr="00321765">
        <w:t>odania równoważników nawozowych dla ścieków przeznaczonych do rolniczego wykorzystania i komunalnych osadów ściekowych.</w:t>
      </w:r>
    </w:p>
    <w:p w14:paraId="78F5B430" w14:textId="77777777" w:rsidR="00491705" w:rsidRPr="00321765" w:rsidRDefault="00491705" w:rsidP="00567E4A">
      <w:pPr>
        <w:spacing w:after="80"/>
        <w:ind w:left="426"/>
      </w:pPr>
      <w:r w:rsidRPr="00321765">
        <w:t>Wszystkie gospodarstwa mają obowiązek przestrzegania zasad dotyczących:</w:t>
      </w:r>
    </w:p>
    <w:p w14:paraId="050E938C" w14:textId="76F2AC7E" w:rsidR="00491705" w:rsidRPr="00321765" w:rsidRDefault="00505141" w:rsidP="000625AC">
      <w:pPr>
        <w:pStyle w:val="Akapitzlist"/>
        <w:numPr>
          <w:ilvl w:val="0"/>
          <w:numId w:val="149"/>
        </w:numPr>
        <w:ind w:left="851"/>
      </w:pPr>
      <w:r>
        <w:t>D</w:t>
      </w:r>
      <w:r w:rsidR="00491705" w:rsidRPr="00321765">
        <w:t xml:space="preserve">opuszczalnej dawki nawozów naturalnych na poziomie nie wyższym niż 170 kg azotu w czystym składniku na 1 ha użytków rolnych na rok; </w:t>
      </w:r>
    </w:p>
    <w:p w14:paraId="1B3F09F3" w14:textId="56D0652B" w:rsidR="00491705" w:rsidRPr="00321765" w:rsidRDefault="00505141" w:rsidP="000625AC">
      <w:pPr>
        <w:pStyle w:val="Akapitzlist"/>
        <w:numPr>
          <w:ilvl w:val="0"/>
          <w:numId w:val="149"/>
        </w:numPr>
        <w:ind w:left="851"/>
      </w:pPr>
      <w:r>
        <w:t>O</w:t>
      </w:r>
      <w:r w:rsidR="00491705" w:rsidRPr="00321765">
        <w:t xml:space="preserve">bowiązkowych odległości od zbiorników wodnych; </w:t>
      </w:r>
    </w:p>
    <w:p w14:paraId="5C6D6992" w14:textId="13C60528" w:rsidR="00491705" w:rsidRPr="00321765" w:rsidRDefault="00505141" w:rsidP="000625AC">
      <w:pPr>
        <w:pStyle w:val="Akapitzlist"/>
        <w:numPr>
          <w:ilvl w:val="0"/>
          <w:numId w:val="149"/>
        </w:numPr>
        <w:ind w:left="851"/>
      </w:pPr>
      <w:r>
        <w:t>T</w:t>
      </w:r>
      <w:r w:rsidR="00491705" w:rsidRPr="00321765">
        <w:t xml:space="preserve">erminów nawożenia; </w:t>
      </w:r>
    </w:p>
    <w:p w14:paraId="6C77EC04" w14:textId="2EC07D8A" w:rsidR="00491705" w:rsidRPr="00321765" w:rsidRDefault="00505141" w:rsidP="000625AC">
      <w:pPr>
        <w:pStyle w:val="Akapitzlist"/>
        <w:numPr>
          <w:ilvl w:val="0"/>
          <w:numId w:val="149"/>
        </w:numPr>
        <w:ind w:left="851"/>
      </w:pPr>
      <w:r>
        <w:t>S</w:t>
      </w:r>
      <w:r w:rsidR="00491705" w:rsidRPr="00321765">
        <w:t xml:space="preserve">kładowania nawozów naturalnych; </w:t>
      </w:r>
    </w:p>
    <w:p w14:paraId="4FA63775" w14:textId="299CDED7" w:rsidR="00491705" w:rsidRPr="00321765" w:rsidRDefault="00505141" w:rsidP="000625AC">
      <w:pPr>
        <w:pStyle w:val="Akapitzlist"/>
        <w:numPr>
          <w:ilvl w:val="0"/>
          <w:numId w:val="149"/>
        </w:numPr>
        <w:ind w:left="851"/>
      </w:pPr>
      <w:r>
        <w:t>P</w:t>
      </w:r>
      <w:r w:rsidR="00491705" w:rsidRPr="00321765">
        <w:t xml:space="preserve">rzechowywania dokumentacji związanej z realizacją Programu działań. </w:t>
      </w:r>
    </w:p>
    <w:p w14:paraId="36AA73D3" w14:textId="77777777" w:rsidR="00491705" w:rsidRPr="00321765" w:rsidRDefault="00491705" w:rsidP="00C247F2">
      <w:pPr>
        <w:suppressAutoHyphens/>
        <w:spacing w:before="120" w:after="120" w:line="276" w:lineRule="auto"/>
        <w:ind w:left="426"/>
        <w:rPr>
          <w:szCs w:val="20"/>
        </w:rPr>
      </w:pPr>
      <w:r w:rsidRPr="00321765">
        <w:rPr>
          <w:szCs w:val="20"/>
        </w:rPr>
        <w:t>Natomiast gospodarstwa średnie i duże mają jeszcze dodatkowe obowiązki, jak np. prowadzenie ewidencji zabiegów agrotechnicznych związanych z nawożeniem azotem czy opracowanie planu nawożenia azotem.</w:t>
      </w:r>
    </w:p>
    <w:p w14:paraId="442A23D8" w14:textId="73D6D771" w:rsidR="00491705" w:rsidRPr="005B74B7" w:rsidRDefault="00491705" w:rsidP="000625AC">
      <w:pPr>
        <w:pStyle w:val="Akapitzlist"/>
        <w:numPr>
          <w:ilvl w:val="0"/>
          <w:numId w:val="147"/>
        </w:numPr>
        <w:spacing w:after="80"/>
        <w:ind w:left="426"/>
        <w:rPr>
          <w:i/>
          <w:iCs/>
        </w:rPr>
      </w:pPr>
      <w:r w:rsidRPr="005B74B7">
        <w:rPr>
          <w:i/>
          <w:iCs/>
        </w:rPr>
        <w:t xml:space="preserve">Zakaz stosowania mocznika w formie granulowanej bez inhibitora ureazy albo bez otoczki biodegradowalnej </w:t>
      </w:r>
    </w:p>
    <w:p w14:paraId="1FADE62B" w14:textId="77777777" w:rsidR="00491705" w:rsidRPr="00321765" w:rsidRDefault="00491705" w:rsidP="00C247F2">
      <w:pPr>
        <w:ind w:left="426"/>
      </w:pPr>
      <w:r w:rsidRPr="00321765">
        <w:t>W 2020 r. na mocy nowelizacji ustawy o nawozach i nawożeniu oraz ustawy o Państwowej Inspekcji Ochrony Roślin i Nasiennictwa</w:t>
      </w:r>
      <w:r w:rsidRPr="00321765">
        <w:rPr>
          <w:vertAlign w:val="superscript"/>
        </w:rPr>
        <w:footnoteReference w:id="141"/>
      </w:r>
      <w:r w:rsidRPr="00321765">
        <w:t xml:space="preserve"> wprowadzono zakaz stosowania mocznika w formie granulowanej bez inhibitora ureazy albo bez otoczki biodegradowalnej. Zakaz ten obowiązuje od dnia 1 sierpnia 2021 r. Rozwiązanie to przyczynia się do zwiększenia efektywności nawożenia oraz ochrony powietrza.</w:t>
      </w:r>
    </w:p>
    <w:p w14:paraId="6D63CB25" w14:textId="3B666AFF" w:rsidR="00491705" w:rsidRPr="005B74B7" w:rsidRDefault="00491705" w:rsidP="000625AC">
      <w:pPr>
        <w:pStyle w:val="Akapitzlist"/>
        <w:numPr>
          <w:ilvl w:val="0"/>
          <w:numId w:val="147"/>
        </w:numPr>
        <w:spacing w:after="80"/>
        <w:ind w:left="426"/>
        <w:rPr>
          <w:i/>
          <w:iCs/>
        </w:rPr>
      </w:pPr>
      <w:r w:rsidRPr="005B74B7">
        <w:rPr>
          <w:i/>
          <w:iCs/>
        </w:rPr>
        <w:t>Działania związane z regulacją odczynu gleby</w:t>
      </w:r>
    </w:p>
    <w:p w14:paraId="3747677B" w14:textId="21EED38A" w:rsidR="00491705" w:rsidRPr="005B74B7" w:rsidRDefault="00491705" w:rsidP="00C247F2">
      <w:pPr>
        <w:ind w:left="426"/>
      </w:pPr>
      <w:r w:rsidRPr="00321765">
        <w:t xml:space="preserve">Zabieg wapnowania gleb jest ważnym czynnikiem kształtującym jakość i bezpieczeństwo środowiska przyrodniczego na tle specyficznych uwarunkowań glebowo-klimatycznych. W latach 2019–2023 </w:t>
      </w:r>
      <w:r w:rsidRPr="00321765">
        <w:rPr>
          <w:bCs/>
        </w:rPr>
        <w:t>NFOŚiGW</w:t>
      </w:r>
      <w:r w:rsidRPr="00321765">
        <w:t xml:space="preserve"> prowadził „</w:t>
      </w:r>
      <w:r w:rsidRPr="00321765">
        <w:rPr>
          <w:bCs/>
        </w:rPr>
        <w:t xml:space="preserve">Ogólnopolski programu regeneracji środowiskowej gleb poprzez ich wapnowanie”, którego celem </w:t>
      </w:r>
      <w:r w:rsidRPr="00321765">
        <w:t xml:space="preserve">było </w:t>
      </w:r>
      <w:r w:rsidRPr="002C574F">
        <w:t xml:space="preserve">wsparcie działań regeneracyjnych gleb zakwaszonych w wyniku oddziaływania czynników antropogenicznych. Dopłaty do wapnowania gleby cieszyły się dużym zainteresowaniem rolników. Przełożyło się to nie tylko na liczbę złożonych wniosków, ale także na wzrost zużycia nawozów wapniowych. Kontynuacją wsparcia odkwaszania gleb w Polsce jest ekoschemat </w:t>
      </w:r>
      <w:r w:rsidR="00327E1E">
        <w:t>„</w:t>
      </w:r>
      <w:r w:rsidRPr="002C574F">
        <w:t>Rolnictwo węglowe i zarządzanie składnikami odżywczymi</w:t>
      </w:r>
      <w:r w:rsidR="00327E1E">
        <w:t>”</w:t>
      </w:r>
      <w:r w:rsidRPr="002C574F">
        <w:t>, realizowany w ramach Planu Strategicznego dla WPR, który obejmuje m.in. praktykę „Opracowanie i przestrzeganie</w:t>
      </w:r>
      <w:r w:rsidRPr="00321765">
        <w:t xml:space="preserve"> planu nawożenia w wariancie z wapnowaniem”. Celem praktyki jest przeciwdziałanie zakwaszeniu gleb. </w:t>
      </w:r>
    </w:p>
    <w:p w14:paraId="4959B40C" w14:textId="3646F390" w:rsidR="00491705" w:rsidRPr="00321765" w:rsidRDefault="00491705" w:rsidP="00C247F2">
      <w:pPr>
        <w:spacing w:before="240"/>
      </w:pPr>
      <w:r w:rsidRPr="00321765">
        <w:lastRenderedPageBreak/>
        <w:t>Działania w ramach racjonalizacji stosowania nawozów będę kontynuowane i rozwijane. Oprócz</w:t>
      </w:r>
      <w:r w:rsidR="00B86D4C">
        <w:t> </w:t>
      </w:r>
      <w:r w:rsidRPr="00321765">
        <w:t xml:space="preserve">powyższych działań, wdrażanych w oparciu o regulacje prawne, rozwijane będą następujące </w:t>
      </w:r>
      <w:r w:rsidRPr="00321765">
        <w:rPr>
          <w:b/>
          <w:u w:val="single"/>
        </w:rPr>
        <w:t>działania o</w:t>
      </w:r>
      <w:r w:rsidR="005B74B7">
        <w:rPr>
          <w:b/>
          <w:u w:val="single"/>
        </w:rPr>
        <w:t> </w:t>
      </w:r>
      <w:r w:rsidRPr="00321765">
        <w:rPr>
          <w:b/>
          <w:u w:val="single"/>
        </w:rPr>
        <w:t>charakterze upowszechnieniowym:</w:t>
      </w:r>
    </w:p>
    <w:p w14:paraId="115D0C73" w14:textId="77777777" w:rsidR="00491705" w:rsidRPr="00C247F2" w:rsidRDefault="00491705" w:rsidP="000625AC">
      <w:pPr>
        <w:pStyle w:val="Akapitzlist"/>
        <w:numPr>
          <w:ilvl w:val="0"/>
          <w:numId w:val="90"/>
        </w:numPr>
        <w:spacing w:after="80"/>
        <w:ind w:left="426"/>
        <w:rPr>
          <w:i/>
        </w:rPr>
      </w:pPr>
      <w:r w:rsidRPr="00C247F2">
        <w:rPr>
          <w:i/>
        </w:rPr>
        <w:t>Upowszechnianie narzędzi do planowania nawożenia np. INTER-NAW.</w:t>
      </w:r>
    </w:p>
    <w:p w14:paraId="4301D3CB" w14:textId="77777777" w:rsidR="00491705" w:rsidRPr="00321765" w:rsidRDefault="00491705" w:rsidP="005B74B7">
      <w:pPr>
        <w:ind w:left="426"/>
      </w:pPr>
      <w:r w:rsidRPr="00321765">
        <w:t>INTER-NAW to bezpłatny ogólnodostępny interaktywny system wspierania decyzji agrochemicznych. Służy do opracowania kompleksowego planu nawożenia azotem, fosforem, potasem, magnezem, mikroelementami oraz wapnowania gleb. Dawki nawozów mineralnych oblicza zgodnie z zasadami zrównoważonego nawożenia tj. uwzględniając wymagania pokarmowe roślin uprawnych oraz dostępność składników pokarmowych z innych źródeł (nawozy naturalne, organiczne, produkty uboczne i in.).</w:t>
      </w:r>
    </w:p>
    <w:p w14:paraId="2FB69EA3" w14:textId="77777777" w:rsidR="00491705" w:rsidRPr="007040CF" w:rsidRDefault="00491705" w:rsidP="005B74B7">
      <w:pPr>
        <w:ind w:left="426"/>
        <w:rPr>
          <w:color w:val="000000" w:themeColor="text1"/>
        </w:rPr>
      </w:pPr>
      <w:r w:rsidRPr="00321765">
        <w:t xml:space="preserve">Dostępny jest dla wszystkich zainteresowanych rolników. Rolnik może korzystać z INTER-NAW </w:t>
      </w:r>
      <w:r w:rsidRPr="007040CF">
        <w:rPr>
          <w:color w:val="000000" w:themeColor="text1"/>
        </w:rPr>
        <w:t xml:space="preserve">samodzielnie, generując niezbędne dane (dawki, plan nawożenia, bilans N) lub z udziałem doradcy. </w:t>
      </w:r>
    </w:p>
    <w:p w14:paraId="0BF0ACAF" w14:textId="232FC359" w:rsidR="00491705" w:rsidRPr="007040CF" w:rsidRDefault="00491705" w:rsidP="005B74B7">
      <w:pPr>
        <w:ind w:left="426"/>
        <w:rPr>
          <w:color w:val="000000" w:themeColor="text1"/>
        </w:rPr>
      </w:pPr>
      <w:r w:rsidRPr="007040CF">
        <w:rPr>
          <w:color w:val="000000" w:themeColor="text1"/>
        </w:rPr>
        <w:t>INTER-NAW jest zgodny z przepisami programu azotanowego, dlatego może ułatwić rolnikom posługiwanie się wygenerowanymi dokumentami w instytucjach kontrolnych i płatniczych.</w:t>
      </w:r>
    </w:p>
    <w:p w14:paraId="2B1D6468" w14:textId="4B019DD9" w:rsidR="00491705" w:rsidRPr="007040CF" w:rsidRDefault="00491705" w:rsidP="005B74B7">
      <w:pPr>
        <w:ind w:left="426"/>
        <w:rPr>
          <w:color w:val="000000" w:themeColor="text1"/>
        </w:rPr>
      </w:pPr>
      <w:r w:rsidRPr="007040CF">
        <w:rPr>
          <w:color w:val="000000" w:themeColor="text1"/>
        </w:rPr>
        <w:t>Program INTER-NAW dostępny jest w wersji mobilnej do pobrania na stronie Krajowej Stacji Chemiczno-Rolniczej w Warszawie</w:t>
      </w:r>
      <w:r w:rsidR="005B74B7" w:rsidRPr="007040CF">
        <w:rPr>
          <w:color w:val="000000" w:themeColor="text1"/>
        </w:rPr>
        <w:t xml:space="preserve"> (</w:t>
      </w:r>
      <w:hyperlink r:id="rId103" w:history="1">
        <w:r w:rsidR="005B74B7" w:rsidRPr="007040CF">
          <w:rPr>
            <w:rStyle w:val="Hipercze"/>
            <w:color w:val="000000" w:themeColor="text1"/>
          </w:rPr>
          <w:t>link</w:t>
        </w:r>
      </w:hyperlink>
      <w:r w:rsidR="005B74B7" w:rsidRPr="007040CF">
        <w:rPr>
          <w:color w:val="000000" w:themeColor="text1"/>
        </w:rPr>
        <w:t>)</w:t>
      </w:r>
      <w:r w:rsidRPr="007040CF">
        <w:rPr>
          <w:color w:val="000000" w:themeColor="text1"/>
        </w:rPr>
        <w:t>.</w:t>
      </w:r>
    </w:p>
    <w:p w14:paraId="04EB7C56" w14:textId="7B507CB4" w:rsidR="00851BA5" w:rsidRPr="00851BA5" w:rsidRDefault="00491705" w:rsidP="000625AC">
      <w:pPr>
        <w:pStyle w:val="Akapitzlist"/>
        <w:numPr>
          <w:ilvl w:val="0"/>
          <w:numId w:val="90"/>
        </w:numPr>
        <w:spacing w:after="80"/>
        <w:ind w:left="425" w:hanging="357"/>
        <w:contextualSpacing w:val="0"/>
        <w:rPr>
          <w:i/>
        </w:rPr>
      </w:pPr>
      <w:r w:rsidRPr="007040CF">
        <w:rPr>
          <w:color w:val="000000" w:themeColor="text1"/>
        </w:rPr>
        <w:t>Z</w:t>
      </w:r>
      <w:r w:rsidRPr="00901FEA">
        <w:rPr>
          <w:i/>
          <w:color w:val="000000" w:themeColor="text1"/>
        </w:rPr>
        <w:t>achęcanie do badania gleb i składu nawozów naturalnych</w:t>
      </w:r>
    </w:p>
    <w:p w14:paraId="3A80F1F3" w14:textId="5AFAA677" w:rsidR="00E3202D" w:rsidRDefault="00491705" w:rsidP="00E3202D">
      <w:pPr>
        <w:pStyle w:val="Akapitzlist"/>
        <w:ind w:left="425"/>
        <w:contextualSpacing w:val="0"/>
      </w:pPr>
      <w:r w:rsidRPr="007040CF">
        <w:rPr>
          <w:color w:val="000000" w:themeColor="text1"/>
        </w:rPr>
        <w:t>Badania fizykochemiczne i chemiczne gleby służą ustalaniu dawek składników mineralnych w</w:t>
      </w:r>
      <w:r w:rsidR="005B74B7" w:rsidRPr="007040CF">
        <w:rPr>
          <w:color w:val="000000" w:themeColor="text1"/>
        </w:rPr>
        <w:t> </w:t>
      </w:r>
      <w:r w:rsidRPr="007040CF">
        <w:rPr>
          <w:color w:val="000000" w:themeColor="text1"/>
        </w:rPr>
        <w:t>uprawie roślin w gospodarstwie rolnym. Są ważnym elementem w podejmowaniu decyzji agrotechnicznych, głównie związanych z regulacją odczynu gleby oraz dostarczaniem niezbędnych makro- i mikroelementów roślinom w uprawach polowych, na TUZ i w uprawach ogrodniczych. Stanowią element zrównoważonej gospodarki nawozowej i optymalizacji zużycia nawozów</w:t>
      </w:r>
      <w:r w:rsidRPr="00321765">
        <w:t xml:space="preserve">. </w:t>
      </w:r>
      <w:r w:rsidR="00F91E3F" w:rsidRPr="005B74B7">
        <w:t>A</w:t>
      </w:r>
      <w:r w:rsidR="00F91E3F" w:rsidRPr="00321765">
        <w:t>grochemiczną</w:t>
      </w:r>
      <w:r w:rsidRPr="00321765">
        <w:t xml:space="preserve"> obsługę rolnictwa, tj. od pobierania próbek, organizacji badań agrochemicznych po udostępnianie wyników badań i doradztwo w sprawach nawożenia, realizują w Polsce Okręgowe Stacje Chemiczno-Rolnicze. W Stacjach można wykonać badania gleb, roślin, nawozów (w tym nawozów naturalnych), środków wspomagających uprawę roślin, produktów pofermentacyjnych i</w:t>
      </w:r>
      <w:r w:rsidR="00B86D4C">
        <w:t> </w:t>
      </w:r>
      <w:r w:rsidRPr="00321765">
        <w:t xml:space="preserve">produktów nawozowych. </w:t>
      </w:r>
    </w:p>
    <w:p w14:paraId="5BFE88B9" w14:textId="1B7C0E19" w:rsidR="00E3202D" w:rsidRDefault="00491705" w:rsidP="000625AC">
      <w:pPr>
        <w:pStyle w:val="Akapitzlist"/>
        <w:numPr>
          <w:ilvl w:val="0"/>
          <w:numId w:val="90"/>
        </w:numPr>
        <w:spacing w:after="80"/>
        <w:ind w:left="425"/>
        <w:contextualSpacing w:val="0"/>
      </w:pPr>
      <w:r w:rsidRPr="00C247F2">
        <w:rPr>
          <w:i/>
        </w:rPr>
        <w:t>Zachęcanie rolników do precyzyjnego nawożenia</w:t>
      </w:r>
      <w:r w:rsidRPr="00321765">
        <w:t>.</w:t>
      </w:r>
      <w:r w:rsidR="00F009F3">
        <w:t xml:space="preserve"> </w:t>
      </w:r>
    </w:p>
    <w:p w14:paraId="452A8E0F" w14:textId="599A80EC" w:rsidR="00491705" w:rsidRPr="007A3549" w:rsidRDefault="00491705" w:rsidP="00E3202D">
      <w:pPr>
        <w:pStyle w:val="Akapitzlist"/>
        <w:spacing w:after="80"/>
        <w:ind w:left="425"/>
        <w:contextualSpacing w:val="0"/>
      </w:pPr>
      <w:r w:rsidRPr="00321765">
        <w:t>Rolnictwo precyzyjne to dopasowanie terminów i dawek wysiewu nawozów oraz wody do potrzeb uprawianych roślin, warunków glebowych i przebiegu pogody na podstawie np. map przestrzennych i pomiarów. Typowym jego elementem jest wykorzystywanie mapy zasobności gleby w NPK i</w:t>
      </w:r>
      <w:r w:rsidR="00B86D4C">
        <w:t> </w:t>
      </w:r>
      <w:r w:rsidRPr="00321765">
        <w:t>dopasowanie do niej dawek nawozów. Zwykle opera się na statycznych danych np. strefowaniu za pomocą teledetekcji wspartemu pomiarami laboratoryjnymi zasobności gleby wykonywanymi raz w</w:t>
      </w:r>
      <w:r w:rsidR="00B86D4C">
        <w:t> </w:t>
      </w:r>
      <w:r w:rsidRPr="00321765">
        <w:t xml:space="preserve">roku. </w:t>
      </w:r>
    </w:p>
    <w:p w14:paraId="67C750F0" w14:textId="1750D59F" w:rsidR="00491705" w:rsidRPr="00321765" w:rsidRDefault="00491705" w:rsidP="00CA3221">
      <w:pPr>
        <w:ind w:left="426"/>
      </w:pPr>
      <w:r w:rsidRPr="00321765">
        <w:t>Nawożenie precyzyjne jest skutecznym sposobem ograniczania strat składników odżywczych/pokarmowych, w tym azotu. Polega ono na stosowaniu zróżnicowanych dawek nawozów w obrębie jednego pola. W nawożeniu precyzyjnym wykorzystuje się specjalne urządzenia, które na bieżąco analizują stan odżywienia roślin i pozwalają dostosować dawkę nawozu do</w:t>
      </w:r>
      <w:r w:rsidR="00B86D4C">
        <w:t> </w:t>
      </w:r>
      <w:r w:rsidRPr="00321765">
        <w:t xml:space="preserve">zapotrzebowania np. na azot. </w:t>
      </w:r>
    </w:p>
    <w:p w14:paraId="6478ED3D" w14:textId="77777777" w:rsidR="00491705" w:rsidRPr="00321765" w:rsidRDefault="00491705" w:rsidP="00491705">
      <w:pPr>
        <w:ind w:left="426"/>
      </w:pPr>
      <w:r w:rsidRPr="00321765">
        <w:t>Precyzyjne nawożenie zapewnia lepsze wyrównanie łanu i sprzyja uzyskiwaniu wyższych plonów roślin uprawnych. Precyzyjne nawożenie ogranicza zużycie nawozów i emisję np. azotu do środowiska.</w:t>
      </w:r>
    </w:p>
    <w:p w14:paraId="0E322623" w14:textId="77777777" w:rsidR="00491705" w:rsidRPr="00321765" w:rsidRDefault="00491705" w:rsidP="000625AC">
      <w:pPr>
        <w:pStyle w:val="Akapitzlist"/>
        <w:numPr>
          <w:ilvl w:val="0"/>
          <w:numId w:val="90"/>
        </w:numPr>
        <w:spacing w:after="80"/>
        <w:ind w:left="426"/>
      </w:pPr>
      <w:r w:rsidRPr="00C247F2">
        <w:rPr>
          <w:i/>
        </w:rPr>
        <w:t>Zachęcanie do przetwarzania nawozów naturalnych</w:t>
      </w:r>
      <w:r w:rsidRPr="00321765">
        <w:t>.</w:t>
      </w:r>
    </w:p>
    <w:p w14:paraId="34EDD28D" w14:textId="13200038" w:rsidR="00491705" w:rsidRPr="00321765" w:rsidRDefault="00491705" w:rsidP="00491705">
      <w:pPr>
        <w:ind w:left="426"/>
      </w:pPr>
      <w:r w:rsidRPr="00321765">
        <w:t>Ponowne wykorzystanie składników odżywczych z nawozów naturalnych jest ważne dla zapewnienia bezpieczeństwa żywnościowego. Odzyskiwanie azotu z nawozów naturalnych jako element systemów gospodarowania tymi nawozami, umożliwiłoby postęp w kierunku gospodarki o obiegu zamkniętym.</w:t>
      </w:r>
    </w:p>
    <w:p w14:paraId="22B329CA" w14:textId="4DB51472" w:rsidR="00491705" w:rsidRPr="00321765" w:rsidRDefault="00491705" w:rsidP="00491705">
      <w:pPr>
        <w:ind w:left="426"/>
      </w:pPr>
      <w:r w:rsidRPr="00321765">
        <w:lastRenderedPageBreak/>
        <w:t xml:space="preserve">RENURE </w:t>
      </w:r>
      <w:r w:rsidR="00CA3221">
        <w:t>(</w:t>
      </w:r>
      <w:r w:rsidRPr="00321765">
        <w:t>ang. REcovered Nitrogen from manURE</w:t>
      </w:r>
      <w:r w:rsidR="00CA3221">
        <w:t>,</w:t>
      </w:r>
      <w:r w:rsidRPr="00321765">
        <w:t xml:space="preserve"> azot odzyskany z nawozów naturalnych) – nowa grupa nawozów zaproponowana przez Komisję Europejską, zawierająca azot w pełni lub częściowo uzyskany z nawozu zwierzęcego w procesie jego przetwarzania. Odzyskany azot może być wykorzystany do zastąpienia części obecnej produkcji syntetycznych nawozów mineralnych, co</w:t>
      </w:r>
      <w:r w:rsidR="00891DAD">
        <w:t> </w:t>
      </w:r>
      <w:r w:rsidRPr="00321765">
        <w:t>znacznie zmniejszyłoby emisję CO</w:t>
      </w:r>
      <w:r w:rsidRPr="00321765">
        <w:rPr>
          <w:vertAlign w:val="subscript"/>
        </w:rPr>
        <w:t>2</w:t>
      </w:r>
      <w:r w:rsidRPr="00321765">
        <w:t xml:space="preserve"> związaną szczególnie z produkcją mineralnych nawozów azotowych.</w:t>
      </w:r>
    </w:p>
    <w:p w14:paraId="4E56F78F" w14:textId="77777777" w:rsidR="00491705" w:rsidRPr="00321765" w:rsidRDefault="00491705" w:rsidP="000625AC">
      <w:pPr>
        <w:pStyle w:val="Akapitzlist"/>
        <w:numPr>
          <w:ilvl w:val="0"/>
          <w:numId w:val="90"/>
        </w:numPr>
        <w:spacing w:after="80"/>
        <w:ind w:left="426"/>
      </w:pPr>
      <w:r w:rsidRPr="00C247F2">
        <w:rPr>
          <w:i/>
        </w:rPr>
        <w:t>Prowadzenie przez właściwe jednostki doradztwa szkoleń w zakresie racjonalnego nawożenia</w:t>
      </w:r>
      <w:r w:rsidRPr="00321765">
        <w:t>.</w:t>
      </w:r>
    </w:p>
    <w:p w14:paraId="7964063B" w14:textId="706BB5CB" w:rsidR="00491705" w:rsidRPr="00321765" w:rsidRDefault="00491705" w:rsidP="00491705">
      <w:pPr>
        <w:ind w:left="426"/>
      </w:pPr>
      <w:r w:rsidRPr="00321765">
        <w:t>Zgodnie z zapisami ustawy o jednostkach doradztwa rolniczego</w:t>
      </w:r>
      <w:r w:rsidRPr="1D1393D4">
        <w:rPr>
          <w:rStyle w:val="Odwoanieprzypisudolnego"/>
        </w:rPr>
        <w:footnoteReference w:id="142"/>
      </w:r>
      <w:r w:rsidRPr="00321765">
        <w:t>, ośrodki wojewódzkie doradztwa rolniczego, w ramach zadań z zakresu doradztwa rolniczego, prowadzą szkolenia dla rolników i</w:t>
      </w:r>
      <w:r w:rsidR="00CA3221">
        <w:t> </w:t>
      </w:r>
      <w:r w:rsidRPr="00321765">
        <w:t>innych mieszkańców obszarów wiejskich, m.in. w zakresie zaleceń zawartych w zbiorze zaleceń dobrej praktyki rolniczej.</w:t>
      </w:r>
    </w:p>
    <w:p w14:paraId="0D500B1C" w14:textId="6F2A10FF" w:rsidR="00491705" w:rsidRPr="00321765" w:rsidRDefault="00491705" w:rsidP="00491705">
      <w:pPr>
        <w:ind w:left="426"/>
      </w:pPr>
      <w:r w:rsidRPr="00321765">
        <w:t xml:space="preserve">Zbiór zaleceń dobrej praktyki rolniczej to przygotowany w związku z wymaganiami art. 103 ustawy </w:t>
      </w:r>
      <w:r w:rsidR="00CA3221">
        <w:t>–</w:t>
      </w:r>
      <w:r w:rsidRPr="00321765">
        <w:t xml:space="preserve"> Prawo wodne zbiór praktyk rolniczych do dobrowolnego stosowania, zawierający m.in. wskazówki dotyczące racjonalnego stosowania nawozów, czy bezpiecznego dla środowiska przechowywania nawozów naturalnych.</w:t>
      </w:r>
    </w:p>
    <w:p w14:paraId="52C6E672" w14:textId="77777777" w:rsidR="00491705" w:rsidRPr="00321765" w:rsidRDefault="00491705" w:rsidP="000625AC">
      <w:pPr>
        <w:pStyle w:val="Akapitzlist"/>
        <w:numPr>
          <w:ilvl w:val="0"/>
          <w:numId w:val="90"/>
        </w:numPr>
        <w:spacing w:after="80"/>
        <w:ind w:left="426"/>
      </w:pPr>
      <w:r w:rsidRPr="00C247F2">
        <w:rPr>
          <w:i/>
        </w:rPr>
        <w:t>Rozwój badań nad wykorzystaniem dronów w nawożeniu</w:t>
      </w:r>
      <w:r w:rsidRPr="00321765">
        <w:t>.</w:t>
      </w:r>
    </w:p>
    <w:p w14:paraId="338382E0" w14:textId="36DE4AC8" w:rsidR="00491705" w:rsidRPr="00321765" w:rsidRDefault="00491705" w:rsidP="00CA3221">
      <w:pPr>
        <w:ind w:left="426"/>
      </w:pPr>
      <w:r w:rsidRPr="00321765">
        <w:t>Najważniejszym celem wykorzystywania dronów rolniczych jest zwiększenie wydajności i</w:t>
      </w:r>
      <w:r w:rsidR="00CA3221">
        <w:t> </w:t>
      </w:r>
      <w:r w:rsidRPr="00321765">
        <w:t>efektywności stosowanych środków produkcji, w tym nawozów. Ich wykorzystanie to sposób na dokładniejsze, bardziej precyzyjne monitorowanie stanu upraw i podejmowanie decyzji w oparciu o</w:t>
      </w:r>
      <w:r w:rsidR="00891DAD">
        <w:t> </w:t>
      </w:r>
      <w:r w:rsidRPr="00321765">
        <w:t xml:space="preserve">szczegółowe dane. </w:t>
      </w:r>
    </w:p>
    <w:p w14:paraId="57408E96" w14:textId="063E03C0" w:rsidR="00491705" w:rsidRDefault="00491705" w:rsidP="00C247F2">
      <w:pPr>
        <w:spacing w:after="240"/>
        <w:ind w:left="426"/>
      </w:pPr>
      <w:r w:rsidRPr="00321765">
        <w:t>Zastosowanie dronów w uprawach roślin ma ogromne znaczenie dla rolnictwa. Dzięki nim gospodarstwo może ograniczać koszty uprawy przy jednoczesnym zwiększeniu plonów, a co za tym idzie, także i zysku. Drony zyskują na popularności wraz z rozwojem rolnictwa precyzyjnego, szczególnie jako urządzenia do dostarczania informacji o stanie upraw, dzięki lotom z</w:t>
      </w:r>
      <w:r w:rsidR="00302298">
        <w:t> </w:t>
      </w:r>
      <w:r w:rsidRPr="00321765">
        <w:t>zamontowanymi na nich kamerami multispektralnymi. Ma to ogromne znaczenie w kontekście ograniczenia zużycia nawozów, co jest możliwe dzięki technologii zmiennego dawkowania (ang. VRA</w:t>
      </w:r>
      <w:r w:rsidR="00302298">
        <w:t>,</w:t>
      </w:r>
      <w:r w:rsidRPr="00321765">
        <w:t xml:space="preserve"> </w:t>
      </w:r>
      <w:r w:rsidRPr="00C247F2">
        <w:rPr>
          <w:i/>
        </w:rPr>
        <w:t>variable rate application</w:t>
      </w:r>
      <w:r w:rsidRPr="00321765">
        <w:t>). Wykorzystuje ona badania oceny zasobności gleb w miejscach uprawy z</w:t>
      </w:r>
      <w:r w:rsidR="00302298">
        <w:t> </w:t>
      </w:r>
      <w:r w:rsidRPr="00321765">
        <w:t>zastosowaniem metod teledetekcji, czyli pomiarów światła odbitego od roślin. Na ich podstawie można ocenić wielkość biomasy, kondycję upraw czy prognozę plonów.</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77364029" w14:textId="77777777" w:rsidTr="00CA32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2AAE7B5"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2A4558A0" wp14:editId="4165B99B">
                  <wp:extent cx="619125" cy="619125"/>
                  <wp:effectExtent l="0" t="0" r="9525" b="9525"/>
                  <wp:docPr id="1381394023"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187F514"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7D1D070"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0D5FDADA" w14:textId="77777777" w:rsidTr="00CA32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7485F2D" w14:textId="77777777" w:rsidR="00491705" w:rsidRPr="00BB6462" w:rsidRDefault="00491705">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E782BF9"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33BB537"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środowiska </w:t>
            </w:r>
          </w:p>
          <w:p w14:paraId="34A3DCF1" w14:textId="77777777" w:rsidR="00491705" w:rsidRPr="00BB6462" w:rsidRDefault="00491705">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tc>
      </w:tr>
    </w:tbl>
    <w:p w14:paraId="315B93BF" w14:textId="49BC1607" w:rsidR="00491705" w:rsidRDefault="00491705" w:rsidP="00491705">
      <w:pPr>
        <w:jc w:val="left"/>
        <w:rPr>
          <w:szCs w:val="20"/>
        </w:rPr>
      </w:pPr>
    </w:p>
    <w:p w14:paraId="09043159" w14:textId="10C6CDA1" w:rsidR="00CA3221" w:rsidRDefault="00CA3221" w:rsidP="00491705">
      <w:pPr>
        <w:jc w:val="left"/>
        <w:rPr>
          <w:szCs w:val="20"/>
        </w:rPr>
      </w:pPr>
    </w:p>
    <w:tbl>
      <w:tblPr>
        <w:tblStyle w:val="Tabela-Siatka"/>
        <w:tblpPr w:leftFromText="141" w:rightFromText="141" w:vertAnchor="text" w:horzAnchor="margin" w:tblpY="195"/>
        <w:tblW w:w="935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485729" w14:paraId="4E140F95" w14:textId="77777777" w:rsidTr="007F5B1D">
        <w:tc>
          <w:tcPr>
            <w:tcW w:w="9356" w:type="dxa"/>
          </w:tcPr>
          <w:p w14:paraId="4CF780C6" w14:textId="6DD58953" w:rsidR="00485729" w:rsidRPr="00987AA2" w:rsidRDefault="00485729" w:rsidP="007F5B1D">
            <w:pPr>
              <w:spacing w:before="240" w:after="240"/>
              <w:jc w:val="center"/>
              <w:rPr>
                <w:b/>
                <w:bCs/>
                <w:sz w:val="48"/>
                <w:szCs w:val="48"/>
              </w:rPr>
            </w:pPr>
            <w:r>
              <w:rPr>
                <w:b/>
                <w:bCs/>
                <w:color w:val="808080" w:themeColor="background1" w:themeShade="80"/>
                <w:sz w:val="48"/>
                <w:szCs w:val="48"/>
              </w:rPr>
              <w:t>Leśnictwo, LULUCF</w:t>
            </w:r>
          </w:p>
        </w:tc>
      </w:tr>
    </w:tbl>
    <w:p w14:paraId="5E8D1D3F" w14:textId="04D0576D" w:rsidR="00491705" w:rsidRPr="00C53A59" w:rsidRDefault="00491705" w:rsidP="00D523F3">
      <w:pPr>
        <w:pStyle w:val="Nagwek6"/>
        <w:rPr>
          <w:rFonts w:ascii="Times New Roman" w:eastAsia="Times New Roman" w:hAnsi="Times New Roman" w:cs="Times New Roman"/>
          <w:kern w:val="0"/>
          <w:lang w:eastAsia="pl-PL"/>
          <w14:ligatures w14:val="none"/>
        </w:rPr>
      </w:pPr>
      <w:bookmarkStart w:id="1168" w:name="_Toc195856592"/>
      <w:bookmarkStart w:id="1169" w:name="_Ref195886297"/>
      <w:bookmarkStart w:id="1170" w:name="_Ref195888529"/>
      <w:bookmarkStart w:id="1171" w:name="_Hlk196217446"/>
      <w:r>
        <w:t xml:space="preserve">Działanie </w:t>
      </w:r>
      <w:r>
        <w:fldChar w:fldCharType="begin"/>
      </w:r>
      <w:r>
        <w:instrText>SEQ Działanie \* ARABIC</w:instrText>
      </w:r>
      <w:r>
        <w:fldChar w:fldCharType="separate"/>
      </w:r>
      <w:r w:rsidR="00871DD5">
        <w:rPr>
          <w:noProof/>
        </w:rPr>
        <w:t>74</w:t>
      </w:r>
      <w:r>
        <w:fldChar w:fldCharType="end"/>
      </w:r>
      <w:r>
        <w:t xml:space="preserve">. </w:t>
      </w:r>
      <w:bookmarkStart w:id="1172" w:name="_Hlk196217607"/>
      <w:r w:rsidRPr="00DC085B">
        <w:t>Przygotowanie planów gospodarowania zasobami wodnymi w lasach</w:t>
      </w:r>
      <w:bookmarkEnd w:id="1168"/>
      <w:bookmarkEnd w:id="1169"/>
      <w:bookmarkEnd w:id="1170"/>
      <w:r>
        <w:t xml:space="preserve"> </w:t>
      </w:r>
    </w:p>
    <w:p w14:paraId="66A7EB67" w14:textId="77777777" w:rsidR="00491705" w:rsidRPr="00C53A59" w:rsidRDefault="00491705" w:rsidP="00491705">
      <w:pPr>
        <w:rPr>
          <w:rFonts w:ascii="Times New Roman" w:hAnsi="Times New Roman"/>
          <w:lang w:eastAsia="pl-PL"/>
        </w:rPr>
      </w:pPr>
      <w:r w:rsidRPr="00C53A59">
        <w:rPr>
          <w:lang w:eastAsia="pl-PL"/>
        </w:rPr>
        <w:t xml:space="preserve">Działanie obejmuje kształtowanie ekologicznych, produkcyjnych i społecznych funkcji lasu na poziomie nadleśnictw przez: zachowanie naturalnych warunków wodnych niezbędnych w rozwoju potencjalnego zespołu leśnego (regulacje warunków wodnych), zwiększanie zasobów wodnych (przedsięwzięcia </w:t>
      </w:r>
      <w:r w:rsidRPr="00C53A59">
        <w:rPr>
          <w:lang w:eastAsia="pl-PL"/>
        </w:rPr>
        <w:lastRenderedPageBreak/>
        <w:t>retencyjne oraz spowalniające odpływ wód ze zlewni), co znacząco wpływa na poprawę warunków produkcji leśnej, różnorodność biologiczną oraz sprzyja adaptacji lasu do prognozowanych zmian klimatu. Sprzyja to także łagodzeniu wpływu ekstremalnych zjawisk atmosferycznych, tj. susz i powodzi na lasy. </w:t>
      </w:r>
    </w:p>
    <w:p w14:paraId="52FEAF60" w14:textId="77777777" w:rsidR="00491705" w:rsidRPr="00C53A59" w:rsidRDefault="00491705" w:rsidP="00485729">
      <w:pPr>
        <w:spacing w:after="80"/>
        <w:rPr>
          <w:rFonts w:ascii="Times New Roman" w:hAnsi="Times New Roman"/>
          <w:lang w:eastAsia="pl-PL"/>
        </w:rPr>
      </w:pPr>
      <w:r w:rsidRPr="00C53A59">
        <w:rPr>
          <w:lang w:eastAsia="pl-PL"/>
        </w:rPr>
        <w:t>Proponowane działanie obejmuje następujące poddziałania: </w:t>
      </w:r>
    </w:p>
    <w:p w14:paraId="0F9AD15E" w14:textId="0139FFCB" w:rsidR="00491705" w:rsidRPr="00C53A59" w:rsidRDefault="00491705" w:rsidP="000625AC">
      <w:pPr>
        <w:pStyle w:val="Akapitzlist"/>
        <w:numPr>
          <w:ilvl w:val="0"/>
          <w:numId w:val="91"/>
        </w:numPr>
        <w:spacing w:after="80"/>
        <w:ind w:left="425" w:hanging="357"/>
        <w:contextualSpacing w:val="0"/>
        <w:rPr>
          <w:lang w:eastAsia="pl-PL"/>
        </w:rPr>
      </w:pPr>
      <w:r w:rsidRPr="00C53A59">
        <w:rPr>
          <w:lang w:eastAsia="pl-PL"/>
        </w:rPr>
        <w:t xml:space="preserve">Przygotowanie planów gospodarowania zasobami wodnymi dla lasów w Polsce </w:t>
      </w:r>
      <w:r>
        <w:rPr>
          <w:lang w:eastAsia="pl-PL"/>
        </w:rPr>
        <w:t>–</w:t>
      </w:r>
      <w:r w:rsidRPr="00C53A59">
        <w:rPr>
          <w:lang w:eastAsia="pl-PL"/>
        </w:rPr>
        <w:t xml:space="preserve"> do 2030</w:t>
      </w:r>
      <w:r>
        <w:rPr>
          <w:lang w:eastAsia="pl-PL"/>
        </w:rPr>
        <w:t xml:space="preserve"> </w:t>
      </w:r>
      <w:r w:rsidRPr="00C53A59">
        <w:rPr>
          <w:lang w:eastAsia="pl-PL"/>
        </w:rPr>
        <w:t>r.</w:t>
      </w:r>
      <w:r w:rsidR="003E2DE5">
        <w:rPr>
          <w:lang w:eastAsia="pl-PL"/>
        </w:rPr>
        <w:t xml:space="preserve"> </w:t>
      </w:r>
    </w:p>
    <w:p w14:paraId="415EAE4F" w14:textId="77777777" w:rsidR="00491705" w:rsidRPr="00C53A59" w:rsidRDefault="00491705" w:rsidP="000625AC">
      <w:pPr>
        <w:pStyle w:val="Akapitzlist"/>
        <w:numPr>
          <w:ilvl w:val="0"/>
          <w:numId w:val="91"/>
        </w:numPr>
        <w:spacing w:after="80"/>
        <w:ind w:left="426"/>
        <w:rPr>
          <w:lang w:eastAsia="pl-PL"/>
        </w:rPr>
      </w:pPr>
      <w:r w:rsidRPr="00C53A59">
        <w:rPr>
          <w:lang w:eastAsia="pl-PL"/>
        </w:rPr>
        <w:t>Stworzenie regulacji obligujących do analizy i sporządzenia Planu Gospodarowania Zasobami Wodnymi (dalej: PGZW) w oparciu o: </w:t>
      </w:r>
    </w:p>
    <w:p w14:paraId="6851D826" w14:textId="77777777" w:rsidR="00491705" w:rsidRPr="003D2B75" w:rsidRDefault="00491705" w:rsidP="000625AC">
      <w:pPr>
        <w:pStyle w:val="Akapitzlist"/>
        <w:numPr>
          <w:ilvl w:val="0"/>
          <w:numId w:val="92"/>
        </w:numPr>
        <w:spacing w:after="80"/>
        <w:ind w:left="851"/>
        <w:rPr>
          <w:rFonts w:ascii="Times New Roman" w:hAnsi="Times New Roman"/>
          <w:lang w:eastAsia="pl-PL"/>
        </w:rPr>
      </w:pPr>
      <w:r w:rsidRPr="00C53A59">
        <w:rPr>
          <w:lang w:eastAsia="pl-PL"/>
        </w:rPr>
        <w:t>analizę obszaru wymagającą opracowania PGZW w lasach, </w:t>
      </w:r>
    </w:p>
    <w:p w14:paraId="26DE26A3" w14:textId="77777777" w:rsidR="00491705" w:rsidRPr="003D2B75" w:rsidRDefault="00491705" w:rsidP="000625AC">
      <w:pPr>
        <w:pStyle w:val="Akapitzlist"/>
        <w:numPr>
          <w:ilvl w:val="0"/>
          <w:numId w:val="92"/>
        </w:numPr>
        <w:spacing w:after="80"/>
        <w:ind w:left="851"/>
        <w:rPr>
          <w:rFonts w:ascii="Times New Roman" w:hAnsi="Times New Roman"/>
          <w:lang w:eastAsia="pl-PL"/>
        </w:rPr>
      </w:pPr>
      <w:r w:rsidRPr="00C53A59">
        <w:rPr>
          <w:lang w:eastAsia="pl-PL"/>
        </w:rPr>
        <w:t>przewidywane zmiany w gospodarowaniu lasem zgodnie z planem urządzenia lasu i innymi planami, w tym dla obszarów chronionych, </w:t>
      </w:r>
    </w:p>
    <w:p w14:paraId="337D0638" w14:textId="77777777" w:rsidR="00491705" w:rsidRPr="003D2B75" w:rsidRDefault="00491705" w:rsidP="000625AC">
      <w:pPr>
        <w:pStyle w:val="Akapitzlist"/>
        <w:numPr>
          <w:ilvl w:val="0"/>
          <w:numId w:val="92"/>
        </w:numPr>
        <w:spacing w:after="80"/>
        <w:ind w:left="851"/>
        <w:rPr>
          <w:rFonts w:ascii="Times New Roman" w:hAnsi="Times New Roman"/>
          <w:lang w:eastAsia="pl-PL"/>
        </w:rPr>
      </w:pPr>
      <w:r w:rsidRPr="00C53A59">
        <w:rPr>
          <w:lang w:eastAsia="pl-PL"/>
        </w:rPr>
        <w:t>prognozowane zagrożenia wynikające ze zmiany klimatu, </w:t>
      </w:r>
    </w:p>
    <w:p w14:paraId="5E64655D" w14:textId="77777777" w:rsidR="00491705" w:rsidRPr="003D2B75" w:rsidRDefault="00491705" w:rsidP="000625AC">
      <w:pPr>
        <w:pStyle w:val="Akapitzlist"/>
        <w:numPr>
          <w:ilvl w:val="0"/>
          <w:numId w:val="92"/>
        </w:numPr>
        <w:spacing w:after="80"/>
        <w:ind w:left="851"/>
        <w:rPr>
          <w:rFonts w:ascii="Times New Roman" w:hAnsi="Times New Roman"/>
          <w:lang w:eastAsia="pl-PL"/>
        </w:rPr>
      </w:pPr>
      <w:r w:rsidRPr="00C53A59">
        <w:rPr>
          <w:lang w:eastAsia="pl-PL"/>
        </w:rPr>
        <w:t>planowaną działalność człowieka mogącą mieć wpływ na zasoby wodne. </w:t>
      </w:r>
    </w:p>
    <w:p w14:paraId="4C918484" w14:textId="77777777" w:rsidR="00491705" w:rsidRPr="003D2B75" w:rsidRDefault="00491705" w:rsidP="000625AC">
      <w:pPr>
        <w:pStyle w:val="Akapitzlist"/>
        <w:numPr>
          <w:ilvl w:val="0"/>
          <w:numId w:val="92"/>
        </w:numPr>
        <w:spacing w:after="80"/>
        <w:ind w:left="850" w:hanging="357"/>
        <w:contextualSpacing w:val="0"/>
        <w:rPr>
          <w:rFonts w:ascii="Times New Roman" w:hAnsi="Times New Roman"/>
          <w:lang w:eastAsia="pl-PL"/>
        </w:rPr>
      </w:pPr>
      <w:r w:rsidRPr="00C53A59">
        <w:rPr>
          <w:lang w:eastAsia="pl-PL"/>
        </w:rPr>
        <w:t>PGZW w lasach obligatoryjnie powinien być sporządzany w skali zlewni rzecznej i/lub zlewni zależnych hydrologicznie oraz powiązany z celami i działaniami przewidzianymi w planach gospodarowania wodami w regionie lub dorzeczu. </w:t>
      </w:r>
    </w:p>
    <w:p w14:paraId="05958CBB" w14:textId="144377A2" w:rsidR="00491705" w:rsidRPr="00C53A59" w:rsidRDefault="00491705" w:rsidP="000625AC">
      <w:pPr>
        <w:pStyle w:val="Akapitzlist"/>
        <w:numPr>
          <w:ilvl w:val="0"/>
          <w:numId w:val="91"/>
        </w:numPr>
        <w:spacing w:after="80"/>
        <w:ind w:left="425" w:hanging="357"/>
        <w:contextualSpacing w:val="0"/>
        <w:rPr>
          <w:lang w:eastAsia="pl-PL"/>
        </w:rPr>
      </w:pPr>
      <w:r w:rsidRPr="00C53A59">
        <w:rPr>
          <w:lang w:eastAsia="pl-PL"/>
        </w:rPr>
        <w:t>Uwzględnienie ustaleń PGZW w lasach w planach urządzenia lasu i w innych planach, w tym dla</w:t>
      </w:r>
      <w:r w:rsidR="00891DAD">
        <w:rPr>
          <w:lang w:eastAsia="pl-PL"/>
        </w:rPr>
        <w:t> </w:t>
      </w:r>
      <w:r w:rsidRPr="00C53A59">
        <w:rPr>
          <w:lang w:eastAsia="pl-PL"/>
        </w:rPr>
        <w:t>obszarów chronionych dla każdego z 429 nadleśnictw w Polsce</w:t>
      </w:r>
      <w:r w:rsidR="00CA3221">
        <w:rPr>
          <w:lang w:eastAsia="pl-PL"/>
        </w:rPr>
        <w:t xml:space="preserve"> </w:t>
      </w:r>
      <w:r w:rsidRPr="00C53A59">
        <w:rPr>
          <w:lang w:eastAsia="pl-PL"/>
        </w:rPr>
        <w:t xml:space="preserve">– w </w:t>
      </w:r>
      <w:r w:rsidR="00B374EF">
        <w:rPr>
          <w:lang w:eastAsia="pl-PL"/>
        </w:rPr>
        <w:t xml:space="preserve">ramach bieżącej aktualizacji </w:t>
      </w:r>
      <w:r w:rsidR="00C74A68">
        <w:rPr>
          <w:lang w:eastAsia="pl-PL"/>
        </w:rPr>
        <w:t>planów urządzania lasów</w:t>
      </w:r>
      <w:r w:rsidR="00B374EF">
        <w:rPr>
          <w:lang w:eastAsia="pl-PL"/>
        </w:rPr>
        <w:t xml:space="preserve"> i innych planów, najpóźniej od 2031 r.</w:t>
      </w:r>
      <w:r w:rsidR="00B374EF" w:rsidRPr="00C53A59">
        <w:rPr>
          <w:lang w:eastAsia="pl-PL"/>
        </w:rPr>
        <w:t> </w:t>
      </w:r>
    </w:p>
    <w:p w14:paraId="55448E11" w14:textId="7B5134CD" w:rsidR="00491705" w:rsidRPr="00C53A59" w:rsidRDefault="00B80B77" w:rsidP="000625AC">
      <w:pPr>
        <w:pStyle w:val="Akapitzlist"/>
        <w:numPr>
          <w:ilvl w:val="0"/>
          <w:numId w:val="91"/>
        </w:numPr>
        <w:spacing w:after="80"/>
        <w:ind w:left="425" w:hanging="357"/>
        <w:contextualSpacing w:val="0"/>
        <w:rPr>
          <w:lang w:eastAsia="pl-PL"/>
        </w:rPr>
      </w:pPr>
      <w:r>
        <w:rPr>
          <w:lang w:eastAsia="pl-PL"/>
        </w:rPr>
        <w:t xml:space="preserve">Przegląd i </w:t>
      </w:r>
      <w:r w:rsidR="000B21FD">
        <w:rPr>
          <w:lang w:eastAsia="pl-PL"/>
        </w:rPr>
        <w:t>ewentualna</w:t>
      </w:r>
      <w:r>
        <w:rPr>
          <w:lang w:eastAsia="pl-PL"/>
        </w:rPr>
        <w:t xml:space="preserve"> n</w:t>
      </w:r>
      <w:r w:rsidR="00491705" w:rsidRPr="00C53A59">
        <w:rPr>
          <w:lang w:eastAsia="pl-PL"/>
        </w:rPr>
        <w:t>owelizacja rozporządzenia ws. dobrych praktyk leśnych oraz dokumentów wewnętrznych Lasów Państwowych (np.</w:t>
      </w:r>
      <w:r w:rsidR="00491705" w:rsidRPr="003D2B75">
        <w:rPr>
          <w:rFonts w:ascii="Aptos" w:hAnsi="Aptos"/>
          <w:lang w:eastAsia="pl-PL"/>
        </w:rPr>
        <w:t xml:space="preserve"> </w:t>
      </w:r>
      <w:r w:rsidR="00491705" w:rsidRPr="00C53A59">
        <w:rPr>
          <w:lang w:eastAsia="pl-PL"/>
        </w:rPr>
        <w:t>Instrukcja Urządzania Lasu, Zasady Hodowli Lasu) w celu pełnej integracji z</w:t>
      </w:r>
      <w:r w:rsidR="00CA3221">
        <w:rPr>
          <w:lang w:eastAsia="pl-PL"/>
        </w:rPr>
        <w:t> </w:t>
      </w:r>
      <w:r w:rsidR="00491705" w:rsidRPr="00C53A59">
        <w:rPr>
          <w:lang w:eastAsia="pl-PL"/>
        </w:rPr>
        <w:t>wymogami prawa UE oraz współczesnymi wynikami badań naukowych i</w:t>
      </w:r>
      <w:r w:rsidR="00891DAD">
        <w:rPr>
          <w:lang w:eastAsia="pl-PL"/>
        </w:rPr>
        <w:t> </w:t>
      </w:r>
      <w:r w:rsidR="00491705" w:rsidRPr="00C53A59">
        <w:rPr>
          <w:lang w:eastAsia="pl-PL"/>
        </w:rPr>
        <w:t>doświadczeń praktyki w</w:t>
      </w:r>
      <w:r w:rsidR="00CA3221">
        <w:rPr>
          <w:lang w:eastAsia="pl-PL"/>
        </w:rPr>
        <w:t> </w:t>
      </w:r>
      <w:r w:rsidR="00491705" w:rsidRPr="00C53A59">
        <w:rPr>
          <w:lang w:eastAsia="pl-PL"/>
        </w:rPr>
        <w:t>zakresie ochrony zasobów wody w lasach - w okresie do 2027 r. oraz cyklicznie co 5 lat. </w:t>
      </w:r>
    </w:p>
    <w:p w14:paraId="420AFB7E" w14:textId="577327CF" w:rsidR="00491705" w:rsidRPr="00C53A59" w:rsidRDefault="00491705" w:rsidP="000625AC">
      <w:pPr>
        <w:pStyle w:val="Akapitzlist"/>
        <w:numPr>
          <w:ilvl w:val="0"/>
          <w:numId w:val="91"/>
        </w:numPr>
        <w:spacing w:after="80"/>
        <w:ind w:left="425" w:hanging="357"/>
        <w:contextualSpacing w:val="0"/>
        <w:rPr>
          <w:lang w:eastAsia="pl-PL"/>
        </w:rPr>
      </w:pPr>
      <w:r w:rsidRPr="00C53A59">
        <w:rPr>
          <w:lang w:eastAsia="pl-PL"/>
        </w:rPr>
        <w:t>Wdrożenie systemu monitoringu oraz bieżące monitorowanie zjawisk hydrologicznych w lasach, powiązane z krajowym monitoringiem wód powierzchniowych i podziemnych, jako narzędzie wspomagające podejmowanie decyzji w zakresie zarządzania wodą w lesie.</w:t>
      </w:r>
      <w:r w:rsidR="003E2DE5">
        <w:rPr>
          <w:lang w:eastAsia="pl-PL"/>
        </w:rPr>
        <w:t xml:space="preserve"> </w:t>
      </w:r>
    </w:p>
    <w:p w14:paraId="3A5ED808" w14:textId="75638A17" w:rsidR="00491705" w:rsidRPr="003D2B75" w:rsidRDefault="00491705" w:rsidP="000625AC">
      <w:pPr>
        <w:pStyle w:val="Akapitzlist"/>
        <w:numPr>
          <w:ilvl w:val="0"/>
          <w:numId w:val="91"/>
        </w:numPr>
        <w:spacing w:after="80"/>
        <w:ind w:left="425" w:hanging="357"/>
        <w:contextualSpacing w:val="0"/>
        <w:rPr>
          <w:rFonts w:ascii="Times New Roman" w:hAnsi="Times New Roman"/>
          <w:lang w:eastAsia="pl-PL"/>
        </w:rPr>
      </w:pPr>
      <w:r w:rsidRPr="00C53A59">
        <w:rPr>
          <w:lang w:eastAsia="pl-PL"/>
        </w:rPr>
        <w:t>Audyt efektów wprowadzonych działań z zakresu zarządzania zasobami wodnymi w lasach – w</w:t>
      </w:r>
      <w:r w:rsidR="00891DAD">
        <w:t> </w:t>
      </w:r>
      <w:r w:rsidRPr="00C53A59">
        <w:rPr>
          <w:lang w:eastAsia="pl-PL"/>
        </w:rPr>
        <w:t>okresie 2035 r.</w:t>
      </w:r>
      <w:r w:rsidR="003E2DE5">
        <w:rPr>
          <w:lang w:eastAsia="pl-PL"/>
        </w:rPr>
        <w:t xml:space="preserve"> </w:t>
      </w:r>
      <w:r w:rsidRPr="00C53A59">
        <w:rPr>
          <w:lang w:eastAsia="pl-PL"/>
        </w:rPr>
        <w:t>oraz cyklicznie co 5 lat, wraz z obowiązkiem aktualizacji w celu optymalizacji PGZW.</w:t>
      </w:r>
      <w:r w:rsidR="003E2DE5">
        <w:rPr>
          <w:lang w:eastAsia="pl-PL"/>
        </w:rPr>
        <w:t xml:space="preserve"> </w:t>
      </w:r>
    </w:p>
    <w:p w14:paraId="63927AC7" w14:textId="77777777" w:rsidR="00491705" w:rsidRPr="00C53A59" w:rsidRDefault="00491705" w:rsidP="00491705">
      <w:pPr>
        <w:shd w:val="clear" w:color="auto" w:fill="FFFFFF"/>
        <w:spacing w:after="0" w:line="240" w:lineRule="auto"/>
        <w:ind w:left="720"/>
        <w:textAlignment w:val="baseline"/>
        <w:rPr>
          <w:rFonts w:ascii="Times New Roman" w:eastAsia="Times New Roman" w:hAnsi="Times New Roman" w:cs="Times New Roman"/>
          <w:kern w:val="0"/>
          <w:lang w:eastAsia="pl-PL"/>
          <w14:ligatures w14:val="none"/>
        </w:rPr>
      </w:pPr>
      <w:r w:rsidRPr="00C53A59">
        <w:rPr>
          <w:rFonts w:eastAsia="Times New Roman" w:cs="Times New Roman"/>
          <w:kern w:val="0"/>
          <w:szCs w:val="20"/>
          <w:lang w:eastAsia="pl-PL"/>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4C2BA38E" w14:textId="77777777" w:rsidTr="00CA32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57D1643"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2D0F6DC0" wp14:editId="43F216F2">
                  <wp:extent cx="621030" cy="621030"/>
                  <wp:effectExtent l="0" t="0" r="7620" b="7620"/>
                  <wp:docPr id="21" name="Obraz 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ACBC662"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686605C"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74BE52B4" w14:textId="77777777" w:rsidTr="00CA32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12E5B46"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A705A5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3472B4D"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gospodarki wodnej </w:t>
            </w:r>
          </w:p>
          <w:p w14:paraId="4C55056F"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 </w:t>
            </w:r>
          </w:p>
        </w:tc>
      </w:tr>
    </w:tbl>
    <w:p w14:paraId="42E7C0C2" w14:textId="7F3D1A95" w:rsidR="00491705" w:rsidRPr="00C53A59" w:rsidRDefault="00491705" w:rsidP="00901FEA">
      <w:pPr>
        <w:pStyle w:val="Nagwek6"/>
        <w:rPr>
          <w:rFonts w:ascii="Times New Roman" w:eastAsia="Times New Roman" w:hAnsi="Times New Roman" w:cs="Times New Roman"/>
          <w:i/>
          <w:iCs/>
          <w:color w:val="595959"/>
          <w:kern w:val="0"/>
          <w:lang w:eastAsia="pl-PL"/>
          <w14:ligatures w14:val="none"/>
        </w:rPr>
      </w:pPr>
      <w:bookmarkStart w:id="1173" w:name="_Toc195856593"/>
      <w:bookmarkStart w:id="1174" w:name="_Ref195886304"/>
      <w:bookmarkStart w:id="1175" w:name="_Ref195888205"/>
      <w:bookmarkStart w:id="1176" w:name="_Ref195888517"/>
      <w:r>
        <w:t xml:space="preserve">Działanie </w:t>
      </w:r>
      <w:r>
        <w:fldChar w:fldCharType="begin"/>
      </w:r>
      <w:r>
        <w:instrText>SEQ Działanie \* ARABIC</w:instrText>
      </w:r>
      <w:r>
        <w:fldChar w:fldCharType="separate"/>
      </w:r>
      <w:r w:rsidR="00871DD5">
        <w:rPr>
          <w:noProof/>
        </w:rPr>
        <w:t>75</w:t>
      </w:r>
      <w:r>
        <w:fldChar w:fldCharType="end"/>
      </w:r>
      <w:r>
        <w:t xml:space="preserve">. </w:t>
      </w:r>
      <w:r w:rsidRPr="00E823DF">
        <w:t>Określanie celów i zasad prowadzenia trwale zrównoważonej gospodarki leśnej</w:t>
      </w:r>
      <w:bookmarkEnd w:id="1173"/>
      <w:bookmarkEnd w:id="1174"/>
      <w:bookmarkEnd w:id="1175"/>
      <w:bookmarkEnd w:id="1176"/>
      <w:r w:rsidRPr="00C53A59">
        <w:rPr>
          <w:rFonts w:eastAsia="Times New Roman" w:cs="Times New Roman"/>
          <w:bCs/>
          <w:color w:val="000000"/>
          <w:kern w:val="0"/>
          <w:lang w:eastAsia="pl-PL"/>
          <w14:ligatures w14:val="none"/>
        </w:rPr>
        <w:t xml:space="preserve"> </w:t>
      </w:r>
    </w:p>
    <w:p w14:paraId="4FDABC6D" w14:textId="6E790A74" w:rsidR="00491705" w:rsidRPr="00901FEA" w:rsidRDefault="00491705" w:rsidP="00982FA5">
      <w:pPr>
        <w:spacing w:line="240" w:lineRule="auto"/>
        <w:textAlignment w:val="baseline"/>
        <w:rPr>
          <w:rFonts w:ascii="Times New Roman" w:hAnsi="Times New Roman"/>
        </w:rPr>
      </w:pPr>
      <w:r w:rsidRPr="00901FEA">
        <w:t>Działanie to oznacza konieczność sporządzania planów urządzenia lasu oraz uproszczonych planów urządzenia lasu w sposób, w którym nadrzędnym celem będzie podnoszenie trwałości i stabilności lasu, m.in. poprzez adaptację do zmiany klimatu. W obszarach, na których warunki na to pozwolą, będzie się wzmacniać zasoby leśne i</w:t>
      </w:r>
      <w:r w:rsidRPr="00901FEA">
        <w:rPr>
          <w:rFonts w:ascii="Arial" w:hAnsi="Arial"/>
        </w:rPr>
        <w:t> </w:t>
      </w:r>
      <w:r w:rsidRPr="00901FEA">
        <w:t>ich udział w</w:t>
      </w:r>
      <w:r w:rsidRPr="00901FEA">
        <w:rPr>
          <w:rFonts w:ascii="Arial" w:hAnsi="Arial"/>
        </w:rPr>
        <w:t> </w:t>
      </w:r>
      <w:r w:rsidRPr="00901FEA">
        <w:t>globalnym bilansie węgla, które zapewnią pożądaną ilość i</w:t>
      </w:r>
      <w:r w:rsidRPr="00901FEA">
        <w:rPr>
          <w:rFonts w:ascii="Arial" w:hAnsi="Arial"/>
        </w:rPr>
        <w:t> </w:t>
      </w:r>
      <w:r w:rsidRPr="00901FEA">
        <w:t xml:space="preserve">jakość zasobów leśnych w horyzoncie średnio- i długookresowym. </w:t>
      </w:r>
      <w:r w:rsidR="00F93911">
        <w:t>Należy dążyć</w:t>
      </w:r>
      <w:r w:rsidR="00374E67">
        <w:t xml:space="preserve"> do pożądanego</w:t>
      </w:r>
      <w:r w:rsidRPr="00901FEA">
        <w:t xml:space="preserve"> poziom</w:t>
      </w:r>
      <w:r w:rsidR="00374E67">
        <w:t>u</w:t>
      </w:r>
      <w:r w:rsidRPr="00901FEA">
        <w:t xml:space="preserve"> zapasu zasobów leśnych ze względów ekonomicznych, ekologicznych i społecznych oraz cele szczegółowe zwiększania lesistości w kierunku osiągnięcia wskaźnika co najmniej średniej EU, a docelowo do 2040 r. do wartości ją przewyższającej. </w:t>
      </w:r>
    </w:p>
    <w:p w14:paraId="157B754C" w14:textId="77777777" w:rsidR="00491705" w:rsidRDefault="00491705" w:rsidP="00901FEA">
      <w:pPr>
        <w:spacing w:after="80"/>
        <w:rPr>
          <w:lang w:eastAsia="pl-PL"/>
        </w:rPr>
      </w:pPr>
      <w:r w:rsidRPr="003D2B75">
        <w:rPr>
          <w:lang w:eastAsia="pl-PL"/>
        </w:rPr>
        <w:t>Proponowane działanie obejmuje następujące poddziałania:</w:t>
      </w:r>
    </w:p>
    <w:p w14:paraId="3C4F93F7" w14:textId="4013688A" w:rsidR="00491705" w:rsidRPr="003D2B75" w:rsidRDefault="00491705" w:rsidP="000625AC">
      <w:pPr>
        <w:pStyle w:val="Akapitzlist"/>
        <w:numPr>
          <w:ilvl w:val="0"/>
          <w:numId w:val="93"/>
        </w:numPr>
        <w:spacing w:after="80"/>
        <w:ind w:left="425" w:hanging="357"/>
        <w:contextualSpacing w:val="0"/>
        <w:rPr>
          <w:lang w:eastAsia="pl-PL"/>
        </w:rPr>
      </w:pPr>
      <w:r w:rsidRPr="003D2B75">
        <w:rPr>
          <w:lang w:eastAsia="pl-PL"/>
        </w:rPr>
        <w:t>Identyfikację i oznaczenie rusztu ekologicznego lasów wszystkich form własności, w oparciu o lasy z</w:t>
      </w:r>
      <w:r w:rsidR="00C952A7">
        <w:rPr>
          <w:lang w:eastAsia="pl-PL"/>
        </w:rPr>
        <w:t> </w:t>
      </w:r>
      <w:r w:rsidRPr="003D2B75">
        <w:rPr>
          <w:lang w:eastAsia="pl-PL"/>
        </w:rPr>
        <w:t xml:space="preserve">wiodącą funkcją ochrony przyrody (formy ochrony przyrody, siedliska przyrodnicze, postępowanie wynikające z przepisów ochrony przyrody). </w:t>
      </w:r>
    </w:p>
    <w:p w14:paraId="53EC3CC7" w14:textId="2B3277D9" w:rsidR="00491705" w:rsidRPr="003D2B75" w:rsidRDefault="00491705" w:rsidP="000625AC">
      <w:pPr>
        <w:pStyle w:val="Akapitzlist"/>
        <w:numPr>
          <w:ilvl w:val="0"/>
          <w:numId w:val="93"/>
        </w:numPr>
        <w:spacing w:after="80"/>
        <w:ind w:left="425" w:hanging="357"/>
        <w:contextualSpacing w:val="0"/>
        <w:rPr>
          <w:lang w:eastAsia="pl-PL"/>
        </w:rPr>
      </w:pPr>
      <w:r w:rsidRPr="003D2B75">
        <w:rPr>
          <w:lang w:eastAsia="pl-PL"/>
        </w:rPr>
        <w:lastRenderedPageBreak/>
        <w:t xml:space="preserve">Identyfikację i oznaczenie lasów o zagrożonej stabilności </w:t>
      </w:r>
      <w:r w:rsidR="000073EA">
        <w:rPr>
          <w:lang w:eastAsia="pl-PL"/>
        </w:rPr>
        <w:t>–</w:t>
      </w:r>
      <w:r w:rsidRPr="003D2B75">
        <w:rPr>
          <w:lang w:eastAsia="pl-PL"/>
        </w:rPr>
        <w:t xml:space="preserve"> podział gospodarczy lasów z</w:t>
      </w:r>
      <w:r w:rsidR="00C952A7">
        <w:rPr>
          <w:lang w:eastAsia="pl-PL"/>
        </w:rPr>
        <w:t> </w:t>
      </w:r>
      <w:r w:rsidRPr="003D2B75">
        <w:rPr>
          <w:lang w:eastAsia="pl-PL"/>
        </w:rPr>
        <w:t xml:space="preserve">wyróżnieniem gospodarstwa lasów niestabilnych, wraz z oceną stabilności każdego drzewostanu. </w:t>
      </w:r>
    </w:p>
    <w:p w14:paraId="28E4742A" w14:textId="77777777" w:rsidR="00491705" w:rsidRPr="003D2B75" w:rsidRDefault="00491705" w:rsidP="000625AC">
      <w:pPr>
        <w:pStyle w:val="Akapitzlist"/>
        <w:numPr>
          <w:ilvl w:val="0"/>
          <w:numId w:val="93"/>
        </w:numPr>
        <w:spacing w:after="80"/>
        <w:ind w:left="425" w:hanging="357"/>
        <w:contextualSpacing w:val="0"/>
        <w:rPr>
          <w:lang w:eastAsia="pl-PL"/>
        </w:rPr>
      </w:pPr>
      <w:r w:rsidRPr="003D2B75">
        <w:rPr>
          <w:lang w:eastAsia="pl-PL"/>
        </w:rPr>
        <w:t xml:space="preserve">Na obszarach, które nie zostały wyróżnione powyżej, planowanie podziału na lasy o wiodącej funkcji społecznej i gospodarczej. </w:t>
      </w:r>
    </w:p>
    <w:p w14:paraId="5F4928E0" w14:textId="4F2F1D3C" w:rsidR="00491705" w:rsidRPr="003D2B75" w:rsidRDefault="00491705" w:rsidP="000625AC">
      <w:pPr>
        <w:pStyle w:val="Akapitzlist"/>
        <w:numPr>
          <w:ilvl w:val="0"/>
          <w:numId w:val="93"/>
        </w:numPr>
        <w:spacing w:after="80"/>
        <w:ind w:left="425" w:hanging="357"/>
        <w:contextualSpacing w:val="0"/>
        <w:rPr>
          <w:lang w:eastAsia="pl-PL"/>
        </w:rPr>
      </w:pPr>
      <w:r w:rsidRPr="003D2B75">
        <w:rPr>
          <w:lang w:eastAsia="pl-PL"/>
        </w:rPr>
        <w:t>Należy przeprowadzić przegląd przepisów i stworzyć adekwatne ramy prawne, które umożliwią ujęcie w planach urządzenia lasu i uproszczonych planach urządzenia lasu zagadnień związanych ze wzmocnieniem funkcji przyrodniczych i społecznych lasów, jak również zmianą klimatu, w</w:t>
      </w:r>
      <w:r w:rsidR="00C952A7">
        <w:rPr>
          <w:lang w:eastAsia="pl-PL"/>
        </w:rPr>
        <w:t> </w:t>
      </w:r>
      <w:r w:rsidRPr="003D2B75">
        <w:rPr>
          <w:lang w:eastAsia="pl-PL"/>
        </w:rPr>
        <w:t>szczególności związanych ze wzmacnianiem stabilności, odporności oraz adaptacji lasów do zmiany klimatu. Nowa struktura planów ma zawierać elementy związane z trwałością lasu jako ekosystemu, pełnienia funkcji środowiskowych oraz magazynowaniem węgla w ekosystemach leśnych. Konieczne będzie uwzględnienie w planach działań związanych z adaptacją lasów do zmiany klimatu – w</w:t>
      </w:r>
      <w:r w:rsidR="00C952A7">
        <w:rPr>
          <w:lang w:eastAsia="pl-PL"/>
        </w:rPr>
        <w:t> </w:t>
      </w:r>
      <w:r w:rsidRPr="003D2B75">
        <w:rPr>
          <w:lang w:eastAsia="pl-PL"/>
        </w:rPr>
        <w:t>szczególności poprzez zadania związane z odbudową zasobów wodnych, wyłączeniem z</w:t>
      </w:r>
      <w:r w:rsidR="00C952A7">
        <w:rPr>
          <w:lang w:eastAsia="pl-PL"/>
        </w:rPr>
        <w:t> </w:t>
      </w:r>
      <w:r w:rsidRPr="003D2B75">
        <w:rPr>
          <w:lang w:eastAsia="pl-PL"/>
        </w:rPr>
        <w:t>użytkowania lasów na siedliskach bagiennych i wzdłuż cieków wodnych, czy modyfikacje stosowanych praktyk gospodarki leśnej w kierunku leśnictwa bliższego naturze w celu tworzenia stabilnych i bardziej odpornych na zmiany klimatu drzewostanów.</w:t>
      </w:r>
    </w:p>
    <w:p w14:paraId="4FA4273B" w14:textId="3492E9AB" w:rsidR="009B42DA" w:rsidRDefault="00491705" w:rsidP="000625AC">
      <w:pPr>
        <w:pStyle w:val="Akapitzlist"/>
        <w:numPr>
          <w:ilvl w:val="0"/>
          <w:numId w:val="93"/>
        </w:numPr>
        <w:spacing w:after="80"/>
        <w:ind w:left="425" w:hanging="357"/>
        <w:contextualSpacing w:val="0"/>
        <w:rPr>
          <w:lang w:eastAsia="pl-PL"/>
        </w:rPr>
      </w:pPr>
      <w:r w:rsidRPr="003D2B75">
        <w:rPr>
          <w:lang w:eastAsia="pl-PL"/>
        </w:rPr>
        <w:t>Należy znowelizować przepisy w celu zapewnienia weryfikacji i korygowania działań zawartych w</w:t>
      </w:r>
      <w:r w:rsidR="00891DAD">
        <w:rPr>
          <w:lang w:eastAsia="pl-PL"/>
        </w:rPr>
        <w:t> </w:t>
      </w:r>
      <w:r w:rsidRPr="003D2B75">
        <w:rPr>
          <w:lang w:eastAsia="pl-PL"/>
        </w:rPr>
        <w:t>planach urządzenia lasu</w:t>
      </w:r>
      <w:r w:rsidR="00771FA5">
        <w:rPr>
          <w:lang w:eastAsia="pl-PL"/>
        </w:rPr>
        <w:t xml:space="preserve"> </w:t>
      </w:r>
      <w:r w:rsidRPr="003D2B75">
        <w:rPr>
          <w:lang w:eastAsia="pl-PL"/>
        </w:rPr>
        <w:t>i uproszczonych planach urządzenia lasu</w:t>
      </w:r>
      <w:r w:rsidR="00771FA5">
        <w:rPr>
          <w:lang w:eastAsia="pl-PL"/>
        </w:rPr>
        <w:t xml:space="preserve"> </w:t>
      </w:r>
      <w:r w:rsidRPr="003D2B75">
        <w:rPr>
          <w:lang w:eastAsia="pl-PL"/>
        </w:rPr>
        <w:t>przez organy ochrony środowiska – zastąpienie opiniowania projektów PUL i UPUL przez ich uzgadnianie przez organy ochrony środowiska</w:t>
      </w:r>
      <w:r w:rsidR="009B42DA">
        <w:rPr>
          <w:lang w:eastAsia="pl-PL"/>
        </w:rPr>
        <w:t>, tj. RDOŚ i GDOŚ</w:t>
      </w:r>
      <w:r w:rsidRPr="003D2B75">
        <w:rPr>
          <w:lang w:eastAsia="pl-PL"/>
        </w:rPr>
        <w:t xml:space="preserve"> - w okresie do 2026</w:t>
      </w:r>
      <w:r>
        <w:rPr>
          <w:lang w:eastAsia="pl-PL"/>
        </w:rPr>
        <w:t xml:space="preserve"> </w:t>
      </w:r>
      <w:r w:rsidRPr="003D2B75">
        <w:rPr>
          <w:lang w:eastAsia="pl-PL"/>
        </w:rPr>
        <w:t>r</w:t>
      </w:r>
      <w:r w:rsidR="00FF103A">
        <w:rPr>
          <w:lang w:eastAsia="pl-PL"/>
        </w:rPr>
        <w:t xml:space="preserve">. </w:t>
      </w:r>
    </w:p>
    <w:p w14:paraId="0DB78985" w14:textId="29BCEB85" w:rsidR="00491705" w:rsidRPr="00C53A59" w:rsidRDefault="00491705" w:rsidP="000625AC">
      <w:pPr>
        <w:pStyle w:val="Akapitzlist"/>
        <w:numPr>
          <w:ilvl w:val="0"/>
          <w:numId w:val="93"/>
        </w:numPr>
        <w:spacing w:after="80"/>
        <w:ind w:left="425" w:hanging="357"/>
        <w:contextualSpacing w:val="0"/>
        <w:rPr>
          <w:lang w:eastAsia="pl-PL"/>
        </w:rPr>
      </w:pPr>
      <w:r w:rsidRPr="003D2B75">
        <w:rPr>
          <w:lang w:eastAsia="pl-PL"/>
        </w:rPr>
        <w:t>Ponadto</w:t>
      </w:r>
      <w:r w:rsidR="00F26E5C">
        <w:rPr>
          <w:lang w:eastAsia="pl-PL"/>
        </w:rPr>
        <w:t>,</w:t>
      </w:r>
      <w:r w:rsidRPr="003D2B75">
        <w:rPr>
          <w:lang w:eastAsia="pl-PL"/>
        </w:rPr>
        <w:t xml:space="preserve"> należy znowelizować obowiązujące przepisy w celu zapewnienia dostępu do wymiaru sprawiedliwości w sprawach dotyczących ustanawiania PUL (możliwość zaskarżania do sądu) oraz zapewnienia większego wpływu na działania zawarte w planach urządzenia lasu przez właściwe organy ochrony środowiska.</w:t>
      </w:r>
    </w:p>
    <w:p w14:paraId="552379E6" w14:textId="77777777" w:rsidR="00491705" w:rsidRPr="00C53A59" w:rsidRDefault="00491705" w:rsidP="00491705">
      <w:pPr>
        <w:shd w:val="clear" w:color="auto" w:fill="FFFFFF"/>
        <w:spacing w:after="0" w:line="240" w:lineRule="auto"/>
        <w:ind w:left="720"/>
        <w:textAlignment w:val="baseline"/>
        <w:rPr>
          <w:rFonts w:ascii="Times New Roman" w:eastAsia="Times New Roman" w:hAnsi="Times New Roman" w:cs="Times New Roman"/>
          <w:kern w:val="0"/>
          <w:lang w:eastAsia="pl-PL"/>
          <w14:ligatures w14:val="none"/>
        </w:rPr>
      </w:pPr>
      <w:r w:rsidRPr="00C53A59">
        <w:rPr>
          <w:rFonts w:eastAsia="Times New Roman" w:cs="Times New Roman"/>
          <w:kern w:val="0"/>
          <w:szCs w:val="20"/>
          <w:lang w:eastAsia="pl-PL"/>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7"/>
        <w:gridCol w:w="3870"/>
        <w:gridCol w:w="3960"/>
      </w:tblGrid>
      <w:tr w:rsidR="00491705" w:rsidRPr="00C53A59" w14:paraId="41AD6E86"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D084A70"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39672498" wp14:editId="44F3BD86">
                  <wp:extent cx="621030" cy="621030"/>
                  <wp:effectExtent l="0" t="0" r="7620" b="7620"/>
                  <wp:docPr id="22" name="Obraz 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ed" w:sz="12" w:space="0" w:color="D9D9D9"/>
              <w:right w:val="dashed" w:sz="12" w:space="0" w:color="D9D9D9"/>
            </w:tcBorders>
            <w:hideMark/>
          </w:tcPr>
          <w:p w14:paraId="521C9B6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ed" w:sz="12" w:space="0" w:color="D9D9D9"/>
              <w:bottom w:val="dashed" w:sz="12" w:space="0" w:color="D9D9D9"/>
              <w:right w:val="dashed" w:sz="12" w:space="0" w:color="FFFFFF"/>
            </w:tcBorders>
            <w:hideMark/>
          </w:tcPr>
          <w:p w14:paraId="2E81B946"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491705" w:rsidRPr="00C53A59" w14:paraId="6E259889"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575D815"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ed" w:sz="12" w:space="0" w:color="D9D9D9"/>
              <w:left w:val="dashed" w:sz="12" w:space="0" w:color="FFFFFF"/>
              <w:bottom w:val="dashed" w:sz="12" w:space="0" w:color="FFFFFF"/>
              <w:right w:val="dashed" w:sz="12" w:space="0" w:color="D9D9D9"/>
            </w:tcBorders>
            <w:hideMark/>
          </w:tcPr>
          <w:p w14:paraId="04EF6976"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ed" w:sz="12" w:space="0" w:color="D9D9D9"/>
              <w:left w:val="dashed" w:sz="12" w:space="0" w:color="D9D9D9"/>
              <w:bottom w:val="dashed" w:sz="12" w:space="0" w:color="FFFFFF"/>
              <w:right w:val="dashed" w:sz="12" w:space="0" w:color="FFFFFF"/>
            </w:tcBorders>
            <w:hideMark/>
          </w:tcPr>
          <w:p w14:paraId="6FAD8072"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 </w:t>
            </w:r>
          </w:p>
        </w:tc>
      </w:tr>
    </w:tbl>
    <w:p w14:paraId="3359BB2D" w14:textId="77777777" w:rsidR="00491705" w:rsidRPr="00C53A59" w:rsidRDefault="00491705" w:rsidP="00491705">
      <w:pPr>
        <w:shd w:val="clear" w:color="auto" w:fill="FFFFFF"/>
        <w:spacing w:after="0" w:line="240" w:lineRule="auto"/>
        <w:ind w:left="720"/>
        <w:textAlignment w:val="baseline"/>
        <w:rPr>
          <w:rFonts w:ascii="Times New Roman" w:eastAsia="Times New Roman" w:hAnsi="Times New Roman" w:cs="Times New Roman"/>
          <w:kern w:val="0"/>
          <w:lang w:eastAsia="pl-PL"/>
          <w14:ligatures w14:val="none"/>
        </w:rPr>
      </w:pPr>
      <w:r w:rsidRPr="00C53A59">
        <w:rPr>
          <w:rFonts w:eastAsia="Times New Roman" w:cs="Times New Roman"/>
          <w:kern w:val="0"/>
          <w:szCs w:val="20"/>
          <w:lang w:eastAsia="pl-PL"/>
          <w14:ligatures w14:val="none"/>
        </w:rPr>
        <w:t> </w:t>
      </w:r>
    </w:p>
    <w:p w14:paraId="146E8D7C" w14:textId="017E523C" w:rsidR="00491705" w:rsidRPr="00C53A59" w:rsidRDefault="00491705" w:rsidP="00D523F3">
      <w:pPr>
        <w:pStyle w:val="Nagwek6"/>
        <w:rPr>
          <w:rFonts w:ascii="Times New Roman" w:eastAsia="Times New Roman" w:hAnsi="Times New Roman" w:cs="Times New Roman"/>
          <w:i/>
          <w:iCs/>
          <w:color w:val="595959"/>
          <w:kern w:val="0"/>
          <w:lang w:eastAsia="pl-PL"/>
          <w14:ligatures w14:val="none"/>
        </w:rPr>
      </w:pPr>
      <w:bookmarkStart w:id="1177" w:name="_Toc195856594"/>
      <w:bookmarkStart w:id="1178" w:name="_Ref195886308"/>
      <w:r>
        <w:t xml:space="preserve">Działanie </w:t>
      </w:r>
      <w:r>
        <w:fldChar w:fldCharType="begin"/>
      </w:r>
      <w:r>
        <w:instrText>SEQ Działanie \* ARABIC</w:instrText>
      </w:r>
      <w:r>
        <w:fldChar w:fldCharType="separate"/>
      </w:r>
      <w:r w:rsidR="00871DD5">
        <w:rPr>
          <w:noProof/>
        </w:rPr>
        <w:t>76</w:t>
      </w:r>
      <w:r>
        <w:fldChar w:fldCharType="end"/>
      </w:r>
      <w:r>
        <w:t xml:space="preserve">. </w:t>
      </w:r>
      <w:r w:rsidRPr="007660E4">
        <w:t>Prowadzenie gospodarki nasiennej w leśnictwie</w:t>
      </w:r>
      <w:bookmarkEnd w:id="1177"/>
      <w:bookmarkEnd w:id="1178"/>
    </w:p>
    <w:p w14:paraId="7036833E" w14:textId="031B23C2" w:rsidR="00491705" w:rsidRPr="00C53A59" w:rsidRDefault="00491705" w:rsidP="000073EA">
      <w:pPr>
        <w:rPr>
          <w:rFonts w:ascii="Times New Roman" w:hAnsi="Times New Roman"/>
          <w:lang w:eastAsia="pl-PL"/>
        </w:rPr>
      </w:pPr>
      <w:r w:rsidRPr="00C53A59">
        <w:rPr>
          <w:lang w:eastAsia="pl-PL"/>
        </w:rPr>
        <w:t>Działanie ma na celu rozszerzanie zasięgów najlepszych populacji drzew z regionów pochodzenia odznaczających się dużymi zdolnościami adaptacji do zmieniających się warunków środowiska i przez to</w:t>
      </w:r>
      <w:r w:rsidR="00891DAD">
        <w:rPr>
          <w:lang w:eastAsia="pl-PL"/>
        </w:rPr>
        <w:t> </w:t>
      </w:r>
      <w:r w:rsidRPr="00C53A59">
        <w:rPr>
          <w:lang w:eastAsia="pl-PL"/>
        </w:rPr>
        <w:t>zwiększenie przeżywalności drzew w zmieniającym się klimacie. Kluczem doboru populacji drzew powinna być nie tylko produktywność drzewostanu, ale także zdolności adaptacyjne do zmian klimatu.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7"/>
        <w:gridCol w:w="3870"/>
        <w:gridCol w:w="3960"/>
      </w:tblGrid>
      <w:tr w:rsidR="00491705" w:rsidRPr="00C53A59" w14:paraId="356D9A58"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655E060"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55BAA382" wp14:editId="741F864B">
                  <wp:extent cx="621030" cy="621030"/>
                  <wp:effectExtent l="0" t="0" r="7620" b="7620"/>
                  <wp:docPr id="23" name="Obraz 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ed" w:sz="12" w:space="0" w:color="D9D9D9"/>
              <w:right w:val="dashed" w:sz="12" w:space="0" w:color="D9D9D9"/>
            </w:tcBorders>
            <w:hideMark/>
          </w:tcPr>
          <w:p w14:paraId="578DB0A5"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ed" w:sz="12" w:space="0" w:color="D9D9D9"/>
              <w:bottom w:val="dashed" w:sz="12" w:space="0" w:color="D9D9D9"/>
              <w:right w:val="dashed" w:sz="12" w:space="0" w:color="FFFFFF"/>
            </w:tcBorders>
            <w:hideMark/>
          </w:tcPr>
          <w:p w14:paraId="71BE87D3"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491705" w:rsidRPr="00C53A59" w14:paraId="3304F21C"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8C70300"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ed" w:sz="12" w:space="0" w:color="D9D9D9"/>
              <w:left w:val="dashed" w:sz="12" w:space="0" w:color="FFFFFF"/>
              <w:bottom w:val="dashed" w:sz="12" w:space="0" w:color="FFFFFF"/>
              <w:right w:val="dashed" w:sz="12" w:space="0" w:color="D9D9D9"/>
            </w:tcBorders>
            <w:hideMark/>
          </w:tcPr>
          <w:p w14:paraId="15CAF975"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ed" w:sz="12" w:space="0" w:color="D9D9D9"/>
              <w:left w:val="dashed" w:sz="12" w:space="0" w:color="D9D9D9"/>
              <w:bottom w:val="dashed" w:sz="12" w:space="0" w:color="FFFFFF"/>
              <w:right w:val="dashed" w:sz="12" w:space="0" w:color="FFFFFF"/>
            </w:tcBorders>
            <w:hideMark/>
          </w:tcPr>
          <w:p w14:paraId="26D0CAE8"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 </w:t>
            </w:r>
          </w:p>
        </w:tc>
      </w:tr>
    </w:tbl>
    <w:p w14:paraId="5FC8EF1E" w14:textId="536E5982" w:rsidR="00491705" w:rsidRPr="00C53A59" w:rsidRDefault="00491705" w:rsidP="00491705">
      <w:pPr>
        <w:spacing w:line="240" w:lineRule="auto"/>
        <w:textAlignment w:val="baseline"/>
        <w:rPr>
          <w:rFonts w:eastAsia="Times New Roman" w:cs="Times New Roman"/>
          <w:kern w:val="0"/>
          <w:szCs w:val="20"/>
          <w:lang w:eastAsia="pl-PL"/>
          <w14:ligatures w14:val="none"/>
        </w:rPr>
      </w:pPr>
      <w:r w:rsidRPr="00C53A59">
        <w:rPr>
          <w:rFonts w:eastAsia="Times New Roman" w:cs="Times New Roman"/>
          <w:kern w:val="0"/>
          <w:szCs w:val="20"/>
          <w:lang w:eastAsia="pl-PL"/>
          <w14:ligatures w14:val="none"/>
        </w:rPr>
        <w:t> </w:t>
      </w:r>
    </w:p>
    <w:p w14:paraId="3A8A2EA9" w14:textId="507AFA2C" w:rsidR="00491705" w:rsidRPr="00C53A59" w:rsidRDefault="00491705" w:rsidP="00901FEA">
      <w:pPr>
        <w:pStyle w:val="Nagwek6"/>
        <w:rPr>
          <w:rFonts w:ascii="Times New Roman" w:eastAsia="Times New Roman" w:hAnsi="Times New Roman" w:cs="Times New Roman"/>
          <w:i/>
          <w:iCs/>
          <w:color w:val="595959"/>
          <w:kern w:val="0"/>
          <w:lang w:eastAsia="pl-PL"/>
          <w14:ligatures w14:val="none"/>
        </w:rPr>
      </w:pPr>
      <w:bookmarkStart w:id="1179" w:name="_Toc195856595"/>
      <w:bookmarkStart w:id="1180" w:name="_Ref195886313"/>
      <w:r>
        <w:t xml:space="preserve">Działanie </w:t>
      </w:r>
      <w:r>
        <w:fldChar w:fldCharType="begin"/>
      </w:r>
      <w:r>
        <w:instrText>SEQ Działanie \* ARABIC</w:instrText>
      </w:r>
      <w:r>
        <w:fldChar w:fldCharType="separate"/>
      </w:r>
      <w:r w:rsidR="00871DD5">
        <w:rPr>
          <w:noProof/>
        </w:rPr>
        <w:t>77</w:t>
      </w:r>
      <w:r>
        <w:fldChar w:fldCharType="end"/>
      </w:r>
      <w:r>
        <w:t xml:space="preserve">. </w:t>
      </w:r>
      <w:r w:rsidRPr="006222F7">
        <w:t>Zwiększenie pochłaniania i magazynowania CO</w:t>
      </w:r>
      <w:r w:rsidRPr="00901FEA">
        <w:rPr>
          <w:vertAlign w:val="subscript"/>
        </w:rPr>
        <w:t>2</w:t>
      </w:r>
      <w:r w:rsidRPr="006222F7">
        <w:t xml:space="preserve"> w lasach</w:t>
      </w:r>
      <w:bookmarkEnd w:id="1179"/>
      <w:bookmarkEnd w:id="1180"/>
      <w:r w:rsidR="003E2DE5">
        <w:t xml:space="preserve"> </w:t>
      </w:r>
    </w:p>
    <w:p w14:paraId="622CDE49" w14:textId="7149E2E1" w:rsidR="00491705" w:rsidRPr="00C53A59" w:rsidRDefault="00491705" w:rsidP="00491705">
      <w:pPr>
        <w:spacing w:before="240" w:after="12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kern w:val="0"/>
          <w:szCs w:val="20"/>
          <w:lang w:eastAsia="pl-PL"/>
          <w14:ligatures w14:val="none"/>
        </w:rPr>
        <w:t>Proponowane działanie obejmuje następujące poddziałania:</w:t>
      </w:r>
      <w:r w:rsidR="003E2DE5">
        <w:rPr>
          <w:rFonts w:eastAsia="Times New Roman" w:cs="Times New Roman"/>
          <w:kern w:val="0"/>
          <w:szCs w:val="20"/>
          <w:lang w:eastAsia="pl-PL"/>
          <w14:ligatures w14:val="none"/>
        </w:rPr>
        <w:t xml:space="preserve"> </w:t>
      </w:r>
    </w:p>
    <w:p w14:paraId="70A9AB5A" w14:textId="2FD11554" w:rsidR="00491705" w:rsidRDefault="00491705" w:rsidP="000625AC">
      <w:pPr>
        <w:pStyle w:val="Akapitzlist"/>
        <w:numPr>
          <w:ilvl w:val="0"/>
          <w:numId w:val="94"/>
        </w:numPr>
        <w:spacing w:after="120"/>
        <w:ind w:left="426" w:hanging="357"/>
        <w:contextualSpacing w:val="0"/>
        <w:rPr>
          <w:lang w:eastAsia="pl-PL"/>
        </w:rPr>
      </w:pPr>
      <w:r w:rsidRPr="0086787C">
        <w:rPr>
          <w:b/>
          <w:bCs/>
          <w:lang w:eastAsia="pl-PL"/>
        </w:rPr>
        <w:t>Wzmocnienie funkcji przyrodniczych i społecznych lasów</w:t>
      </w:r>
      <w:r w:rsidRPr="00C53A59">
        <w:rPr>
          <w:lang w:eastAsia="pl-PL"/>
        </w:rPr>
        <w:t xml:space="preserve"> mających</w:t>
      </w:r>
      <w:r w:rsidR="003E2DE5">
        <w:rPr>
          <w:lang w:eastAsia="pl-PL"/>
        </w:rPr>
        <w:t xml:space="preserve"> </w:t>
      </w:r>
      <w:r w:rsidRPr="00C53A59">
        <w:rPr>
          <w:lang w:eastAsia="pl-PL"/>
        </w:rPr>
        <w:t xml:space="preserve">największe znaczenie z punktu widzenia ochrony różnorodności biologicznej oraz wysoki potencjał w zakresie trwałego magazynowania węgla w ekosystemach leśnych na gruntach Skarbu Państwa zarządzanych przez </w:t>
      </w:r>
      <w:r>
        <w:rPr>
          <w:lang w:eastAsia="pl-PL"/>
        </w:rPr>
        <w:lastRenderedPageBreak/>
        <w:t xml:space="preserve">PGL </w:t>
      </w:r>
      <w:r w:rsidRPr="00C53A59">
        <w:rPr>
          <w:lang w:eastAsia="pl-PL"/>
        </w:rPr>
        <w:t xml:space="preserve">Lasy Państwowe, zgodnie z celami kierunkowymi określonymi w ramach Ogólnopolskiej Narady o Lasach, </w:t>
      </w:r>
      <w:r>
        <w:rPr>
          <w:lang w:eastAsia="pl-PL"/>
        </w:rPr>
        <w:t>na poniżej wyznaczonym odsetku</w:t>
      </w:r>
      <w:r w:rsidRPr="00C53A59">
        <w:rPr>
          <w:lang w:eastAsia="pl-PL"/>
        </w:rPr>
        <w:t xml:space="preserve"> powierzchni leśnej w Lasach Państwowych. </w:t>
      </w:r>
    </w:p>
    <w:tbl>
      <w:tblPr>
        <w:tblpPr w:leftFromText="141" w:rightFromText="141" w:vertAnchor="text" w:horzAnchor="margin" w:tblpY="41"/>
        <w:tblW w:w="0" w:type="auto"/>
        <w:tblBorders>
          <w:top w:val="outset" w:sz="6" w:space="0" w:color="auto"/>
          <w:left w:val="outset" w:sz="6" w:space="0" w:color="auto"/>
          <w:bottom w:val="outset" w:sz="6" w:space="0" w:color="auto"/>
          <w:right w:val="outset" w:sz="6" w:space="0" w:color="auto"/>
        </w:tblBorders>
        <w:tblCellMar>
          <w:top w:w="15" w:type="dxa"/>
          <w:left w:w="28" w:type="dxa"/>
          <w:bottom w:w="15" w:type="dxa"/>
          <w:right w:w="28" w:type="dxa"/>
        </w:tblCellMar>
        <w:tblLook w:val="04A0" w:firstRow="1" w:lastRow="0" w:firstColumn="1" w:lastColumn="0" w:noHBand="0" w:noVBand="1"/>
      </w:tblPr>
      <w:tblGrid>
        <w:gridCol w:w="4472"/>
        <w:gridCol w:w="651"/>
        <w:gridCol w:w="651"/>
        <w:gridCol w:w="651"/>
        <w:gridCol w:w="651"/>
        <w:gridCol w:w="651"/>
        <w:gridCol w:w="651"/>
        <w:gridCol w:w="651"/>
      </w:tblGrid>
      <w:tr w:rsidR="00485729" w:rsidRPr="00C53A59" w14:paraId="1125E00E" w14:textId="77777777" w:rsidTr="008F4BC1">
        <w:trPr>
          <w:trHeight w:val="328"/>
        </w:trPr>
        <w:tc>
          <w:tcPr>
            <w:tcW w:w="4472" w:type="dxa"/>
            <w:tcBorders>
              <w:top w:val="single" w:sz="6" w:space="0" w:color="auto"/>
              <w:left w:val="single" w:sz="6" w:space="0" w:color="auto"/>
              <w:bottom w:val="single" w:sz="6" w:space="0" w:color="auto"/>
              <w:right w:val="single" w:sz="6" w:space="0" w:color="auto"/>
            </w:tcBorders>
            <w:shd w:val="clear" w:color="auto" w:fill="D1D1D1"/>
            <w:vAlign w:val="center"/>
            <w:hideMark/>
          </w:tcPr>
          <w:p w14:paraId="5C96657D" w14:textId="77777777" w:rsidR="00485729" w:rsidRPr="008F4BC1" w:rsidRDefault="00485729" w:rsidP="00485729">
            <w:pPr>
              <w:spacing w:after="0"/>
              <w:rPr>
                <w:rFonts w:ascii="Times New Roman" w:hAnsi="Times New Roman"/>
                <w:sz w:val="18"/>
              </w:rPr>
            </w:pPr>
            <w:r w:rsidRPr="008F4BC1">
              <w:rPr>
                <w:sz w:val="18"/>
              </w:rPr>
              <w:t>Wyszczególnienie </w:t>
            </w:r>
          </w:p>
        </w:tc>
        <w:tc>
          <w:tcPr>
            <w:tcW w:w="651" w:type="dxa"/>
            <w:tcBorders>
              <w:top w:val="single" w:sz="6" w:space="0" w:color="auto"/>
              <w:left w:val="single" w:sz="6" w:space="0" w:color="auto"/>
              <w:bottom w:val="single" w:sz="6" w:space="0" w:color="auto"/>
              <w:right w:val="single" w:sz="6" w:space="0" w:color="auto"/>
            </w:tcBorders>
            <w:shd w:val="clear" w:color="auto" w:fill="D1D1D1"/>
            <w:vAlign w:val="center"/>
            <w:hideMark/>
          </w:tcPr>
          <w:p w14:paraId="10C066FF" w14:textId="77777777" w:rsidR="00485729" w:rsidRPr="008F4BC1" w:rsidRDefault="00485729" w:rsidP="00485729">
            <w:pPr>
              <w:spacing w:after="0"/>
              <w:jc w:val="right"/>
              <w:rPr>
                <w:rFonts w:ascii="Times New Roman" w:hAnsi="Times New Roman"/>
                <w:sz w:val="18"/>
              </w:rPr>
            </w:pPr>
            <w:r w:rsidRPr="008F4BC1">
              <w:rPr>
                <w:b/>
                <w:sz w:val="18"/>
                <w:lang w:val="en-GB"/>
              </w:rPr>
              <w:t>2024</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shd w:val="clear" w:color="auto" w:fill="D1D1D1"/>
            <w:vAlign w:val="center"/>
            <w:hideMark/>
          </w:tcPr>
          <w:p w14:paraId="403BFE68" w14:textId="77777777" w:rsidR="00485729" w:rsidRPr="008F4BC1" w:rsidRDefault="00485729" w:rsidP="00485729">
            <w:pPr>
              <w:spacing w:after="0"/>
              <w:jc w:val="right"/>
              <w:rPr>
                <w:rFonts w:ascii="Times New Roman" w:hAnsi="Times New Roman"/>
                <w:sz w:val="18"/>
              </w:rPr>
            </w:pPr>
            <w:r w:rsidRPr="008F4BC1">
              <w:rPr>
                <w:b/>
                <w:sz w:val="18"/>
                <w:lang w:val="en-GB"/>
              </w:rPr>
              <w:t>2025</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shd w:val="clear" w:color="auto" w:fill="D1D1D1"/>
            <w:vAlign w:val="center"/>
            <w:hideMark/>
          </w:tcPr>
          <w:p w14:paraId="589BB758" w14:textId="77777777" w:rsidR="00485729" w:rsidRPr="008F4BC1" w:rsidRDefault="00485729" w:rsidP="00485729">
            <w:pPr>
              <w:spacing w:after="0"/>
              <w:jc w:val="right"/>
              <w:rPr>
                <w:rFonts w:ascii="Times New Roman" w:hAnsi="Times New Roman"/>
                <w:sz w:val="18"/>
              </w:rPr>
            </w:pPr>
            <w:r w:rsidRPr="008F4BC1">
              <w:rPr>
                <w:b/>
                <w:sz w:val="18"/>
                <w:lang w:val="en-GB"/>
              </w:rPr>
              <w:t>2026</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8D58375" w14:textId="77777777" w:rsidR="00485729" w:rsidRPr="008F4BC1" w:rsidRDefault="00485729" w:rsidP="00485729">
            <w:pPr>
              <w:spacing w:after="0"/>
              <w:jc w:val="right"/>
              <w:rPr>
                <w:rFonts w:ascii="Times New Roman" w:hAnsi="Times New Roman"/>
                <w:sz w:val="18"/>
              </w:rPr>
            </w:pPr>
            <w:r w:rsidRPr="008F4BC1">
              <w:rPr>
                <w:b/>
                <w:sz w:val="18"/>
                <w:lang w:val="en-GB"/>
              </w:rPr>
              <w:t>2027</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2210D32" w14:textId="77777777" w:rsidR="00485729" w:rsidRPr="008F4BC1" w:rsidRDefault="00485729" w:rsidP="00485729">
            <w:pPr>
              <w:spacing w:after="0"/>
              <w:jc w:val="right"/>
              <w:rPr>
                <w:rFonts w:ascii="Times New Roman" w:hAnsi="Times New Roman"/>
                <w:sz w:val="18"/>
              </w:rPr>
            </w:pPr>
            <w:r w:rsidRPr="008F4BC1">
              <w:rPr>
                <w:b/>
                <w:sz w:val="18"/>
                <w:lang w:val="en-GB"/>
              </w:rPr>
              <w:t>2028</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904345F" w14:textId="77777777" w:rsidR="00485729" w:rsidRPr="008F4BC1" w:rsidRDefault="00485729" w:rsidP="00485729">
            <w:pPr>
              <w:spacing w:after="0"/>
              <w:jc w:val="right"/>
              <w:rPr>
                <w:rFonts w:ascii="Times New Roman" w:hAnsi="Times New Roman"/>
                <w:sz w:val="18"/>
              </w:rPr>
            </w:pPr>
            <w:r w:rsidRPr="008F4BC1">
              <w:rPr>
                <w:b/>
                <w:sz w:val="18"/>
                <w:lang w:val="en-GB"/>
              </w:rPr>
              <w:t>2029</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59E7FF" w14:textId="77777777" w:rsidR="00485729" w:rsidRPr="008F4BC1" w:rsidRDefault="00485729" w:rsidP="00485729">
            <w:pPr>
              <w:spacing w:after="0"/>
              <w:jc w:val="right"/>
              <w:rPr>
                <w:rFonts w:ascii="Times New Roman" w:hAnsi="Times New Roman"/>
                <w:sz w:val="18"/>
              </w:rPr>
            </w:pPr>
            <w:r w:rsidRPr="008F4BC1">
              <w:rPr>
                <w:b/>
                <w:sz w:val="18"/>
                <w:lang w:val="en-GB"/>
              </w:rPr>
              <w:t>2030</w:t>
            </w:r>
            <w:r w:rsidRPr="008F4BC1">
              <w:rPr>
                <w:sz w:val="18"/>
              </w:rPr>
              <w:t> </w:t>
            </w:r>
          </w:p>
        </w:tc>
      </w:tr>
      <w:tr w:rsidR="00485729" w:rsidRPr="00C53A59" w14:paraId="658EF98C" w14:textId="77777777" w:rsidTr="008F4BC1">
        <w:trPr>
          <w:trHeight w:val="328"/>
        </w:trPr>
        <w:tc>
          <w:tcPr>
            <w:tcW w:w="4472" w:type="dxa"/>
            <w:tcBorders>
              <w:top w:val="single" w:sz="6" w:space="0" w:color="auto"/>
              <w:left w:val="single" w:sz="6" w:space="0" w:color="auto"/>
              <w:bottom w:val="single" w:sz="6" w:space="0" w:color="auto"/>
              <w:right w:val="single" w:sz="6" w:space="0" w:color="auto"/>
            </w:tcBorders>
            <w:vAlign w:val="center"/>
            <w:hideMark/>
          </w:tcPr>
          <w:p w14:paraId="75113853" w14:textId="77777777" w:rsidR="00485729" w:rsidRPr="008F4BC1" w:rsidRDefault="00485729" w:rsidP="00485729">
            <w:pPr>
              <w:spacing w:after="0"/>
              <w:jc w:val="left"/>
              <w:rPr>
                <w:rFonts w:ascii="Times New Roman" w:hAnsi="Times New Roman"/>
                <w:sz w:val="18"/>
              </w:rPr>
            </w:pPr>
            <w:r w:rsidRPr="008F4BC1">
              <w:rPr>
                <w:sz w:val="18"/>
              </w:rPr>
              <w:t>Lasy o wiodącej funkcji przyrodniczej i społecznej </w:t>
            </w:r>
          </w:p>
        </w:tc>
        <w:tc>
          <w:tcPr>
            <w:tcW w:w="651" w:type="dxa"/>
            <w:tcBorders>
              <w:top w:val="single" w:sz="6" w:space="0" w:color="auto"/>
              <w:left w:val="single" w:sz="6" w:space="0" w:color="auto"/>
              <w:bottom w:val="single" w:sz="6" w:space="0" w:color="auto"/>
              <w:right w:val="single" w:sz="6" w:space="0" w:color="auto"/>
            </w:tcBorders>
            <w:vAlign w:val="center"/>
            <w:hideMark/>
          </w:tcPr>
          <w:p w14:paraId="30AAADAE" w14:textId="77777777" w:rsidR="00485729" w:rsidRPr="008F4BC1" w:rsidRDefault="00485729" w:rsidP="00485729">
            <w:pPr>
              <w:spacing w:after="0"/>
              <w:jc w:val="right"/>
              <w:rPr>
                <w:rFonts w:ascii="Times New Roman" w:hAnsi="Times New Roman"/>
                <w:sz w:val="18"/>
              </w:rPr>
            </w:pPr>
            <w:r w:rsidRPr="008F4BC1">
              <w:rPr>
                <w:sz w:val="18"/>
                <w:lang w:val="en-GB"/>
              </w:rPr>
              <w:t>8%</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1ED5CAD9" w14:textId="77777777" w:rsidR="00485729" w:rsidRPr="008F4BC1" w:rsidRDefault="00485729" w:rsidP="00485729">
            <w:pPr>
              <w:spacing w:after="0"/>
              <w:jc w:val="right"/>
              <w:rPr>
                <w:rFonts w:ascii="Times New Roman" w:hAnsi="Times New Roman"/>
                <w:sz w:val="18"/>
              </w:rPr>
            </w:pPr>
            <w:r w:rsidRPr="008F4BC1">
              <w:rPr>
                <w:sz w:val="18"/>
                <w:lang w:val="en-GB"/>
              </w:rPr>
              <w:t>12%</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0AD3AA1F" w14:textId="77777777" w:rsidR="00485729" w:rsidRPr="008F4BC1" w:rsidRDefault="00485729" w:rsidP="00485729">
            <w:pPr>
              <w:spacing w:after="0"/>
              <w:jc w:val="right"/>
              <w:rPr>
                <w:rFonts w:ascii="Times New Roman" w:hAnsi="Times New Roman"/>
                <w:sz w:val="18"/>
              </w:rPr>
            </w:pPr>
            <w:r w:rsidRPr="008F4BC1">
              <w:rPr>
                <w:sz w:val="18"/>
                <w:lang w:val="en-GB"/>
              </w:rPr>
              <w:t>16%</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75321F15" w14:textId="77777777" w:rsidR="00485729" w:rsidRPr="008F4BC1" w:rsidRDefault="00485729" w:rsidP="00485729">
            <w:pPr>
              <w:spacing w:after="0"/>
              <w:jc w:val="right"/>
              <w:rPr>
                <w:rFonts w:ascii="Times New Roman" w:hAnsi="Times New Roman"/>
                <w:sz w:val="18"/>
              </w:rPr>
            </w:pPr>
            <w:r w:rsidRPr="008F4BC1">
              <w:rPr>
                <w:sz w:val="18"/>
                <w:lang w:val="en-GB"/>
              </w:rPr>
              <w:t>20%</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1EDF4ED5" w14:textId="77777777" w:rsidR="00485729" w:rsidRPr="008F4BC1" w:rsidRDefault="00485729" w:rsidP="00485729">
            <w:pPr>
              <w:spacing w:after="0"/>
              <w:jc w:val="right"/>
              <w:rPr>
                <w:rFonts w:ascii="Times New Roman" w:hAnsi="Times New Roman"/>
                <w:sz w:val="18"/>
              </w:rPr>
            </w:pPr>
            <w:r w:rsidRPr="008F4BC1">
              <w:rPr>
                <w:sz w:val="18"/>
                <w:lang w:val="en-GB"/>
              </w:rPr>
              <w:t>20%</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77E011EC" w14:textId="77777777" w:rsidR="00485729" w:rsidRPr="008F4BC1" w:rsidRDefault="00485729" w:rsidP="00485729">
            <w:pPr>
              <w:spacing w:after="0"/>
              <w:jc w:val="right"/>
              <w:rPr>
                <w:rFonts w:ascii="Times New Roman" w:hAnsi="Times New Roman"/>
                <w:sz w:val="18"/>
              </w:rPr>
            </w:pPr>
            <w:r w:rsidRPr="008F4BC1">
              <w:rPr>
                <w:sz w:val="18"/>
                <w:lang w:val="en-GB"/>
              </w:rPr>
              <w:t>20%</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6A1C950D" w14:textId="77777777" w:rsidR="00485729" w:rsidRPr="008F4BC1" w:rsidRDefault="00485729" w:rsidP="00485729">
            <w:pPr>
              <w:spacing w:after="0"/>
              <w:jc w:val="right"/>
              <w:rPr>
                <w:rFonts w:ascii="Times New Roman" w:hAnsi="Times New Roman"/>
                <w:sz w:val="18"/>
              </w:rPr>
            </w:pPr>
            <w:r w:rsidRPr="008F4BC1">
              <w:rPr>
                <w:sz w:val="18"/>
                <w:lang w:val="en-GB"/>
              </w:rPr>
              <w:t>20%</w:t>
            </w:r>
            <w:r w:rsidRPr="008F4BC1">
              <w:rPr>
                <w:sz w:val="18"/>
              </w:rPr>
              <w:t> </w:t>
            </w:r>
          </w:p>
        </w:tc>
      </w:tr>
      <w:tr w:rsidR="00485729" w:rsidRPr="00C53A59" w14:paraId="7C85A00D" w14:textId="77777777" w:rsidTr="008F4BC1">
        <w:trPr>
          <w:trHeight w:val="328"/>
        </w:trPr>
        <w:tc>
          <w:tcPr>
            <w:tcW w:w="4472" w:type="dxa"/>
            <w:tcBorders>
              <w:top w:val="single" w:sz="6" w:space="0" w:color="auto"/>
              <w:left w:val="single" w:sz="6" w:space="0" w:color="auto"/>
              <w:bottom w:val="single" w:sz="6" w:space="0" w:color="auto"/>
              <w:right w:val="single" w:sz="6" w:space="0" w:color="auto"/>
            </w:tcBorders>
            <w:vAlign w:val="center"/>
            <w:hideMark/>
          </w:tcPr>
          <w:p w14:paraId="39086A4B" w14:textId="77777777" w:rsidR="00485729" w:rsidRPr="008F4BC1" w:rsidRDefault="00485729" w:rsidP="008F4BC1">
            <w:pPr>
              <w:spacing w:after="0"/>
              <w:ind w:left="260"/>
              <w:jc w:val="left"/>
              <w:rPr>
                <w:rFonts w:ascii="Times New Roman" w:hAnsi="Times New Roman"/>
                <w:sz w:val="18"/>
              </w:rPr>
            </w:pPr>
            <w:r w:rsidRPr="008F4BC1">
              <w:rPr>
                <w:sz w:val="18"/>
              </w:rPr>
              <w:t xml:space="preserve">w tym: lasy objęte ochroną ścisłą w rozumieniu </w:t>
            </w:r>
            <w:r w:rsidRPr="008F4BC1">
              <w:rPr>
                <w:i/>
                <w:sz w:val="18"/>
              </w:rPr>
              <w:t>Unijnej strategii ochrony bioróżnorodności 2030</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12E29172" w14:textId="77777777" w:rsidR="00485729" w:rsidRPr="008F4BC1" w:rsidRDefault="00485729" w:rsidP="00485729">
            <w:pPr>
              <w:spacing w:after="0"/>
              <w:jc w:val="right"/>
              <w:rPr>
                <w:rFonts w:ascii="Times New Roman" w:hAnsi="Times New Roman"/>
                <w:sz w:val="18"/>
              </w:rPr>
            </w:pPr>
            <w:r w:rsidRPr="008F4BC1">
              <w:rPr>
                <w:sz w:val="18"/>
                <w:lang w:val="en-GB"/>
              </w:rPr>
              <w:t>b.d.</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18F27FDC" w14:textId="77777777" w:rsidR="00485729" w:rsidRPr="008F4BC1" w:rsidRDefault="00485729" w:rsidP="00485729">
            <w:pPr>
              <w:spacing w:after="0"/>
              <w:jc w:val="right"/>
              <w:rPr>
                <w:rFonts w:ascii="Times New Roman" w:hAnsi="Times New Roman"/>
                <w:sz w:val="18"/>
              </w:rPr>
            </w:pPr>
            <w:r w:rsidRPr="008F4BC1">
              <w:rPr>
                <w:sz w:val="18"/>
                <w:lang w:val="en-GB"/>
              </w:rPr>
              <w:t>9%</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2A1FCC4D" w14:textId="77777777" w:rsidR="00485729" w:rsidRPr="008F4BC1" w:rsidRDefault="00485729" w:rsidP="00485729">
            <w:pPr>
              <w:spacing w:after="0"/>
              <w:jc w:val="right"/>
              <w:rPr>
                <w:rFonts w:ascii="Times New Roman" w:hAnsi="Times New Roman"/>
                <w:sz w:val="18"/>
              </w:rPr>
            </w:pPr>
            <w:r w:rsidRPr="008F4BC1">
              <w:rPr>
                <w:sz w:val="18"/>
                <w:lang w:val="en-GB"/>
              </w:rPr>
              <w:t>10%</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20ED745A" w14:textId="77777777" w:rsidR="00485729" w:rsidRPr="008F4BC1" w:rsidRDefault="00485729" w:rsidP="00485729">
            <w:pPr>
              <w:spacing w:after="0"/>
              <w:jc w:val="right"/>
              <w:rPr>
                <w:rFonts w:ascii="Times New Roman" w:hAnsi="Times New Roman"/>
                <w:sz w:val="18"/>
              </w:rPr>
            </w:pPr>
            <w:r w:rsidRPr="008F4BC1">
              <w:rPr>
                <w:sz w:val="18"/>
                <w:lang w:val="en-GB"/>
              </w:rPr>
              <w:t>11%</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50955405" w14:textId="77777777" w:rsidR="00485729" w:rsidRPr="008F4BC1" w:rsidRDefault="00485729" w:rsidP="00485729">
            <w:pPr>
              <w:spacing w:after="0"/>
              <w:jc w:val="right"/>
              <w:rPr>
                <w:rFonts w:ascii="Times New Roman" w:hAnsi="Times New Roman"/>
                <w:sz w:val="18"/>
              </w:rPr>
            </w:pPr>
            <w:r w:rsidRPr="008F4BC1">
              <w:rPr>
                <w:sz w:val="18"/>
                <w:lang w:val="en-GB"/>
              </w:rPr>
              <w:t>12%</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0BC52DEB" w14:textId="77777777" w:rsidR="00485729" w:rsidRPr="008F4BC1" w:rsidRDefault="00485729" w:rsidP="00485729">
            <w:pPr>
              <w:spacing w:after="0"/>
              <w:jc w:val="right"/>
              <w:rPr>
                <w:rFonts w:ascii="Times New Roman" w:hAnsi="Times New Roman"/>
                <w:sz w:val="18"/>
              </w:rPr>
            </w:pPr>
            <w:r w:rsidRPr="008F4BC1">
              <w:rPr>
                <w:sz w:val="18"/>
                <w:lang w:val="en-GB"/>
              </w:rPr>
              <w:t>13%</w:t>
            </w:r>
            <w:r w:rsidRPr="008F4BC1">
              <w:rPr>
                <w:sz w:val="18"/>
              </w:rPr>
              <w:t> </w:t>
            </w:r>
          </w:p>
        </w:tc>
        <w:tc>
          <w:tcPr>
            <w:tcW w:w="651" w:type="dxa"/>
            <w:tcBorders>
              <w:top w:val="single" w:sz="6" w:space="0" w:color="auto"/>
              <w:left w:val="single" w:sz="6" w:space="0" w:color="auto"/>
              <w:bottom w:val="single" w:sz="6" w:space="0" w:color="auto"/>
              <w:right w:val="single" w:sz="6" w:space="0" w:color="auto"/>
            </w:tcBorders>
            <w:vAlign w:val="center"/>
            <w:hideMark/>
          </w:tcPr>
          <w:p w14:paraId="267F4BA4" w14:textId="77777777" w:rsidR="00485729" w:rsidRPr="008F4BC1" w:rsidRDefault="00485729" w:rsidP="00485729">
            <w:pPr>
              <w:spacing w:after="0"/>
              <w:jc w:val="right"/>
              <w:rPr>
                <w:rFonts w:ascii="Times New Roman" w:hAnsi="Times New Roman"/>
                <w:sz w:val="18"/>
              </w:rPr>
            </w:pPr>
            <w:r w:rsidRPr="008F4BC1">
              <w:rPr>
                <w:sz w:val="18"/>
                <w:lang w:val="en-GB"/>
              </w:rPr>
              <w:t>14%</w:t>
            </w:r>
            <w:r w:rsidRPr="008F4BC1">
              <w:rPr>
                <w:sz w:val="18"/>
              </w:rPr>
              <w:t> </w:t>
            </w:r>
          </w:p>
        </w:tc>
      </w:tr>
    </w:tbl>
    <w:p w14:paraId="381F851F" w14:textId="77777777" w:rsidR="00491705" w:rsidRPr="0086787C" w:rsidRDefault="00491705" w:rsidP="008F4BC1">
      <w:pPr>
        <w:pStyle w:val="Akapitzlist"/>
        <w:ind w:left="426"/>
        <w:rPr>
          <w:lang w:eastAsia="pl-PL"/>
        </w:rPr>
      </w:pPr>
    </w:p>
    <w:p w14:paraId="2C42BF9E" w14:textId="6E11F6BA" w:rsidR="00491705" w:rsidRPr="00C53A59" w:rsidRDefault="00491705" w:rsidP="000625AC">
      <w:pPr>
        <w:pStyle w:val="Akapitzlist"/>
        <w:numPr>
          <w:ilvl w:val="0"/>
          <w:numId w:val="94"/>
        </w:numPr>
        <w:spacing w:after="80"/>
        <w:ind w:left="425" w:hanging="357"/>
        <w:contextualSpacing w:val="0"/>
        <w:rPr>
          <w:lang w:eastAsia="pl-PL"/>
        </w:rPr>
      </w:pPr>
      <w:r w:rsidRPr="0086787C">
        <w:rPr>
          <w:b/>
          <w:bCs/>
          <w:lang w:eastAsia="pl-PL"/>
        </w:rPr>
        <w:t xml:space="preserve">Wprowadzenie ram prawnych umożliwiających trwałe </w:t>
      </w:r>
      <w:r w:rsidR="00413AA2">
        <w:rPr>
          <w:b/>
          <w:bCs/>
          <w:lang w:eastAsia="pl-PL"/>
        </w:rPr>
        <w:t>wzmocnienie funkcji przyrodniczych i</w:t>
      </w:r>
      <w:r w:rsidR="006D6524">
        <w:rPr>
          <w:b/>
          <w:bCs/>
          <w:lang w:eastAsia="pl-PL"/>
        </w:rPr>
        <w:t> </w:t>
      </w:r>
      <w:r w:rsidR="00413AA2">
        <w:rPr>
          <w:b/>
          <w:bCs/>
          <w:lang w:eastAsia="pl-PL"/>
        </w:rPr>
        <w:t xml:space="preserve">społecznych </w:t>
      </w:r>
      <w:r w:rsidRPr="0086787C">
        <w:rPr>
          <w:b/>
          <w:bCs/>
          <w:lang w:eastAsia="pl-PL"/>
        </w:rPr>
        <w:t>20% obszarów leśnych</w:t>
      </w:r>
      <w:r w:rsidRPr="00C53A59">
        <w:rPr>
          <w:lang w:eastAsia="pl-PL"/>
        </w:rPr>
        <w:t xml:space="preserve">, </w:t>
      </w:r>
      <w:r w:rsidR="00AB227B">
        <w:rPr>
          <w:lang w:eastAsia="pl-PL"/>
        </w:rPr>
        <w:t xml:space="preserve">łącznie z </w:t>
      </w:r>
      <w:r w:rsidR="00F7254D" w:rsidRPr="00F7254D">
        <w:rPr>
          <w:lang w:eastAsia="pl-PL"/>
        </w:rPr>
        <w:t>wyłączeniem części lasów z funkcji pozyskania drewna</w:t>
      </w:r>
      <w:r w:rsidR="00F7254D">
        <w:rPr>
          <w:lang w:eastAsia="pl-PL"/>
        </w:rPr>
        <w:t xml:space="preserve">, </w:t>
      </w:r>
      <w:r w:rsidRPr="00C53A59">
        <w:rPr>
          <w:lang w:eastAsia="pl-PL"/>
        </w:rPr>
        <w:t>w szczególności lasów o wysokiej wartości przyrodniczej oraz wysokim potencjale w</w:t>
      </w:r>
      <w:r w:rsidR="00891DAD">
        <w:rPr>
          <w:lang w:eastAsia="pl-PL"/>
        </w:rPr>
        <w:t> </w:t>
      </w:r>
      <w:r w:rsidRPr="00C53A59">
        <w:rPr>
          <w:lang w:eastAsia="pl-PL"/>
        </w:rPr>
        <w:t>zakresie trwałego magazynowania węgla w ekosystemach leśnych, w tym obszarów wytypowanych w ramach Ogólnopolskiej Narady o Lasach – w okresie do 2027</w:t>
      </w:r>
      <w:r>
        <w:rPr>
          <w:lang w:eastAsia="pl-PL"/>
        </w:rPr>
        <w:t xml:space="preserve"> </w:t>
      </w:r>
      <w:r w:rsidRPr="00C53A59">
        <w:rPr>
          <w:lang w:eastAsia="pl-PL"/>
        </w:rPr>
        <w:t>r. </w:t>
      </w:r>
    </w:p>
    <w:p w14:paraId="17BDE392" w14:textId="66BDCE79" w:rsidR="00491705" w:rsidRPr="00C53A59" w:rsidRDefault="00491705" w:rsidP="000625AC">
      <w:pPr>
        <w:pStyle w:val="Akapitzlist"/>
        <w:numPr>
          <w:ilvl w:val="0"/>
          <w:numId w:val="94"/>
        </w:numPr>
        <w:spacing w:after="80"/>
        <w:ind w:left="425" w:hanging="357"/>
        <w:contextualSpacing w:val="0"/>
        <w:rPr>
          <w:lang w:eastAsia="pl-PL"/>
        </w:rPr>
      </w:pPr>
      <w:r w:rsidRPr="0086787C">
        <w:rPr>
          <w:b/>
          <w:bCs/>
          <w:lang w:eastAsia="pl-PL"/>
        </w:rPr>
        <w:t>Stopniowe obniżenie poziomu pozyskania drewna</w:t>
      </w:r>
      <w:r w:rsidR="00B56B21">
        <w:rPr>
          <w:b/>
          <w:bCs/>
          <w:lang w:eastAsia="pl-PL"/>
        </w:rPr>
        <w:t xml:space="preserve">, </w:t>
      </w:r>
      <w:r w:rsidR="00B56B21" w:rsidRPr="009B393A">
        <w:rPr>
          <w:lang w:eastAsia="pl-PL"/>
        </w:rPr>
        <w:t>w tym poprzez wyłączenie części lasów z funkcji pozyskania drewna</w:t>
      </w:r>
      <w:r w:rsidR="00247D75">
        <w:rPr>
          <w:lang w:eastAsia="pl-PL"/>
        </w:rPr>
        <w:t>,</w:t>
      </w:r>
      <w:r w:rsidR="00B56B21" w:rsidRPr="00C53A59">
        <w:rPr>
          <w:lang w:eastAsia="pl-PL"/>
        </w:rPr>
        <w:t xml:space="preserve"> w lasach </w:t>
      </w:r>
      <w:r w:rsidR="00B56B21">
        <w:rPr>
          <w:lang w:eastAsia="pl-PL"/>
        </w:rPr>
        <w:t>cennych przyrodniczo o wysokim potencjale magazynowania CO</w:t>
      </w:r>
      <w:r w:rsidR="00B56B21" w:rsidRPr="00B56B21">
        <w:rPr>
          <w:vertAlign w:val="subscript"/>
          <w:lang w:eastAsia="pl-PL"/>
        </w:rPr>
        <w:t>2</w:t>
      </w:r>
      <w:r w:rsidRPr="00C53A59">
        <w:rPr>
          <w:lang w:eastAsia="pl-PL"/>
        </w:rPr>
        <w:t>, z</w:t>
      </w:r>
      <w:r w:rsidR="006D6524">
        <w:rPr>
          <w:lang w:eastAsia="pl-PL"/>
        </w:rPr>
        <w:t> </w:t>
      </w:r>
      <w:r w:rsidRPr="00C53A59">
        <w:rPr>
          <w:lang w:eastAsia="pl-PL"/>
        </w:rPr>
        <w:t>uwzględnieniem potencjału pochłaniania oraz zdolności magazynowania węgla w ekosystemach leśnych oraz dostosowania do krajowych i unijnych zobowiązań, m.in. wynikających z</w:t>
      </w:r>
      <w:r w:rsidR="006D6524">
        <w:rPr>
          <w:lang w:eastAsia="pl-PL"/>
        </w:rPr>
        <w:t> </w:t>
      </w:r>
      <w:r w:rsidRPr="00C53A59">
        <w:rPr>
          <w:lang w:eastAsia="pl-PL"/>
        </w:rPr>
        <w:t>Rozporządzenia (UE) 2018/841 – w okresie najpóźniej do 2030</w:t>
      </w:r>
      <w:r w:rsidR="00257DBD">
        <w:rPr>
          <w:lang w:eastAsia="pl-PL"/>
        </w:rPr>
        <w:t xml:space="preserve"> </w:t>
      </w:r>
      <w:r w:rsidRPr="00C53A59">
        <w:rPr>
          <w:lang w:eastAsia="pl-PL"/>
        </w:rPr>
        <w:t>r</w:t>
      </w:r>
      <w:r w:rsidR="00257DBD">
        <w:rPr>
          <w:lang w:eastAsia="pl-PL"/>
        </w:rPr>
        <w:t>.</w:t>
      </w:r>
    </w:p>
    <w:p w14:paraId="6AD02357" w14:textId="4B9018FF" w:rsidR="00491705" w:rsidRPr="00C53A59" w:rsidRDefault="00491705" w:rsidP="000625AC">
      <w:pPr>
        <w:pStyle w:val="Akapitzlist"/>
        <w:numPr>
          <w:ilvl w:val="0"/>
          <w:numId w:val="94"/>
        </w:numPr>
        <w:spacing w:after="80"/>
        <w:ind w:left="425" w:hanging="357"/>
        <w:contextualSpacing w:val="0"/>
        <w:rPr>
          <w:lang w:eastAsia="pl-PL"/>
        </w:rPr>
      </w:pPr>
      <w:r w:rsidRPr="00A4124B">
        <w:rPr>
          <w:lang w:eastAsia="pl-PL"/>
        </w:rPr>
        <w:t xml:space="preserve">Do czasu </w:t>
      </w:r>
      <w:r w:rsidR="00AD27D4" w:rsidRPr="00A4124B">
        <w:rPr>
          <w:lang w:eastAsia="pl-PL"/>
        </w:rPr>
        <w:t>ustano</w:t>
      </w:r>
      <w:r w:rsidR="00BF463C" w:rsidRPr="00A4124B">
        <w:rPr>
          <w:lang w:eastAsia="pl-PL"/>
        </w:rPr>
        <w:t>wienia</w:t>
      </w:r>
      <w:r w:rsidR="00AD27D4" w:rsidRPr="00A4124B">
        <w:rPr>
          <w:lang w:eastAsia="pl-PL"/>
        </w:rPr>
        <w:t xml:space="preserve"> </w:t>
      </w:r>
      <w:r w:rsidRPr="00A4124B">
        <w:rPr>
          <w:lang w:eastAsia="pl-PL"/>
        </w:rPr>
        <w:t xml:space="preserve">ram prawnych dla trwałego </w:t>
      </w:r>
      <w:r w:rsidR="00EC268D" w:rsidRPr="00A4124B">
        <w:rPr>
          <w:lang w:eastAsia="pl-PL"/>
        </w:rPr>
        <w:t>wzmocnienia funkcji przyrodniczych i</w:t>
      </w:r>
      <w:r w:rsidR="006D6524">
        <w:rPr>
          <w:lang w:eastAsia="pl-PL"/>
        </w:rPr>
        <w:t> </w:t>
      </w:r>
      <w:r w:rsidR="00EC268D" w:rsidRPr="00A4124B">
        <w:rPr>
          <w:lang w:eastAsia="pl-PL"/>
        </w:rPr>
        <w:t>społecznych lasów,</w:t>
      </w:r>
      <w:r w:rsidR="00EC268D" w:rsidRPr="00EC268D">
        <w:rPr>
          <w:b/>
          <w:bCs/>
          <w:lang w:eastAsia="pl-PL"/>
        </w:rPr>
        <w:t xml:space="preserve"> czasowe wyłączenie lub ograniczenie funkcji pozyskania drewna dla wybranych obszarów leśnych</w:t>
      </w:r>
      <w:r w:rsidR="00EB4A9A">
        <w:rPr>
          <w:b/>
          <w:bCs/>
          <w:lang w:eastAsia="pl-PL"/>
        </w:rPr>
        <w:t xml:space="preserve"> –</w:t>
      </w:r>
      <w:r w:rsidRPr="0086787C">
        <w:rPr>
          <w:b/>
          <w:bCs/>
          <w:lang w:eastAsia="pl-PL"/>
        </w:rPr>
        <w:t xml:space="preserve"> priorytetowo </w:t>
      </w:r>
      <w:r w:rsidR="00BA2700">
        <w:rPr>
          <w:b/>
          <w:bCs/>
          <w:lang w:eastAsia="pl-PL"/>
        </w:rPr>
        <w:t>lasów naturalnych</w:t>
      </w:r>
      <w:r w:rsidR="00BA2700" w:rsidRPr="0086787C">
        <w:rPr>
          <w:b/>
          <w:bCs/>
          <w:lang w:eastAsia="pl-PL"/>
        </w:rPr>
        <w:t xml:space="preserve"> </w:t>
      </w:r>
      <w:r w:rsidRPr="0086787C">
        <w:rPr>
          <w:b/>
          <w:bCs/>
          <w:lang w:eastAsia="pl-PL"/>
        </w:rPr>
        <w:t xml:space="preserve">i </w:t>
      </w:r>
      <w:r w:rsidR="00BA2700">
        <w:rPr>
          <w:b/>
          <w:bCs/>
          <w:lang w:eastAsia="pl-PL"/>
        </w:rPr>
        <w:t>starolasów</w:t>
      </w:r>
      <w:r w:rsidR="00B31FA6">
        <w:rPr>
          <w:b/>
          <w:bCs/>
          <w:lang w:eastAsia="pl-PL"/>
        </w:rPr>
        <w:t>,</w:t>
      </w:r>
      <w:r w:rsidR="00833BF6">
        <w:rPr>
          <w:b/>
          <w:bCs/>
          <w:lang w:eastAsia="pl-PL"/>
        </w:rPr>
        <w:t xml:space="preserve"> </w:t>
      </w:r>
      <w:r w:rsidRPr="00B31FA6">
        <w:rPr>
          <w:lang w:eastAsia="pl-PL"/>
        </w:rPr>
        <w:t xml:space="preserve">z uwagi </w:t>
      </w:r>
      <w:r w:rsidR="00B31FA6" w:rsidRPr="00B31FA6">
        <w:rPr>
          <w:lang w:eastAsia="pl-PL"/>
        </w:rPr>
        <w:t>m.in.</w:t>
      </w:r>
      <w:r w:rsidRPr="00B31FA6">
        <w:rPr>
          <w:lang w:eastAsia="pl-PL"/>
        </w:rPr>
        <w:t xml:space="preserve"> na fakt, że magazynują największe ilości węgla na jednostkę powierzchni.</w:t>
      </w:r>
      <w:r w:rsidRPr="00C53A59">
        <w:rPr>
          <w:lang w:eastAsia="pl-PL"/>
        </w:rPr>
        <w:t xml:space="preserve"> Obszary te powinny być objęte priorytetowym monitoringiem i ochroną, z możliwością późniejszego dostosowania zakresu modyfikacji lub rezygnacji w zakresie pozyskania drewna. </w:t>
      </w:r>
    </w:p>
    <w:p w14:paraId="4DE8AF80" w14:textId="1FD0AC36" w:rsidR="00491705" w:rsidRPr="00C53A59" w:rsidRDefault="00491705" w:rsidP="000625AC">
      <w:pPr>
        <w:pStyle w:val="Akapitzlist"/>
        <w:numPr>
          <w:ilvl w:val="0"/>
          <w:numId w:val="94"/>
        </w:numPr>
        <w:ind w:left="426"/>
        <w:rPr>
          <w:lang w:eastAsia="pl-PL"/>
        </w:rPr>
      </w:pPr>
      <w:r w:rsidRPr="0086787C">
        <w:rPr>
          <w:b/>
          <w:bCs/>
          <w:lang w:eastAsia="pl-PL"/>
        </w:rPr>
        <w:t>Ewolucja praktyk leśnych</w:t>
      </w:r>
      <w:r w:rsidRPr="00C53A59">
        <w:rPr>
          <w:lang w:eastAsia="pl-PL"/>
        </w:rPr>
        <w:t xml:space="preserve"> na pozostałych terenach leśnych, z naciskiem na ochronę gleby</w:t>
      </w:r>
      <w:r w:rsidR="00D660E9">
        <w:rPr>
          <w:lang w:eastAsia="pl-PL"/>
        </w:rPr>
        <w:t xml:space="preserve"> </w:t>
      </w:r>
      <w:r w:rsidRPr="00C53A59">
        <w:rPr>
          <w:lang w:eastAsia="pl-PL"/>
        </w:rPr>
        <w:t>leśnej</w:t>
      </w:r>
      <w:r w:rsidR="00974007">
        <w:rPr>
          <w:lang w:eastAsia="pl-PL"/>
        </w:rPr>
        <w:t xml:space="preserve">  </w:t>
      </w:r>
      <w:r w:rsidRPr="00C53A59">
        <w:rPr>
          <w:lang w:eastAsia="pl-PL"/>
        </w:rPr>
        <w:t>i</w:t>
      </w:r>
      <w:r w:rsidR="006D6524">
        <w:rPr>
          <w:lang w:eastAsia="pl-PL"/>
        </w:rPr>
        <w:t> </w:t>
      </w:r>
      <w:r w:rsidRPr="00C53A59">
        <w:rPr>
          <w:lang w:eastAsia="pl-PL"/>
        </w:rPr>
        <w:t>poszycia</w:t>
      </w:r>
      <w:r w:rsidR="00622A9A">
        <w:rPr>
          <w:lang w:eastAsia="pl-PL"/>
        </w:rPr>
        <w:t>.</w:t>
      </w:r>
      <w:r w:rsidR="005B1C40">
        <w:rPr>
          <w:lang w:eastAsia="pl-PL"/>
        </w:rPr>
        <w:t xml:space="preserve"> </w:t>
      </w:r>
      <w:r w:rsidR="005B1C40" w:rsidRPr="005B1C40">
        <w:rPr>
          <w:lang w:eastAsia="pl-PL"/>
        </w:rPr>
        <w:t>Znaczące zwiększenie skali odnowień naturalnych</w:t>
      </w:r>
      <w:r w:rsidR="005B1C40">
        <w:rPr>
          <w:lang w:eastAsia="pl-PL"/>
        </w:rPr>
        <w:t>.</w:t>
      </w:r>
      <w:r w:rsidRPr="00C53A59">
        <w:rPr>
          <w:lang w:eastAsia="pl-PL"/>
        </w:rPr>
        <w:t xml:space="preserve"> </w:t>
      </w:r>
      <w:r w:rsidR="005E160A">
        <w:rPr>
          <w:lang w:eastAsia="pl-PL"/>
        </w:rPr>
        <w:t>Istotne ograniczenie</w:t>
      </w:r>
      <w:r w:rsidRPr="00C53A59">
        <w:rPr>
          <w:lang w:eastAsia="pl-PL"/>
        </w:rPr>
        <w:t xml:space="preserve"> </w:t>
      </w:r>
      <w:r w:rsidR="00F07031">
        <w:rPr>
          <w:lang w:eastAsia="pl-PL"/>
        </w:rPr>
        <w:t>rębni</w:t>
      </w:r>
      <w:r w:rsidRPr="00C53A59">
        <w:rPr>
          <w:lang w:eastAsia="pl-PL"/>
        </w:rPr>
        <w:t xml:space="preserve"> zupełnych oraz </w:t>
      </w:r>
      <w:r w:rsidR="00F07031">
        <w:rPr>
          <w:lang w:eastAsia="pl-PL"/>
        </w:rPr>
        <w:t>orki gleby</w:t>
      </w:r>
      <w:r w:rsidR="00B80522">
        <w:rPr>
          <w:lang w:eastAsia="pl-PL"/>
        </w:rPr>
        <w:t xml:space="preserve">, w tym ich </w:t>
      </w:r>
      <w:r w:rsidR="00E70AFA" w:rsidRPr="00E70AFA">
        <w:rPr>
          <w:lang w:eastAsia="pl-PL"/>
        </w:rPr>
        <w:t xml:space="preserve">wyeliminowanie (poza uzasadnionymi przypadkami) </w:t>
      </w:r>
      <w:r w:rsidR="00B80522">
        <w:rPr>
          <w:lang w:eastAsia="pl-PL"/>
        </w:rPr>
        <w:t>w</w:t>
      </w:r>
      <w:r w:rsidR="006D6524">
        <w:rPr>
          <w:lang w:eastAsia="pl-PL"/>
        </w:rPr>
        <w:t> </w:t>
      </w:r>
      <w:r w:rsidR="00B80522">
        <w:rPr>
          <w:lang w:eastAsia="pl-PL"/>
        </w:rPr>
        <w:t>lasach o</w:t>
      </w:r>
      <w:r w:rsidR="00EE4159">
        <w:rPr>
          <w:lang w:eastAsia="pl-PL"/>
        </w:rPr>
        <w:t> </w:t>
      </w:r>
      <w:r w:rsidR="00B80522">
        <w:rPr>
          <w:lang w:eastAsia="pl-PL"/>
        </w:rPr>
        <w:t>dominującej funkcji społecznej i przyrodniczej.</w:t>
      </w:r>
      <w:r w:rsidR="00987CE6">
        <w:rPr>
          <w:lang w:eastAsia="pl-PL"/>
        </w:rPr>
        <w:t xml:space="preserve"> </w:t>
      </w:r>
      <w:r w:rsidR="00083C61" w:rsidRPr="00083C61">
        <w:rPr>
          <w:lang w:eastAsia="pl-PL"/>
        </w:rPr>
        <w:t xml:space="preserve">Eliminacja głębokiej orki oraz dążenie do ograniczenia orki </w:t>
      </w:r>
      <w:r w:rsidRPr="00C53A59">
        <w:rPr>
          <w:lang w:eastAsia="pl-PL"/>
        </w:rPr>
        <w:t xml:space="preserve">na </w:t>
      </w:r>
      <w:r w:rsidR="003404F1">
        <w:rPr>
          <w:lang w:eastAsia="pl-PL"/>
        </w:rPr>
        <w:t>terenach</w:t>
      </w:r>
      <w:r w:rsidRPr="00C53A59">
        <w:rPr>
          <w:lang w:eastAsia="pl-PL"/>
        </w:rPr>
        <w:t xml:space="preserve"> obszarowych form ochrony</w:t>
      </w:r>
      <w:r w:rsidR="0087426C">
        <w:rPr>
          <w:lang w:eastAsia="pl-PL"/>
        </w:rPr>
        <w:t xml:space="preserve"> przyrody</w:t>
      </w:r>
      <w:r w:rsidR="003252FD">
        <w:rPr>
          <w:lang w:eastAsia="pl-PL"/>
        </w:rPr>
        <w:t>.</w:t>
      </w:r>
      <w:r w:rsidR="0087426C">
        <w:rPr>
          <w:lang w:eastAsia="pl-PL"/>
        </w:rPr>
        <w:t xml:space="preserve"> </w:t>
      </w:r>
      <w:r w:rsidR="000C7BCC" w:rsidRPr="000C7BCC">
        <w:rPr>
          <w:lang w:eastAsia="pl-PL"/>
        </w:rPr>
        <w:t>Intensyfikacja działań na rzecz przeciwdziałania</w:t>
      </w:r>
      <w:r w:rsidR="0087426C">
        <w:rPr>
          <w:lang w:eastAsia="pl-PL"/>
        </w:rPr>
        <w:t xml:space="preserve"> erozji gleby</w:t>
      </w:r>
      <w:r w:rsidR="00EA64E9">
        <w:rPr>
          <w:lang w:eastAsia="pl-PL"/>
        </w:rPr>
        <w:t xml:space="preserve">, w tym poprzez wprowadzenie zabudowy przeciwerozyjnej oraz </w:t>
      </w:r>
      <w:r w:rsidR="00A30BE6" w:rsidRPr="00CA247A">
        <w:rPr>
          <w:lang w:eastAsia="pl-PL"/>
        </w:rPr>
        <w:t>optymalizację sieci szlaków zrywkowych w lasach</w:t>
      </w:r>
      <w:r w:rsidR="003252FD">
        <w:rPr>
          <w:lang w:eastAsia="pl-PL"/>
        </w:rPr>
        <w:t>.</w:t>
      </w:r>
    </w:p>
    <w:p w14:paraId="72A194BE" w14:textId="23215949" w:rsidR="00491705" w:rsidRPr="00C53A59" w:rsidRDefault="00491705" w:rsidP="000625AC">
      <w:pPr>
        <w:pStyle w:val="Akapitzlist"/>
        <w:numPr>
          <w:ilvl w:val="0"/>
          <w:numId w:val="94"/>
        </w:numPr>
        <w:spacing w:after="80"/>
        <w:ind w:left="425" w:hanging="357"/>
        <w:contextualSpacing w:val="0"/>
        <w:rPr>
          <w:lang w:eastAsia="pl-PL"/>
        </w:rPr>
      </w:pPr>
      <w:r w:rsidRPr="0086787C">
        <w:rPr>
          <w:b/>
          <w:bCs/>
          <w:lang w:eastAsia="pl-PL"/>
        </w:rPr>
        <w:t>Przegląd przepisów dotyczących usuwania drzew i krzewów poza lasami</w:t>
      </w:r>
      <w:r w:rsidRPr="00C53A59">
        <w:rPr>
          <w:lang w:eastAsia="pl-PL"/>
        </w:rPr>
        <w:t xml:space="preserve"> w kontekście przywracania gruntów do użytkowania rolniczego, z możliwością przywrócenia wymogu uzyskania zgody w</w:t>
      </w:r>
      <w:r w:rsidR="006D6524">
        <w:rPr>
          <w:lang w:eastAsia="pl-PL"/>
        </w:rPr>
        <w:t> </w:t>
      </w:r>
      <w:r w:rsidRPr="00C53A59">
        <w:rPr>
          <w:lang w:eastAsia="pl-PL"/>
        </w:rPr>
        <w:t>przypadkach, gdzie może to mieć wpływ na cele klimatyczne i środowiskowe lub nie gwarantuje wieloletniego użytkowania rolniczego. </w:t>
      </w:r>
    </w:p>
    <w:p w14:paraId="4F306A32" w14:textId="135D1817" w:rsidR="00491705" w:rsidRPr="00C53A59" w:rsidRDefault="00491705" w:rsidP="00901FEA">
      <w:pPr>
        <w:spacing w:after="240"/>
        <w:rPr>
          <w:rFonts w:ascii="Times New Roman" w:hAnsi="Times New Roman"/>
          <w:lang w:eastAsia="pl-PL"/>
        </w:rPr>
      </w:pPr>
      <w:r w:rsidRPr="00C53A59">
        <w:rPr>
          <w:lang w:eastAsia="pl-PL"/>
        </w:rPr>
        <w:t>Realizacja wszelkich działań w sektorze leśnym powinna być oparta na regularnym monitoringu stanu lasów i aktualizacji danych dotyczących ich roli w pochłanianiu CO</w:t>
      </w:r>
      <w:r w:rsidRPr="00C53A59">
        <w:rPr>
          <w:rFonts w:ascii="Cambria Math" w:hAnsi="Cambria Math" w:cs="Cambria Math"/>
          <w:lang w:eastAsia="pl-PL"/>
        </w:rPr>
        <w:t>₂</w:t>
      </w:r>
      <w:r w:rsidRPr="00C53A59">
        <w:rPr>
          <w:lang w:eastAsia="pl-PL"/>
        </w:rPr>
        <w:t>. Konieczne jest zachowanie r</w:t>
      </w:r>
      <w:r w:rsidRPr="00C53A59">
        <w:rPr>
          <w:rFonts w:cs="Lato"/>
          <w:lang w:eastAsia="pl-PL"/>
        </w:rPr>
        <w:t>ó</w:t>
      </w:r>
      <w:r w:rsidRPr="00C53A59">
        <w:rPr>
          <w:lang w:eastAsia="pl-PL"/>
        </w:rPr>
        <w:t>wnowagi między łagodzeniem zmiany klimatu, adaptacją do zmiany klimatu, funkcją produkcyjną oraz oczekiwaniami społecznymi odnośnie lasów. Należy również unikać działań, które mogłyby prowadzić do destabilizacji ekosystemów leśnych. Wskazane jest podejście zrównoważone, uwzględniające potrzeby przebudowy lasów i zwiększenia ich odporności na skutki zmian klimatu.</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7E0AD932" w14:textId="77777777" w:rsidTr="000073E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F66ED0A"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786FE3CD" wp14:editId="778339B6">
                  <wp:extent cx="621030" cy="621030"/>
                  <wp:effectExtent l="0" t="0" r="7620" b="7620"/>
                  <wp:docPr id="24" name="Obraz 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AA0492F"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22484E2"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22D863B2" w14:textId="77777777" w:rsidTr="000073E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13B4030"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91A3000"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CB0638A"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klimatu </w:t>
            </w:r>
          </w:p>
          <w:p w14:paraId="75E78DE1" w14:textId="725D7E24"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w:t>
            </w:r>
            <w:r w:rsidR="003E2DE5">
              <w:rPr>
                <w:rFonts w:eastAsia="Times New Roman" w:cs="Times New Roman"/>
                <w:color w:val="808080"/>
                <w:kern w:val="0"/>
                <w:sz w:val="18"/>
                <w:szCs w:val="18"/>
                <w:lang w:eastAsia="pl-PL"/>
                <w14:ligatures w14:val="none"/>
              </w:rPr>
              <w:t xml:space="preserve"> </w:t>
            </w:r>
          </w:p>
          <w:p w14:paraId="4F3AEE64"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 </w:t>
            </w:r>
          </w:p>
        </w:tc>
      </w:tr>
    </w:tbl>
    <w:p w14:paraId="627576AF" w14:textId="76CAFC03" w:rsidR="00491705" w:rsidRPr="00C53A59" w:rsidRDefault="00491705" w:rsidP="00D523F3">
      <w:pPr>
        <w:pStyle w:val="Nagwek6"/>
        <w:rPr>
          <w:rFonts w:ascii="Times New Roman" w:eastAsia="Times New Roman" w:hAnsi="Times New Roman" w:cs="Times New Roman"/>
          <w:kern w:val="0"/>
          <w:lang w:eastAsia="pl-PL"/>
          <w14:ligatures w14:val="none"/>
        </w:rPr>
      </w:pPr>
      <w:bookmarkStart w:id="1181" w:name="_Toc195856596"/>
      <w:bookmarkStart w:id="1182" w:name="_Ref195886318"/>
      <w:r>
        <w:t xml:space="preserve">Działanie </w:t>
      </w:r>
      <w:r>
        <w:fldChar w:fldCharType="begin"/>
      </w:r>
      <w:r>
        <w:instrText>SEQ Działanie \* ARABIC</w:instrText>
      </w:r>
      <w:r>
        <w:fldChar w:fldCharType="separate"/>
      </w:r>
      <w:r w:rsidR="00871DD5">
        <w:rPr>
          <w:noProof/>
        </w:rPr>
        <w:t>78</w:t>
      </w:r>
      <w:r>
        <w:fldChar w:fldCharType="end"/>
      </w:r>
      <w:r>
        <w:t xml:space="preserve">. </w:t>
      </w:r>
      <w:r w:rsidRPr="00B5761A">
        <w:t>Certyfikacja i handel jednostkami CO</w:t>
      </w:r>
      <w:r w:rsidRPr="0086787C">
        <w:rPr>
          <w:vertAlign w:val="subscript"/>
        </w:rPr>
        <w:t>2</w:t>
      </w:r>
      <w:r w:rsidRPr="00B5761A">
        <w:t xml:space="preserve"> w sektorze leśnym</w:t>
      </w:r>
      <w:bookmarkEnd w:id="1181"/>
      <w:bookmarkEnd w:id="1182"/>
      <w:r>
        <w:t xml:space="preserve"> </w:t>
      </w:r>
    </w:p>
    <w:p w14:paraId="4F56FB4E" w14:textId="07E11F38" w:rsidR="00491705" w:rsidRPr="00C53A59" w:rsidRDefault="00491705" w:rsidP="00901FEA">
      <w:pPr>
        <w:spacing w:after="240"/>
        <w:rPr>
          <w:rFonts w:ascii="Times New Roman" w:hAnsi="Times New Roman"/>
          <w:lang w:eastAsia="pl-PL"/>
        </w:rPr>
      </w:pPr>
      <w:r w:rsidRPr="00C53A59">
        <w:rPr>
          <w:lang w:eastAsia="pl-PL"/>
        </w:rPr>
        <w:t>Działanie będzie polegać na aktywnym uczestnictwie w dobrowolnym rynku handlu jednostkami CO</w:t>
      </w:r>
      <w:r w:rsidRPr="00C53A59">
        <w:rPr>
          <w:sz w:val="16"/>
          <w:szCs w:val="16"/>
          <w:vertAlign w:val="subscript"/>
          <w:lang w:eastAsia="pl-PL"/>
        </w:rPr>
        <w:t>2</w:t>
      </w:r>
      <w:r w:rsidRPr="00C53A59">
        <w:rPr>
          <w:lang w:eastAsia="pl-PL"/>
        </w:rPr>
        <w:t xml:space="preserve"> poprzez wykorzystanie ram certyfikacji zawartych w </w:t>
      </w:r>
      <w:r w:rsidR="000073EA">
        <w:rPr>
          <w:i/>
          <w:iCs/>
          <w:lang w:eastAsia="pl-PL"/>
        </w:rPr>
        <w:t>ro</w:t>
      </w:r>
      <w:r w:rsidRPr="00C53A59">
        <w:rPr>
          <w:i/>
          <w:iCs/>
          <w:lang w:eastAsia="pl-PL"/>
        </w:rPr>
        <w:t xml:space="preserve">zporządzeniu </w:t>
      </w:r>
      <w:r w:rsidR="000073EA">
        <w:rPr>
          <w:i/>
          <w:iCs/>
          <w:lang w:eastAsia="pl-PL"/>
        </w:rPr>
        <w:t>PE</w:t>
      </w:r>
      <w:r w:rsidRPr="00C53A59">
        <w:rPr>
          <w:i/>
          <w:iCs/>
          <w:lang w:eastAsia="pl-PL"/>
        </w:rPr>
        <w:t xml:space="preserve"> i Rady w sprawie ustanowienia </w:t>
      </w:r>
      <w:r w:rsidRPr="00C53A59">
        <w:rPr>
          <w:i/>
          <w:iCs/>
          <w:lang w:eastAsia="pl-PL"/>
        </w:rPr>
        <w:lastRenderedPageBreak/>
        <w:t>unijnych ram certyfikacji trwałego pochłaniania dwutlenku węgla, technik węglochłonnych oraz składowania dwutlenku węgla w produktach z 27 listopada 2024</w:t>
      </w:r>
      <w:r>
        <w:rPr>
          <w:i/>
          <w:iCs/>
          <w:lang w:eastAsia="pl-PL"/>
        </w:rPr>
        <w:t xml:space="preserve"> </w:t>
      </w:r>
      <w:r w:rsidRPr="00C53A59">
        <w:rPr>
          <w:i/>
          <w:iCs/>
          <w:lang w:eastAsia="pl-PL"/>
        </w:rPr>
        <w:t xml:space="preserve">r. </w:t>
      </w:r>
      <w:r w:rsidRPr="00C53A59">
        <w:rPr>
          <w:lang w:eastAsia="pl-PL"/>
        </w:rPr>
        <w:t>Działanie obejmie m.in.: wprowadzenie mechanizmów certyfikacji pochłaniania CO</w:t>
      </w:r>
      <w:r w:rsidRPr="00C53A59">
        <w:rPr>
          <w:sz w:val="16"/>
          <w:szCs w:val="16"/>
          <w:vertAlign w:val="subscript"/>
          <w:lang w:eastAsia="pl-PL"/>
        </w:rPr>
        <w:t xml:space="preserve">2, </w:t>
      </w:r>
      <w:r w:rsidRPr="00C53A59">
        <w:rPr>
          <w:lang w:eastAsia="pl-PL"/>
        </w:rPr>
        <w:t>rozwój technik węglochłonnych w gospodarce leśnej, wsparcie dla składowania CO</w:t>
      </w:r>
      <w:r w:rsidRPr="00C53A59">
        <w:rPr>
          <w:sz w:val="16"/>
          <w:szCs w:val="16"/>
          <w:vertAlign w:val="subscript"/>
          <w:lang w:eastAsia="pl-PL"/>
        </w:rPr>
        <w:t xml:space="preserve">2 </w:t>
      </w:r>
      <w:r w:rsidRPr="00C53A59">
        <w:rPr>
          <w:lang w:eastAsia="pl-PL"/>
        </w:rPr>
        <w:t>w produktach drzewnych, uwzględnienie metod sekwestracji dwutlenku węgla w glebie oraz integrację działań z unijnym systemem handlu emisjami. Zgodnie z nowymi unijnymi regulacjami dotyczącymi certyfikacji pochłaniania dwutlenku węgla, konieczne będzie wdrożenie odpowiednich mechanizmów prawnych i operacyjnych. System ten umożliwia sprzedaż certyfikowanych jednostek pochłaniania CO</w:t>
      </w:r>
      <w:r w:rsidRPr="00C53A59">
        <w:rPr>
          <w:sz w:val="16"/>
          <w:szCs w:val="16"/>
          <w:vertAlign w:val="subscript"/>
          <w:lang w:eastAsia="pl-PL"/>
        </w:rPr>
        <w:t>2</w:t>
      </w:r>
      <w:r w:rsidRPr="00C53A59">
        <w:rPr>
          <w:lang w:eastAsia="pl-PL"/>
        </w:rPr>
        <w:t>, co może przynieść istotne przychody dla sektora leśnego i gospodarki narodowej.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1EA018F2" w14:textId="77777777" w:rsidTr="000073E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6F3B01C"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004A0045" wp14:editId="31F90200">
                  <wp:extent cx="621030" cy="621030"/>
                  <wp:effectExtent l="0" t="0" r="7620" b="7620"/>
                  <wp:docPr id="625275248" name="Obraz 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DB7F4A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5321D6F"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10DCCC6F" w14:textId="77777777" w:rsidTr="000073E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EE9CBDC"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A3EAFD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1ED44FF"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klimatu </w:t>
            </w:r>
          </w:p>
          <w:p w14:paraId="067C955A" w14:textId="07BD2C09"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w:t>
            </w:r>
            <w:r w:rsidR="003E2DE5">
              <w:rPr>
                <w:rFonts w:eastAsia="Times New Roman" w:cs="Times New Roman"/>
                <w:color w:val="808080"/>
                <w:kern w:val="0"/>
                <w:sz w:val="18"/>
                <w:szCs w:val="18"/>
                <w:lang w:eastAsia="pl-PL"/>
                <w14:ligatures w14:val="none"/>
              </w:rPr>
              <w:t xml:space="preserve"> </w:t>
            </w:r>
          </w:p>
          <w:p w14:paraId="747A3F56"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 </w:t>
            </w:r>
          </w:p>
        </w:tc>
      </w:tr>
    </w:tbl>
    <w:p w14:paraId="019B6ECF" w14:textId="7DB526BF" w:rsidR="00491705" w:rsidRPr="00C53A59" w:rsidRDefault="00491705" w:rsidP="00D523F3">
      <w:pPr>
        <w:pStyle w:val="Nagwek6"/>
        <w:rPr>
          <w:rFonts w:ascii="Times New Roman" w:eastAsia="Times New Roman" w:hAnsi="Times New Roman" w:cs="Times New Roman"/>
          <w:i/>
          <w:iCs/>
          <w:color w:val="595959"/>
          <w:kern w:val="0"/>
          <w:lang w:eastAsia="pl-PL"/>
          <w14:ligatures w14:val="none"/>
        </w:rPr>
      </w:pPr>
      <w:bookmarkStart w:id="1183" w:name="_Toc195856597"/>
      <w:bookmarkStart w:id="1184" w:name="_Ref195886330"/>
      <w:bookmarkStart w:id="1185" w:name="_Ref195888472"/>
      <w:r>
        <w:t xml:space="preserve">Działanie </w:t>
      </w:r>
      <w:r>
        <w:fldChar w:fldCharType="begin"/>
      </w:r>
      <w:r>
        <w:instrText>SEQ Działanie \* ARABIC</w:instrText>
      </w:r>
      <w:r>
        <w:fldChar w:fldCharType="separate"/>
      </w:r>
      <w:r w:rsidR="00871DD5">
        <w:rPr>
          <w:noProof/>
        </w:rPr>
        <w:t>79</w:t>
      </w:r>
      <w:r>
        <w:fldChar w:fldCharType="end"/>
      </w:r>
      <w:r>
        <w:t xml:space="preserve">. </w:t>
      </w:r>
      <w:r w:rsidRPr="001D061A">
        <w:t>Przeciwdziałanie zamieraniu lasów</w:t>
      </w:r>
      <w:bookmarkEnd w:id="1183"/>
      <w:bookmarkEnd w:id="1184"/>
      <w:bookmarkEnd w:id="1185"/>
      <w:r w:rsidRPr="00C53A59">
        <w:rPr>
          <w:rFonts w:eastAsia="Times New Roman" w:cs="Times New Roman"/>
          <w:bCs/>
          <w:color w:val="000000"/>
          <w:kern w:val="0"/>
          <w:lang w:eastAsia="pl-PL"/>
          <w14:ligatures w14:val="none"/>
        </w:rPr>
        <w:t xml:space="preserve"> </w:t>
      </w:r>
    </w:p>
    <w:p w14:paraId="42F69C51" w14:textId="5DBCE1FF" w:rsidR="00491705" w:rsidRPr="00C53A59" w:rsidRDefault="00491705" w:rsidP="00491705">
      <w:pPr>
        <w:rPr>
          <w:rFonts w:ascii="Times New Roman" w:hAnsi="Times New Roman"/>
          <w:lang w:eastAsia="pl-PL"/>
        </w:rPr>
      </w:pPr>
      <w:r w:rsidRPr="4C380D97">
        <w:rPr>
          <w:lang w:eastAsia="pl-PL"/>
        </w:rPr>
        <w:t>Działanie – będące projektem Lasów Państwowych – polega na przeciwdziałaniu procesom zamierania drzewostanów w Polsce oraz działaniach mitygacyjnych w perspektywie do 2030 r., a także zapobieżeniu lub minimalizacji negatywnych skutków zmiany klimatu, w tym przede wszystkim niedopuszczeniu do wielkopowierzchniowego zamierania lasów. Przygotowane w 2022 r. założenia wymagają dostosowania do współczesnych wyników badań naukowych i doświadczeń praktyki w zakresie ochrony lasów przed skutkami zmiany klimatu i adaptacji tych terenów do zmieniających się warunków klimatyczno-hydrologicznych. </w:t>
      </w:r>
    </w:p>
    <w:p w14:paraId="09D7B436" w14:textId="77777777" w:rsidR="00491705" w:rsidRPr="00C53A59" w:rsidRDefault="00491705" w:rsidP="00491705">
      <w:pPr>
        <w:spacing w:before="240" w:after="12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kern w:val="0"/>
          <w:szCs w:val="20"/>
          <w:lang w:eastAsia="pl-PL"/>
          <w14:ligatures w14:val="none"/>
        </w:rPr>
        <w:t>Działanie obejmuje następujące poddziałania: </w:t>
      </w:r>
    </w:p>
    <w:p w14:paraId="33291FF5" w14:textId="7F4EF99B" w:rsidR="00491705" w:rsidRPr="00901FEA" w:rsidRDefault="00491705" w:rsidP="000625AC">
      <w:pPr>
        <w:pStyle w:val="Akapitzlist"/>
        <w:numPr>
          <w:ilvl w:val="0"/>
          <w:numId w:val="150"/>
        </w:numPr>
        <w:ind w:left="426"/>
      </w:pPr>
      <w:r w:rsidRPr="00901FEA">
        <w:t xml:space="preserve">Przegląd w okresie do końca 2027 r. i aktualizacja </w:t>
      </w:r>
      <w:r w:rsidR="000073EA">
        <w:rPr>
          <w:lang w:eastAsia="pl-PL"/>
        </w:rPr>
        <w:t>„</w:t>
      </w:r>
      <w:r w:rsidRPr="00901FEA">
        <w:t>Kompleksowego programu przeciwdziałania procesom zamierania lasów w Polsce</w:t>
      </w:r>
      <w:r w:rsidR="000073EA" w:rsidRPr="00901FEA">
        <w:t>”</w:t>
      </w:r>
      <w:r w:rsidRPr="00901FEA">
        <w:t xml:space="preserve"> w oparciu o najnowszą wiedzę i dobre doświadczenia w</w:t>
      </w:r>
      <w:r w:rsidR="000073EA">
        <w:rPr>
          <w:lang w:eastAsia="pl-PL"/>
        </w:rPr>
        <w:t> </w:t>
      </w:r>
      <w:r w:rsidRPr="00901FEA">
        <w:t>zakresie adaptacji lasów do zmiany klimatu. Celem nadrzędnym programu powinna być poprawa stanu lasów w ujęciu ekosystemowym</w:t>
      </w:r>
      <w:r w:rsidR="00E84BC6">
        <w:rPr>
          <w:rFonts w:eastAsia="Times New Roman" w:cs="Times New Roman"/>
          <w:kern w:val="0"/>
          <w:szCs w:val="20"/>
          <w:lang w:eastAsia="pl-PL"/>
          <w14:ligatures w14:val="none"/>
        </w:rPr>
        <w:t>.</w:t>
      </w:r>
    </w:p>
    <w:p w14:paraId="4BBBD784" w14:textId="20C35660" w:rsidR="00491705" w:rsidRPr="00901FEA" w:rsidRDefault="00491705" w:rsidP="000625AC">
      <w:pPr>
        <w:pStyle w:val="Akapitzlist"/>
        <w:numPr>
          <w:ilvl w:val="0"/>
          <w:numId w:val="150"/>
        </w:numPr>
        <w:ind w:left="426"/>
      </w:pPr>
      <w:r w:rsidRPr="00901FEA">
        <w:t>Wdrożenie działań wynikających z kompleksowego programu wskazanego powyżej chroniących zasoby leśne przed zamieraniem i poprawiających stan ekosystemów leśnych – w okresie do 2030</w:t>
      </w:r>
      <w:r w:rsidR="000073EA" w:rsidRPr="00901FEA">
        <w:t xml:space="preserve"> </w:t>
      </w:r>
      <w:r w:rsidR="000073EA">
        <w:rPr>
          <w:lang w:eastAsia="pl-PL"/>
        </w:rPr>
        <w:t>r.</w:t>
      </w:r>
      <w:r w:rsidRPr="00D80A97">
        <w:rPr>
          <w:lang w:eastAsia="pl-PL"/>
        </w:rPr>
        <w:t>,</w:t>
      </w:r>
      <w:r w:rsidRPr="00901FEA">
        <w:t xml:space="preserve"> z</w:t>
      </w:r>
      <w:r w:rsidR="000073EA">
        <w:rPr>
          <w:lang w:eastAsia="pl-PL"/>
        </w:rPr>
        <w:t> </w:t>
      </w:r>
      <w:r w:rsidRPr="00901FEA">
        <w:t>rewizją efektów w 2035 r.</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72B17181" w14:textId="77777777" w:rsidTr="000073EA">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047B0CF"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38CE96EA" wp14:editId="688059DC">
                  <wp:extent cx="621030" cy="621030"/>
                  <wp:effectExtent l="0" t="0" r="7620" b="7620"/>
                  <wp:docPr id="1783082107" name="Obraz 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9569E1C"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AFC78C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5BDCBE55" w14:textId="77777777" w:rsidTr="000073E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C5C6990"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04A6AFE" w14:textId="00D55B19"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w:t>
            </w:r>
            <w:r w:rsidR="003E2DE5">
              <w:rPr>
                <w:rFonts w:eastAsia="Times New Roman" w:cs="Times New Roman"/>
                <w:color w:val="808080"/>
                <w:kern w:val="0"/>
                <w:sz w:val="18"/>
                <w:szCs w:val="18"/>
                <w:lang w:eastAsia="pl-PL"/>
                <w14:ligatures w14:val="none"/>
              </w:rPr>
              <w:t xml:space="preserve"> </w:t>
            </w:r>
          </w:p>
          <w:p w14:paraId="61F75628" w14:textId="141486BB" w:rsidR="00491705" w:rsidRPr="00C53A59" w:rsidRDefault="003E2DE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8B12C19"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klimatu </w:t>
            </w:r>
          </w:p>
          <w:p w14:paraId="6FF5A6AD"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PGL Lasy Państwowe </w:t>
            </w:r>
          </w:p>
          <w:p w14:paraId="3E0834C2"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 </w:t>
            </w:r>
          </w:p>
        </w:tc>
      </w:tr>
    </w:tbl>
    <w:p w14:paraId="3E7EA423" w14:textId="31FB87B5" w:rsidR="00491705" w:rsidRPr="00C53A59" w:rsidRDefault="00491705" w:rsidP="00D523F3">
      <w:pPr>
        <w:pStyle w:val="Nagwek6"/>
        <w:rPr>
          <w:rFonts w:ascii="Times New Roman" w:eastAsia="Times New Roman" w:hAnsi="Times New Roman" w:cs="Times New Roman"/>
          <w:i/>
          <w:iCs/>
          <w:color w:val="595959"/>
          <w:kern w:val="0"/>
          <w:lang w:eastAsia="pl-PL"/>
          <w14:ligatures w14:val="none"/>
        </w:rPr>
      </w:pPr>
      <w:bookmarkStart w:id="1186" w:name="_Toc195856598"/>
      <w:bookmarkStart w:id="1187" w:name="_Ref195886340"/>
      <w:bookmarkStart w:id="1188" w:name="_Ref195888507"/>
      <w:r>
        <w:t xml:space="preserve">Działanie </w:t>
      </w:r>
      <w:r>
        <w:fldChar w:fldCharType="begin"/>
      </w:r>
      <w:r>
        <w:instrText>SEQ Działanie \* ARABIC</w:instrText>
      </w:r>
      <w:r>
        <w:fldChar w:fldCharType="separate"/>
      </w:r>
      <w:r w:rsidR="00871DD5">
        <w:rPr>
          <w:noProof/>
        </w:rPr>
        <w:t>80</w:t>
      </w:r>
      <w:r>
        <w:fldChar w:fldCharType="end"/>
      </w:r>
      <w:r>
        <w:t xml:space="preserve">. </w:t>
      </w:r>
      <w:r w:rsidRPr="007A566E">
        <w:t>Określenie kierunkowych zadań z zakresu ochrony przeciwpożarowej lasu</w:t>
      </w:r>
      <w:bookmarkEnd w:id="1186"/>
      <w:bookmarkEnd w:id="1187"/>
      <w:bookmarkEnd w:id="1188"/>
      <w:r>
        <w:t xml:space="preserve"> </w:t>
      </w:r>
    </w:p>
    <w:p w14:paraId="1B6BA3B7" w14:textId="6B406F1B" w:rsidR="00491705" w:rsidRPr="00C53A59" w:rsidRDefault="00491705" w:rsidP="000073EA">
      <w:pPr>
        <w:rPr>
          <w:rFonts w:ascii="Times New Roman" w:hAnsi="Times New Roman"/>
          <w:lang w:eastAsia="pl-PL"/>
        </w:rPr>
      </w:pPr>
      <w:r w:rsidRPr="00C53A59">
        <w:rPr>
          <w:lang w:eastAsia="pl-PL"/>
        </w:rPr>
        <w:t>Działanie polega na określeniu wytycznych z zakresu ochrony przeciwpożarowej (ppoż.), analizę stanu zagrożenia pożarowego w ubiegłym okresie oraz analizę i ocenę aktualnego stanu ochrony przeciwpożarowej lasów (w tym oceny aktualnych i dających się przewidzieć zagrożeń w zmieniających się warunkach powiązania lasu z</w:t>
      </w:r>
      <w:r w:rsidRPr="00C53A59">
        <w:rPr>
          <w:rFonts w:ascii="Arial" w:hAnsi="Arial" w:cs="Arial"/>
          <w:lang w:eastAsia="pl-PL"/>
        </w:rPr>
        <w:t> </w:t>
      </w:r>
      <w:r w:rsidRPr="00C53A59">
        <w:rPr>
          <w:lang w:eastAsia="pl-PL"/>
        </w:rPr>
        <w:t>otoczeniem spo</w:t>
      </w:r>
      <w:r w:rsidRPr="00C53A59">
        <w:rPr>
          <w:rFonts w:cs="Lato"/>
          <w:lang w:eastAsia="pl-PL"/>
        </w:rPr>
        <w:t>ł</w:t>
      </w:r>
      <w:r w:rsidRPr="00C53A59">
        <w:rPr>
          <w:lang w:eastAsia="pl-PL"/>
        </w:rPr>
        <w:t>eczno-gospodarczym). Pozwala to na prewencj</w:t>
      </w:r>
      <w:r w:rsidRPr="00C53A59">
        <w:rPr>
          <w:rFonts w:cs="Lato"/>
          <w:lang w:eastAsia="pl-PL"/>
        </w:rPr>
        <w:t>ę</w:t>
      </w:r>
      <w:r w:rsidRPr="00C53A59">
        <w:rPr>
          <w:lang w:eastAsia="pl-PL"/>
        </w:rPr>
        <w:t xml:space="preserve"> przeciwpo</w:t>
      </w:r>
      <w:r w:rsidRPr="00C53A59">
        <w:rPr>
          <w:rFonts w:cs="Lato"/>
          <w:lang w:eastAsia="pl-PL"/>
        </w:rPr>
        <w:t>ż</w:t>
      </w:r>
      <w:r w:rsidRPr="00C53A59">
        <w:rPr>
          <w:lang w:eastAsia="pl-PL"/>
        </w:rPr>
        <w:t>arow</w:t>
      </w:r>
      <w:r w:rsidRPr="00C53A59">
        <w:rPr>
          <w:rFonts w:cs="Lato"/>
          <w:lang w:eastAsia="pl-PL"/>
        </w:rPr>
        <w:t>ą</w:t>
      </w:r>
      <w:r w:rsidRPr="00C53A59">
        <w:rPr>
          <w:lang w:eastAsia="pl-PL"/>
        </w:rPr>
        <w:t xml:space="preserve"> las</w:t>
      </w:r>
      <w:r w:rsidRPr="00C53A59">
        <w:rPr>
          <w:rFonts w:cs="Lato"/>
          <w:lang w:eastAsia="pl-PL"/>
        </w:rPr>
        <w:t>ó</w:t>
      </w:r>
      <w:r w:rsidRPr="00C53A59">
        <w:rPr>
          <w:lang w:eastAsia="pl-PL"/>
        </w:rPr>
        <w:t>w i</w:t>
      </w:r>
      <w:r w:rsidRPr="00C53A59">
        <w:rPr>
          <w:rFonts w:ascii="Arial" w:hAnsi="Arial" w:cs="Arial"/>
          <w:lang w:eastAsia="pl-PL"/>
        </w:rPr>
        <w:t> </w:t>
      </w:r>
      <w:r w:rsidRPr="00C53A59">
        <w:rPr>
          <w:lang w:eastAsia="pl-PL"/>
        </w:rPr>
        <w:t>w</w:t>
      </w:r>
      <w:r w:rsidRPr="00C53A59">
        <w:rPr>
          <w:rFonts w:ascii="Arial" w:hAnsi="Arial" w:cs="Arial"/>
          <w:lang w:eastAsia="pl-PL"/>
        </w:rPr>
        <w:t> </w:t>
      </w:r>
      <w:r w:rsidRPr="00C53A59">
        <w:rPr>
          <w:lang w:eastAsia="pl-PL"/>
        </w:rPr>
        <w:t>nast</w:t>
      </w:r>
      <w:r w:rsidRPr="00C53A59">
        <w:rPr>
          <w:rFonts w:cs="Lato"/>
          <w:lang w:eastAsia="pl-PL"/>
        </w:rPr>
        <w:t>ę</w:t>
      </w:r>
      <w:r w:rsidRPr="00C53A59">
        <w:rPr>
          <w:lang w:eastAsia="pl-PL"/>
        </w:rPr>
        <w:t>pstwie przeciwdziałanie emisji CO</w:t>
      </w:r>
      <w:r w:rsidRPr="00C53A59">
        <w:rPr>
          <w:sz w:val="16"/>
          <w:szCs w:val="16"/>
          <w:vertAlign w:val="subscript"/>
          <w:lang w:eastAsia="pl-PL"/>
        </w:rPr>
        <w:t>2</w:t>
      </w:r>
      <w:r w:rsidRPr="00C53A59">
        <w:rPr>
          <w:lang w:eastAsia="pl-PL"/>
        </w:rPr>
        <w:t xml:space="preserve"> z lasów. Działania z zakresu ppoż. </w:t>
      </w:r>
      <w:r w:rsidR="000073EA" w:rsidRPr="00C53A59">
        <w:rPr>
          <w:lang w:eastAsia="pl-PL"/>
        </w:rPr>
        <w:t>W</w:t>
      </w:r>
      <w:r w:rsidR="000073EA">
        <w:rPr>
          <w:lang w:eastAsia="pl-PL"/>
        </w:rPr>
        <w:t> </w:t>
      </w:r>
      <w:r w:rsidRPr="00C53A59">
        <w:rPr>
          <w:lang w:eastAsia="pl-PL"/>
        </w:rPr>
        <w:t>lasach gospodarczych będą w większym stopniu niż dotychczas uwzględniać konieczność ochrony i</w:t>
      </w:r>
      <w:r w:rsidR="000073EA">
        <w:rPr>
          <w:lang w:eastAsia="pl-PL"/>
        </w:rPr>
        <w:t> </w:t>
      </w:r>
      <w:r w:rsidRPr="00C53A59">
        <w:rPr>
          <w:lang w:eastAsia="pl-PL"/>
        </w:rPr>
        <w:t>odtworzenia retencji wodnej w lasach. </w:t>
      </w:r>
    </w:p>
    <w:p w14:paraId="0B746486" w14:textId="77777777" w:rsidR="00491705" w:rsidRPr="00C53A59" w:rsidRDefault="00491705" w:rsidP="00901FEA">
      <w:pPr>
        <w:spacing w:after="8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kern w:val="0"/>
          <w:szCs w:val="20"/>
          <w:lang w:eastAsia="pl-PL"/>
          <w14:ligatures w14:val="none"/>
        </w:rPr>
        <w:t>Wyznacza się następujące poddziałania: </w:t>
      </w:r>
    </w:p>
    <w:p w14:paraId="0B410F45" w14:textId="7571F415" w:rsidR="00491705" w:rsidRPr="00901FEA" w:rsidRDefault="00491705" w:rsidP="000625AC">
      <w:pPr>
        <w:pStyle w:val="Akapitzlist"/>
        <w:numPr>
          <w:ilvl w:val="0"/>
          <w:numId w:val="151"/>
        </w:numPr>
        <w:spacing w:after="80"/>
        <w:ind w:left="425" w:hanging="357"/>
        <w:contextualSpacing w:val="0"/>
        <w:rPr>
          <w:rFonts w:ascii="Times New Roman" w:hAnsi="Times New Roman"/>
        </w:rPr>
      </w:pPr>
      <w:r w:rsidRPr="00901FEA">
        <w:t>Ukierunkowanie ochrony przeciwpożarowej w lasach na działania prewencyjne, w tym m.in.</w:t>
      </w:r>
      <w:r w:rsidR="00891DAD">
        <w:t> </w:t>
      </w:r>
      <w:r w:rsidRPr="00901FEA">
        <w:t>zwiększenie retencji wodnej w lasach i oraz rozwój stosowania nowoczesnych metod wykrywania pożarów lasów – w</w:t>
      </w:r>
      <w:r w:rsidRPr="00901FEA">
        <w:rPr>
          <w:rFonts w:ascii="Arial" w:hAnsi="Arial"/>
        </w:rPr>
        <w:t> </w:t>
      </w:r>
      <w:r w:rsidRPr="00901FEA">
        <w:t>okresie do 2030 r.</w:t>
      </w:r>
      <w:r w:rsidR="003E2DE5">
        <w:rPr>
          <w:rFonts w:eastAsia="Times New Roman" w:cs="Times New Roman"/>
          <w:kern w:val="0"/>
          <w:szCs w:val="20"/>
          <w:lang w:eastAsia="pl-PL"/>
          <w14:ligatures w14:val="none"/>
        </w:rPr>
        <w:t xml:space="preserve"> </w:t>
      </w:r>
    </w:p>
    <w:p w14:paraId="44ACB812" w14:textId="2FADBFA4" w:rsidR="00FA5D3B" w:rsidRPr="00FA5D3B" w:rsidRDefault="00057EFF" w:rsidP="000625AC">
      <w:pPr>
        <w:pStyle w:val="Akapitzlist"/>
        <w:numPr>
          <w:ilvl w:val="0"/>
          <w:numId w:val="167"/>
        </w:numPr>
        <w:spacing w:line="240" w:lineRule="auto"/>
        <w:textAlignment w:val="baseline"/>
        <w:rPr>
          <w:rFonts w:ascii="Times New Roman" w:eastAsia="Times New Roman" w:hAnsi="Times New Roman" w:cs="Times New Roman"/>
          <w:kern w:val="0"/>
          <w:lang w:eastAsia="pl-PL"/>
          <w14:ligatures w14:val="none"/>
        </w:rPr>
      </w:pPr>
      <w:r>
        <w:lastRenderedPageBreak/>
        <w:t>Optymalizacja sieci dojazdów pożarowych celem udostępnienia komunikacyjnego obszarów leśnych do prowadzenia działań gaśniczych.</w:t>
      </w:r>
      <w:r w:rsidRPr="00901FEA">
        <w:t xml:space="preserve"> </w:t>
      </w:r>
      <w:r w:rsidR="00491705" w:rsidRPr="00901FEA">
        <w:t>Ograniczenie rozbudowy sieci dróg leśnych</w:t>
      </w:r>
      <w:r w:rsidR="00E25114">
        <w:t>,</w:t>
      </w:r>
      <w:r w:rsidR="00C90F16">
        <w:t xml:space="preserve"> innych niż </w:t>
      </w:r>
      <w:r w:rsidR="00E25114">
        <w:t>dojazdy pożarowe,</w:t>
      </w:r>
      <w:r w:rsidR="00491705" w:rsidRPr="00901FEA">
        <w:t xml:space="preserve"> i zwiększenie nadzoru nad ich użytkowaniem przez osoby postronne, w</w:t>
      </w:r>
      <w:r w:rsidR="00891DAD">
        <w:t> </w:t>
      </w:r>
      <w:r w:rsidR="00491705" w:rsidRPr="00901FEA">
        <w:t xml:space="preserve">tym ograniczenie wjazdów do lasów pojazdami silnikowymi i likwidacja niepotrzebnych dróg leśnych – w okresie do 2030 r. </w:t>
      </w:r>
    </w:p>
    <w:p w14:paraId="59F39272" w14:textId="77777777" w:rsidR="00491705" w:rsidRPr="00901FEA" w:rsidRDefault="00491705" w:rsidP="000625AC">
      <w:pPr>
        <w:pStyle w:val="Akapitzlist"/>
        <w:numPr>
          <w:ilvl w:val="0"/>
          <w:numId w:val="151"/>
        </w:numPr>
        <w:spacing w:after="80"/>
        <w:ind w:left="425" w:hanging="357"/>
        <w:contextualSpacing w:val="0"/>
        <w:rPr>
          <w:rFonts w:ascii="Times New Roman" w:hAnsi="Times New Roman"/>
        </w:rPr>
      </w:pPr>
      <w:r w:rsidRPr="00901FEA">
        <w:t>Opracowanie specjalnych regulacji przeciwpożarowych dla parków narodowych i rezerwatów przyrody – w</w:t>
      </w:r>
      <w:r w:rsidRPr="00901FEA">
        <w:rPr>
          <w:rFonts w:ascii="Arial" w:hAnsi="Arial"/>
        </w:rPr>
        <w:t> </w:t>
      </w:r>
      <w:r w:rsidRPr="00901FEA">
        <w:t>okresie do 2027 r.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3FCB7221" w14:textId="77777777" w:rsidTr="000073EA">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0460B15"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1F04385F" wp14:editId="7FF35A1E">
                  <wp:extent cx="621030" cy="621030"/>
                  <wp:effectExtent l="0" t="0" r="7620" b="7620"/>
                  <wp:docPr id="1368980159"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A24258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7BFAFE2"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79AB7282" w14:textId="77777777" w:rsidTr="000073EA">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AE62D95"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B6FA5E9"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53CD45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 </w:t>
            </w:r>
          </w:p>
        </w:tc>
      </w:tr>
    </w:tbl>
    <w:p w14:paraId="4154E20F" w14:textId="11074A2D" w:rsidR="00491705" w:rsidRPr="00C53A59" w:rsidRDefault="00491705" w:rsidP="00D523F3">
      <w:pPr>
        <w:pStyle w:val="Nagwek6"/>
        <w:rPr>
          <w:rFonts w:eastAsia="Times New Roman" w:cs="Times New Roman"/>
          <w:bCs/>
          <w:i/>
          <w:iCs/>
          <w:color w:val="000000"/>
          <w:kern w:val="0"/>
          <w:lang w:eastAsia="pl-PL"/>
          <w14:ligatures w14:val="none"/>
        </w:rPr>
      </w:pPr>
      <w:bookmarkStart w:id="1189" w:name="_Toc195856599"/>
      <w:bookmarkStart w:id="1190" w:name="_Ref195886346"/>
      <w:bookmarkStart w:id="1191" w:name="_Ref195887131"/>
      <w:bookmarkStart w:id="1192" w:name="_Ref195888459"/>
      <w:r>
        <w:t xml:space="preserve">Działanie </w:t>
      </w:r>
      <w:r>
        <w:fldChar w:fldCharType="begin"/>
      </w:r>
      <w:r>
        <w:instrText>SEQ Działanie \* ARABIC</w:instrText>
      </w:r>
      <w:r>
        <w:fldChar w:fldCharType="separate"/>
      </w:r>
      <w:r w:rsidR="00871DD5">
        <w:rPr>
          <w:noProof/>
        </w:rPr>
        <w:t>81</w:t>
      </w:r>
      <w:r>
        <w:fldChar w:fldCharType="end"/>
      </w:r>
      <w:r>
        <w:t xml:space="preserve">. </w:t>
      </w:r>
      <w:r w:rsidRPr="00F10E39">
        <w:t>Odtworzenie oraz zachowanie obszarów bagiennych, torfowisk i terenów podmokłych</w:t>
      </w:r>
      <w:bookmarkEnd w:id="1189"/>
      <w:bookmarkEnd w:id="1190"/>
      <w:bookmarkEnd w:id="1191"/>
      <w:bookmarkEnd w:id="1192"/>
      <w:r w:rsidRPr="00C53A59">
        <w:rPr>
          <w:rFonts w:eastAsia="Times New Roman" w:cs="Times New Roman"/>
          <w:bCs/>
          <w:iCs/>
          <w:color w:val="000000"/>
          <w:kern w:val="0"/>
          <w:lang w:eastAsia="pl-PL"/>
          <w14:ligatures w14:val="none"/>
        </w:rPr>
        <w:t xml:space="preserve"> </w:t>
      </w:r>
    </w:p>
    <w:p w14:paraId="02F7EAA3" w14:textId="379DD3B7" w:rsidR="005E0743" w:rsidRPr="003E316F" w:rsidRDefault="00491705" w:rsidP="00D97095">
      <w:pPr>
        <w:spacing w:line="240" w:lineRule="auto"/>
        <w:textAlignment w:val="baseline"/>
        <w:rPr>
          <w:rFonts w:eastAsia="Times New Roman" w:cs="Times New Roman"/>
          <w:kern w:val="0"/>
          <w:szCs w:val="20"/>
          <w:lang w:eastAsia="pl-PL"/>
          <w14:ligatures w14:val="none"/>
        </w:rPr>
      </w:pPr>
      <w:r w:rsidRPr="003E316F">
        <w:rPr>
          <w:rFonts w:eastAsia="Times New Roman" w:cs="Times New Roman"/>
          <w:kern w:val="0"/>
          <w:szCs w:val="20"/>
          <w:lang w:eastAsia="pl-PL"/>
          <w14:ligatures w14:val="none"/>
        </w:rPr>
        <w:t>Polska jest w grupie 10 największych światowych emitentów CO</w:t>
      </w:r>
      <w:r w:rsidRPr="00901FEA">
        <w:rPr>
          <w:kern w:val="0"/>
          <w:vertAlign w:val="subscript"/>
          <w14:ligatures w14:val="none"/>
        </w:rPr>
        <w:t>2</w:t>
      </w:r>
      <w:r w:rsidRPr="003E316F">
        <w:rPr>
          <w:rFonts w:eastAsia="Times New Roman" w:cs="Times New Roman"/>
          <w:kern w:val="0"/>
          <w:szCs w:val="20"/>
          <w:lang w:eastAsia="pl-PL"/>
          <w14:ligatures w14:val="none"/>
        </w:rPr>
        <w:t xml:space="preserve"> z powierzchni zdegradowanych torfowisk. Ilość emisji gazów cieplarnianych pochodzących z utleniania odwodnionych gleb organicznych jest porównywalna ze wszystkimi pozostałymi emisjami z sektora rolnego. Odwrócenie tego trendu wymaga wzmocnienia ochrony i odtwarzania torfowisk. Wiedza na temat stanu tych ekosystemów jest niekompletna, przez co brak jest systemowych i skoordynowanych działań na rzecz ich ochrony i</w:t>
      </w:r>
      <w:r w:rsidR="00011F11">
        <w:rPr>
          <w:rFonts w:eastAsia="Times New Roman" w:cs="Times New Roman"/>
          <w:kern w:val="0"/>
          <w:szCs w:val="20"/>
          <w:lang w:eastAsia="pl-PL"/>
          <w14:ligatures w14:val="none"/>
        </w:rPr>
        <w:t> </w:t>
      </w:r>
      <w:r w:rsidRPr="003E316F">
        <w:rPr>
          <w:rFonts w:eastAsia="Times New Roman" w:cs="Times New Roman"/>
          <w:kern w:val="0"/>
          <w:szCs w:val="20"/>
          <w:lang w:eastAsia="pl-PL"/>
          <w14:ligatures w14:val="none"/>
        </w:rPr>
        <w:t xml:space="preserve">restytucji. Jednocześnie konieczna jest poprawa stanu i odtwarzanie mokradeł nietorfowych i rzek – dla poprawy retencji wody w krajobrazie (jako działanie adaptacji do zmian klimatu) oraz jako działanie wspierające hydrologicznie projekty odtwarzania torfowisk. </w:t>
      </w:r>
    </w:p>
    <w:p w14:paraId="3F9608E7" w14:textId="3CCFE4DA" w:rsidR="00491705" w:rsidRPr="00901FEA" w:rsidRDefault="00491705" w:rsidP="00B24332">
      <w:pPr>
        <w:spacing w:before="360" w:line="240" w:lineRule="auto"/>
        <w:textAlignment w:val="baseline"/>
      </w:pPr>
      <w:r w:rsidRPr="00901FEA">
        <w:t>Działanie zawiera następujące poddziałania:</w:t>
      </w:r>
    </w:p>
    <w:p w14:paraId="79E0618D" w14:textId="77777777" w:rsidR="00491705" w:rsidRPr="00901FEA" w:rsidRDefault="00491705" w:rsidP="000625AC">
      <w:pPr>
        <w:pStyle w:val="Akapitzlist"/>
        <w:numPr>
          <w:ilvl w:val="0"/>
          <w:numId w:val="152"/>
        </w:numPr>
        <w:ind w:left="426"/>
      </w:pPr>
      <w:r w:rsidRPr="00901FEA">
        <w:t xml:space="preserve">Wykonanie pełnej inwentaryzacji torfowisk i szczegółowego oszacowania zasobów zgromadzonego węgla, stanu uwodnienia oraz stanu procesów glebotwórczych – akumulacja torfu / stadium decesji, a także aktualnej roślinności i sposobów użytkowania. </w:t>
      </w:r>
    </w:p>
    <w:p w14:paraId="300B640C" w14:textId="1464AE9D" w:rsidR="00491705" w:rsidRPr="00901FEA" w:rsidRDefault="00491705" w:rsidP="000625AC">
      <w:pPr>
        <w:pStyle w:val="Akapitzlist"/>
        <w:numPr>
          <w:ilvl w:val="0"/>
          <w:numId w:val="152"/>
        </w:numPr>
        <w:ind w:left="426"/>
      </w:pPr>
      <w:r w:rsidRPr="00901FEA">
        <w:t>W odniesieniu do obszarów torfowisk w zarządzie instytucji Skarbu Państwa stworzenie ram prawnych i organizacyjnych ustanawiających obowiązek ochrony i wyłączenia torfowisk z</w:t>
      </w:r>
      <w:r w:rsidR="00011F11">
        <w:t> </w:t>
      </w:r>
      <w:r w:rsidRPr="00901FEA">
        <w:t xml:space="preserve">użytkowania gospodarczego – w okresie </w:t>
      </w:r>
      <w:r w:rsidR="00CE0807">
        <w:t>od 2028 do 2030</w:t>
      </w:r>
      <w:r w:rsidRPr="00901FEA">
        <w:t xml:space="preserve"> r.</w:t>
      </w:r>
      <w:r w:rsidR="002408E6" w:rsidRPr="002408E6" w:rsidDel="002408E6">
        <w:t xml:space="preserve"> </w:t>
      </w:r>
    </w:p>
    <w:p w14:paraId="4009E3B8" w14:textId="758B8749" w:rsidR="00491705" w:rsidRPr="00485729" w:rsidRDefault="00491705" w:rsidP="000625AC">
      <w:pPr>
        <w:pStyle w:val="Akapitzlist"/>
        <w:numPr>
          <w:ilvl w:val="0"/>
          <w:numId w:val="152"/>
        </w:numPr>
        <w:ind w:left="426"/>
      </w:pPr>
      <w:r w:rsidRPr="00901FEA">
        <w:t xml:space="preserve">Opracowanie planów odtwarzania torfowisk i przywracania siedlisk torfowiskowych w zarządzie </w:t>
      </w:r>
      <w:r w:rsidRPr="00485729">
        <w:t xml:space="preserve">Lasów Państwowych i innych instytucji Skarbu Państwa – w okresie </w:t>
      </w:r>
      <w:r w:rsidR="0008782D">
        <w:t xml:space="preserve">od </w:t>
      </w:r>
      <w:r w:rsidRPr="00485729">
        <w:t xml:space="preserve">2028 </w:t>
      </w:r>
      <w:r w:rsidR="009D58E4">
        <w:t xml:space="preserve">do </w:t>
      </w:r>
      <w:r w:rsidRPr="00485729">
        <w:t xml:space="preserve">końca 2030 r. </w:t>
      </w:r>
    </w:p>
    <w:p w14:paraId="5671EEFF" w14:textId="04D1FBF3" w:rsidR="00491705" w:rsidRPr="00485729" w:rsidRDefault="00491705" w:rsidP="000625AC">
      <w:pPr>
        <w:pStyle w:val="Akapitzlist"/>
        <w:numPr>
          <w:ilvl w:val="0"/>
          <w:numId w:val="152"/>
        </w:numPr>
        <w:ind w:left="426"/>
      </w:pPr>
      <w:r w:rsidRPr="00485729">
        <w:t>Wprowadzenie zakazu pozyskiwania torfu i kopania zbiorników wodnych na nieodwodnionych torfowiskach – w okresie do 2030 r. oraz znaczące ograniczenie całkowitego wydobycia i</w:t>
      </w:r>
      <w:r w:rsidR="00011F11">
        <w:t> </w:t>
      </w:r>
      <w:r w:rsidRPr="00485729">
        <w:t>wykorzystania torfu, poprzez wsparcie dla produkcji i wykorzystania alternatywnych wobec torfu substratów.</w:t>
      </w:r>
    </w:p>
    <w:p w14:paraId="6BEA8EB7" w14:textId="06BB59A5" w:rsidR="00491705" w:rsidRPr="00485729" w:rsidRDefault="00491705" w:rsidP="00B24332">
      <w:r w:rsidRPr="00485729">
        <w:t xml:space="preserve">W odniesieniu do torfowisk będących użytkami rolnymi: </w:t>
      </w:r>
    </w:p>
    <w:p w14:paraId="2071F9C5" w14:textId="06DC729B" w:rsidR="00491705" w:rsidRPr="00485729" w:rsidRDefault="00984E85" w:rsidP="000625AC">
      <w:pPr>
        <w:pStyle w:val="Akapitzlist"/>
        <w:numPr>
          <w:ilvl w:val="0"/>
          <w:numId w:val="152"/>
        </w:numPr>
        <w:ind w:left="426"/>
      </w:pPr>
      <w:r w:rsidRPr="00984E85">
        <w:t>Przywrócenie uwodnienia torfowisk poprzez ustabilizowanie poziomów wody, w tym rezygnacja z</w:t>
      </w:r>
      <w:r w:rsidR="00011F11">
        <w:t> </w:t>
      </w:r>
      <w:r w:rsidR="00491705" w:rsidRPr="00485729">
        <w:t>tworzenia nowych systemów odwadniających i pogłębiania zarośniętych rowów na torfowiskach będących chronionymi siedliskami przyrodniczymi.</w:t>
      </w:r>
    </w:p>
    <w:p w14:paraId="4F87B4A3" w14:textId="5225663F" w:rsidR="00491705" w:rsidRPr="00485729" w:rsidRDefault="00AF4833" w:rsidP="000625AC">
      <w:pPr>
        <w:pStyle w:val="Akapitzlist"/>
        <w:numPr>
          <w:ilvl w:val="0"/>
          <w:numId w:val="152"/>
        </w:numPr>
        <w:ind w:left="426"/>
      </w:pPr>
      <w:r>
        <w:t>Dobrowolne w</w:t>
      </w:r>
      <w:r w:rsidR="00491705" w:rsidRPr="00485729">
        <w:t>ykupienie najcenniejszych torfowisk na cele ochrony przyrody przez państwo lub organizacje pożytku publicznego.</w:t>
      </w:r>
    </w:p>
    <w:p w14:paraId="2429A24A" w14:textId="7602B396" w:rsidR="00491705" w:rsidRPr="007B07E0" w:rsidRDefault="00491705" w:rsidP="000625AC">
      <w:pPr>
        <w:pStyle w:val="Akapitzlist"/>
        <w:numPr>
          <w:ilvl w:val="0"/>
          <w:numId w:val="152"/>
        </w:numPr>
        <w:ind w:left="426"/>
        <w:rPr>
          <w:rFonts w:eastAsia="Times New Roman" w:cs="Times New Roman"/>
          <w:kern w:val="0"/>
          <w:szCs w:val="20"/>
          <w:lang w:eastAsia="pl-PL"/>
          <w14:ligatures w14:val="none"/>
        </w:rPr>
      </w:pPr>
      <w:r w:rsidRPr="00485729">
        <w:t>Uniezależnienie metod ochrony najcenniejszych bagien od wytycznych związanych z gospodarką rolną</w:t>
      </w:r>
      <w:r w:rsidRPr="007B07E0">
        <w:rPr>
          <w:rFonts w:eastAsia="Times New Roman" w:cs="Times New Roman"/>
          <w:kern w:val="0"/>
          <w:szCs w:val="20"/>
          <w:lang w:eastAsia="pl-PL"/>
          <w14:ligatures w14:val="none"/>
        </w:rPr>
        <w:t xml:space="preserve">. Celem jest utrzymanie odpowiedniego reżimu wodnego. </w:t>
      </w:r>
    </w:p>
    <w:p w14:paraId="6C43B8E3" w14:textId="77777777" w:rsidR="00491705" w:rsidRPr="00485729" w:rsidRDefault="00491705" w:rsidP="00B24332">
      <w:r w:rsidRPr="00485729">
        <w:t>W odniesieniu do rzek i terenów zalewowych działanie obejmuje następujące priorytety:</w:t>
      </w:r>
    </w:p>
    <w:p w14:paraId="7D18CBA8" w14:textId="77777777" w:rsidR="00491705" w:rsidRPr="00485729" w:rsidRDefault="00491705" w:rsidP="000625AC">
      <w:pPr>
        <w:pStyle w:val="Akapitzlist"/>
        <w:numPr>
          <w:ilvl w:val="0"/>
          <w:numId w:val="152"/>
        </w:numPr>
        <w:ind w:left="426"/>
      </w:pPr>
      <w:r w:rsidRPr="00485729">
        <w:t>Powszechne przywracanie bagiennych stref buforowych, realizacja projektów renaturyzacji rzek, przywracanie rzekom terenów zalewowych jako narzędzie poprawy bezpieczeństwa powodziowego.</w:t>
      </w:r>
    </w:p>
    <w:p w14:paraId="3B49DB27" w14:textId="77777777" w:rsidR="00491705" w:rsidRPr="00485729" w:rsidRDefault="00491705" w:rsidP="000625AC">
      <w:pPr>
        <w:pStyle w:val="Akapitzlist"/>
        <w:numPr>
          <w:ilvl w:val="0"/>
          <w:numId w:val="152"/>
        </w:numPr>
        <w:ind w:left="426"/>
      </w:pPr>
      <w:r w:rsidRPr="00485729">
        <w:lastRenderedPageBreak/>
        <w:t>Rewizja katalogu prac utrzymaniowych na rzekach, aby zapewnić skuteczność prac w zakresie przeciwpowodziowym i przeciwsuszowym. Uzupełnienie katalogu prac utrzymaniowych na rzekach o działania proekologiczne, w tym działania renaturyzacyjne.</w:t>
      </w:r>
    </w:p>
    <w:p w14:paraId="1B692908" w14:textId="77777777" w:rsidR="00491705" w:rsidRPr="00485729" w:rsidRDefault="00491705" w:rsidP="000625AC">
      <w:pPr>
        <w:pStyle w:val="Akapitzlist"/>
        <w:numPr>
          <w:ilvl w:val="0"/>
          <w:numId w:val="152"/>
        </w:numPr>
        <w:ind w:left="426"/>
      </w:pPr>
      <w:r w:rsidRPr="00485729">
        <w:t>Wykupy terenów przyrzecznych na rzecz Skarbu Państwa w celu tworzenia bagiennych stref buforowych i zapewnienia normalnych przepływów ponadkorytowych.</w:t>
      </w:r>
    </w:p>
    <w:p w14:paraId="2C57E4C9" w14:textId="77777777" w:rsidR="00491705" w:rsidRDefault="00491705" w:rsidP="00491705">
      <w:pPr>
        <w:spacing w:line="240" w:lineRule="auto"/>
        <w:textAlignment w:val="baseline"/>
        <w:rPr>
          <w:rFonts w:eastAsia="Times New Roman" w:cs="Times New Roman"/>
          <w:kern w:val="0"/>
          <w:szCs w:val="20"/>
          <w:lang w:eastAsia="pl-PL"/>
          <w14:ligatures w14:val="none"/>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3B12F9CC" w14:textId="77777777" w:rsidTr="007B07E0">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42F0B46F"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35D52749" wp14:editId="4D50F50F">
                  <wp:extent cx="621030" cy="621030"/>
                  <wp:effectExtent l="0" t="0" r="7620" b="7620"/>
                  <wp:docPr id="511112153"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746CFC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29CF940"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3AF2AA86" w14:textId="77777777" w:rsidTr="007B07E0">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205D003"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883A352" w14:textId="77777777" w:rsidR="00491705" w:rsidRDefault="00491705">
            <w:pPr>
              <w:spacing w:after="0" w:line="240" w:lineRule="auto"/>
              <w:textAlignment w:val="baseline"/>
              <w:rPr>
                <w:rFonts w:eastAsia="Times New Roman" w:cs="Times New Roman"/>
                <w:color w:val="808080"/>
                <w:kern w:val="0"/>
                <w:sz w:val="18"/>
                <w:szCs w:val="18"/>
                <w:lang w:eastAsia="pl-PL"/>
                <w14:ligatures w14:val="none"/>
              </w:rPr>
            </w:pPr>
            <w:r w:rsidRPr="00C53A59">
              <w:rPr>
                <w:rFonts w:eastAsia="Times New Roman" w:cs="Times New Roman"/>
                <w:color w:val="808080"/>
                <w:kern w:val="0"/>
                <w:sz w:val="18"/>
                <w:szCs w:val="18"/>
                <w:lang w:eastAsia="pl-PL"/>
                <w14:ligatures w14:val="none"/>
              </w:rPr>
              <w:t>minister wł. ds. środowiska </w:t>
            </w:r>
          </w:p>
          <w:p w14:paraId="34A39F58" w14:textId="3128CBEF" w:rsidR="0007672F" w:rsidRDefault="0007672F" w:rsidP="0007672F">
            <w:pPr>
              <w:spacing w:after="0" w:line="240" w:lineRule="auto"/>
              <w:textAlignment w:val="baseline"/>
              <w:rPr>
                <w:rFonts w:eastAsia="Times New Roman" w:cs="Times New Roman"/>
                <w:color w:val="808080"/>
                <w:kern w:val="0"/>
                <w:sz w:val="18"/>
                <w:szCs w:val="18"/>
                <w:lang w:eastAsia="pl-PL"/>
                <w14:ligatures w14:val="none"/>
              </w:rPr>
            </w:pPr>
            <w:r w:rsidRPr="00485729">
              <w:rPr>
                <w:color w:val="808080"/>
                <w:kern w:val="0"/>
                <w:sz w:val="18"/>
                <w14:ligatures w14:val="none"/>
              </w:rPr>
              <w:t xml:space="preserve">minister wł. ds. </w:t>
            </w:r>
            <w:r>
              <w:rPr>
                <w:rFonts w:eastAsia="Times New Roman" w:cs="Times New Roman"/>
                <w:color w:val="808080"/>
                <w:kern w:val="0"/>
                <w:sz w:val="18"/>
                <w:szCs w:val="18"/>
                <w:lang w:eastAsia="pl-PL"/>
                <w14:ligatures w14:val="none"/>
              </w:rPr>
              <w:t>gospodarki wodnej (pkt 9)</w:t>
            </w:r>
          </w:p>
          <w:p w14:paraId="3BE2B073" w14:textId="77777777" w:rsidR="0007672F" w:rsidRDefault="0007672F">
            <w:pPr>
              <w:spacing w:after="0" w:line="240" w:lineRule="auto"/>
              <w:textAlignment w:val="baseline"/>
              <w:rPr>
                <w:rFonts w:eastAsia="Times New Roman" w:cs="Times New Roman"/>
                <w:color w:val="808080"/>
                <w:kern w:val="0"/>
                <w:sz w:val="18"/>
                <w:szCs w:val="18"/>
                <w:lang w:eastAsia="pl-PL"/>
                <w14:ligatures w14:val="none"/>
              </w:rPr>
            </w:pPr>
          </w:p>
          <w:p w14:paraId="1409F92E" w14:textId="125C555C" w:rsidR="0007672F" w:rsidRPr="00C53A59" w:rsidRDefault="0007672F">
            <w:pPr>
              <w:spacing w:after="0" w:line="240" w:lineRule="auto"/>
              <w:textAlignment w:val="baseline"/>
              <w:rPr>
                <w:rFonts w:ascii="Times New Roman" w:eastAsia="Times New Roman" w:hAnsi="Times New Roman" w:cs="Times New Roman"/>
                <w:kern w:val="0"/>
                <w:lang w:eastAsia="pl-PL"/>
                <w14:ligatures w14:val="none"/>
              </w:rPr>
            </w:pP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261E7A3" w14:textId="2D5A0BE2" w:rsidR="00F243C1" w:rsidRDefault="00491705">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w:t>
            </w:r>
          </w:p>
          <w:p w14:paraId="087CF090" w14:textId="19277683" w:rsidR="00B8491D" w:rsidRDefault="00B8491D" w:rsidP="00B8491D">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minister wł. ds. rolnictwa</w:t>
            </w:r>
          </w:p>
          <w:p w14:paraId="7B223F00" w14:textId="77777777" w:rsidR="00F243C1" w:rsidRPr="00485729" w:rsidRDefault="00F243C1">
            <w:pPr>
              <w:spacing w:after="0" w:line="240" w:lineRule="auto"/>
              <w:textAlignment w:val="baseline"/>
              <w:rPr>
                <w:color w:val="808080"/>
                <w:kern w:val="0"/>
                <w:sz w:val="18"/>
                <w14:ligatures w14:val="none"/>
              </w:rPr>
            </w:pPr>
            <w:r w:rsidRPr="00485729">
              <w:rPr>
                <w:color w:val="808080"/>
                <w:kern w:val="0"/>
                <w:sz w:val="18"/>
                <w14:ligatures w14:val="none"/>
              </w:rPr>
              <w:t>PGW Wody Polskie</w:t>
            </w:r>
          </w:p>
          <w:p w14:paraId="5DA91760" w14:textId="055025A2" w:rsidR="00491705" w:rsidRPr="00C53A59" w:rsidRDefault="00F243C1">
            <w:pPr>
              <w:spacing w:after="0" w:line="240" w:lineRule="auto"/>
              <w:textAlignment w:val="baseline"/>
              <w:rPr>
                <w:rFonts w:ascii="Times New Roman" w:eastAsia="Times New Roman" w:hAnsi="Times New Roman" w:cs="Times New Roman"/>
                <w:kern w:val="0"/>
                <w:lang w:eastAsia="pl-PL"/>
                <w14:ligatures w14:val="none"/>
              </w:rPr>
            </w:pPr>
            <w:r w:rsidRPr="00485729">
              <w:rPr>
                <w:color w:val="808080"/>
                <w:kern w:val="0"/>
                <w:sz w:val="18"/>
                <w14:ligatures w14:val="none"/>
              </w:rPr>
              <w:t>minister wł. ds. rolnictwa</w:t>
            </w:r>
            <w:r w:rsidR="00974007">
              <w:rPr>
                <w:rFonts w:eastAsia="Times New Roman" w:cs="Times New Roman"/>
                <w:color w:val="808080"/>
                <w:kern w:val="0"/>
                <w:sz w:val="18"/>
                <w:szCs w:val="18"/>
                <w:lang w:eastAsia="pl-PL"/>
                <w14:ligatures w14:val="none"/>
              </w:rPr>
              <w:t xml:space="preserve">  </w:t>
            </w:r>
          </w:p>
        </w:tc>
      </w:tr>
    </w:tbl>
    <w:p w14:paraId="0A8498B2" w14:textId="76F00B3C" w:rsidR="00491705" w:rsidRPr="00C53A59" w:rsidRDefault="00491705" w:rsidP="00D523F3">
      <w:pPr>
        <w:pStyle w:val="Nagwek6"/>
        <w:rPr>
          <w:rFonts w:eastAsia="Times New Roman" w:cs="Times New Roman"/>
          <w:bCs/>
          <w:iCs/>
          <w:color w:val="000000"/>
          <w:kern w:val="0"/>
          <w:lang w:eastAsia="pl-PL"/>
          <w14:ligatures w14:val="none"/>
        </w:rPr>
      </w:pPr>
      <w:bookmarkStart w:id="1193" w:name="_Toc195856600"/>
      <w:bookmarkStart w:id="1194" w:name="_Ref195886367"/>
      <w:bookmarkStart w:id="1195" w:name="_Ref195887141"/>
      <w:bookmarkStart w:id="1196" w:name="_Ref195888449"/>
      <w:r>
        <w:t xml:space="preserve">Działanie </w:t>
      </w:r>
      <w:r>
        <w:fldChar w:fldCharType="begin"/>
      </w:r>
      <w:r>
        <w:instrText>SEQ Działanie \* ARABIC</w:instrText>
      </w:r>
      <w:r>
        <w:fldChar w:fldCharType="separate"/>
      </w:r>
      <w:r w:rsidR="00871DD5">
        <w:rPr>
          <w:noProof/>
        </w:rPr>
        <w:t>82</w:t>
      </w:r>
      <w:r>
        <w:fldChar w:fldCharType="end"/>
      </w:r>
      <w:r>
        <w:t xml:space="preserve">. </w:t>
      </w:r>
      <w:r w:rsidRPr="00186118">
        <w:t>Rozwój małej retencji wodnej</w:t>
      </w:r>
      <w:bookmarkEnd w:id="1193"/>
      <w:bookmarkEnd w:id="1194"/>
      <w:bookmarkEnd w:id="1195"/>
      <w:bookmarkEnd w:id="1196"/>
      <w:r>
        <w:t xml:space="preserve"> </w:t>
      </w:r>
      <w:r w:rsidR="00BC3A18">
        <w:t>i retencji krajobrazowej</w:t>
      </w:r>
    </w:p>
    <w:p w14:paraId="3BB60767" w14:textId="6B557D95" w:rsidR="00BC3A18" w:rsidRPr="00BC3A18" w:rsidRDefault="00BC3A18" w:rsidP="007B07E0">
      <w:pPr>
        <w:rPr>
          <w:lang w:eastAsia="pl-PL"/>
        </w:rPr>
      </w:pPr>
      <w:r w:rsidRPr="00BC3A18">
        <w:rPr>
          <w:lang w:eastAsia="pl-PL"/>
        </w:rPr>
        <w:t>Tworzenie warunków do magazynowania wody oraz zapobieganie i ograniczanie skutków ekstremalnych zjawisk pogodowych może odbywać się przez spontaniczne procesy przyrodnicze (np. ochronę rozlewisk bobrowych) lub wskutek działań technicznych podejmowanych przez zarządców gruntów i wód. Niezbędne są zmiany prawne wprowadzające wyższe standardy ochrony zasobów wodnych i siedlisk zależnych od wody oraz rozwój programów małej retencji opierającej się głównie na nieinwazyjnych działaniach wspierających retencję glebową. Należy zrezygnować z budowy dużych zbiorników retencyjnych, w przypadku</w:t>
      </w:r>
      <w:r w:rsidR="002B05D2">
        <w:rPr>
          <w:lang w:eastAsia="pl-PL"/>
        </w:rPr>
        <w:t>,</w:t>
      </w:r>
      <w:r w:rsidRPr="00BC3A18">
        <w:rPr>
          <w:lang w:eastAsia="pl-PL"/>
        </w:rPr>
        <w:t xml:space="preserve"> gdy istnieje możliwość realizacji działań korzystniejszych z punktu widzenia ochrony środowiska – zgodnie z działaniem katalogowym nr 7 zawartym w załączniku nr 4 do </w:t>
      </w:r>
      <w:r w:rsidRPr="00485729">
        <w:rPr>
          <w:i/>
        </w:rPr>
        <w:t>Planu przeciwdziałania skutkom suszy</w:t>
      </w:r>
      <w:r w:rsidRPr="00BC3A18">
        <w:rPr>
          <w:lang w:eastAsia="pl-PL"/>
        </w:rPr>
        <w:t xml:space="preserve">. Należy zwrócić uwagę na odbudowę oraz utrzymanie urządzeń melioracji wodnych w celu regulacji stosunków wodnych, a w szczególności umożliwienia retencjonowania wody. Podmioty zobowiązane do retencjonowania wody w krajobrazie oraz przypisane im działania zostały wskazane w załączniku nr 4 do </w:t>
      </w:r>
      <w:r w:rsidRPr="00485729">
        <w:rPr>
          <w:i/>
        </w:rPr>
        <w:t>Planu przeciwdziałania skutkom suszy</w:t>
      </w:r>
      <w:r w:rsidRPr="00BC3A18">
        <w:rPr>
          <w:lang w:eastAsia="pl-PL"/>
        </w:rPr>
        <w:t xml:space="preserve"> (Dz. U. 2021 poz. 1615). </w:t>
      </w:r>
    </w:p>
    <w:p w14:paraId="5146C918" w14:textId="0FBCD322" w:rsidR="00BC3A18" w:rsidRPr="00BC3A18" w:rsidRDefault="00BC3A18" w:rsidP="007B07E0">
      <w:pPr>
        <w:rPr>
          <w:lang w:eastAsia="pl-PL"/>
        </w:rPr>
      </w:pPr>
      <w:r w:rsidRPr="00BC3A18">
        <w:rPr>
          <w:lang w:eastAsia="pl-PL"/>
        </w:rPr>
        <w:t>Działanie obejmuje w szczególności projekty Lasów Państwowych polegające na zwiększeniu możliwości retencyjnych lasów poprzez wykonanie prac z zakresu retencji wodnej, polegających przede wszystkim na budowie i</w:t>
      </w:r>
      <w:r w:rsidRPr="00485729">
        <w:rPr>
          <w:rFonts w:ascii="Arial" w:hAnsi="Arial"/>
        </w:rPr>
        <w:t> </w:t>
      </w:r>
      <w:r w:rsidRPr="00BC3A18">
        <w:rPr>
          <w:lang w:eastAsia="pl-PL"/>
        </w:rPr>
        <w:t>odbudowie ma</w:t>
      </w:r>
      <w:r w:rsidRPr="00BC3A18">
        <w:rPr>
          <w:rFonts w:cs="Lato"/>
          <w:lang w:eastAsia="pl-PL"/>
        </w:rPr>
        <w:t>ł</w:t>
      </w:r>
      <w:r w:rsidRPr="00BC3A18">
        <w:rPr>
          <w:lang w:eastAsia="pl-PL"/>
        </w:rPr>
        <w:t>ych zbiornik</w:t>
      </w:r>
      <w:r w:rsidRPr="00BC3A18">
        <w:rPr>
          <w:rFonts w:cs="Lato"/>
          <w:lang w:eastAsia="pl-PL"/>
        </w:rPr>
        <w:t>ó</w:t>
      </w:r>
      <w:r w:rsidRPr="00BC3A18">
        <w:rPr>
          <w:lang w:eastAsia="pl-PL"/>
        </w:rPr>
        <w:t>w wodnych, odtwarzaniu teren</w:t>
      </w:r>
      <w:r w:rsidRPr="00BC3A18">
        <w:rPr>
          <w:rFonts w:cs="Lato"/>
          <w:lang w:eastAsia="pl-PL"/>
        </w:rPr>
        <w:t>ó</w:t>
      </w:r>
      <w:r w:rsidRPr="00BC3A18">
        <w:rPr>
          <w:lang w:eastAsia="pl-PL"/>
        </w:rPr>
        <w:t>w podmok</w:t>
      </w:r>
      <w:r w:rsidRPr="00BC3A18">
        <w:rPr>
          <w:rFonts w:cs="Lato"/>
          <w:lang w:eastAsia="pl-PL"/>
        </w:rPr>
        <w:t>ł</w:t>
      </w:r>
      <w:r w:rsidRPr="00BC3A18">
        <w:rPr>
          <w:lang w:eastAsia="pl-PL"/>
        </w:rPr>
        <w:t>ych i zalewowych, jak r</w:t>
      </w:r>
      <w:r w:rsidRPr="00BC3A18">
        <w:rPr>
          <w:rFonts w:cs="Lato"/>
          <w:lang w:eastAsia="pl-PL"/>
        </w:rPr>
        <w:t>ó</w:t>
      </w:r>
      <w:r w:rsidRPr="00BC3A18">
        <w:rPr>
          <w:lang w:eastAsia="pl-PL"/>
        </w:rPr>
        <w:t>wnie</w:t>
      </w:r>
      <w:r w:rsidRPr="00BC3A18">
        <w:rPr>
          <w:rFonts w:cs="Lato"/>
          <w:lang w:eastAsia="pl-PL"/>
        </w:rPr>
        <w:t>ż</w:t>
      </w:r>
      <w:r w:rsidRPr="00BC3A18">
        <w:rPr>
          <w:lang w:eastAsia="pl-PL"/>
        </w:rPr>
        <w:t xml:space="preserve"> na ograniczaniu i spowalnianiu sp</w:t>
      </w:r>
      <w:r w:rsidRPr="00BC3A18">
        <w:rPr>
          <w:rFonts w:cs="Lato"/>
          <w:lang w:eastAsia="pl-PL"/>
        </w:rPr>
        <w:t>ł</w:t>
      </w:r>
      <w:r w:rsidRPr="00BC3A18">
        <w:rPr>
          <w:lang w:eastAsia="pl-PL"/>
        </w:rPr>
        <w:t>ywu w</w:t>
      </w:r>
      <w:r w:rsidRPr="00BC3A18">
        <w:rPr>
          <w:rFonts w:cs="Lato"/>
          <w:lang w:eastAsia="pl-PL"/>
        </w:rPr>
        <w:t>ó</w:t>
      </w:r>
      <w:r w:rsidRPr="00BC3A18">
        <w:rPr>
          <w:lang w:eastAsia="pl-PL"/>
        </w:rPr>
        <w:t>d (ma</w:t>
      </w:r>
      <w:r w:rsidRPr="00BC3A18">
        <w:rPr>
          <w:rFonts w:cs="Lato"/>
          <w:lang w:eastAsia="pl-PL"/>
        </w:rPr>
        <w:t>ł</w:t>
      </w:r>
      <w:r w:rsidRPr="00BC3A18">
        <w:rPr>
          <w:lang w:eastAsia="pl-PL"/>
        </w:rPr>
        <w:t>a retencja na terenach nizinnych i</w:t>
      </w:r>
      <w:r w:rsidRPr="00485729">
        <w:rPr>
          <w:rFonts w:ascii="Arial" w:hAnsi="Arial"/>
        </w:rPr>
        <w:t> </w:t>
      </w:r>
      <w:r w:rsidRPr="00BC3A18">
        <w:rPr>
          <w:lang w:eastAsia="pl-PL"/>
        </w:rPr>
        <w:t>g</w:t>
      </w:r>
      <w:r w:rsidRPr="00BC3A18">
        <w:rPr>
          <w:rFonts w:cs="Lato"/>
          <w:lang w:eastAsia="pl-PL"/>
        </w:rPr>
        <w:t>ó</w:t>
      </w:r>
      <w:r w:rsidRPr="00BC3A18">
        <w:rPr>
          <w:lang w:eastAsia="pl-PL"/>
        </w:rPr>
        <w:t>rskich). Podejmowane dzia</w:t>
      </w:r>
      <w:r w:rsidRPr="00BC3A18">
        <w:rPr>
          <w:rFonts w:cs="Lato"/>
          <w:lang w:eastAsia="pl-PL"/>
        </w:rPr>
        <w:t>ł</w:t>
      </w:r>
      <w:r w:rsidRPr="00BC3A18">
        <w:rPr>
          <w:lang w:eastAsia="pl-PL"/>
        </w:rPr>
        <w:t>ania powinny prowadzić do wzmocnienia odporności lasu oraz odpowiadać wyzwaniom adaptacji do zmianami klimatu. Tworzenie warunków do magazynowania wody będzie przekładać się na zapobieganie, przeciwdziałanie i ograniczanie skutków zagrożeń związanych ze</w:t>
      </w:r>
      <w:r w:rsidR="00394BF6">
        <w:rPr>
          <w:lang w:eastAsia="pl-PL"/>
        </w:rPr>
        <w:t> </w:t>
      </w:r>
      <w:r w:rsidRPr="00BC3A18">
        <w:rPr>
          <w:lang w:eastAsia="pl-PL"/>
        </w:rPr>
        <w:t>zmianami klimatu, w szczególności takich jak: susze, pożary lasów, intensywne opady atmosferyczne oraz spływy powierzchniowe. </w:t>
      </w:r>
    </w:p>
    <w:p w14:paraId="239D6CEC" w14:textId="77777777" w:rsidR="00BC3A18" w:rsidRPr="00BC3A18" w:rsidRDefault="00BC3A18" w:rsidP="00BC3A18">
      <w:pPr>
        <w:rPr>
          <w:lang w:eastAsia="pl-PL"/>
        </w:rPr>
      </w:pPr>
      <w:r w:rsidRPr="00BC3A18">
        <w:rPr>
          <w:lang w:eastAsia="pl-PL"/>
        </w:rPr>
        <w:t>Realizowane będą następujące poddziałania: </w:t>
      </w:r>
    </w:p>
    <w:p w14:paraId="69684CFC" w14:textId="77777777" w:rsidR="00BC3A18" w:rsidRPr="00BC3A18" w:rsidRDefault="00BC3A18" w:rsidP="000625AC">
      <w:pPr>
        <w:numPr>
          <w:ilvl w:val="0"/>
          <w:numId w:val="129"/>
        </w:numPr>
        <w:ind w:left="567"/>
        <w:rPr>
          <w:lang w:eastAsia="pl-PL"/>
        </w:rPr>
      </w:pPr>
      <w:r w:rsidRPr="00BC3A18">
        <w:rPr>
          <w:lang w:eastAsia="pl-PL"/>
        </w:rPr>
        <w:t xml:space="preserve">Ochrona zasobów wodnych w lasach przez: a. wyłączenie z użytkowania lasów na siedliskach bagiennych oraz lasów na siedliskach przyrodniczych wzdłuż cieków naturalnych i wokół naturalnych zbiorników wodnych w buforze minimum 30 metrów, b. zakaz wykonywania rębni zupełnych i gniazdowych poza siedliskami przyrodniczymi wzdłuż cieków naturalnych i wokół naturalnych zbiorników wodnych w buforze minimum 30 metrów, c. wprowadzenie standardów gospodarki leśnej przeciwdziałającej osuszaniu lasów priorytetowo w nadleśnictwach zakwalifikowanych do I kategorii zagrożenia pożarowego – w okresie do 2027 r., a w pozostałych nadleśnictwach w okresie do 2030 r. </w:t>
      </w:r>
    </w:p>
    <w:p w14:paraId="615E42AD" w14:textId="77777777" w:rsidR="00BC3A18" w:rsidRPr="00BC3A18" w:rsidRDefault="00BC3A18" w:rsidP="000625AC">
      <w:pPr>
        <w:numPr>
          <w:ilvl w:val="0"/>
          <w:numId w:val="129"/>
        </w:numPr>
        <w:ind w:left="567"/>
        <w:rPr>
          <w:lang w:eastAsia="pl-PL"/>
        </w:rPr>
      </w:pPr>
      <w:r w:rsidRPr="00BC3A18">
        <w:rPr>
          <w:lang w:eastAsia="pl-PL"/>
        </w:rPr>
        <w:t>Odtwarzanie zasobów wodnych w lasach przez działania techniczne z zakresu retencji wodnej (odtwarzanie terenów podmokłych i zalewowych, w tym utrzymywanie bobrowisk (jeżeli nie stanowią istotnego zagrożenia z punktu widzenia bezpieczeństwa publicznego), zgodnie z zapisami planów gospodarowania zasobami wodnymi w lasach – w okresie do 2030 r. </w:t>
      </w:r>
    </w:p>
    <w:p w14:paraId="7AD7CA37" w14:textId="0550B910" w:rsidR="00BC3A18" w:rsidRDefault="00BC3A18" w:rsidP="00BC3A18">
      <w:pPr>
        <w:rPr>
          <w:lang w:eastAsia="pl-PL"/>
        </w:rPr>
      </w:pPr>
      <w:r w:rsidRPr="00BC3A18">
        <w:rPr>
          <w:lang w:eastAsia="pl-PL"/>
        </w:rPr>
        <w:lastRenderedPageBreak/>
        <w:t>Na terenach górskich prowadzone będą działania związane z przeciwdziałaniem erozji wodnej gleb związanej ze spływem wód opadowych. </w:t>
      </w:r>
    </w:p>
    <w:p w14:paraId="50C6398C" w14:textId="77777777" w:rsidR="00BC3A18" w:rsidRDefault="00BC3A18" w:rsidP="00BC3A18">
      <w:pPr>
        <w:rPr>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25267E83" w14:textId="77777777" w:rsidTr="007B07E0">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4F86A41E"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35D61C9D" wp14:editId="7214768B">
                  <wp:extent cx="621030" cy="621030"/>
                  <wp:effectExtent l="0" t="0" r="7620" b="7620"/>
                  <wp:docPr id="5531902"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B52E5C4"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6458C5C"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C53A59" w14:paraId="018DBFB6" w14:textId="77777777" w:rsidTr="007B07E0">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0D0404E"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03FCC92"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CFCF411" w14:textId="77777777" w:rsidR="00491705" w:rsidRDefault="00491705">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 </w:t>
            </w:r>
          </w:p>
          <w:p w14:paraId="0A97EDE2" w14:textId="1C6B3902" w:rsidR="00491705" w:rsidRPr="00C53A59" w:rsidRDefault="00837600">
            <w:pPr>
              <w:spacing w:after="0" w:line="240" w:lineRule="auto"/>
              <w:textAlignment w:val="baseline"/>
              <w:rPr>
                <w:rFonts w:ascii="Times New Roman" w:eastAsia="Times New Roman" w:hAnsi="Times New Roman" w:cs="Times New Roman"/>
                <w:kern w:val="0"/>
                <w:lang w:eastAsia="pl-PL"/>
                <w14:ligatures w14:val="none"/>
              </w:rPr>
            </w:pPr>
            <w:r w:rsidRPr="00837600">
              <w:rPr>
                <w:rFonts w:ascii="Times New Roman" w:eastAsia="Times New Roman" w:hAnsi="Times New Roman" w:cs="Times New Roman"/>
                <w:kern w:val="0"/>
                <w:lang w:eastAsia="pl-PL"/>
                <w14:ligatures w14:val="none"/>
              </w:rPr>
              <w:t>minister wł. ds. gospodarki wodnej</w:t>
            </w:r>
          </w:p>
        </w:tc>
      </w:tr>
    </w:tbl>
    <w:p w14:paraId="36005CF8" w14:textId="505EC62D" w:rsidR="00491705" w:rsidRPr="00C53A59" w:rsidRDefault="00491705" w:rsidP="00D523F3">
      <w:pPr>
        <w:pStyle w:val="Nagwek6"/>
        <w:rPr>
          <w:rFonts w:eastAsia="Times New Roman" w:cs="Times New Roman"/>
          <w:bCs/>
          <w:color w:val="000000"/>
          <w:kern w:val="0"/>
          <w:lang w:eastAsia="pl-PL"/>
          <w14:ligatures w14:val="none"/>
        </w:rPr>
      </w:pPr>
      <w:bookmarkStart w:id="1197" w:name="_Toc195856601"/>
      <w:bookmarkStart w:id="1198" w:name="_Ref195893018"/>
      <w:r>
        <w:t xml:space="preserve">Działanie </w:t>
      </w:r>
      <w:r>
        <w:fldChar w:fldCharType="begin"/>
      </w:r>
      <w:r>
        <w:instrText>SEQ Działanie \* ARABIC</w:instrText>
      </w:r>
      <w:r>
        <w:fldChar w:fldCharType="separate"/>
      </w:r>
      <w:r w:rsidR="00871DD5">
        <w:rPr>
          <w:noProof/>
        </w:rPr>
        <w:t>83</w:t>
      </w:r>
      <w:r>
        <w:fldChar w:fldCharType="end"/>
      </w:r>
      <w:r>
        <w:t xml:space="preserve">. </w:t>
      </w:r>
      <w:r w:rsidRPr="00E2098B">
        <w:t>Wdrożenie zasady kaskadowego wykorzystania biomasy</w:t>
      </w:r>
      <w:bookmarkEnd w:id="1197"/>
      <w:bookmarkEnd w:id="1198"/>
      <w:r>
        <w:t xml:space="preserve"> </w:t>
      </w:r>
    </w:p>
    <w:p w14:paraId="46FB643F" w14:textId="59FC84CF" w:rsidR="00491705" w:rsidRPr="004D71D2" w:rsidRDefault="00491705" w:rsidP="00491705">
      <w:pPr>
        <w:spacing w:line="240" w:lineRule="auto"/>
        <w:textAlignment w:val="baseline"/>
        <w:rPr>
          <w:rFonts w:eastAsia="Times New Roman" w:cs="Times New Roman"/>
          <w:kern w:val="0"/>
          <w:szCs w:val="20"/>
          <w:lang w:eastAsia="pl-PL"/>
          <w14:ligatures w14:val="none"/>
        </w:rPr>
      </w:pPr>
      <w:r w:rsidRPr="004D71D2">
        <w:rPr>
          <w:rFonts w:eastAsia="Times New Roman" w:cs="Times New Roman"/>
          <w:kern w:val="0"/>
          <w:szCs w:val="20"/>
          <w:lang w:eastAsia="pl-PL"/>
          <w14:ligatures w14:val="none"/>
        </w:rPr>
        <w:t>Celem działania jest zapewnienie optymalnego zagospodarowania biomasy jako surowca, w</w:t>
      </w:r>
      <w:r w:rsidR="00394BF6">
        <w:rPr>
          <w:rFonts w:eastAsia="Times New Roman" w:cs="Times New Roman"/>
          <w:kern w:val="0"/>
          <w:szCs w:val="20"/>
          <w:lang w:eastAsia="pl-PL"/>
          <w14:ligatures w14:val="none"/>
        </w:rPr>
        <w:t> </w:t>
      </w:r>
      <w:r w:rsidRPr="004D71D2">
        <w:rPr>
          <w:rFonts w:eastAsia="Times New Roman" w:cs="Times New Roman"/>
          <w:kern w:val="0"/>
          <w:szCs w:val="20"/>
          <w:lang w:eastAsia="pl-PL"/>
          <w14:ligatures w14:val="none"/>
        </w:rPr>
        <w:t>szczególności w rozwiązaniach o wysokiej wartości dodanej dla gospodarki oraz przejście na zrównoważoną biogospodarkę o obiegu zamkniętym.</w:t>
      </w:r>
      <w:r w:rsidR="003E2DE5">
        <w:rPr>
          <w:rFonts w:eastAsia="Times New Roman" w:cs="Times New Roman"/>
          <w:kern w:val="0"/>
          <w:szCs w:val="20"/>
          <w:lang w:eastAsia="pl-PL"/>
          <w14:ligatures w14:val="none"/>
        </w:rPr>
        <w:t xml:space="preserve"> </w:t>
      </w:r>
    </w:p>
    <w:p w14:paraId="35419523" w14:textId="77777777" w:rsidR="00491705" w:rsidRDefault="00491705" w:rsidP="00491705">
      <w:pPr>
        <w:spacing w:line="240" w:lineRule="auto"/>
        <w:textAlignment w:val="baseline"/>
        <w:rPr>
          <w:rFonts w:eastAsia="Times New Roman" w:cs="Times New Roman"/>
          <w:kern w:val="0"/>
          <w:szCs w:val="20"/>
          <w:lang w:eastAsia="pl-PL"/>
          <w14:ligatures w14:val="none"/>
        </w:rPr>
      </w:pPr>
      <w:r w:rsidRPr="004D71D2">
        <w:rPr>
          <w:rFonts w:eastAsia="Times New Roman" w:cs="Times New Roman"/>
          <w:kern w:val="0"/>
          <w:szCs w:val="20"/>
          <w:lang w:eastAsia="pl-PL"/>
          <w14:ligatures w14:val="none"/>
        </w:rPr>
        <w:t xml:space="preserve">Działanie obejmuje następujące poddziałania: </w:t>
      </w:r>
    </w:p>
    <w:p w14:paraId="3FFFF8B7" w14:textId="6D5C815E" w:rsidR="00491705" w:rsidRPr="00901FEA" w:rsidRDefault="00491705" w:rsidP="000625AC">
      <w:pPr>
        <w:pStyle w:val="Akapitzlist"/>
        <w:numPr>
          <w:ilvl w:val="0"/>
          <w:numId w:val="153"/>
        </w:numPr>
        <w:spacing w:after="80"/>
        <w:ind w:left="426" w:hanging="357"/>
        <w:contextualSpacing w:val="0"/>
      </w:pPr>
      <w:r w:rsidRPr="00901FEA">
        <w:t>Pilne wdrożenie</w:t>
      </w:r>
      <w:r w:rsidR="002171FC">
        <w:t xml:space="preserve"> </w:t>
      </w:r>
      <w:r w:rsidRPr="00901FEA">
        <w:t xml:space="preserve">do krajowych przepisów i praktyki gospodarczej zasady kaskadowego wykorzystania biomasy drzewnej, w uwzględnieniem: </w:t>
      </w:r>
    </w:p>
    <w:p w14:paraId="041A8CE9" w14:textId="10DBE199" w:rsidR="00491705" w:rsidRPr="00B27727" w:rsidRDefault="00491705" w:rsidP="000625AC">
      <w:pPr>
        <w:pStyle w:val="Akapitzlist"/>
        <w:numPr>
          <w:ilvl w:val="0"/>
          <w:numId w:val="168"/>
        </w:numPr>
        <w:spacing w:line="240" w:lineRule="auto"/>
        <w:textAlignment w:val="baseline"/>
        <w:rPr>
          <w:kern w:val="0"/>
          <w14:ligatures w14:val="none"/>
        </w:rPr>
      </w:pPr>
      <w:r w:rsidRPr="00901FEA">
        <w:t>wykorzystania surowca drzewnego pełnowartościowego</w:t>
      </w:r>
      <w:r w:rsidR="00541B61">
        <w:t xml:space="preserve"> </w:t>
      </w:r>
      <w:r w:rsidRPr="00901FEA">
        <w:t xml:space="preserve">w zastosowaniach o wysokiej wartości </w:t>
      </w:r>
      <w:r w:rsidRPr="00B27727">
        <w:rPr>
          <w:kern w:val="0"/>
          <w14:ligatures w14:val="none"/>
        </w:rPr>
        <w:t>dodanej, w szczególności w priorytetowo do produkcji materiałowej przemysłu przerobu drewna, oraz zakaz spalania drewna pełnowartościowego w energetyce,</w:t>
      </w:r>
    </w:p>
    <w:p w14:paraId="099C8B48" w14:textId="50001B8E" w:rsidR="00491705" w:rsidRPr="00B27727" w:rsidRDefault="00491705" w:rsidP="000625AC">
      <w:pPr>
        <w:pStyle w:val="Akapitzlist"/>
        <w:numPr>
          <w:ilvl w:val="0"/>
          <w:numId w:val="168"/>
        </w:numPr>
        <w:spacing w:line="240" w:lineRule="auto"/>
        <w:textAlignment w:val="baseline"/>
        <w:rPr>
          <w:kern w:val="0"/>
          <w14:ligatures w14:val="none"/>
        </w:rPr>
      </w:pPr>
      <w:r w:rsidRPr="002A181C">
        <w:rPr>
          <w:rFonts w:eastAsia="Times New Roman" w:cs="Times New Roman"/>
          <w:kern w:val="0"/>
          <w:szCs w:val="20"/>
          <w:lang w:eastAsia="pl-PL"/>
          <w14:ligatures w14:val="none"/>
        </w:rPr>
        <w:t>wykorzystanie</w:t>
      </w:r>
      <w:r w:rsidRPr="00B27727">
        <w:rPr>
          <w:kern w:val="0"/>
          <w14:ligatures w14:val="none"/>
        </w:rPr>
        <w:t xml:space="preserve"> w energetyce zawodowej (w tym ciepłownictwie) </w:t>
      </w:r>
      <w:r w:rsidRPr="006A2479">
        <w:rPr>
          <w:b/>
          <w:bCs/>
          <w:kern w:val="0"/>
          <w14:ligatures w14:val="none"/>
        </w:rPr>
        <w:t>tylko</w:t>
      </w:r>
      <w:r w:rsidRPr="00B27727">
        <w:rPr>
          <w:kern w:val="0"/>
          <w14:ligatures w14:val="none"/>
        </w:rPr>
        <w:t xml:space="preserve"> tych rodzajów surowca drzewnego, które posiadają obniżoną wartość techniczną i użytkową oraz spełnia</w:t>
      </w:r>
      <w:r w:rsidR="00184275">
        <w:rPr>
          <w:kern w:val="0"/>
          <w14:ligatures w14:val="none"/>
        </w:rPr>
        <w:t>ją</w:t>
      </w:r>
      <w:r w:rsidRPr="00B27727">
        <w:rPr>
          <w:kern w:val="0"/>
          <w14:ligatures w14:val="none"/>
        </w:rPr>
        <w:t xml:space="preserve"> definicję drewna energetycznego. </w:t>
      </w:r>
    </w:p>
    <w:p w14:paraId="55980B51" w14:textId="5E6A542A" w:rsidR="00491705" w:rsidRPr="00711258" w:rsidRDefault="00491705" w:rsidP="00901FEA">
      <w:pPr>
        <w:spacing w:after="80"/>
        <w:ind w:left="360"/>
        <w:rPr>
          <w:kern w:val="0"/>
          <w14:ligatures w14:val="none"/>
        </w:rPr>
      </w:pPr>
      <w:r w:rsidRPr="00901FEA">
        <w:t xml:space="preserve">Wypracowanie podstawy prawnej dla mechanizmów weryfikacji oraz kontroli stosowania zasady kaskadowego wykorzystania biomasy przez przedsiębiorstwa energetyki zawodowej. </w:t>
      </w:r>
    </w:p>
    <w:p w14:paraId="7B03D4AF" w14:textId="6EC07DAF" w:rsidR="002B05D2" w:rsidRPr="009F054C" w:rsidRDefault="00491705" w:rsidP="000625AC">
      <w:pPr>
        <w:pStyle w:val="Akapitzlist"/>
        <w:numPr>
          <w:ilvl w:val="0"/>
          <w:numId w:val="153"/>
        </w:numPr>
        <w:spacing w:after="80"/>
        <w:ind w:left="426" w:hanging="357"/>
        <w:contextualSpacing w:val="0"/>
      </w:pPr>
      <w:r w:rsidRPr="00901FEA">
        <w:t>Mając na uwadze wypracowanie innowacyjnych, opartych na biomasie rozwiązań o wysokiej wartości dodanej oraz przejście na zrównoważoną biogospodarkę o obiegu zamkniętym w kolejnych latach uzasadnione będzie rozszerzenie zakresu stosowania zasady kaskadowości. Zasadą tą powinna zostać objęt</w:t>
      </w:r>
      <w:r w:rsidR="002E1280">
        <w:t>y</w:t>
      </w:r>
      <w:r w:rsidRPr="00901FEA">
        <w:t xml:space="preserve"> </w:t>
      </w:r>
      <w:r w:rsidRPr="009F054C">
        <w:t xml:space="preserve">docelowo także </w:t>
      </w:r>
      <w:r w:rsidR="006A3D5F">
        <w:t>surowiec drzewny</w:t>
      </w:r>
      <w:r w:rsidRPr="009F054C">
        <w:t xml:space="preserve"> o obniżonej wartości technicznej i</w:t>
      </w:r>
      <w:r w:rsidR="00394BF6">
        <w:t> </w:t>
      </w:r>
      <w:r w:rsidRPr="009F054C">
        <w:t xml:space="preserve">użytkowej (w szczególności uboczne produkty przerobu drewna), ponieważ stanowi on wartościowy surowiec do produkcji materiałowej (wyroby drewnopochodne, </w:t>
      </w:r>
      <w:r w:rsidR="00067639">
        <w:t>celulozowe)</w:t>
      </w:r>
      <w:r w:rsidRPr="009F054C">
        <w:t xml:space="preserve">. </w:t>
      </w:r>
      <w:r w:rsidR="004D4C95">
        <w:t>W</w:t>
      </w:r>
      <w:r w:rsidR="00394BF6">
        <w:t> </w:t>
      </w:r>
      <w:r w:rsidRPr="009F054C">
        <w:t xml:space="preserve">przedsiębiorstwach energetycznych (w tym ciepłownictwie) </w:t>
      </w:r>
      <w:r w:rsidR="00067639">
        <w:t>będą</w:t>
      </w:r>
      <w:r w:rsidR="00067639" w:rsidRPr="009F054C" w:rsidDel="002C5E7A">
        <w:t xml:space="preserve"> </w:t>
      </w:r>
      <w:r w:rsidR="002C5E7A">
        <w:t>mo</w:t>
      </w:r>
      <w:r w:rsidR="00912B8A">
        <w:t xml:space="preserve">gły </w:t>
      </w:r>
      <w:r w:rsidRPr="009F054C">
        <w:t xml:space="preserve">być wykorzystane tylko materiały o obniżonej wartości techniczno-użytkowej, dla których nie będzie zasadności (technicznej, ilościowej i ekonomicznej) wykorzystania w przemyśle (do produkcji materiałowej) lub będą stanowiły nadwyżkę ponad zapotrzebowanie </w:t>
      </w:r>
      <w:r w:rsidR="006B1653" w:rsidRPr="009F054C">
        <w:t xml:space="preserve">lub możliwości przerobu </w:t>
      </w:r>
      <w:r w:rsidRPr="009F054C">
        <w:t xml:space="preserve">generowane ze strony </w:t>
      </w:r>
      <w:r w:rsidR="00C06FCC" w:rsidRPr="009F054C">
        <w:t xml:space="preserve">lokalnych </w:t>
      </w:r>
      <w:r w:rsidR="0084014A" w:rsidRPr="009F054C">
        <w:t xml:space="preserve">zakładów </w:t>
      </w:r>
      <w:r w:rsidR="00C06FCC" w:rsidRPr="009F054C">
        <w:t>przetwórczych</w:t>
      </w:r>
      <w:r w:rsidRPr="009F054C">
        <w:t>.</w:t>
      </w:r>
      <w:r w:rsidR="00974007">
        <w:t xml:space="preserve">  </w:t>
      </w:r>
    </w:p>
    <w:p w14:paraId="72AC7D7B" w14:textId="27476044" w:rsidR="002B05D2" w:rsidRPr="00901FEA" w:rsidRDefault="00114EFE" w:rsidP="000625AC">
      <w:pPr>
        <w:pStyle w:val="Akapitzlist"/>
        <w:numPr>
          <w:ilvl w:val="0"/>
          <w:numId w:val="153"/>
        </w:numPr>
        <w:spacing w:after="80"/>
        <w:ind w:left="426" w:hanging="357"/>
        <w:contextualSpacing w:val="0"/>
      </w:pPr>
      <w:r w:rsidRPr="00D719E4">
        <w:t xml:space="preserve">Jednocześnie należy </w:t>
      </w:r>
      <w:r w:rsidR="00EF3298">
        <w:t>stworzyć</w:t>
      </w:r>
      <w:r w:rsidRPr="00D719E4">
        <w:t xml:space="preserve"> </w:t>
      </w:r>
      <w:r w:rsidR="00697105" w:rsidRPr="00D719E4">
        <w:t xml:space="preserve">warunki </w:t>
      </w:r>
      <w:r w:rsidR="00D719E4" w:rsidRPr="00D719E4">
        <w:t xml:space="preserve">do stopniowego odejścia </w:t>
      </w:r>
      <w:r w:rsidR="00697105" w:rsidRPr="00D719E4">
        <w:t>p</w:t>
      </w:r>
      <w:r w:rsidR="007B7346" w:rsidRPr="00D719E4">
        <w:t>o</w:t>
      </w:r>
      <w:r w:rsidRPr="00D719E4">
        <w:t xml:space="preserve"> roku 2030 </w:t>
      </w:r>
      <w:r w:rsidR="00D719E4" w:rsidRPr="00D719E4">
        <w:t xml:space="preserve">od wykorzystania drewna do produkcji energii w energetyce zawodowej. </w:t>
      </w:r>
      <w:r w:rsidR="00E86C47">
        <w:t>W</w:t>
      </w:r>
      <w:r w:rsidRPr="00D719E4">
        <w:t xml:space="preserve">iąże się </w:t>
      </w:r>
      <w:r w:rsidR="00E86C47">
        <w:t xml:space="preserve">to z </w:t>
      </w:r>
      <w:r w:rsidRPr="00D719E4">
        <w:t>konieczności</w:t>
      </w:r>
      <w:r w:rsidR="00E86C47">
        <w:t>ą</w:t>
      </w:r>
      <w:r w:rsidRPr="00114EFE">
        <w:t xml:space="preserve"> przygotowania odpowiedniej mapy drogowej dla energetyki i ciepłownictwa </w:t>
      </w:r>
      <w:r w:rsidR="00946279">
        <w:t xml:space="preserve">w związku z </w:t>
      </w:r>
      <w:r w:rsidR="00541990">
        <w:t>ograniczeni</w:t>
      </w:r>
      <w:r w:rsidR="00946279">
        <w:t>em</w:t>
      </w:r>
      <w:r w:rsidR="00541990">
        <w:t xml:space="preserve"> stosowania drewna </w:t>
      </w:r>
      <w:r w:rsidRPr="00114EFE">
        <w:t>jako paliwa. </w:t>
      </w:r>
      <w:r w:rsidR="00491705" w:rsidRPr="009F054C">
        <w:t>Dążenie to jest spójne z prognozowanym dynamicznym wzrostem udziału bezemisyjnych odnawialnych źródeł energii, takich jak słońce i wiatr, w krajowym systemie energetycznym,</w:t>
      </w:r>
      <w:r w:rsidR="00541990">
        <w:t xml:space="preserve"> </w:t>
      </w:r>
      <w:r w:rsidR="00697105">
        <w:t>rozw</w:t>
      </w:r>
      <w:r w:rsidR="00D76365">
        <w:t>o</w:t>
      </w:r>
      <w:r w:rsidR="00697105">
        <w:t>jem elektryfikacji ciepłownictwa,</w:t>
      </w:r>
      <w:r w:rsidR="00491705" w:rsidRPr="009F054C">
        <w:t xml:space="preserve"> a także rozwojem biogospodarki jako sektora wzmacniającego konkurencyjność i bezemisyjność polskiej gospodarki. </w:t>
      </w:r>
    </w:p>
    <w:p w14:paraId="17772282" w14:textId="7844E9F1" w:rsidR="00491705" w:rsidRPr="00901FEA" w:rsidRDefault="00491705" w:rsidP="000625AC">
      <w:pPr>
        <w:pStyle w:val="Akapitzlist"/>
        <w:numPr>
          <w:ilvl w:val="0"/>
          <w:numId w:val="153"/>
        </w:numPr>
        <w:spacing w:after="80"/>
        <w:ind w:left="426" w:hanging="357"/>
        <w:contextualSpacing w:val="0"/>
      </w:pPr>
      <w:r w:rsidRPr="009F054C">
        <w:t>Monitoring i weryfikacja rodzaju biomasy wykorzystywanej do produkcji energii w zakładach energetycznych. Działanie polega na wprowadzeniu rozwiązań, które wyeliminują możliwość wykorzystania biomasy drzewnej nie spełniającej definicji drewna energetycznego.</w:t>
      </w:r>
      <w:r w:rsidR="003E2DE5" w:rsidRPr="009F054C">
        <w:t xml:space="preserve"> </w:t>
      </w:r>
    </w:p>
    <w:p w14:paraId="2C98341A" w14:textId="04D858B5" w:rsidR="00251609" w:rsidRDefault="00491705" w:rsidP="000625AC">
      <w:pPr>
        <w:pStyle w:val="Akapitzlist"/>
        <w:numPr>
          <w:ilvl w:val="0"/>
          <w:numId w:val="153"/>
        </w:numPr>
        <w:spacing w:after="80"/>
        <w:ind w:left="426" w:hanging="357"/>
        <w:contextualSpacing w:val="0"/>
        <w:rPr>
          <w:lang w:eastAsia="pl-PL"/>
        </w:rPr>
      </w:pPr>
      <w:r w:rsidRPr="00901FEA">
        <w:t xml:space="preserve">Implementacja i egzekwowanie obowiązku udostępniania i corocznej aktualizacji konsumentom na stronach internetowych operatorów, dostawców lub odpowiednich właściwych organów informacji dotyczących pochodzenia geograficznego i rodzaju surowców przeznaczonych na biopaliwa, </w:t>
      </w:r>
      <w:r w:rsidRPr="00901FEA">
        <w:lastRenderedPageBreak/>
        <w:t xml:space="preserve">biopłyny i paliwa z biomasy w podziale na dostawców paliw. Informacje o rodzaju surowców powinny być </w:t>
      </w:r>
      <w:r w:rsidRPr="00485729">
        <w:t>odpowiednio szczegółowe i uwzględniać podział na przynajmniej następujące kategorie:</w:t>
      </w:r>
    </w:p>
    <w:p w14:paraId="17EAF0C0" w14:textId="7ACFCC93" w:rsidR="00251609" w:rsidRDefault="00491705" w:rsidP="000625AC">
      <w:pPr>
        <w:pStyle w:val="Akapitzlist"/>
        <w:numPr>
          <w:ilvl w:val="0"/>
          <w:numId w:val="154"/>
        </w:numPr>
        <w:spacing w:after="0"/>
        <w:contextualSpacing w:val="0"/>
        <w:rPr>
          <w:lang w:eastAsia="pl-PL"/>
        </w:rPr>
      </w:pPr>
      <w:r w:rsidRPr="00485729">
        <w:t xml:space="preserve">pierwotna biomasa drzewna z podziałem na sortymenty drewna, </w:t>
      </w:r>
    </w:p>
    <w:p w14:paraId="1DA6C46A" w14:textId="10E825C8" w:rsidR="00251609" w:rsidRDefault="00491705" w:rsidP="000625AC">
      <w:pPr>
        <w:pStyle w:val="Akapitzlist"/>
        <w:numPr>
          <w:ilvl w:val="0"/>
          <w:numId w:val="154"/>
        </w:numPr>
        <w:spacing w:after="0"/>
        <w:contextualSpacing w:val="0"/>
        <w:rPr>
          <w:lang w:eastAsia="pl-PL"/>
        </w:rPr>
      </w:pPr>
      <w:r w:rsidRPr="00485729">
        <w:t xml:space="preserve">produkty uboczne przemysłu drzewnego, </w:t>
      </w:r>
    </w:p>
    <w:p w14:paraId="54DAE794" w14:textId="34FE1F3B" w:rsidR="00251609" w:rsidRDefault="00491705" w:rsidP="000625AC">
      <w:pPr>
        <w:pStyle w:val="Akapitzlist"/>
        <w:numPr>
          <w:ilvl w:val="0"/>
          <w:numId w:val="154"/>
        </w:numPr>
        <w:spacing w:after="0"/>
        <w:contextualSpacing w:val="0"/>
        <w:rPr>
          <w:lang w:eastAsia="pl-PL"/>
        </w:rPr>
      </w:pPr>
      <w:r w:rsidRPr="00485729">
        <w:t xml:space="preserve">drewno poużytkowe, </w:t>
      </w:r>
    </w:p>
    <w:p w14:paraId="2C863509" w14:textId="77777777" w:rsidR="00D67670" w:rsidRDefault="00491705" w:rsidP="000625AC">
      <w:pPr>
        <w:pStyle w:val="Akapitzlist"/>
        <w:numPr>
          <w:ilvl w:val="0"/>
          <w:numId w:val="154"/>
        </w:numPr>
        <w:spacing w:after="0"/>
        <w:contextualSpacing w:val="0"/>
        <w:rPr>
          <w:lang w:eastAsia="pl-PL"/>
        </w:rPr>
      </w:pPr>
      <w:r w:rsidRPr="00485729">
        <w:t xml:space="preserve">biomasa rolnicza odpadowa, </w:t>
      </w:r>
    </w:p>
    <w:p w14:paraId="59F6F1D2" w14:textId="02ED1B83" w:rsidR="00251609" w:rsidRDefault="00491705" w:rsidP="000625AC">
      <w:pPr>
        <w:pStyle w:val="Akapitzlist"/>
        <w:numPr>
          <w:ilvl w:val="0"/>
          <w:numId w:val="154"/>
        </w:numPr>
        <w:spacing w:after="0"/>
        <w:contextualSpacing w:val="0"/>
        <w:rPr>
          <w:lang w:eastAsia="pl-PL"/>
        </w:rPr>
      </w:pPr>
      <w:r w:rsidRPr="00485729">
        <w:t xml:space="preserve">celowe uprawy energetyczne, </w:t>
      </w:r>
    </w:p>
    <w:p w14:paraId="0D249FA5" w14:textId="69A28780" w:rsidR="002B05D2" w:rsidRPr="00485729" w:rsidRDefault="00491705" w:rsidP="000625AC">
      <w:pPr>
        <w:pStyle w:val="Akapitzlist"/>
        <w:numPr>
          <w:ilvl w:val="0"/>
          <w:numId w:val="154"/>
        </w:numPr>
        <w:spacing w:after="80"/>
        <w:contextualSpacing w:val="0"/>
      </w:pPr>
      <w:r w:rsidRPr="00485729">
        <w:t>rodzaje biomasy stałej.</w:t>
      </w:r>
      <w:r w:rsidR="00974007">
        <w:rPr>
          <w:rFonts w:eastAsia="Times New Roman" w:cs="Times New Roman"/>
          <w:kern w:val="0"/>
          <w:szCs w:val="20"/>
          <w:lang w:eastAsia="pl-PL"/>
          <w14:ligatures w14:val="none"/>
        </w:rPr>
        <w:t xml:space="preserve">  </w:t>
      </w:r>
      <w:r w:rsidR="00974007">
        <w:t xml:space="preserve"> </w:t>
      </w:r>
      <w:r w:rsidRPr="00485729">
        <w:t xml:space="preserve"> </w:t>
      </w:r>
    </w:p>
    <w:p w14:paraId="49E0BF1E" w14:textId="7E184A67" w:rsidR="002B05D2" w:rsidRPr="00901FEA" w:rsidRDefault="00491705" w:rsidP="000625AC">
      <w:pPr>
        <w:pStyle w:val="Akapitzlist"/>
        <w:numPr>
          <w:ilvl w:val="0"/>
          <w:numId w:val="153"/>
        </w:numPr>
        <w:spacing w:after="80"/>
        <w:ind w:left="284" w:hanging="357"/>
        <w:contextualSpacing w:val="0"/>
      </w:pPr>
      <w:r w:rsidRPr="00485729">
        <w:t>Wprowadzenie elektronicznego systemu rejestracji przepływów drewna od źródła krajowego lub od</w:t>
      </w:r>
      <w:r w:rsidR="00394BF6">
        <w:t> </w:t>
      </w:r>
      <w:r w:rsidRPr="00485729">
        <w:t xml:space="preserve">momentu wjazdu </w:t>
      </w:r>
      <w:r w:rsidRPr="00901FEA">
        <w:t xml:space="preserve">importowanej biomasy do kraju w celu ułatwienia spełniania obowiązków zapisanych w podpunkcie a powyżej oraz implementacji w Polsce zapisów </w:t>
      </w:r>
      <w:r w:rsidR="00251609">
        <w:rPr>
          <w:lang w:eastAsia="pl-PL"/>
        </w:rPr>
        <w:t>r</w:t>
      </w:r>
      <w:r w:rsidRPr="002A181C">
        <w:rPr>
          <w:lang w:eastAsia="pl-PL"/>
        </w:rPr>
        <w:t xml:space="preserve">ozporządzenia </w:t>
      </w:r>
      <w:r w:rsidR="00251609">
        <w:rPr>
          <w:lang w:eastAsia="pl-PL"/>
        </w:rPr>
        <w:t>PE</w:t>
      </w:r>
      <w:r w:rsidR="00251609" w:rsidRPr="00901FEA">
        <w:t xml:space="preserve"> </w:t>
      </w:r>
      <w:r w:rsidRPr="00901FEA">
        <w:t>i Rady (UE) 2023/1115 (tzw. EU Deforestation Regulation).</w:t>
      </w:r>
      <w:r w:rsidR="003E2DE5">
        <w:rPr>
          <w:rFonts w:eastAsia="Times New Roman" w:cs="Times New Roman"/>
          <w:kern w:val="0"/>
          <w:szCs w:val="20"/>
          <w:lang w:eastAsia="pl-PL"/>
          <w14:ligatures w14:val="none"/>
        </w:rPr>
        <w:t xml:space="preserve"> </w:t>
      </w:r>
    </w:p>
    <w:p w14:paraId="18FB7258" w14:textId="40F6A66F" w:rsidR="00491705" w:rsidRPr="00901FEA" w:rsidRDefault="00491705" w:rsidP="000625AC">
      <w:pPr>
        <w:pStyle w:val="Akapitzlist"/>
        <w:numPr>
          <w:ilvl w:val="0"/>
          <w:numId w:val="153"/>
        </w:numPr>
        <w:spacing w:after="80"/>
        <w:ind w:left="284" w:hanging="357"/>
        <w:contextualSpacing w:val="0"/>
      </w:pPr>
      <w:r w:rsidRPr="00901FEA">
        <w:t>Zwiększenie poziomu odzysku i recyklingu drewna poużytkowego. Działanie ma na celu wykorzystanie potencjału drewna poużytkowego w Polsce oraz skierowanie możliwie dużej jego ilości do produkcji materiałowej, aby zapewnić wystarczającą podaż surowca dla przemysłu drzewnego wobec ograniczeń w pozyskaniu drewna.</w:t>
      </w:r>
      <w:r w:rsidR="003E2DE5">
        <w:rPr>
          <w:rFonts w:eastAsia="Times New Roman" w:cs="Times New Roman"/>
          <w:kern w:val="0"/>
          <w:szCs w:val="20"/>
          <w:lang w:eastAsia="pl-PL"/>
          <w14:ligatures w14:val="none"/>
        </w:rPr>
        <w:t xml:space="preserve"> </w:t>
      </w:r>
    </w:p>
    <w:p w14:paraId="015E49B4" w14:textId="515BD002" w:rsidR="00491705" w:rsidRPr="00C53A59" w:rsidRDefault="003E2DE5" w:rsidP="00491705">
      <w:pPr>
        <w:spacing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14"/>
        <w:gridCol w:w="3870"/>
        <w:gridCol w:w="3960"/>
      </w:tblGrid>
      <w:tr w:rsidR="003B6773" w:rsidRPr="00C53A59" w14:paraId="7D099277" w14:textId="77777777" w:rsidTr="007B07E0">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93E268E"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1614A597" wp14:editId="31214555">
                  <wp:extent cx="621030" cy="621030"/>
                  <wp:effectExtent l="0" t="0" r="7620" b="7620"/>
                  <wp:docPr id="7"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Cs w:val="20"/>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059D6D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Cs w:val="20"/>
                <w:lang w:eastAsia="pl-PL"/>
                <w14:ligatures w14:val="none"/>
              </w:rPr>
              <w:t>PODMIOT WIODĄCY</w:t>
            </w:r>
            <w:r w:rsidRPr="00C53A59">
              <w:rPr>
                <w:rFonts w:eastAsia="Times New Roman" w:cs="Times New Roman"/>
                <w:color w:val="000000"/>
                <w:kern w:val="0"/>
                <w:szCs w:val="20"/>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194303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Cs w:val="20"/>
                <w:lang w:eastAsia="pl-PL"/>
                <w14:ligatures w14:val="none"/>
              </w:rPr>
              <w:t>PODMIOTY WSPÓŁPRACUJĄCE</w:t>
            </w:r>
            <w:r w:rsidRPr="00C53A59">
              <w:rPr>
                <w:rFonts w:eastAsia="Times New Roman" w:cs="Times New Roman"/>
                <w:color w:val="000000"/>
                <w:kern w:val="0"/>
                <w:szCs w:val="20"/>
                <w:lang w:eastAsia="pl-PL"/>
                <w14:ligatures w14:val="none"/>
              </w:rPr>
              <w:t> </w:t>
            </w:r>
          </w:p>
        </w:tc>
      </w:tr>
      <w:tr w:rsidR="003B6773" w:rsidRPr="00C53A59" w14:paraId="79946487" w14:textId="77777777" w:rsidTr="007B07E0">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344DACE"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38AF71D"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536EB20"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klimatu </w:t>
            </w:r>
          </w:p>
          <w:p w14:paraId="56E7116D" w14:textId="77777777" w:rsidR="00491705" w:rsidRPr="003922FF" w:rsidRDefault="00491705">
            <w:pPr>
              <w:spacing w:after="0" w:line="240" w:lineRule="auto"/>
              <w:textAlignment w:val="baseline"/>
              <w:rPr>
                <w:rFonts w:eastAsia="Times New Roman" w:cs="Times New Roman"/>
                <w:color w:val="808080"/>
                <w:kern w:val="0"/>
                <w:sz w:val="18"/>
                <w:szCs w:val="18"/>
                <w:lang w:eastAsia="pl-PL"/>
                <w14:ligatures w14:val="none"/>
              </w:rPr>
            </w:pPr>
            <w:r w:rsidRPr="00C53A59">
              <w:rPr>
                <w:rFonts w:eastAsia="Times New Roman" w:cs="Times New Roman"/>
                <w:color w:val="808080"/>
                <w:kern w:val="0"/>
                <w:sz w:val="18"/>
                <w:szCs w:val="18"/>
                <w:lang w:eastAsia="pl-PL"/>
                <w14:ligatures w14:val="none"/>
              </w:rPr>
              <w:t>PGL Lasy Państwowe </w:t>
            </w:r>
          </w:p>
        </w:tc>
      </w:tr>
    </w:tbl>
    <w:p w14:paraId="4CE17864" w14:textId="54E4046C" w:rsidR="00491705" w:rsidRPr="00C53A59" w:rsidRDefault="00491705" w:rsidP="00D523F3">
      <w:pPr>
        <w:pStyle w:val="Nagwek6"/>
        <w:rPr>
          <w:rFonts w:eastAsia="Times New Roman" w:cs="Times New Roman"/>
          <w:bCs/>
          <w:color w:val="000000"/>
          <w:kern w:val="0"/>
          <w:lang w:eastAsia="pl-PL"/>
          <w14:ligatures w14:val="none"/>
        </w:rPr>
      </w:pPr>
      <w:bookmarkStart w:id="1199" w:name="_Toc195856602"/>
      <w:bookmarkStart w:id="1200" w:name="_Ref195888170"/>
      <w:bookmarkStart w:id="1201" w:name="_Ref195893026"/>
      <w:bookmarkStart w:id="1202" w:name="_Ref203399741"/>
      <w:r>
        <w:t xml:space="preserve">Działanie </w:t>
      </w:r>
      <w:r>
        <w:fldChar w:fldCharType="begin"/>
      </w:r>
      <w:r>
        <w:instrText>SEQ Działanie \* ARABIC</w:instrText>
      </w:r>
      <w:r>
        <w:fldChar w:fldCharType="separate"/>
      </w:r>
      <w:r w:rsidR="00871DD5">
        <w:rPr>
          <w:noProof/>
        </w:rPr>
        <w:t>84</w:t>
      </w:r>
      <w:r>
        <w:fldChar w:fldCharType="end"/>
      </w:r>
      <w:r>
        <w:t xml:space="preserve">. </w:t>
      </w:r>
      <w:r w:rsidR="002B05D2">
        <w:t xml:space="preserve">Opracowanie </w:t>
      </w:r>
      <w:r w:rsidR="003F565F">
        <w:t>s</w:t>
      </w:r>
      <w:r w:rsidRPr="00F05952">
        <w:t>trategi</w:t>
      </w:r>
      <w:r w:rsidR="002B05D2">
        <w:t>i</w:t>
      </w:r>
      <w:r w:rsidRPr="00F05952">
        <w:t xml:space="preserve"> biogospodarki</w:t>
      </w:r>
      <w:bookmarkEnd w:id="1199"/>
      <w:bookmarkEnd w:id="1200"/>
      <w:bookmarkEnd w:id="1201"/>
      <w:bookmarkEnd w:id="1202"/>
      <w:r w:rsidRPr="00C53A59">
        <w:rPr>
          <w:rFonts w:eastAsia="Times New Roman" w:cs="Times New Roman"/>
          <w:bCs/>
          <w:color w:val="000000"/>
          <w:kern w:val="0"/>
          <w:lang w:eastAsia="pl-PL"/>
          <w14:ligatures w14:val="none"/>
        </w:rPr>
        <w:t xml:space="preserve"> </w:t>
      </w:r>
    </w:p>
    <w:p w14:paraId="00D47D28" w14:textId="1B352D1E" w:rsidR="00491705" w:rsidRPr="00C53A59" w:rsidRDefault="00491705" w:rsidP="00901FEA">
      <w:pPr>
        <w:spacing w:after="240"/>
        <w:rPr>
          <w:lang w:eastAsia="pl-PL"/>
        </w:rPr>
      </w:pPr>
      <w:r w:rsidRPr="00C53A59">
        <w:rPr>
          <w:lang w:eastAsia="pl-PL"/>
        </w:rPr>
        <w:t>Działanie polega na opracowaniu i przyjęciu krajowej strategii dla biogospodarki. Z uwagi na znaczenie sektorów rolnictwa, leśnictwa oraz akwakultury w Polsce oraz wszystkich sektorów gospodarki i</w:t>
      </w:r>
      <w:r w:rsidR="00394BF6">
        <w:rPr>
          <w:lang w:eastAsia="pl-PL"/>
        </w:rPr>
        <w:t> </w:t>
      </w:r>
      <w:r w:rsidRPr="00C53A59">
        <w:rPr>
          <w:lang w:eastAsia="pl-PL"/>
        </w:rPr>
        <w:t xml:space="preserve">przemysłu wykorzystujących zasoby biologiczne niezbędne jest strategiczne </w:t>
      </w:r>
      <w:r w:rsidR="00682299">
        <w:rPr>
          <w:lang w:eastAsia="pl-PL"/>
        </w:rPr>
        <w:t xml:space="preserve">i zintegrowane </w:t>
      </w:r>
      <w:r w:rsidR="00F31A6D" w:rsidRPr="00F31A6D">
        <w:rPr>
          <w:lang w:eastAsia="pl-PL"/>
        </w:rPr>
        <w:t>podejście do</w:t>
      </w:r>
      <w:r w:rsidR="00974007">
        <w:rPr>
          <w:lang w:eastAsia="pl-PL"/>
        </w:rPr>
        <w:t xml:space="preserve"> </w:t>
      </w:r>
      <w:r w:rsidR="00F31A6D">
        <w:rPr>
          <w:lang w:eastAsia="pl-PL"/>
        </w:rPr>
        <w:t>rozw</w:t>
      </w:r>
      <w:r w:rsidR="00F31BD1">
        <w:rPr>
          <w:lang w:eastAsia="pl-PL"/>
        </w:rPr>
        <w:t>o</w:t>
      </w:r>
      <w:r w:rsidR="00F31A6D">
        <w:rPr>
          <w:lang w:eastAsia="pl-PL"/>
        </w:rPr>
        <w:t>ju</w:t>
      </w:r>
      <w:r w:rsidRPr="00C53A59">
        <w:rPr>
          <w:lang w:eastAsia="pl-PL"/>
        </w:rPr>
        <w:t xml:space="preserve"> biogospodarki. Biogospodarka stanie się </w:t>
      </w:r>
      <w:r w:rsidR="00CE7D27">
        <w:rPr>
          <w:lang w:eastAsia="pl-PL"/>
        </w:rPr>
        <w:t xml:space="preserve">jednym z </w:t>
      </w:r>
      <w:r w:rsidRPr="00C53A59">
        <w:rPr>
          <w:lang w:eastAsia="pl-PL"/>
        </w:rPr>
        <w:t>filar</w:t>
      </w:r>
      <w:r w:rsidR="00CE7D27">
        <w:rPr>
          <w:lang w:eastAsia="pl-PL"/>
        </w:rPr>
        <w:t>ów</w:t>
      </w:r>
      <w:r w:rsidRPr="00C53A59">
        <w:rPr>
          <w:lang w:eastAsia="pl-PL"/>
        </w:rPr>
        <w:t xml:space="preserve"> zrównoważonego rozwoju, łącząc innowacje technologiczne, efektywne </w:t>
      </w:r>
      <w:r w:rsidR="007333C2">
        <w:rPr>
          <w:lang w:eastAsia="pl-PL"/>
        </w:rPr>
        <w:t xml:space="preserve">i odpowiedzialne </w:t>
      </w:r>
      <w:r w:rsidRPr="00C53A59">
        <w:rPr>
          <w:lang w:eastAsia="pl-PL"/>
        </w:rPr>
        <w:t xml:space="preserve">wykorzystanie zasobów biologicznych </w:t>
      </w:r>
      <w:r w:rsidR="007005D0">
        <w:rPr>
          <w:lang w:eastAsia="pl-PL"/>
        </w:rPr>
        <w:t xml:space="preserve">oraz troskę </w:t>
      </w:r>
      <w:r w:rsidRPr="00C53A59">
        <w:rPr>
          <w:lang w:eastAsia="pl-PL"/>
        </w:rPr>
        <w:t xml:space="preserve">o środowisko przyrodnicze. </w:t>
      </w:r>
      <w:r w:rsidR="006A41F2" w:rsidRPr="006A41F2">
        <w:rPr>
          <w:lang w:eastAsia="pl-PL"/>
        </w:rPr>
        <w:t>Szczególny nacisk zostanie położony na waloryzację biomasy, z</w:t>
      </w:r>
      <w:r w:rsidR="00394BF6">
        <w:rPr>
          <w:lang w:eastAsia="pl-PL"/>
        </w:rPr>
        <w:t> </w:t>
      </w:r>
      <w:r w:rsidR="006A41F2" w:rsidRPr="006A41F2">
        <w:rPr>
          <w:lang w:eastAsia="pl-PL"/>
        </w:rPr>
        <w:t>uwzględnieniem jej pełnego potencjału w różnych łańcuchach wartości, zgodnie z zasadami kaskadowego wykorzystania surowców biologicznych – priorytetowo traktując cele o wyższej wartości dodanej (np. żywność, pasza, farmaceutyki), zanim biomasa zostanie przeznaczona na cele energetyczne</w:t>
      </w:r>
      <w:r w:rsidR="006A41F2">
        <w:rPr>
          <w:lang w:eastAsia="pl-PL"/>
        </w:rPr>
        <w:t xml:space="preserve">. </w:t>
      </w:r>
      <w:r w:rsidRPr="00C53A59">
        <w:rPr>
          <w:lang w:eastAsia="pl-PL"/>
        </w:rPr>
        <w:t>W perspektywie długoterminowej Polska może stać się liderem w Europie Środkowo-Wschodniej w</w:t>
      </w:r>
      <w:r w:rsidR="00394BF6">
        <w:rPr>
          <w:lang w:eastAsia="pl-PL"/>
        </w:rPr>
        <w:t> </w:t>
      </w:r>
      <w:r w:rsidRPr="00C53A59">
        <w:rPr>
          <w:lang w:eastAsia="pl-PL"/>
        </w:rPr>
        <w:t xml:space="preserve">zakresie: (1) efektywnego i </w:t>
      </w:r>
      <w:r w:rsidR="4992F360" w:rsidRPr="5B3E4299">
        <w:rPr>
          <w:lang w:eastAsia="pl-PL"/>
        </w:rPr>
        <w:t xml:space="preserve">zrównoważonego </w:t>
      </w:r>
      <w:r w:rsidRPr="00C53A59">
        <w:rPr>
          <w:lang w:eastAsia="pl-PL"/>
        </w:rPr>
        <w:t xml:space="preserve">wykorzystania biomasy, (2) </w:t>
      </w:r>
      <w:r w:rsidR="009748F0">
        <w:rPr>
          <w:lang w:eastAsia="pl-PL"/>
        </w:rPr>
        <w:t xml:space="preserve">rozwoju gospodarki o obiegu </w:t>
      </w:r>
      <w:r w:rsidR="008D084E">
        <w:rPr>
          <w:lang w:eastAsia="pl-PL"/>
        </w:rPr>
        <w:t>zamkniętym</w:t>
      </w:r>
      <w:r w:rsidRPr="00C53A59">
        <w:rPr>
          <w:lang w:eastAsia="pl-PL"/>
        </w:rPr>
        <w:t xml:space="preserve">, (3) wdrażania innowacyjnych technologii opartych na procesach biologicznych na skalę przemysłową. Biogospodarka </w:t>
      </w:r>
      <w:r w:rsidR="00C1253A">
        <w:rPr>
          <w:lang w:eastAsia="pl-PL"/>
        </w:rPr>
        <w:t>odegra także ważna role społeczną, przyczyniając się do rozwoju miejsc pracy</w:t>
      </w:r>
      <w:r w:rsidR="00545659" w:rsidRPr="00545659">
        <w:t xml:space="preserve"> </w:t>
      </w:r>
      <w:r w:rsidR="00545659" w:rsidRPr="00545659">
        <w:rPr>
          <w:lang w:eastAsia="pl-PL"/>
        </w:rPr>
        <w:t>w regionach wiejskich i peryferyjnych, wzmacniając lokalne łańcuchy wartości oraz angażując obywateli w procesy transformacji. Wspierać będzie także bezpieczeństwo żywnościowe i energetyczne poprzez wykorzystanie lokalnych, odnawialnych zasobów w sposób zrównoważony.</w:t>
      </w:r>
      <w:r w:rsidR="00C1253A">
        <w:rPr>
          <w:lang w:eastAsia="pl-PL"/>
        </w:rPr>
        <w:t>,</w:t>
      </w:r>
      <w:r w:rsidRPr="00C53A59">
        <w:rPr>
          <w:lang w:eastAsia="pl-PL"/>
        </w:rPr>
        <w:t xml:space="preserve">. </w:t>
      </w:r>
      <w:r w:rsidR="00545659" w:rsidRPr="00545659">
        <w:rPr>
          <w:lang w:eastAsia="pl-PL"/>
        </w:rPr>
        <w:t>Ze względu na swój interdyscyplinarny charakter i szeroki zakres oddziaływania, strategia musi być opracowana jako wspólny dokument międzyresortowy, z udziałem różnych ministerstw, instytucji publicznych, środowisk naukowych, stowarzyszeń czy HUB</w:t>
      </w:r>
      <w:r w:rsidR="00545659">
        <w:rPr>
          <w:lang w:eastAsia="pl-PL"/>
        </w:rPr>
        <w:t>-</w:t>
      </w:r>
      <w:r w:rsidR="00545659" w:rsidRPr="00545659">
        <w:rPr>
          <w:lang w:eastAsia="pl-PL"/>
        </w:rPr>
        <w:t>ów, sektora przemysłowego oraz społeczeństwa obywatelskiego</w:t>
      </w:r>
      <w:r w:rsidR="00890FF6">
        <w:rPr>
          <w:lang w:eastAsia="pl-PL"/>
        </w:rPr>
        <w:t>.</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14"/>
        <w:gridCol w:w="3870"/>
        <w:gridCol w:w="3960"/>
      </w:tblGrid>
      <w:tr w:rsidR="003B6773" w:rsidRPr="00C53A59" w14:paraId="585B5A8F" w14:textId="77777777" w:rsidTr="007B07E0">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2D21F6D"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646D9F8D" wp14:editId="5C8EBD9C">
                  <wp:extent cx="621030" cy="621030"/>
                  <wp:effectExtent l="0" t="0" r="7620" b="7620"/>
                  <wp:docPr id="195264005"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Cs w:val="20"/>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20C85C6"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Cs w:val="20"/>
                <w:lang w:eastAsia="pl-PL"/>
                <w14:ligatures w14:val="none"/>
              </w:rPr>
              <w:t>PODMIOT WIODĄCY</w:t>
            </w:r>
            <w:r w:rsidRPr="00C53A59">
              <w:rPr>
                <w:rFonts w:eastAsia="Times New Roman" w:cs="Times New Roman"/>
                <w:color w:val="000000"/>
                <w:kern w:val="0"/>
                <w:szCs w:val="20"/>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574AE9C"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Cs w:val="20"/>
                <w:lang w:eastAsia="pl-PL"/>
                <w14:ligatures w14:val="none"/>
              </w:rPr>
              <w:t>PODMIOTY WSPÓŁPRACUJĄCE</w:t>
            </w:r>
            <w:r w:rsidRPr="00C53A59">
              <w:rPr>
                <w:rFonts w:eastAsia="Times New Roman" w:cs="Times New Roman"/>
                <w:color w:val="000000"/>
                <w:kern w:val="0"/>
                <w:szCs w:val="20"/>
                <w:lang w:eastAsia="pl-PL"/>
                <w14:ligatures w14:val="none"/>
              </w:rPr>
              <w:t> </w:t>
            </w:r>
          </w:p>
        </w:tc>
      </w:tr>
      <w:tr w:rsidR="003B6773" w:rsidRPr="00C53A59" w14:paraId="641CC40F" w14:textId="77777777" w:rsidTr="007B07E0">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3AE0028"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548E11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E3EC840" w14:textId="77777777" w:rsidR="00890FF6" w:rsidRDefault="00491705">
            <w:pPr>
              <w:spacing w:after="0" w:line="240" w:lineRule="auto"/>
              <w:textAlignment w:val="baseline"/>
              <w:rPr>
                <w:rFonts w:eastAsia="Times New Roman" w:cs="Times New Roman"/>
                <w:color w:val="808080"/>
                <w:kern w:val="0"/>
                <w:sz w:val="18"/>
                <w:szCs w:val="18"/>
                <w:lang w:eastAsia="pl-PL"/>
                <w14:ligatures w14:val="none"/>
              </w:rPr>
            </w:pPr>
            <w:r w:rsidRPr="00C53A59">
              <w:rPr>
                <w:rFonts w:eastAsia="Times New Roman" w:cs="Times New Roman"/>
                <w:color w:val="808080"/>
                <w:kern w:val="0"/>
                <w:sz w:val="18"/>
                <w:szCs w:val="18"/>
                <w:lang w:eastAsia="pl-PL"/>
                <w14:ligatures w14:val="none"/>
              </w:rPr>
              <w:t>minister wł. ds. klimatu</w:t>
            </w:r>
          </w:p>
          <w:p w14:paraId="57EEF72E" w14:textId="6DC6E5B1" w:rsidR="00491705" w:rsidRPr="00C53A59" w:rsidRDefault="00890FF6">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minister </w:t>
            </w:r>
            <w:r w:rsidR="00F730F2">
              <w:rPr>
                <w:rFonts w:eastAsia="Times New Roman" w:cs="Times New Roman"/>
                <w:color w:val="808080"/>
                <w:kern w:val="0"/>
                <w:sz w:val="18"/>
                <w:szCs w:val="18"/>
                <w:lang w:eastAsia="pl-PL"/>
                <w14:ligatures w14:val="none"/>
              </w:rPr>
              <w:t>wł.</w:t>
            </w:r>
            <w:r>
              <w:rPr>
                <w:rFonts w:eastAsia="Times New Roman" w:cs="Times New Roman"/>
                <w:color w:val="808080"/>
                <w:kern w:val="0"/>
                <w:sz w:val="18"/>
                <w:szCs w:val="18"/>
                <w:lang w:eastAsia="pl-PL"/>
                <w14:ligatures w14:val="none"/>
              </w:rPr>
              <w:t xml:space="preserve"> ds. </w:t>
            </w:r>
            <w:r w:rsidR="008D084E">
              <w:rPr>
                <w:rFonts w:eastAsia="Times New Roman" w:cs="Times New Roman"/>
                <w:color w:val="808080"/>
                <w:kern w:val="0"/>
                <w:sz w:val="18"/>
                <w:szCs w:val="18"/>
                <w:lang w:eastAsia="pl-PL"/>
                <w14:ligatures w14:val="none"/>
              </w:rPr>
              <w:t>gospodarki</w:t>
            </w:r>
            <w:r w:rsidR="00491705" w:rsidRPr="00C53A59">
              <w:rPr>
                <w:rFonts w:eastAsia="Times New Roman" w:cs="Times New Roman"/>
                <w:color w:val="808080"/>
                <w:kern w:val="0"/>
                <w:sz w:val="18"/>
                <w:szCs w:val="18"/>
                <w:lang w:eastAsia="pl-PL"/>
                <w14:ligatures w14:val="none"/>
              </w:rPr>
              <w:t> </w:t>
            </w:r>
          </w:p>
          <w:p w14:paraId="228504F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96716D">
              <w:rPr>
                <w:rFonts w:eastAsia="Times New Roman" w:cs="Times New Roman"/>
                <w:color w:val="808080"/>
                <w:sz w:val="18"/>
                <w:szCs w:val="18"/>
                <w:lang w:eastAsia="pl-PL"/>
              </w:rPr>
              <w:t>minister wł. ds. rolnictwa </w:t>
            </w:r>
          </w:p>
        </w:tc>
      </w:tr>
    </w:tbl>
    <w:p w14:paraId="427F6B71" w14:textId="63FA5D00" w:rsidR="00491705" w:rsidRPr="00901FEA" w:rsidRDefault="00491705" w:rsidP="00D523F3">
      <w:pPr>
        <w:pStyle w:val="Nagwek6"/>
      </w:pPr>
      <w:bookmarkStart w:id="1203" w:name="_Toc195856603"/>
      <w:bookmarkStart w:id="1204" w:name="_Ref195886443"/>
      <w:r w:rsidRPr="00251609">
        <w:lastRenderedPageBreak/>
        <w:t xml:space="preserve">Działanie </w:t>
      </w:r>
      <w:r>
        <w:fldChar w:fldCharType="begin"/>
      </w:r>
      <w:r>
        <w:instrText>SEQ Działanie \* ARABIC</w:instrText>
      </w:r>
      <w:r>
        <w:fldChar w:fldCharType="separate"/>
      </w:r>
      <w:r w:rsidR="00871DD5">
        <w:rPr>
          <w:noProof/>
        </w:rPr>
        <w:t>85</w:t>
      </w:r>
      <w:r>
        <w:fldChar w:fldCharType="end"/>
      </w:r>
      <w:r w:rsidRPr="00251609">
        <w:t>. Opracowanie Narodowego Programu Leśnego</w:t>
      </w:r>
      <w:bookmarkEnd w:id="1203"/>
      <w:bookmarkEnd w:id="1204"/>
      <w:r w:rsidRPr="00901FEA">
        <w:t xml:space="preserve"> </w:t>
      </w:r>
    </w:p>
    <w:p w14:paraId="7C2B9E1D" w14:textId="77777777" w:rsidR="00251609" w:rsidRDefault="00491705" w:rsidP="00251609">
      <w:pPr>
        <w:rPr>
          <w:rFonts w:ascii="Times New Roman" w:hAnsi="Times New Roman"/>
          <w:lang w:eastAsia="pl-PL"/>
        </w:rPr>
      </w:pPr>
      <w:r w:rsidRPr="00C53A59">
        <w:rPr>
          <w:lang w:eastAsia="pl-PL"/>
        </w:rPr>
        <w:t>Działanie polega na opracowaniu Narodowego Programu Leśnego, który będzie stanowił kompleksową, długoterminową strategię rozwoju i transformacji leśnictwa, opartą ściśle na prawie UE, w tym najnowszych dostępnych danych i wiedzy naukowej. Program będzie obejmował okres do 2050 r. z celami szczegółowymi na rok 2030 oraz 2040. Będzie on uwzględniać wielowymiarowość zarządzania zasobami drzewnymi w kontekście potrzeb ochrony przyrody, adaptacji do zmian klimatu, sekwestracji węgla, wykorzystania materiałowego i energetycznego drewna oraz funkcji społecznych lasów. Weźmie ona pod uwagę potrzebę zrównoważenia różnych funkcji pełnionych przez polskie lasy. W szczególności Strategia określi długoterminowe (w perspektywie 2030, 2040 i 2050 r.) cele i działania dotyczące w sposób równoważny: </w:t>
      </w:r>
    </w:p>
    <w:p w14:paraId="4B3D566B" w14:textId="78C99B6E" w:rsidR="00251609" w:rsidRDefault="00251609" w:rsidP="000625AC">
      <w:pPr>
        <w:pStyle w:val="Akapitzlist"/>
        <w:numPr>
          <w:ilvl w:val="0"/>
          <w:numId w:val="155"/>
        </w:numPr>
        <w:ind w:left="426"/>
        <w:rPr>
          <w:lang w:eastAsia="pl-PL"/>
        </w:rPr>
      </w:pPr>
      <w:r>
        <w:rPr>
          <w:lang w:eastAsia="pl-PL"/>
        </w:rPr>
        <w:t>zapewnienia trwałości lasów, w tym przeciwdziałania pożarom oraz wielkoobszarowemu zamieraniu drzewostanów - bez zwiększenia pozyskania drewna i bez rozbudowy sieci dróg, szczególnie w</w:t>
      </w:r>
      <w:r w:rsidR="00394BF6">
        <w:t> </w:t>
      </w:r>
      <w:r>
        <w:rPr>
          <w:lang w:eastAsia="pl-PL"/>
        </w:rPr>
        <w:t xml:space="preserve">lasach cennych przyrodniczo, </w:t>
      </w:r>
    </w:p>
    <w:p w14:paraId="0B29316C" w14:textId="6F098F32" w:rsidR="00251609" w:rsidRDefault="00251609" w:rsidP="000625AC">
      <w:pPr>
        <w:pStyle w:val="Akapitzlist"/>
        <w:numPr>
          <w:ilvl w:val="0"/>
          <w:numId w:val="155"/>
        </w:numPr>
        <w:ind w:left="426"/>
        <w:rPr>
          <w:lang w:eastAsia="pl-PL"/>
        </w:rPr>
      </w:pPr>
      <w:r>
        <w:rPr>
          <w:lang w:eastAsia="pl-PL"/>
        </w:rPr>
        <w:t xml:space="preserve">adaptacji lasów do zmian klimatu i wkładu lasów w adaptację do zmian klimatu, w tym w zakresie regulacji stosunków wodnych, </w:t>
      </w:r>
    </w:p>
    <w:p w14:paraId="4659BAF3" w14:textId="15C9B6A6" w:rsidR="00251609" w:rsidRDefault="00251609" w:rsidP="000625AC">
      <w:pPr>
        <w:pStyle w:val="Akapitzlist"/>
        <w:numPr>
          <w:ilvl w:val="0"/>
          <w:numId w:val="155"/>
        </w:numPr>
        <w:ind w:left="426"/>
        <w:rPr>
          <w:lang w:eastAsia="pl-PL"/>
        </w:rPr>
      </w:pPr>
      <w:r>
        <w:rPr>
          <w:lang w:eastAsia="pl-PL"/>
        </w:rPr>
        <w:t>zapewnienie magazynowania węgla przez drzewostany i pochłaniania CO</w:t>
      </w:r>
      <w:r w:rsidRPr="00901FEA">
        <w:rPr>
          <w:vertAlign w:val="subscript"/>
        </w:rPr>
        <w:t>2</w:t>
      </w:r>
      <w:r>
        <w:rPr>
          <w:lang w:eastAsia="pl-PL"/>
        </w:rPr>
        <w:t xml:space="preserve"> przez lasy, w szczególności w odniesieniu do realizacji celu określonego dla Polski w rozporządzeniu LULUCF, </w:t>
      </w:r>
    </w:p>
    <w:p w14:paraId="7B65D763" w14:textId="37C5B8BA" w:rsidR="00251609" w:rsidRDefault="00251609" w:rsidP="000625AC">
      <w:pPr>
        <w:pStyle w:val="Akapitzlist"/>
        <w:numPr>
          <w:ilvl w:val="0"/>
          <w:numId w:val="155"/>
        </w:numPr>
        <w:ind w:left="426"/>
        <w:rPr>
          <w:lang w:eastAsia="pl-PL"/>
        </w:rPr>
      </w:pPr>
      <w:r>
        <w:rPr>
          <w:lang w:eastAsia="pl-PL"/>
        </w:rPr>
        <w:t>wzmocnienie funkcji społecznych i przyrodniczych lasów i odbudowy zasobów przyrodniczych w</w:t>
      </w:r>
      <w:r w:rsidR="00394BF6">
        <w:rPr>
          <w:lang w:eastAsia="pl-PL"/>
        </w:rPr>
        <w:t> </w:t>
      </w:r>
      <w:r>
        <w:rPr>
          <w:lang w:eastAsia="pl-PL"/>
        </w:rPr>
        <w:t>lasach, w szczególności Program uwzględni konieczność osiągniecia celów odbudowy zasobów przyrody w lasach zapisanych w rozporządzeniu UE 2024/1991 w sprawie odbudowy zasobów przyrodniczych,</w:t>
      </w:r>
      <w:r w:rsidR="00974007">
        <w:rPr>
          <w:lang w:eastAsia="pl-PL"/>
        </w:rPr>
        <w:t xml:space="preserve">  </w:t>
      </w:r>
    </w:p>
    <w:p w14:paraId="0D04EC60" w14:textId="374C953B" w:rsidR="00251609" w:rsidRDefault="00251609" w:rsidP="000625AC">
      <w:pPr>
        <w:pStyle w:val="Akapitzlist"/>
        <w:numPr>
          <w:ilvl w:val="0"/>
          <w:numId w:val="155"/>
        </w:numPr>
        <w:ind w:left="426"/>
        <w:rPr>
          <w:lang w:eastAsia="pl-PL"/>
        </w:rPr>
      </w:pPr>
      <w:r>
        <w:rPr>
          <w:lang w:eastAsia="pl-PL"/>
        </w:rPr>
        <w:t>zapewnienia wystarczającej ilości surowca krajowemu przemysłowi przetwórstwa drewna w kontekście wynikającego z punktów c i d ograniczenia pozyskania w lasach, m.in. przez skuteczne wdrożenie zasady kaskadowego wykorzystania drewna,</w:t>
      </w:r>
      <w:r w:rsidR="00974007">
        <w:rPr>
          <w:lang w:eastAsia="pl-PL"/>
        </w:rPr>
        <w:t xml:space="preserve">  </w:t>
      </w:r>
    </w:p>
    <w:p w14:paraId="0DF259D7" w14:textId="3E9236CE" w:rsidR="00491705" w:rsidRPr="00251609" w:rsidRDefault="00251609" w:rsidP="000625AC">
      <w:pPr>
        <w:pStyle w:val="Akapitzlist"/>
        <w:numPr>
          <w:ilvl w:val="0"/>
          <w:numId w:val="155"/>
        </w:numPr>
        <w:ind w:left="426"/>
        <w:rPr>
          <w:rFonts w:ascii="Times New Roman" w:hAnsi="Times New Roman"/>
          <w:lang w:eastAsia="pl-PL"/>
        </w:rPr>
      </w:pPr>
      <w:r>
        <w:rPr>
          <w:lang w:eastAsia="pl-PL"/>
        </w:rPr>
        <w:t>sprawiedliwej transformacji regionów zależnych od pozyskania drewna i produkcji przemysłu drzewnego, których sytuacja ekonomiczna ulegnie zmianie na skutek wyłączenia niektórych obszarów leśnych z gospodarki leśnej.</w:t>
      </w:r>
      <w:r w:rsidR="003E2DE5">
        <w:rPr>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C53A59" w14:paraId="47EF8FE5" w14:textId="77777777" w:rsidTr="00251609">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56D55CA"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ascii="Times New Roman" w:eastAsia="Times New Roman" w:hAnsi="Times New Roman" w:cs="Times New Roman"/>
                <w:noProof/>
                <w:kern w:val="0"/>
                <w:lang w:eastAsia="pl-PL"/>
                <w14:ligatures w14:val="none"/>
              </w:rPr>
              <w:drawing>
                <wp:inline distT="0" distB="0" distL="0" distR="0" wp14:anchorId="6B0CFE42" wp14:editId="6C831C17">
                  <wp:extent cx="621030" cy="621030"/>
                  <wp:effectExtent l="0" t="0" r="7620" b="7620"/>
                  <wp:docPr id="8"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C53A59">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E80E133"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smallCaps/>
                <w:color w:val="000000"/>
                <w:kern w:val="0"/>
                <w:sz w:val="18"/>
                <w:szCs w:val="18"/>
                <w:lang w:eastAsia="pl-PL"/>
                <w14:ligatures w14:val="none"/>
              </w:rPr>
              <w:t>PODMIOT WIODĄCY</w:t>
            </w:r>
            <w:r w:rsidRPr="00C53A59">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14C51EB"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b/>
                <w:bCs/>
                <w:color w:val="000000"/>
                <w:kern w:val="0"/>
                <w:sz w:val="18"/>
                <w:szCs w:val="18"/>
                <w:lang w:eastAsia="pl-PL"/>
                <w14:ligatures w14:val="none"/>
              </w:rPr>
              <w:t>PODMIOTY WSPÓŁPRACUJĄCE</w:t>
            </w:r>
            <w:r w:rsidRPr="00C53A59">
              <w:rPr>
                <w:rFonts w:eastAsia="Times New Roman" w:cs="Times New Roman"/>
                <w:color w:val="000000"/>
                <w:kern w:val="0"/>
                <w:sz w:val="18"/>
                <w:szCs w:val="18"/>
                <w:lang w:eastAsia="pl-PL"/>
                <w14:ligatures w14:val="none"/>
              </w:rPr>
              <w:t> </w:t>
            </w:r>
          </w:p>
        </w:tc>
      </w:tr>
      <w:tr w:rsidR="003B6773" w:rsidRPr="006D12A5" w14:paraId="5D63D844" w14:textId="77777777" w:rsidTr="0025160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C7010C5" w14:textId="77777777" w:rsidR="00491705" w:rsidRPr="00C53A59" w:rsidRDefault="00491705">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2402179"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150D281"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klimatu </w:t>
            </w:r>
          </w:p>
          <w:p w14:paraId="44A89DDE" w14:textId="77777777" w:rsidR="00491705" w:rsidRPr="00C53A59" w:rsidRDefault="00491705">
            <w:pPr>
              <w:spacing w:after="0" w:line="240" w:lineRule="auto"/>
              <w:textAlignment w:val="baseline"/>
              <w:rPr>
                <w:rFonts w:ascii="Times New Roman" w:eastAsia="Times New Roman" w:hAnsi="Times New Roman" w:cs="Times New Roman"/>
                <w:kern w:val="0"/>
                <w:lang w:eastAsia="pl-PL"/>
                <w14:ligatures w14:val="none"/>
              </w:rPr>
            </w:pPr>
            <w:r w:rsidRPr="00C53A59">
              <w:rPr>
                <w:rFonts w:eastAsia="Times New Roman" w:cs="Times New Roman"/>
                <w:color w:val="808080"/>
                <w:kern w:val="0"/>
                <w:sz w:val="18"/>
                <w:szCs w:val="18"/>
                <w:lang w:eastAsia="pl-PL"/>
                <w14:ligatures w14:val="none"/>
              </w:rPr>
              <w:t>minister wł. ds. gospodarki wodnej </w:t>
            </w:r>
          </w:p>
          <w:p w14:paraId="13BD39EC" w14:textId="77777777" w:rsidR="00491705" w:rsidRPr="006D12A5" w:rsidRDefault="00491705">
            <w:pPr>
              <w:spacing w:after="0" w:line="240" w:lineRule="auto"/>
              <w:textAlignment w:val="baseline"/>
              <w:rPr>
                <w:rFonts w:ascii="Times New Roman" w:eastAsia="Times New Roman" w:hAnsi="Times New Roman" w:cs="Times New Roman"/>
                <w:kern w:val="0"/>
                <w:lang w:eastAsia="pl-PL"/>
                <w14:ligatures w14:val="none"/>
              </w:rPr>
            </w:pPr>
            <w:bookmarkStart w:id="1205" w:name="_Ref195888419"/>
            <w:r>
              <w:rPr>
                <w:rFonts w:eastAsia="Times New Roman" w:cs="Times New Roman"/>
                <w:color w:val="808080"/>
                <w:kern w:val="0"/>
                <w:sz w:val="18"/>
                <w:szCs w:val="18"/>
                <w:lang w:eastAsia="pl-PL"/>
                <w14:ligatures w14:val="none"/>
              </w:rPr>
              <w:t xml:space="preserve">PGL </w:t>
            </w:r>
            <w:r w:rsidRPr="00C53A59">
              <w:rPr>
                <w:rFonts w:eastAsia="Times New Roman" w:cs="Times New Roman"/>
                <w:color w:val="808080"/>
                <w:kern w:val="0"/>
                <w:sz w:val="18"/>
                <w:szCs w:val="18"/>
                <w:lang w:eastAsia="pl-PL"/>
                <w14:ligatures w14:val="none"/>
              </w:rPr>
              <w:t>Lasy Państwowe</w:t>
            </w:r>
            <w:bookmarkEnd w:id="1205"/>
            <w:r w:rsidRPr="006D12A5">
              <w:rPr>
                <w:rFonts w:eastAsia="Times New Roman" w:cs="Times New Roman"/>
                <w:color w:val="808080"/>
                <w:kern w:val="0"/>
                <w:sz w:val="18"/>
                <w:szCs w:val="18"/>
                <w:lang w:eastAsia="pl-PL"/>
                <w14:ligatures w14:val="none"/>
              </w:rPr>
              <w:t> </w:t>
            </w:r>
          </w:p>
        </w:tc>
      </w:tr>
    </w:tbl>
    <w:p w14:paraId="5A6C981F" w14:textId="77777777" w:rsidR="00491705" w:rsidRDefault="00491705" w:rsidP="00F06483"/>
    <w:p w14:paraId="549E9A22" w14:textId="77777777" w:rsidR="00F06483" w:rsidRDefault="00F06483" w:rsidP="00F06483">
      <w:pPr>
        <w:rPr>
          <w:szCs w:val="20"/>
        </w:rPr>
      </w:pPr>
    </w:p>
    <w:tbl>
      <w:tblPr>
        <w:tblStyle w:val="Tabela-Siatka"/>
        <w:tblpPr w:leftFromText="141" w:rightFromText="141" w:vertAnchor="text" w:horzAnchor="margin" w:tblpY="195"/>
        <w:tblW w:w="935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9356"/>
      </w:tblGrid>
      <w:tr w:rsidR="00485729" w14:paraId="07EF1766" w14:textId="77777777" w:rsidTr="007F5B1D">
        <w:tc>
          <w:tcPr>
            <w:tcW w:w="9356" w:type="dxa"/>
          </w:tcPr>
          <w:p w14:paraId="14EDF57A" w14:textId="0FDB21E6" w:rsidR="00485729" w:rsidRPr="00987AA2" w:rsidRDefault="00485729" w:rsidP="007F5B1D">
            <w:pPr>
              <w:spacing w:before="240" w:after="240"/>
              <w:jc w:val="center"/>
              <w:rPr>
                <w:b/>
                <w:bCs/>
                <w:sz w:val="48"/>
                <w:szCs w:val="48"/>
              </w:rPr>
            </w:pPr>
            <w:r>
              <w:rPr>
                <w:b/>
                <w:bCs/>
                <w:color w:val="808080" w:themeColor="background1" w:themeShade="80"/>
                <w:sz w:val="48"/>
                <w:szCs w:val="48"/>
              </w:rPr>
              <w:t>Działania ogólnośrodowiskowe</w:t>
            </w:r>
          </w:p>
        </w:tc>
      </w:tr>
    </w:tbl>
    <w:p w14:paraId="2D24F0FA" w14:textId="2F100169" w:rsidR="00F06483" w:rsidRDefault="00F06483" w:rsidP="00D523F3">
      <w:pPr>
        <w:pStyle w:val="Nagwek6"/>
        <w:rPr>
          <w:lang w:eastAsia="pl-PL"/>
        </w:rPr>
      </w:pPr>
      <w:bookmarkStart w:id="1206" w:name="_Toc195865942"/>
      <w:bookmarkStart w:id="1207" w:name="_Ref195887242"/>
      <w:bookmarkStart w:id="1208" w:name="_Ref195888433"/>
      <w:bookmarkStart w:id="1209" w:name="_Hlk195808430"/>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86</w:t>
      </w:r>
      <w:r w:rsidRPr="00FB68C2">
        <w:rPr>
          <w:rStyle w:val="Nagwek6Znak"/>
          <w:b/>
          <w:bCs/>
        </w:rPr>
        <w:fldChar w:fldCharType="end"/>
      </w:r>
      <w:r w:rsidRPr="00FB68C2">
        <w:rPr>
          <w:rStyle w:val="Nagwek6Znak"/>
          <w:b/>
          <w:bCs/>
        </w:rPr>
        <w:t xml:space="preserve">. </w:t>
      </w:r>
      <w:r w:rsidR="00944B9B">
        <w:rPr>
          <w:rStyle w:val="Nagwek6Znak"/>
          <w:b/>
          <w:bCs/>
        </w:rPr>
        <w:t>Opracowanie</w:t>
      </w:r>
      <w:r w:rsidR="002C2085">
        <w:rPr>
          <w:rStyle w:val="Nagwek6Znak"/>
          <w:b/>
          <w:bCs/>
        </w:rPr>
        <w:t xml:space="preserve"> i</w:t>
      </w:r>
      <w:r w:rsidR="00944B9B" w:rsidRPr="007D2730">
        <w:rPr>
          <w:rStyle w:val="Nagwek6Znak"/>
          <w:b/>
        </w:rPr>
        <w:t xml:space="preserve"> </w:t>
      </w:r>
      <w:r w:rsidR="004E7361">
        <w:rPr>
          <w:rStyle w:val="Nagwek6Znak"/>
          <w:b/>
          <w:bCs/>
        </w:rPr>
        <w:t xml:space="preserve">wdrażanie </w:t>
      </w:r>
      <w:r>
        <w:rPr>
          <w:lang w:eastAsia="pl-PL"/>
        </w:rPr>
        <w:t>Krajowego Planu Odbudowy Zasobów Przyrodniczych</w:t>
      </w:r>
      <w:r w:rsidR="004E7361">
        <w:rPr>
          <w:lang w:eastAsia="pl-PL"/>
        </w:rPr>
        <w:t xml:space="preserve"> </w:t>
      </w:r>
      <w:bookmarkEnd w:id="1206"/>
      <w:bookmarkEnd w:id="1207"/>
      <w:bookmarkEnd w:id="1208"/>
    </w:p>
    <w:p w14:paraId="34D572DE" w14:textId="2897543F" w:rsidR="00831AAA" w:rsidRDefault="00831AAA" w:rsidP="00831AAA">
      <w:pPr>
        <w:rPr>
          <w:rFonts w:ascii="Aptos" w:hAnsi="Aptos"/>
        </w:rPr>
      </w:pPr>
      <w:r>
        <w:t>Pogarszający się stan środowiska naturalnego, przejawiający się postępującą degradacją ekosystemów, utratą siedlisk oraz spadkiem różnorodności biologicznej, wymaga podjęcia zdecydowanych działań. Odbudowa zasobów przyrodniczych jest kluczowa dla przeciwdziałania skutkom zmian klimatycznych, takim jak susze, powodzie czy utrata żyzności gleb. Dobrze zachowane i sprawnie działające ekosystemy stanowią fundament bezpieczeństwa żywnościowego, ochrony zdrowia publicznego oraz stabilności gospodarczej. Szczególne znaczenie ma odbudowa bioróżnorodności, która poprawia stabilność i</w:t>
      </w:r>
      <w:r w:rsidR="00AD1E40">
        <w:t> </w:t>
      </w:r>
      <w:r>
        <w:t>zdolność ekosystemów do regeneracji w zmieniających się warunkach, wspiera naturalne procesy, takie jak zapylanie, oczyszczanie wód czy obieg składników pokarmowych, a także tworzy bazę dla innowacji biomedycznych i biotechnologicznych.</w:t>
      </w:r>
    </w:p>
    <w:p w14:paraId="7BA477ED" w14:textId="5087C429" w:rsidR="00831AAA" w:rsidRDefault="00831AAA" w:rsidP="00831AAA">
      <w:r>
        <w:lastRenderedPageBreak/>
        <w:t>Działanie polega na opracowaniu</w:t>
      </w:r>
      <w:r w:rsidR="003C4A00">
        <w:t xml:space="preserve"> do 1 września 2026 r.</w:t>
      </w:r>
      <w:r>
        <w:t xml:space="preserve"> i </w:t>
      </w:r>
      <w:r w:rsidR="004E7361">
        <w:t xml:space="preserve">rozpoczęciu wdrażania </w:t>
      </w:r>
      <w:r>
        <w:t xml:space="preserve">Krajowego Planu Odbudowy Zasobów Przyrodniczych, zgodnie z wymogami </w:t>
      </w:r>
      <w:r w:rsidR="004E7361">
        <w:t>r</w:t>
      </w:r>
      <w:r>
        <w:t xml:space="preserve">ozporządzenia </w:t>
      </w:r>
      <w:r w:rsidR="004E7361">
        <w:t xml:space="preserve">PE </w:t>
      </w:r>
      <w:r>
        <w:t xml:space="preserve">i Rady (UE) </w:t>
      </w:r>
      <w:r w:rsidR="004E7361">
        <w:t xml:space="preserve">2024/1991 </w:t>
      </w:r>
      <w:r>
        <w:t>w</w:t>
      </w:r>
      <w:r w:rsidR="00AD1E40">
        <w:t> </w:t>
      </w:r>
      <w:r>
        <w:t>sprawie odbudowy zasobów przyrodniczych (Nature Restoration Law). Plan musi zawierać jasno określone cele, harmonogram realizacji oraz konkretne środki służące odbudowie zdegradowanych ekosystemów, poprawie stanu siedlisk przyrodniczych oraz zwiększeniu różnorodności biologicznej na terytorium kraju.</w:t>
      </w:r>
    </w:p>
    <w:p w14:paraId="7D3D8347" w14:textId="037D397B" w:rsidR="00F06483" w:rsidRDefault="00831AAA" w:rsidP="00B44A01">
      <w:r>
        <w:t>Wdrożenie Krajowego Planu wymaga przeprowadzenia szczegółowej inwentaryzacji stanu środowiska, wskazania priorytetowych obszarów działań oraz ustanowienia mechanizmów finansowania i systemu monitorowania postępów. Konieczne jest pełne zaangażowanie wszystkich kluczowych interesariuszy, w</w:t>
      </w:r>
      <w:r w:rsidR="00AD1E40">
        <w:t> </w:t>
      </w:r>
      <w:r>
        <w:t>tym administracji publicznej, samorządów, organizacji pozarządowych, sektora rolniczego i leśnego oraz społeczności lokalnych. Działanie ma na celu przywrócenie integralności ekologicznej oraz zapewnienie trwałości funkcji ekosystemów, niezbędnych dla życia i dobrostanu obecnych i przyszłych pokoleń</w:t>
      </w:r>
      <w:bookmarkEnd w:id="1172"/>
    </w:p>
    <w:bookmarkEnd w:id="1171"/>
    <w:p w14:paraId="42B8691B" w14:textId="77777777" w:rsidR="00B44A01" w:rsidRPr="00B44A01" w:rsidRDefault="00B44A01" w:rsidP="00B44A01"/>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C7820" w14:paraId="3632337A" w14:textId="77777777" w:rsidTr="001008E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3BE2408A"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ascii="Times New Roman" w:eastAsia="Times New Roman" w:hAnsi="Times New Roman" w:cs="Times New Roman"/>
                <w:noProof/>
                <w:kern w:val="0"/>
                <w:lang w:eastAsia="pl-PL"/>
                <w14:ligatures w14:val="none"/>
              </w:rPr>
              <w:drawing>
                <wp:inline distT="0" distB="0" distL="0" distR="0" wp14:anchorId="60E49B85" wp14:editId="3D2F1C1A">
                  <wp:extent cx="622300" cy="622300"/>
                  <wp:effectExtent l="0" t="0" r="6350" b="6350"/>
                  <wp:docPr id="1251069419"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2C7820">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1D2D0D0"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b/>
                <w:bCs/>
                <w:smallCaps/>
                <w:color w:val="000000"/>
                <w:kern w:val="0"/>
                <w:sz w:val="18"/>
                <w:szCs w:val="18"/>
                <w:lang w:eastAsia="pl-PL"/>
                <w14:ligatures w14:val="none"/>
              </w:rPr>
              <w:t>PODMIOT WIODĄCY</w:t>
            </w:r>
            <w:r w:rsidRPr="002C7820">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FA19DDE"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b/>
                <w:bCs/>
                <w:color w:val="000000"/>
                <w:kern w:val="0"/>
                <w:sz w:val="18"/>
                <w:szCs w:val="18"/>
                <w:lang w:eastAsia="pl-PL"/>
                <w14:ligatures w14:val="none"/>
              </w:rPr>
              <w:t>PODMIOTY WSPÓŁPRACUJĄCE</w:t>
            </w:r>
            <w:r w:rsidRPr="002C7820">
              <w:rPr>
                <w:rFonts w:eastAsia="Times New Roman" w:cs="Times New Roman"/>
                <w:color w:val="000000"/>
                <w:kern w:val="0"/>
                <w:sz w:val="18"/>
                <w:szCs w:val="18"/>
                <w:lang w:eastAsia="pl-PL"/>
                <w14:ligatures w14:val="none"/>
              </w:rPr>
              <w:t> </w:t>
            </w:r>
          </w:p>
        </w:tc>
      </w:tr>
      <w:tr w:rsidR="003B6773" w:rsidRPr="002C7820" w14:paraId="43B78C2A" w14:textId="77777777" w:rsidTr="001008E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EEDA364" w14:textId="77777777" w:rsidR="00F06483" w:rsidRPr="002C7820"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DA20586"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BBAC97D" w14:textId="77777777" w:rsidR="00F06483" w:rsidRPr="00986124" w:rsidRDefault="00F06483">
            <w:pPr>
              <w:spacing w:after="0" w:line="240" w:lineRule="auto"/>
              <w:textAlignment w:val="baseline"/>
              <w:rPr>
                <w:rFonts w:eastAsia="Times New Roman" w:cs="Times New Roman"/>
                <w:color w:val="808080"/>
                <w:kern w:val="0"/>
                <w:sz w:val="18"/>
                <w:szCs w:val="18"/>
                <w:lang w:val="de-DE" w:eastAsia="pl-PL"/>
                <w14:ligatures w14:val="none"/>
              </w:rPr>
            </w:pPr>
            <w:r w:rsidRPr="00986124">
              <w:rPr>
                <w:rFonts w:eastAsia="Times New Roman" w:cs="Times New Roman"/>
                <w:color w:val="808080"/>
                <w:kern w:val="0"/>
                <w:sz w:val="18"/>
                <w:szCs w:val="18"/>
                <w:lang w:val="de-DE" w:eastAsia="pl-PL"/>
                <w14:ligatures w14:val="none"/>
              </w:rPr>
              <w:t>minister wł. ds. energii</w:t>
            </w:r>
          </w:p>
          <w:p w14:paraId="1DE74957" w14:textId="278A7914" w:rsidR="001008EF" w:rsidRPr="00986124" w:rsidRDefault="001008EF">
            <w:pPr>
              <w:spacing w:after="0" w:line="240" w:lineRule="auto"/>
              <w:textAlignment w:val="baseline"/>
              <w:rPr>
                <w:rFonts w:eastAsia="Times New Roman" w:cs="Times New Roman"/>
                <w:color w:val="808080"/>
                <w:kern w:val="0"/>
                <w:sz w:val="18"/>
                <w:szCs w:val="18"/>
                <w:lang w:val="de-DE" w:eastAsia="pl-PL"/>
                <w14:ligatures w14:val="none"/>
              </w:rPr>
            </w:pPr>
            <w:r w:rsidRPr="00986124">
              <w:rPr>
                <w:rFonts w:eastAsia="Times New Roman" w:cs="Times New Roman"/>
                <w:color w:val="808080"/>
                <w:kern w:val="0"/>
                <w:sz w:val="18"/>
                <w:szCs w:val="18"/>
                <w:lang w:val="de-DE" w:eastAsia="pl-PL"/>
                <w14:ligatures w14:val="none"/>
              </w:rPr>
              <w:t xml:space="preserve">minister wł. ds. </w:t>
            </w:r>
            <w:r w:rsidRPr="00986124">
              <w:rPr>
                <w:color w:val="808080"/>
                <w:kern w:val="0"/>
                <w:sz w:val="18"/>
                <w:lang w:val="de-DE"/>
                <w14:ligatures w14:val="none"/>
              </w:rPr>
              <w:t>klimatu</w:t>
            </w:r>
          </w:p>
          <w:p w14:paraId="17D071CA"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minister wł. ds. rolnictwa </w:t>
            </w:r>
          </w:p>
          <w:p w14:paraId="478BAC76" w14:textId="2B0E04BA" w:rsidR="00F06483" w:rsidRDefault="00F06483">
            <w:pPr>
              <w:spacing w:after="0" w:line="240" w:lineRule="auto"/>
              <w:textAlignment w:val="baseline"/>
              <w:rPr>
                <w:rFonts w:eastAsia="Times New Roman" w:cs="Times New Roman"/>
                <w:color w:val="808080"/>
                <w:kern w:val="0"/>
                <w:sz w:val="18"/>
                <w:szCs w:val="18"/>
                <w:lang w:eastAsia="pl-PL"/>
                <w14:ligatures w14:val="none"/>
              </w:rPr>
            </w:pPr>
            <w:r w:rsidRPr="002C7820">
              <w:rPr>
                <w:rFonts w:eastAsia="Times New Roman" w:cs="Times New Roman"/>
                <w:color w:val="808080"/>
                <w:kern w:val="0"/>
                <w:sz w:val="18"/>
                <w:szCs w:val="18"/>
                <w:lang w:eastAsia="pl-PL"/>
                <w14:ligatures w14:val="none"/>
              </w:rPr>
              <w:t>minister wł. ds. gospodarki wodnej</w:t>
            </w:r>
          </w:p>
          <w:p w14:paraId="38175EE9" w14:textId="77777777" w:rsidR="001008EF" w:rsidRPr="001008EF" w:rsidRDefault="001008EF" w:rsidP="001008EF">
            <w:pPr>
              <w:spacing w:after="0" w:line="240" w:lineRule="auto"/>
              <w:textAlignment w:val="baseline"/>
              <w:rPr>
                <w:rFonts w:eastAsia="Times New Roman" w:cs="Times New Roman"/>
                <w:color w:val="808080"/>
                <w:kern w:val="0"/>
                <w:sz w:val="18"/>
                <w:szCs w:val="18"/>
                <w:lang w:eastAsia="pl-PL"/>
                <w14:ligatures w14:val="none"/>
              </w:rPr>
            </w:pPr>
            <w:r w:rsidRPr="001008EF">
              <w:rPr>
                <w:rFonts w:eastAsia="Times New Roman" w:cs="Times New Roman"/>
                <w:color w:val="808080"/>
                <w:kern w:val="0"/>
                <w:sz w:val="18"/>
                <w:szCs w:val="18"/>
                <w:lang w:eastAsia="pl-PL"/>
                <w14:ligatures w14:val="none"/>
              </w:rPr>
              <w:t>minister wł. ds. gospodarki morskiej</w:t>
            </w:r>
          </w:p>
          <w:p w14:paraId="73A0D460" w14:textId="77777777" w:rsidR="001008EF" w:rsidRPr="001008EF" w:rsidRDefault="001008EF" w:rsidP="001008EF">
            <w:pPr>
              <w:spacing w:after="0" w:line="240" w:lineRule="auto"/>
              <w:textAlignment w:val="baseline"/>
              <w:rPr>
                <w:rFonts w:eastAsia="Times New Roman" w:cs="Times New Roman"/>
                <w:color w:val="808080"/>
                <w:kern w:val="0"/>
                <w:sz w:val="18"/>
                <w:szCs w:val="18"/>
                <w:lang w:eastAsia="pl-PL"/>
                <w14:ligatures w14:val="none"/>
              </w:rPr>
            </w:pPr>
            <w:r w:rsidRPr="001008EF">
              <w:rPr>
                <w:rFonts w:eastAsia="Times New Roman" w:cs="Times New Roman"/>
                <w:color w:val="808080"/>
                <w:kern w:val="0"/>
                <w:sz w:val="18"/>
                <w:szCs w:val="18"/>
                <w:lang w:eastAsia="pl-PL"/>
                <w14:ligatures w14:val="none"/>
              </w:rPr>
              <w:t>minister wł. ds. rozwoju regionalnego</w:t>
            </w:r>
          </w:p>
          <w:p w14:paraId="7C006EDE" w14:textId="7FEB684C" w:rsidR="001008EF" w:rsidRPr="001008EF" w:rsidRDefault="001008EF" w:rsidP="00901FEA">
            <w:pPr>
              <w:spacing w:after="0" w:line="240" w:lineRule="auto"/>
              <w:jc w:val="left"/>
              <w:textAlignment w:val="baseline"/>
              <w:rPr>
                <w:rFonts w:eastAsia="Times New Roman" w:cs="Times New Roman"/>
                <w:color w:val="808080"/>
                <w:kern w:val="0"/>
                <w:sz w:val="18"/>
                <w:szCs w:val="18"/>
                <w:lang w:eastAsia="pl-PL"/>
                <w14:ligatures w14:val="none"/>
              </w:rPr>
            </w:pPr>
            <w:r w:rsidRPr="001008EF">
              <w:rPr>
                <w:rFonts w:eastAsia="Times New Roman" w:cs="Times New Roman"/>
                <w:color w:val="808080"/>
                <w:kern w:val="0"/>
                <w:sz w:val="18"/>
                <w:szCs w:val="18"/>
                <w:lang w:eastAsia="pl-PL"/>
                <w14:ligatures w14:val="none"/>
              </w:rPr>
              <w:t>minister wł. ds. budownictwa, planowania i</w:t>
            </w:r>
            <w:r w:rsidR="00086518">
              <w:rPr>
                <w:rFonts w:eastAsia="Times New Roman" w:cs="Times New Roman"/>
                <w:color w:val="808080"/>
                <w:kern w:val="0"/>
                <w:sz w:val="18"/>
                <w:szCs w:val="18"/>
                <w:lang w:eastAsia="pl-PL"/>
                <w14:ligatures w14:val="none"/>
              </w:rPr>
              <w:t> </w:t>
            </w:r>
            <w:r w:rsidRPr="001008EF">
              <w:rPr>
                <w:rFonts w:eastAsia="Times New Roman" w:cs="Times New Roman"/>
                <w:color w:val="808080"/>
                <w:kern w:val="0"/>
                <w:sz w:val="18"/>
                <w:szCs w:val="18"/>
                <w:lang w:eastAsia="pl-PL"/>
                <w14:ligatures w14:val="none"/>
              </w:rPr>
              <w:t>zagospodarowania przestrzennego oraz mieszkalnictwa</w:t>
            </w:r>
          </w:p>
          <w:p w14:paraId="32AA20C2" w14:textId="4CF75ADF" w:rsidR="001008EF" w:rsidRPr="002C7820" w:rsidRDefault="008965F2" w:rsidP="001008EF">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m</w:t>
            </w:r>
            <w:r w:rsidR="008D074B">
              <w:rPr>
                <w:rFonts w:eastAsia="Times New Roman" w:cs="Times New Roman"/>
                <w:color w:val="808080"/>
                <w:kern w:val="0"/>
                <w:sz w:val="18"/>
                <w:szCs w:val="18"/>
                <w:lang w:eastAsia="pl-PL"/>
                <w14:ligatures w14:val="none"/>
              </w:rPr>
              <w:t>iniste</w:t>
            </w:r>
            <w:r>
              <w:rPr>
                <w:rFonts w:eastAsia="Times New Roman" w:cs="Times New Roman"/>
                <w:color w:val="808080"/>
                <w:kern w:val="0"/>
                <w:sz w:val="18"/>
                <w:szCs w:val="18"/>
                <w:lang w:eastAsia="pl-PL"/>
                <w14:ligatures w14:val="none"/>
              </w:rPr>
              <w:t>r wł. ds. o</w:t>
            </w:r>
            <w:r w:rsidR="008D074B">
              <w:rPr>
                <w:rFonts w:eastAsia="Times New Roman" w:cs="Times New Roman"/>
                <w:color w:val="808080"/>
                <w:kern w:val="0"/>
                <w:sz w:val="18"/>
                <w:szCs w:val="18"/>
                <w:lang w:eastAsia="pl-PL"/>
                <w14:ligatures w14:val="none"/>
              </w:rPr>
              <w:t xml:space="preserve">brony </w:t>
            </w:r>
            <w:r>
              <w:rPr>
                <w:rFonts w:eastAsia="Times New Roman" w:cs="Times New Roman"/>
                <w:color w:val="808080"/>
                <w:kern w:val="0"/>
                <w:sz w:val="18"/>
                <w:szCs w:val="18"/>
                <w:lang w:eastAsia="pl-PL"/>
                <w14:ligatures w14:val="none"/>
              </w:rPr>
              <w:t>n</w:t>
            </w:r>
            <w:r w:rsidR="008D074B">
              <w:rPr>
                <w:rFonts w:eastAsia="Times New Roman" w:cs="Times New Roman"/>
                <w:color w:val="808080"/>
                <w:kern w:val="0"/>
                <w:sz w:val="18"/>
                <w:szCs w:val="18"/>
                <w:lang w:eastAsia="pl-PL"/>
                <w14:ligatures w14:val="none"/>
              </w:rPr>
              <w:t>arodowej</w:t>
            </w:r>
            <w:r w:rsidR="00F06483" w:rsidRPr="002C7820">
              <w:rPr>
                <w:rFonts w:eastAsia="Times New Roman" w:cs="Times New Roman"/>
                <w:color w:val="808080"/>
                <w:kern w:val="0"/>
                <w:sz w:val="18"/>
                <w:szCs w:val="18"/>
                <w:lang w:eastAsia="pl-PL"/>
                <w14:ligatures w14:val="none"/>
              </w:rPr>
              <w:t> </w:t>
            </w:r>
          </w:p>
        </w:tc>
      </w:tr>
    </w:tbl>
    <w:p w14:paraId="7389115A" w14:textId="77777777" w:rsidR="00F06483" w:rsidRPr="00AA38CA" w:rsidRDefault="00F06483" w:rsidP="00F06483">
      <w:pPr>
        <w:spacing w:line="240" w:lineRule="auto"/>
        <w:textAlignment w:val="baseline"/>
        <w:rPr>
          <w:rFonts w:ascii="Times New Roman" w:eastAsia="Times New Roman" w:hAnsi="Times New Roman" w:cs="Times New Roman"/>
          <w:kern w:val="0"/>
          <w:lang w:eastAsia="pl-PL"/>
          <w14:ligatures w14:val="none"/>
        </w:rPr>
      </w:pPr>
    </w:p>
    <w:p w14:paraId="6C6BB1B0" w14:textId="7C8B011F" w:rsidR="00F06483" w:rsidRPr="00C602E0" w:rsidRDefault="00F06483" w:rsidP="00D523F3">
      <w:pPr>
        <w:pStyle w:val="Nagwek6"/>
        <w:rPr>
          <w:lang w:eastAsia="pl-PL"/>
        </w:rPr>
      </w:pPr>
      <w:bookmarkStart w:id="1210" w:name="_Toc195865943"/>
      <w:bookmarkStart w:id="1211" w:name="_Ref195887255"/>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87</w:t>
      </w:r>
      <w:r w:rsidRPr="00FB68C2">
        <w:rPr>
          <w:rStyle w:val="Nagwek6Znak"/>
          <w:b/>
          <w:bCs/>
        </w:rPr>
        <w:fldChar w:fldCharType="end"/>
      </w:r>
      <w:r w:rsidRPr="00FB68C2">
        <w:rPr>
          <w:rStyle w:val="Nagwek6Znak"/>
          <w:b/>
          <w:bCs/>
        </w:rPr>
        <w:t xml:space="preserve">. </w:t>
      </w:r>
      <w:r w:rsidRPr="00C602E0">
        <w:rPr>
          <w:lang w:eastAsia="pl-PL"/>
        </w:rPr>
        <w:t>Doprowadzenie jakości wód do stanu dobrego i bardzo dobrego, zgodnie z</w:t>
      </w:r>
      <w:r w:rsidR="001008EF">
        <w:rPr>
          <w:lang w:eastAsia="pl-PL"/>
        </w:rPr>
        <w:t> </w:t>
      </w:r>
      <w:r w:rsidRPr="00C602E0">
        <w:rPr>
          <w:lang w:eastAsia="pl-PL"/>
        </w:rPr>
        <w:t>Ramową Dyrektywą Wodną</w:t>
      </w:r>
      <w:bookmarkEnd w:id="1210"/>
      <w:bookmarkEnd w:id="1211"/>
    </w:p>
    <w:p w14:paraId="7A8CA0D9" w14:textId="1B5D0C07" w:rsidR="00F06483" w:rsidRDefault="00F06483" w:rsidP="00F06483">
      <w:pPr>
        <w:spacing w:line="240" w:lineRule="auto"/>
        <w:textAlignment w:val="baseline"/>
        <w:rPr>
          <w:rFonts w:eastAsia="Times New Roman" w:cs="Times New Roman"/>
          <w:kern w:val="0"/>
          <w:szCs w:val="20"/>
          <w:lang w:eastAsia="pl-PL"/>
          <w14:ligatures w14:val="none"/>
        </w:rPr>
      </w:pPr>
      <w:r>
        <w:rPr>
          <w:rFonts w:eastAsia="Times New Roman" w:cs="Times New Roman"/>
          <w:kern w:val="0"/>
          <w:szCs w:val="20"/>
          <w:lang w:eastAsia="pl-PL"/>
          <w14:ligatures w14:val="none"/>
        </w:rPr>
        <w:t>Działanie polega na przywróceniu rzekom i innym wodom powierzchniowym dobrego lub bardzo dobrego stanu, zgodnie z celami tzw. Ramowej Dyrektywy Wodnej</w:t>
      </w:r>
      <w:r w:rsidR="000F3810">
        <w:rPr>
          <w:rFonts w:eastAsia="Times New Roman" w:cs="Times New Roman"/>
          <w:kern w:val="0"/>
          <w:szCs w:val="20"/>
          <w:lang w:eastAsia="pl-PL"/>
          <w14:ligatures w14:val="none"/>
        </w:rPr>
        <w:t>.</w:t>
      </w:r>
      <w:r>
        <w:rPr>
          <w:rFonts w:eastAsia="Times New Roman" w:cs="Times New Roman"/>
          <w:kern w:val="0"/>
          <w:szCs w:val="20"/>
          <w:lang w:eastAsia="pl-PL"/>
          <w14:ligatures w14:val="none"/>
        </w:rPr>
        <w:t xml:space="preserve"> </w:t>
      </w:r>
    </w:p>
    <w:p w14:paraId="0003A50A" w14:textId="53D81AD4" w:rsidR="00F06483" w:rsidRPr="00C602E0" w:rsidRDefault="00F06483" w:rsidP="000625AC">
      <w:pPr>
        <w:pStyle w:val="Akapitzlist"/>
        <w:numPr>
          <w:ilvl w:val="0"/>
          <w:numId w:val="95"/>
        </w:numPr>
        <w:spacing w:line="240" w:lineRule="auto"/>
        <w:textAlignment w:val="baseline"/>
        <w:rPr>
          <w:rFonts w:eastAsia="Times New Roman" w:cs="Times New Roman"/>
          <w:kern w:val="0"/>
          <w:szCs w:val="20"/>
          <w:lang w:eastAsia="pl-PL"/>
          <w14:ligatures w14:val="none"/>
        </w:rPr>
      </w:pPr>
      <w:r w:rsidRPr="00C602E0">
        <w:rPr>
          <w:rFonts w:eastAsia="Times New Roman" w:cs="Times New Roman"/>
          <w:kern w:val="0"/>
          <w:szCs w:val="20"/>
          <w:lang w:eastAsia="pl-PL"/>
          <w14:ligatures w14:val="none"/>
        </w:rPr>
        <w:t>Przyjęcie planu oczyszczania wód powierzchniowych (gł</w:t>
      </w:r>
      <w:r>
        <w:rPr>
          <w:rFonts w:eastAsia="Times New Roman" w:cs="Times New Roman"/>
          <w:kern w:val="0"/>
          <w:szCs w:val="20"/>
          <w:lang w:eastAsia="pl-PL"/>
          <w14:ligatures w14:val="none"/>
        </w:rPr>
        <w:t>ównie</w:t>
      </w:r>
      <w:r w:rsidRPr="00C602E0">
        <w:rPr>
          <w:rFonts w:eastAsia="Times New Roman" w:cs="Times New Roman"/>
          <w:kern w:val="0"/>
          <w:szCs w:val="20"/>
          <w:lang w:eastAsia="pl-PL"/>
          <w14:ligatures w14:val="none"/>
        </w:rPr>
        <w:t xml:space="preserve"> rzek Odra i Wisła) z</w:t>
      </w:r>
      <w:r w:rsidR="001008EF">
        <w:rPr>
          <w:rFonts w:eastAsia="Times New Roman" w:cs="Times New Roman"/>
          <w:kern w:val="0"/>
          <w:szCs w:val="20"/>
          <w:lang w:eastAsia="pl-PL"/>
          <w14:ligatures w14:val="none"/>
        </w:rPr>
        <w:t> </w:t>
      </w:r>
      <w:r w:rsidRPr="00C602E0">
        <w:rPr>
          <w:rFonts w:eastAsia="Times New Roman" w:cs="Times New Roman"/>
          <w:kern w:val="0"/>
          <w:szCs w:val="20"/>
          <w:lang w:eastAsia="pl-PL"/>
          <w14:ligatures w14:val="none"/>
        </w:rPr>
        <w:t>zanieczyszczeń przemysłowych, w tym obniżenie poziomów zasolenia do poziomu normy środowiskowej.</w:t>
      </w:r>
    </w:p>
    <w:p w14:paraId="26DF1C05" w14:textId="65700043" w:rsidR="00F06483" w:rsidRPr="00C602E0" w:rsidRDefault="00F06483" w:rsidP="000625AC">
      <w:pPr>
        <w:pStyle w:val="Akapitzlist"/>
        <w:numPr>
          <w:ilvl w:val="0"/>
          <w:numId w:val="95"/>
        </w:numPr>
        <w:spacing w:line="240" w:lineRule="auto"/>
        <w:textAlignment w:val="baseline"/>
        <w:rPr>
          <w:rFonts w:eastAsia="Times New Roman" w:cs="Times New Roman"/>
          <w:kern w:val="0"/>
          <w:szCs w:val="20"/>
          <w:lang w:eastAsia="pl-PL"/>
          <w14:ligatures w14:val="none"/>
        </w:rPr>
      </w:pPr>
      <w:r w:rsidRPr="00C602E0">
        <w:rPr>
          <w:rFonts w:eastAsia="Times New Roman" w:cs="Times New Roman"/>
          <w:kern w:val="0"/>
          <w:szCs w:val="20"/>
          <w:lang w:eastAsia="pl-PL"/>
          <w14:ligatures w14:val="none"/>
        </w:rPr>
        <w:t>Wzmocnienie realizacji tzw. dyrektywy ściekowej, na rzecz oczyszczenia wód powierzchniowych ze ścieków komunalnych.</w:t>
      </w:r>
    </w:p>
    <w:p w14:paraId="5842A5D0" w14:textId="77777777" w:rsidR="00F06483" w:rsidRDefault="00F06483" w:rsidP="000625AC">
      <w:pPr>
        <w:pStyle w:val="Akapitzlist"/>
        <w:numPr>
          <w:ilvl w:val="0"/>
          <w:numId w:val="95"/>
        </w:numPr>
        <w:spacing w:line="240" w:lineRule="auto"/>
        <w:textAlignment w:val="baseline"/>
        <w:rPr>
          <w:rFonts w:eastAsia="Times New Roman" w:cs="Times New Roman"/>
          <w:kern w:val="0"/>
          <w:szCs w:val="20"/>
          <w:lang w:eastAsia="pl-PL"/>
          <w14:ligatures w14:val="none"/>
        </w:rPr>
      </w:pPr>
      <w:r w:rsidRPr="00C602E0">
        <w:rPr>
          <w:rFonts w:eastAsia="Times New Roman" w:cs="Times New Roman"/>
          <w:kern w:val="0"/>
          <w:szCs w:val="20"/>
          <w:lang w:eastAsia="pl-PL"/>
          <w14:ligatures w14:val="none"/>
        </w:rPr>
        <w:t>Wzmocnienie realizacji tzw. dyrektywy azotanowej, na rzecz oczyszczenia wód powierzchniowych z nawozów rolniczych i zanieczyszczeń z chowu przemysłowego zwierząt.</w:t>
      </w:r>
    </w:p>
    <w:p w14:paraId="0FDFF47E" w14:textId="77777777" w:rsidR="00F06483" w:rsidRPr="00C602E0" w:rsidRDefault="00F06483" w:rsidP="00F06483">
      <w:pPr>
        <w:pStyle w:val="Akapitzlist"/>
        <w:spacing w:line="240" w:lineRule="auto"/>
        <w:textAlignment w:val="baseline"/>
        <w:rPr>
          <w:rFonts w:eastAsia="Times New Roman" w:cs="Times New Roman"/>
          <w:kern w:val="0"/>
          <w:szCs w:val="20"/>
          <w:lang w:eastAsia="pl-PL"/>
          <w14:ligatures w14:val="none"/>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70044DC6" w14:textId="77777777" w:rsidTr="001008E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DB3525A"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5355E2AB" wp14:editId="20E59011">
                  <wp:extent cx="622300" cy="622300"/>
                  <wp:effectExtent l="0" t="0" r="6350" b="6350"/>
                  <wp:docPr id="1321678343"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36B129A"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DB5517F"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51BF8664" w14:textId="77777777" w:rsidTr="001008E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028A08F"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1A4830F" w14:textId="5E37246E"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minister wł. ds. gospodarki wodnej</w:t>
            </w:r>
            <w:r w:rsidR="003E2DE5">
              <w:rPr>
                <w:rFonts w:eastAsia="Times New Roman" w:cs="Times New Roman"/>
                <w:color w:val="808080"/>
                <w:kern w:val="0"/>
                <w:sz w:val="18"/>
                <w:szCs w:val="18"/>
                <w:lang w:eastAsia="pl-PL"/>
                <w14:ligatures w14:val="none"/>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F44D30D" w14:textId="77777777" w:rsidR="00F06483" w:rsidRDefault="00F06483">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minister wł. ds. klimatu </w:t>
            </w:r>
          </w:p>
          <w:p w14:paraId="0E619C8D"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Pr>
                <w:rFonts w:eastAsia="Times New Roman" w:cs="Times New Roman"/>
                <w:color w:val="808080"/>
                <w:kern w:val="0"/>
                <w:sz w:val="18"/>
                <w:szCs w:val="18"/>
                <w:lang w:eastAsia="pl-PL"/>
                <w14:ligatures w14:val="none"/>
              </w:rPr>
              <w:t>środowiska</w:t>
            </w:r>
          </w:p>
        </w:tc>
      </w:tr>
    </w:tbl>
    <w:p w14:paraId="3B939ADF" w14:textId="77777777" w:rsidR="00F06483" w:rsidRDefault="00F06483" w:rsidP="00F06483">
      <w:pPr>
        <w:spacing w:line="240" w:lineRule="auto"/>
        <w:textAlignment w:val="baseline"/>
        <w:rPr>
          <w:rFonts w:ascii="Bahnschrift" w:eastAsia="Times New Roman" w:hAnsi="Bahnschrift" w:cs="Times New Roman"/>
          <w:b/>
          <w:bCs/>
          <w:color w:val="000000"/>
          <w:kern w:val="0"/>
          <w:sz w:val="22"/>
          <w:lang w:eastAsia="pl-PL"/>
          <w14:ligatures w14:val="none"/>
        </w:rPr>
      </w:pPr>
    </w:p>
    <w:p w14:paraId="28A9301C" w14:textId="2FCCFC8B" w:rsidR="00F06483" w:rsidRDefault="00F06483" w:rsidP="00D523F3">
      <w:pPr>
        <w:pStyle w:val="Nagwek6"/>
        <w:rPr>
          <w:lang w:eastAsia="pl-PL"/>
        </w:rPr>
      </w:pPr>
      <w:bookmarkStart w:id="1212" w:name="_Toc195865944"/>
      <w:bookmarkStart w:id="1213" w:name="_Ref195887260"/>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88</w:t>
      </w:r>
      <w:r w:rsidRPr="00FB68C2">
        <w:rPr>
          <w:rStyle w:val="Nagwek6Znak"/>
          <w:b/>
          <w:bCs/>
        </w:rPr>
        <w:fldChar w:fldCharType="end"/>
      </w:r>
      <w:r w:rsidRPr="00FB68C2">
        <w:rPr>
          <w:rStyle w:val="Nagwek6Znak"/>
          <w:b/>
          <w:bCs/>
        </w:rPr>
        <w:t xml:space="preserve">. </w:t>
      </w:r>
      <w:r w:rsidR="006D56CA">
        <w:rPr>
          <w:lang w:eastAsia="pl-PL"/>
        </w:rPr>
        <w:t>Zapewnienie dostępu do</w:t>
      </w:r>
      <w:r w:rsidR="00B03C4E">
        <w:rPr>
          <w:lang w:eastAsia="pl-PL"/>
        </w:rPr>
        <w:t xml:space="preserve"> </w:t>
      </w:r>
      <w:r w:rsidR="00983BF3">
        <w:rPr>
          <w:lang w:eastAsia="pl-PL"/>
        </w:rPr>
        <w:t>czystej</w:t>
      </w:r>
      <w:r w:rsidR="006D56CA">
        <w:rPr>
          <w:lang w:eastAsia="pl-PL"/>
        </w:rPr>
        <w:t xml:space="preserve"> </w:t>
      </w:r>
      <w:r>
        <w:rPr>
          <w:lang w:eastAsia="pl-PL"/>
        </w:rPr>
        <w:t>wod</w:t>
      </w:r>
      <w:r w:rsidR="00983BF3">
        <w:rPr>
          <w:lang w:eastAsia="pl-PL"/>
        </w:rPr>
        <w:t>y</w:t>
      </w:r>
      <w:r>
        <w:rPr>
          <w:lang w:eastAsia="pl-PL"/>
        </w:rPr>
        <w:t xml:space="preserve"> </w:t>
      </w:r>
      <w:r w:rsidR="00983BF3">
        <w:rPr>
          <w:lang w:eastAsia="pl-PL"/>
        </w:rPr>
        <w:t>pitnej</w:t>
      </w:r>
      <w:bookmarkEnd w:id="1212"/>
      <w:bookmarkEnd w:id="1213"/>
    </w:p>
    <w:p w14:paraId="7DA76681" w14:textId="7612DC54" w:rsidR="00F06483" w:rsidRPr="005B5032" w:rsidRDefault="00F06483" w:rsidP="005B5032">
      <w:pPr>
        <w:spacing w:after="80"/>
      </w:pPr>
      <w:r w:rsidRPr="005B5032">
        <w:t xml:space="preserve">Działanie polega na pełnym wdrożeniu do porządku prawnego </w:t>
      </w:r>
      <w:r w:rsidR="00C676AA" w:rsidRPr="00B90C74">
        <w:t>d</w:t>
      </w:r>
      <w:r w:rsidRPr="00B90C74">
        <w:t xml:space="preserve">yrektywy </w:t>
      </w:r>
      <w:r w:rsidR="00C676AA" w:rsidRPr="00B90C74">
        <w:t>PE i Rady</w:t>
      </w:r>
      <w:r w:rsidR="00C676AA" w:rsidRPr="005B5032">
        <w:t xml:space="preserve"> </w:t>
      </w:r>
      <w:r w:rsidRPr="005B5032">
        <w:t>(UE) 2020/2184 dot.</w:t>
      </w:r>
      <w:r w:rsidR="00AD1E40">
        <w:t> </w:t>
      </w:r>
      <w:r w:rsidRPr="005B5032">
        <w:t>zarządzania ryzykiem w dostępie do wody pitnej</w:t>
      </w:r>
      <w:r w:rsidR="00B90C74">
        <w:t>:</w:t>
      </w:r>
    </w:p>
    <w:p w14:paraId="1A1455E1" w14:textId="77777777" w:rsidR="00F06483" w:rsidRPr="005B5032" w:rsidRDefault="00F06483" w:rsidP="000625AC">
      <w:pPr>
        <w:pStyle w:val="Akapitzlist"/>
        <w:numPr>
          <w:ilvl w:val="0"/>
          <w:numId w:val="156"/>
        </w:numPr>
        <w:spacing w:after="80"/>
        <w:ind w:left="431" w:hanging="352"/>
        <w:contextualSpacing w:val="0"/>
      </w:pPr>
      <w:r w:rsidRPr="005B5032">
        <w:lastRenderedPageBreak/>
        <w:t>Wdrożenie dyrektywy do krajowego systemu prawnego (dot. wprowadzenia w życie przepisów ustawowych, wykonaw</w:t>
      </w:r>
      <w:r w:rsidRPr="005B5032">
        <w:softHyphen/>
        <w:t>czych i administracyjnych niezbędnych do wykonania art. 1–18, art. 23 oraz załączników I–V).</w:t>
      </w:r>
    </w:p>
    <w:p w14:paraId="192F6BB0" w14:textId="77777777" w:rsidR="00F06483" w:rsidRPr="005B5032" w:rsidRDefault="00F06483" w:rsidP="000625AC">
      <w:pPr>
        <w:pStyle w:val="Akapitzlist"/>
        <w:numPr>
          <w:ilvl w:val="0"/>
          <w:numId w:val="156"/>
        </w:numPr>
        <w:spacing w:after="80"/>
        <w:ind w:left="431" w:hanging="352"/>
        <w:contextualSpacing w:val="0"/>
      </w:pPr>
      <w:r w:rsidRPr="005B5032">
        <w:t>Przeprowadzenie oceny wielkości wycieków wody pitnej na terytorium kraju.</w:t>
      </w:r>
    </w:p>
    <w:p w14:paraId="4B42F556" w14:textId="77777777" w:rsidR="00F06483" w:rsidRPr="005B5032" w:rsidRDefault="00F06483" w:rsidP="000625AC">
      <w:pPr>
        <w:pStyle w:val="Akapitzlist"/>
        <w:numPr>
          <w:ilvl w:val="0"/>
          <w:numId w:val="156"/>
        </w:numPr>
        <w:spacing w:after="80"/>
        <w:ind w:left="431" w:hanging="352"/>
        <w:contextualSpacing w:val="0"/>
      </w:pPr>
      <w:r w:rsidRPr="005B5032">
        <w:t>Przeprowadzenie po raz pierwszy oceny ryzyka i zarządzanie ryzykiem w obszarach zasilania ujęcia wody przeznaczonej do spożycia przez ludzi.</w:t>
      </w:r>
    </w:p>
    <w:p w14:paraId="62CAB922" w14:textId="77777777" w:rsidR="00F06483" w:rsidRPr="005B5032" w:rsidRDefault="00F06483" w:rsidP="000625AC">
      <w:pPr>
        <w:pStyle w:val="Akapitzlist"/>
        <w:numPr>
          <w:ilvl w:val="0"/>
          <w:numId w:val="156"/>
        </w:numPr>
        <w:spacing w:after="80"/>
        <w:ind w:left="431" w:hanging="352"/>
        <w:contextualSpacing w:val="0"/>
      </w:pPr>
      <w:r w:rsidRPr="005B5032">
        <w:t>Określenie progu wycieków, przekroczenie którego obligować będzie do opracowania krajowego planu działań mających na celu ograniczenie wycieków.</w:t>
      </w:r>
    </w:p>
    <w:p w14:paraId="162D45D7" w14:textId="77777777" w:rsidR="00F06483" w:rsidRPr="005B5032" w:rsidRDefault="00F06483" w:rsidP="000625AC">
      <w:pPr>
        <w:pStyle w:val="Akapitzlist"/>
        <w:numPr>
          <w:ilvl w:val="0"/>
          <w:numId w:val="156"/>
        </w:numPr>
        <w:spacing w:after="80"/>
        <w:ind w:left="431" w:hanging="352"/>
        <w:contextualSpacing w:val="0"/>
      </w:pPr>
      <w:r w:rsidRPr="005B5032">
        <w:t xml:space="preserve">Przeprowadzenie po raz pierwszy oceny ryzyka i zarządzanie ryzykiem w systemie zaopatrzenia. </w:t>
      </w:r>
    </w:p>
    <w:p w14:paraId="61DCFF94" w14:textId="621095CA" w:rsidR="00F06483" w:rsidRPr="005B5032" w:rsidRDefault="00F06483" w:rsidP="000625AC">
      <w:pPr>
        <w:pStyle w:val="Akapitzlist"/>
        <w:numPr>
          <w:ilvl w:val="0"/>
          <w:numId w:val="156"/>
        </w:numPr>
        <w:ind w:left="431" w:hanging="352"/>
        <w:contextualSpacing w:val="0"/>
      </w:pPr>
      <w:r w:rsidRPr="005B5032">
        <w:t xml:space="preserve">Przekazanie do Komisji Europejskiej krajowego planu działania ustanawiającego pakiet środków, które mają zostać zastosowane w celu redukcji wielkości wycieków (dotyczy </w:t>
      </w:r>
      <w:r w:rsidR="00763BA8" w:rsidRPr="005B5032">
        <w:t>przypadku,</w:t>
      </w:r>
      <w:r w:rsidRPr="005B5032">
        <w:t xml:space="preserve"> kiedy wielkość wycieków przekracza próg określony w akcie delegowanym). </w:t>
      </w:r>
    </w:p>
    <w:p w14:paraId="7645ACA0" w14:textId="77777777" w:rsidR="00F06483" w:rsidRDefault="00F06483" w:rsidP="00F06483">
      <w:pPr>
        <w:pStyle w:val="Akapitzlist"/>
        <w:spacing w:line="240" w:lineRule="auto"/>
        <w:textAlignment w:val="baseline"/>
        <w:rPr>
          <w:rFonts w:eastAsia="Times New Roman" w:cs="Times New Roman"/>
          <w:kern w:val="0"/>
          <w:szCs w:val="20"/>
          <w:lang w:eastAsia="pl-PL"/>
          <w14:ligatures w14:val="none"/>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C7820" w14:paraId="00F61519" w14:textId="77777777" w:rsidTr="00B90C74">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9FC6A7D"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ascii="Times New Roman" w:eastAsia="Times New Roman" w:hAnsi="Times New Roman" w:cs="Times New Roman"/>
                <w:noProof/>
                <w:kern w:val="0"/>
                <w:lang w:eastAsia="pl-PL"/>
                <w14:ligatures w14:val="none"/>
              </w:rPr>
              <w:drawing>
                <wp:inline distT="0" distB="0" distL="0" distR="0" wp14:anchorId="21D49CC4" wp14:editId="748ED4B4">
                  <wp:extent cx="622300" cy="622300"/>
                  <wp:effectExtent l="0" t="0" r="6350" b="6350"/>
                  <wp:docPr id="754673388"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2C7820">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38E1AB3"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b/>
                <w:bCs/>
                <w:smallCaps/>
                <w:color w:val="000000"/>
                <w:kern w:val="0"/>
                <w:sz w:val="18"/>
                <w:szCs w:val="18"/>
                <w:lang w:eastAsia="pl-PL"/>
                <w14:ligatures w14:val="none"/>
              </w:rPr>
              <w:t>PODMIOT WIODĄCY</w:t>
            </w:r>
            <w:r w:rsidRPr="002C7820">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DA2FDF9"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b/>
                <w:bCs/>
                <w:color w:val="000000"/>
                <w:kern w:val="0"/>
                <w:sz w:val="18"/>
                <w:szCs w:val="18"/>
                <w:lang w:eastAsia="pl-PL"/>
                <w14:ligatures w14:val="none"/>
              </w:rPr>
              <w:t>PODMIOTY WSPÓŁPRACUJĄCE</w:t>
            </w:r>
            <w:r w:rsidRPr="002C7820">
              <w:rPr>
                <w:rFonts w:eastAsia="Times New Roman" w:cs="Times New Roman"/>
                <w:color w:val="000000"/>
                <w:kern w:val="0"/>
                <w:sz w:val="18"/>
                <w:szCs w:val="18"/>
                <w:lang w:eastAsia="pl-PL"/>
                <w14:ligatures w14:val="none"/>
              </w:rPr>
              <w:t> </w:t>
            </w:r>
          </w:p>
        </w:tc>
      </w:tr>
      <w:tr w:rsidR="003B6773" w:rsidRPr="002C7820" w14:paraId="6F3AE50A" w14:textId="77777777" w:rsidTr="00B90C74">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B94192D" w14:textId="77777777" w:rsidR="00F06483" w:rsidRPr="002C7820"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B96BCEB"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minister wł. ds. gospodarki wodnej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0DA8C90" w14:textId="77777777" w:rsidR="00F06483" w:rsidRDefault="00F06483">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minister wł. ds. gospodarki</w:t>
            </w:r>
          </w:p>
          <w:p w14:paraId="3B4F60A1"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 xml:space="preserve">minister ds. </w:t>
            </w:r>
            <w:r>
              <w:rPr>
                <w:rFonts w:eastAsia="Times New Roman" w:cs="Times New Roman"/>
                <w:color w:val="808080"/>
                <w:kern w:val="0"/>
                <w:sz w:val="18"/>
                <w:szCs w:val="18"/>
                <w:lang w:eastAsia="pl-PL"/>
                <w14:ligatures w14:val="none"/>
              </w:rPr>
              <w:t>europejskich</w:t>
            </w:r>
          </w:p>
        </w:tc>
      </w:tr>
    </w:tbl>
    <w:p w14:paraId="0F9C443C" w14:textId="60DEBD78" w:rsidR="00F06483" w:rsidRPr="00173E66" w:rsidRDefault="00F06483" w:rsidP="00D523F3">
      <w:pPr>
        <w:pStyle w:val="Nagwek6"/>
        <w:rPr>
          <w:lang w:eastAsia="pl-PL"/>
        </w:rPr>
      </w:pPr>
      <w:bookmarkStart w:id="1214" w:name="_Toc195865946"/>
      <w:bookmarkStart w:id="1215" w:name="_Ref195887379"/>
      <w:bookmarkStart w:id="1216" w:name="_Ref195888384"/>
      <w:r w:rsidRPr="00173E66">
        <w:rPr>
          <w:rStyle w:val="Nagwek6Znak"/>
          <w:b/>
          <w:bCs/>
        </w:rPr>
        <w:t xml:space="preserve">Działanie </w:t>
      </w:r>
      <w:r w:rsidRPr="00173E66">
        <w:rPr>
          <w:rStyle w:val="Nagwek6Znak"/>
          <w:b/>
          <w:bCs/>
        </w:rPr>
        <w:fldChar w:fldCharType="begin"/>
      </w:r>
      <w:r w:rsidRPr="00173E66">
        <w:rPr>
          <w:rStyle w:val="Nagwek6Znak"/>
          <w:b/>
          <w:bCs/>
        </w:rPr>
        <w:instrText xml:space="preserve"> SEQ Działanie \* ARABIC </w:instrText>
      </w:r>
      <w:r w:rsidRPr="00173E66">
        <w:rPr>
          <w:rStyle w:val="Nagwek6Znak"/>
          <w:b/>
          <w:bCs/>
        </w:rPr>
        <w:fldChar w:fldCharType="separate"/>
      </w:r>
      <w:r w:rsidR="00871DD5">
        <w:rPr>
          <w:rStyle w:val="Nagwek6Znak"/>
          <w:b/>
          <w:bCs/>
          <w:noProof/>
        </w:rPr>
        <w:t>89</w:t>
      </w:r>
      <w:r w:rsidRPr="00173E66">
        <w:rPr>
          <w:rStyle w:val="Nagwek6Znak"/>
          <w:b/>
          <w:bCs/>
        </w:rPr>
        <w:fldChar w:fldCharType="end"/>
      </w:r>
      <w:r w:rsidRPr="00173E66">
        <w:rPr>
          <w:rStyle w:val="Nagwek6Znak"/>
          <w:b/>
          <w:bCs/>
        </w:rPr>
        <w:t xml:space="preserve">. </w:t>
      </w:r>
      <w:r w:rsidRPr="00173E66">
        <w:rPr>
          <w:lang w:eastAsia="pl-PL"/>
        </w:rPr>
        <w:t>Instrument finansowy – Program Priorytetowy NFOŚiGW – „Moja woda”</w:t>
      </w:r>
      <w:bookmarkEnd w:id="1214"/>
      <w:bookmarkEnd w:id="1215"/>
      <w:bookmarkEnd w:id="1216"/>
      <w:r w:rsidRPr="00173E66">
        <w:rPr>
          <w:lang w:eastAsia="pl-PL"/>
        </w:rPr>
        <w:t> </w:t>
      </w:r>
    </w:p>
    <w:p w14:paraId="4C45AECE" w14:textId="42BE41EF" w:rsidR="00F54F37" w:rsidRDefault="00F54F37" w:rsidP="00B90C74">
      <w:pPr>
        <w:rPr>
          <w:rFonts w:ascii="Aptos" w:hAnsi="Aptos"/>
        </w:rPr>
      </w:pPr>
      <w:r>
        <w:t>Działanie polega na wspieraniu rozwiązań umożliwiających retencję i wykorzystanie wód opadowych, w tym spływających z dachów, oraz wód roztopowych na terenie posesji. Program zapewnia dofinansowanie między innymi na montaż naziemnych i podziemnych zbiorników, ogrodów deszczowych, muld chłonnych, pomp, filtrów oraz systemów nawadniania.</w:t>
      </w:r>
    </w:p>
    <w:p w14:paraId="0546AA10" w14:textId="010A4B9A" w:rsidR="00F06483" w:rsidRPr="005B5032" w:rsidRDefault="00F54F37" w:rsidP="005B5032">
      <w:pPr>
        <w:spacing w:after="240"/>
      </w:pPr>
      <w:r>
        <w:t>Program powinien być rozwijany w kierunku wsparcia również systemów pozwalających oczyszczać wodę deszczową do potrzeb bytowych, takich jak mycie czy pranie, a także instalacji umożliwiających ponowne wykorzystanie wody szarej do spłukiwania toalet oraz systemów umożliwiających jej uzdatnianie i</w:t>
      </w:r>
      <w:r w:rsidR="00846FC6">
        <w:t> </w:t>
      </w:r>
      <w:r>
        <w:t>zatrzymywanie (rozprowadzanie) na posesji. Takie rozwiązania tworzą zamknięty obieg wody i</w:t>
      </w:r>
      <w:r w:rsidR="00846FC6">
        <w:t> </w:t>
      </w:r>
      <w:r>
        <w:t>zwiększają retencję opadów bezpośrednio w miejscu ich występowania.</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C7820" w14:paraId="30416638" w14:textId="77777777" w:rsidTr="00B90C74">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2F6E555"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ascii="Times New Roman" w:eastAsia="Times New Roman" w:hAnsi="Times New Roman" w:cs="Times New Roman"/>
                <w:noProof/>
                <w:kern w:val="0"/>
                <w:lang w:eastAsia="pl-PL"/>
                <w14:ligatures w14:val="none"/>
              </w:rPr>
              <w:drawing>
                <wp:inline distT="0" distB="0" distL="0" distR="0" wp14:anchorId="3CFD009D" wp14:editId="510D533D">
                  <wp:extent cx="622300" cy="622300"/>
                  <wp:effectExtent l="0" t="0" r="6350" b="6350"/>
                  <wp:docPr id="1922710234"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2C7820">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4C8A639"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b/>
                <w:bCs/>
                <w:smallCaps/>
                <w:color w:val="000000"/>
                <w:kern w:val="0"/>
                <w:sz w:val="18"/>
                <w:szCs w:val="18"/>
                <w:lang w:eastAsia="pl-PL"/>
                <w14:ligatures w14:val="none"/>
              </w:rPr>
              <w:t>PODMIOT WIODĄCY</w:t>
            </w:r>
            <w:r w:rsidRPr="002C7820">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09DC954"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b/>
                <w:bCs/>
                <w:color w:val="000000"/>
                <w:kern w:val="0"/>
                <w:sz w:val="18"/>
                <w:szCs w:val="18"/>
                <w:lang w:eastAsia="pl-PL"/>
                <w14:ligatures w14:val="none"/>
              </w:rPr>
              <w:t>PODMIOTY WSPÓŁPRACUJĄCE</w:t>
            </w:r>
            <w:r w:rsidRPr="002C7820">
              <w:rPr>
                <w:rFonts w:eastAsia="Times New Roman" w:cs="Times New Roman"/>
                <w:color w:val="000000"/>
                <w:kern w:val="0"/>
                <w:sz w:val="18"/>
                <w:szCs w:val="18"/>
                <w:lang w:eastAsia="pl-PL"/>
                <w14:ligatures w14:val="none"/>
              </w:rPr>
              <w:t> </w:t>
            </w:r>
          </w:p>
        </w:tc>
      </w:tr>
      <w:tr w:rsidR="003B6773" w:rsidRPr="002C7820" w14:paraId="5A4DA326" w14:textId="77777777" w:rsidTr="00B90C74">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7FB4FDA" w14:textId="77777777" w:rsidR="00F06483" w:rsidRPr="002C7820"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F335268"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 xml:space="preserve">minister wł. ds. </w:t>
            </w:r>
            <w:r>
              <w:rPr>
                <w:rFonts w:eastAsia="Times New Roman" w:cs="Times New Roman"/>
                <w:color w:val="808080"/>
                <w:kern w:val="0"/>
                <w:sz w:val="18"/>
                <w:szCs w:val="18"/>
                <w:lang w:eastAsia="pl-PL"/>
                <w14:ligatures w14:val="none"/>
              </w:rPr>
              <w:t>klimatu</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EED556B"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sidRPr="002C7820">
              <w:rPr>
                <w:rFonts w:eastAsia="Times New Roman" w:cs="Times New Roman"/>
                <w:color w:val="808080"/>
                <w:kern w:val="0"/>
                <w:sz w:val="18"/>
                <w:szCs w:val="18"/>
                <w:lang w:eastAsia="pl-PL"/>
                <w14:ligatures w14:val="none"/>
              </w:rPr>
              <w:t>minister wł. ds. środowiska </w:t>
            </w:r>
          </w:p>
          <w:p w14:paraId="01F2CA75" w14:textId="77777777" w:rsidR="00F06483" w:rsidRPr="002C7820" w:rsidRDefault="00F06483">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NFOŚiGW</w:t>
            </w:r>
          </w:p>
        </w:tc>
      </w:tr>
    </w:tbl>
    <w:p w14:paraId="08A78769" w14:textId="7FA15A7D" w:rsidR="00F06483" w:rsidRPr="00AA38CA" w:rsidRDefault="00F06483" w:rsidP="00E774BB">
      <w:pPr>
        <w:pStyle w:val="Nagwek6"/>
        <w:rPr>
          <w:rFonts w:ascii="Times New Roman" w:hAnsi="Times New Roman"/>
          <w:lang w:eastAsia="pl-PL"/>
        </w:rPr>
      </w:pPr>
      <w:bookmarkStart w:id="1217" w:name="_Toc195865947"/>
      <w:bookmarkStart w:id="1218" w:name="_Ref195887385"/>
      <w:bookmarkStart w:id="1219" w:name="_Ref195888378"/>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90</w:t>
      </w:r>
      <w:r w:rsidRPr="00FB68C2">
        <w:rPr>
          <w:rStyle w:val="Nagwek6Znak"/>
          <w:b/>
          <w:bCs/>
        </w:rPr>
        <w:fldChar w:fldCharType="end"/>
      </w:r>
      <w:r w:rsidRPr="00FB68C2">
        <w:rPr>
          <w:rStyle w:val="Nagwek6Znak"/>
          <w:b/>
          <w:bCs/>
        </w:rPr>
        <w:t xml:space="preserve">. </w:t>
      </w:r>
      <w:r w:rsidRPr="00AA38CA">
        <w:rPr>
          <w:color w:val="000000"/>
          <w:lang w:eastAsia="pl-PL"/>
        </w:rPr>
        <w:t>Wsparcie rozwoju gospodarki wodno-ściekowej</w:t>
      </w:r>
      <w:bookmarkEnd w:id="1217"/>
      <w:bookmarkEnd w:id="1218"/>
      <w:bookmarkEnd w:id="1219"/>
    </w:p>
    <w:p w14:paraId="60F02E61" w14:textId="0302F544" w:rsidR="00F06483" w:rsidRPr="006A782B" w:rsidRDefault="00F06483" w:rsidP="006A782B">
      <w:r w:rsidRPr="00901FEA">
        <w:t xml:space="preserve">W </w:t>
      </w:r>
      <w:r w:rsidR="00B90C74">
        <w:rPr>
          <w:lang w:eastAsia="pl-PL"/>
        </w:rPr>
        <w:t>2024 r. przyjęta została</w:t>
      </w:r>
      <w:r w:rsidRPr="00901FEA">
        <w:t xml:space="preserve"> dyrektywa </w:t>
      </w:r>
      <w:r w:rsidR="00B90C74">
        <w:rPr>
          <w:lang w:eastAsia="pl-PL"/>
        </w:rPr>
        <w:t>PE</w:t>
      </w:r>
      <w:r w:rsidR="00B90C74" w:rsidRPr="00901FEA">
        <w:t xml:space="preserve"> </w:t>
      </w:r>
      <w:r w:rsidRPr="00901FEA">
        <w:t xml:space="preserve">i </w:t>
      </w:r>
      <w:r w:rsidRPr="006A782B">
        <w:t>Rady (UE) 2024/3019 z dnia 27 listopada 2024 r. dotycząca oczyszczania ścieków komunalnych (wersja przekształcona). Przekształcona dyrektywa wprowadza „oczyszczanie czwartego stopnia”, które polega na usuwaniu szerokiego spektrum mikrozanieczyszczeń, takich jak substancje pochodzące z leków, kosmetyków oraz mikroplastiku. W związku z powyższym w</w:t>
      </w:r>
      <w:r w:rsidR="00B90C74">
        <w:rPr>
          <w:lang w:eastAsia="pl-PL"/>
        </w:rPr>
        <w:t> </w:t>
      </w:r>
      <w:r w:rsidRPr="006A782B">
        <w:t>realizowanych inwestycjach z zakresu gospodarki wodno-kanalizacyjnej w najbliższych latach należy promować rozwiązania zgodne z zasadami gospodarki obiegu zamkniętego. Kluczowe znaczenie ma oczyszczanie osadów ściekowych z antybiotyków, pestycydów oraz mikroplastiku, a następnie odzyskiwanie cennych biogenów, które mogą być wykorzystane jako nawozy i</w:t>
      </w:r>
      <w:r w:rsidR="00B90C74">
        <w:rPr>
          <w:lang w:eastAsia="pl-PL"/>
        </w:rPr>
        <w:t> </w:t>
      </w:r>
      <w:r w:rsidRPr="006A782B">
        <w:t>polepszacze gleby w</w:t>
      </w:r>
      <w:r w:rsidR="00B90C74">
        <w:rPr>
          <w:lang w:eastAsia="pl-PL"/>
        </w:rPr>
        <w:t> </w:t>
      </w:r>
      <w:r w:rsidRPr="006A782B">
        <w:t>rolnictwie oraz ogrodnictwie. Ważnym elementem jest także maksymalne odzyskiwanie wody (nawet powyżej 50%), z przeznaczeniem do ponownego wykorzystania na potrzeby komunalne, przemysłowe i</w:t>
      </w:r>
      <w:r w:rsidR="00846FC6">
        <w:t> </w:t>
      </w:r>
      <w:r w:rsidRPr="006A782B">
        <w:t>inne. Ponadto należy wdrażać rozwiązania umożliwiające produkcję energii, np. poprzez biogazownie, na potrzeby własne oczyszczalni.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7AC24965" w14:textId="77777777" w:rsidTr="00B90C74">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9302B0F"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lastRenderedPageBreak/>
              <w:drawing>
                <wp:inline distT="0" distB="0" distL="0" distR="0" wp14:anchorId="073F1A97" wp14:editId="1AEBB4A7">
                  <wp:extent cx="622300" cy="622300"/>
                  <wp:effectExtent l="0" t="0" r="6350" b="6350"/>
                  <wp:docPr id="869629934" name="Obraz 1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7F0C6E6"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B0B477C"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3C3658BB" w14:textId="77777777" w:rsidTr="00B90C74">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A869085"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762F649" w14:textId="4AAB55BD"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sidR="000C26AA">
              <w:rPr>
                <w:rFonts w:eastAsia="Times New Roman" w:cs="Times New Roman"/>
                <w:color w:val="808080"/>
                <w:kern w:val="0"/>
                <w:sz w:val="18"/>
                <w:szCs w:val="18"/>
                <w:lang w:eastAsia="pl-PL"/>
                <w14:ligatures w14:val="none"/>
              </w:rPr>
              <w:t>gospodarki wodnej</w:t>
            </w:r>
            <w:r w:rsidR="00974007">
              <w:rPr>
                <w:rFonts w:eastAsia="Times New Roman" w:cs="Times New Roman"/>
                <w:color w:val="808080"/>
                <w:kern w:val="0"/>
                <w:sz w:val="18"/>
                <w:szCs w:val="18"/>
                <w:lang w:eastAsia="pl-PL"/>
                <w14:ligatures w14:val="none"/>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A8F42A8" w14:textId="7F025C8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sidR="00C41BAD">
              <w:rPr>
                <w:rFonts w:eastAsia="Times New Roman" w:cs="Times New Roman"/>
                <w:color w:val="808080"/>
                <w:kern w:val="0"/>
                <w:sz w:val="18"/>
                <w:szCs w:val="18"/>
                <w:lang w:eastAsia="pl-PL"/>
                <w14:ligatures w14:val="none"/>
              </w:rPr>
              <w:t>klimatu</w:t>
            </w:r>
            <w:r w:rsidRPr="00AA38CA">
              <w:rPr>
                <w:rFonts w:eastAsia="Times New Roman" w:cs="Times New Roman"/>
                <w:color w:val="808080"/>
                <w:kern w:val="0"/>
                <w:sz w:val="18"/>
                <w:szCs w:val="18"/>
                <w:lang w:eastAsia="pl-PL"/>
                <w14:ligatures w14:val="none"/>
              </w:rPr>
              <w:t> </w:t>
            </w:r>
          </w:p>
          <w:p w14:paraId="44FD15B3"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środowiska </w:t>
            </w:r>
          </w:p>
        </w:tc>
      </w:tr>
    </w:tbl>
    <w:p w14:paraId="0BF6DC92" w14:textId="523165A2" w:rsidR="00F06483" w:rsidRPr="00FB68C2" w:rsidRDefault="00F06483" w:rsidP="00D523F3">
      <w:pPr>
        <w:pStyle w:val="Nagwek6"/>
        <w:rPr>
          <w:rFonts w:ascii="Times New Roman" w:eastAsia="Times New Roman" w:hAnsi="Times New Roman" w:cs="Times New Roman"/>
          <w:kern w:val="0"/>
          <w:lang w:eastAsia="pl-PL"/>
          <w14:ligatures w14:val="none"/>
        </w:rPr>
      </w:pPr>
      <w:bookmarkStart w:id="1220" w:name="_Toc195865948"/>
      <w:bookmarkStart w:id="1221" w:name="_Ref195887433"/>
      <w:bookmarkStart w:id="1222" w:name="_Ref197337737"/>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91</w:t>
      </w:r>
      <w:r w:rsidRPr="00FB68C2">
        <w:rPr>
          <w:rStyle w:val="Nagwek6Znak"/>
          <w:b/>
          <w:bCs/>
        </w:rPr>
        <w:fldChar w:fldCharType="end"/>
      </w:r>
      <w:r w:rsidRPr="00FB68C2">
        <w:rPr>
          <w:rStyle w:val="Nagwek6Znak"/>
          <w:b/>
          <w:bCs/>
        </w:rPr>
        <w:t xml:space="preserve">. </w:t>
      </w:r>
      <w:bookmarkEnd w:id="1209"/>
      <w:r w:rsidR="00C62574">
        <w:rPr>
          <w:rStyle w:val="Nagwek6Znak"/>
          <w:b/>
          <w:bCs/>
        </w:rPr>
        <w:t>Prowadzenie m</w:t>
      </w:r>
      <w:r w:rsidRPr="00FB68C2">
        <w:rPr>
          <w:rStyle w:val="Nagwek6Znak"/>
          <w:b/>
          <w:bCs/>
        </w:rPr>
        <w:t>onitoring</w:t>
      </w:r>
      <w:r w:rsidR="00C62574">
        <w:rPr>
          <w:rStyle w:val="Nagwek6Znak"/>
          <w:b/>
          <w:bCs/>
        </w:rPr>
        <w:t>u</w:t>
      </w:r>
      <w:r w:rsidRPr="00FB68C2">
        <w:rPr>
          <w:rFonts w:eastAsia="Times New Roman" w:cs="Times New Roman"/>
          <w:color w:val="000000"/>
          <w:kern w:val="0"/>
          <w:lang w:eastAsia="pl-PL"/>
          <w14:ligatures w14:val="none"/>
        </w:rPr>
        <w:t xml:space="preserve"> </w:t>
      </w:r>
      <w:r w:rsidRPr="00FB68C2">
        <w:t>gleb</w:t>
      </w:r>
      <w:bookmarkEnd w:id="1220"/>
      <w:bookmarkEnd w:id="1221"/>
      <w:bookmarkEnd w:id="1222"/>
      <w:r w:rsidRPr="00FB68C2">
        <w:rPr>
          <w:rFonts w:eastAsia="Times New Roman" w:cs="Times New Roman"/>
          <w:color w:val="000000"/>
          <w:kern w:val="0"/>
          <w:lang w:eastAsia="pl-PL"/>
          <w14:ligatures w14:val="none"/>
        </w:rPr>
        <w:t> </w:t>
      </w:r>
    </w:p>
    <w:p w14:paraId="18789054" w14:textId="05711711" w:rsidR="00F06483" w:rsidRPr="00AA38CA" w:rsidRDefault="00F06483" w:rsidP="00F06483">
      <w:pPr>
        <w:spacing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kern w:val="0"/>
          <w:szCs w:val="20"/>
          <w:lang w:eastAsia="pl-PL"/>
          <w14:ligatures w14:val="none"/>
        </w:rPr>
        <w:t xml:space="preserve">Działanie polega na opracowaniu nowej koncepcji monitoringu zdrowia gleb, który będzie obejmował gleby użytkowane w różny sposób, tj. gleby rolne, leśne, </w:t>
      </w:r>
      <w:r w:rsidR="00C62574">
        <w:rPr>
          <w:rFonts w:eastAsia="Times New Roman" w:cs="Times New Roman"/>
          <w:kern w:val="0"/>
          <w:szCs w:val="20"/>
          <w:lang w:eastAsia="pl-PL"/>
          <w14:ligatures w14:val="none"/>
        </w:rPr>
        <w:t xml:space="preserve">zabudowane i położone w obrębie infrastruktury komunikacyjnej </w:t>
      </w:r>
      <w:r w:rsidRPr="00AA38CA">
        <w:rPr>
          <w:rFonts w:eastAsia="Times New Roman" w:cs="Times New Roman"/>
          <w:kern w:val="0"/>
          <w:szCs w:val="20"/>
          <w:lang w:eastAsia="pl-PL"/>
          <w14:ligatures w14:val="none"/>
        </w:rPr>
        <w:t>i przemysłowe</w:t>
      </w:r>
      <w:r w:rsidR="00C62574">
        <w:rPr>
          <w:rFonts w:eastAsia="Times New Roman" w:cs="Times New Roman"/>
          <w:kern w:val="0"/>
          <w:szCs w:val="20"/>
          <w:lang w:eastAsia="pl-PL"/>
          <w14:ligatures w14:val="none"/>
        </w:rPr>
        <w:t>j</w:t>
      </w:r>
      <w:r w:rsidR="004B1503">
        <w:rPr>
          <w:rFonts w:eastAsia="Times New Roman" w:cs="Times New Roman"/>
          <w:kern w:val="0"/>
          <w:szCs w:val="20"/>
          <w:lang w:eastAsia="pl-PL"/>
          <w14:ligatures w14:val="none"/>
        </w:rPr>
        <w:t xml:space="preserve"> </w:t>
      </w:r>
      <w:r w:rsidRPr="00AA38CA">
        <w:rPr>
          <w:rFonts w:eastAsia="Times New Roman" w:cs="Times New Roman"/>
          <w:kern w:val="0"/>
          <w:szCs w:val="20"/>
          <w:lang w:eastAsia="pl-PL"/>
          <w14:ligatures w14:val="none"/>
        </w:rPr>
        <w:t xml:space="preserve">zgodnie z zapisami unijnej </w:t>
      </w:r>
      <w:r w:rsidRPr="001B1ED1">
        <w:rPr>
          <w:i/>
          <w:kern w:val="0"/>
          <w14:ligatures w14:val="none"/>
        </w:rPr>
        <w:t>Strategii na rzecz ochrony gleb 2030</w:t>
      </w:r>
      <w:r w:rsidRPr="00B90C74">
        <w:rPr>
          <w:rFonts w:eastAsia="Times New Roman" w:cs="Times New Roman"/>
          <w:kern w:val="0"/>
          <w:szCs w:val="20"/>
          <w:lang w:eastAsia="pl-PL"/>
          <w14:ligatures w14:val="none"/>
        </w:rPr>
        <w:t xml:space="preserve">. </w:t>
      </w:r>
      <w:r w:rsidRPr="001B1ED1">
        <w:rPr>
          <w:kern w:val="0"/>
          <w14:ligatures w14:val="none"/>
        </w:rPr>
        <w:t>Korzyści ze zdrowych gleb dla ludzi, żywności, przyrody i klimatu</w:t>
      </w:r>
      <w:r w:rsidRPr="00B90C74">
        <w:rPr>
          <w:rFonts w:eastAsia="Times New Roman" w:cs="Times New Roman"/>
          <w:kern w:val="0"/>
          <w:szCs w:val="20"/>
          <w:lang w:eastAsia="pl-PL"/>
          <w14:ligatures w14:val="none"/>
        </w:rPr>
        <w:t xml:space="preserve"> oraz propozycją dyrektywy w sprawie moni</w:t>
      </w:r>
      <w:r w:rsidRPr="00AA38CA">
        <w:rPr>
          <w:rFonts w:eastAsia="Times New Roman" w:cs="Times New Roman"/>
          <w:kern w:val="0"/>
          <w:szCs w:val="20"/>
          <w:lang w:eastAsia="pl-PL"/>
          <w14:ligatures w14:val="none"/>
        </w:rPr>
        <w:t>torowania i odporności gleb (</w:t>
      </w:r>
      <w:r w:rsidR="00B90C74">
        <w:rPr>
          <w:rFonts w:eastAsia="Times New Roman" w:cs="Times New Roman"/>
          <w:kern w:val="0"/>
          <w:szCs w:val="20"/>
          <w:lang w:eastAsia="pl-PL"/>
          <w14:ligatures w14:val="none"/>
        </w:rPr>
        <w:t>P</w:t>
      </w:r>
      <w:r w:rsidRPr="00AA38CA">
        <w:rPr>
          <w:rFonts w:eastAsia="Times New Roman" w:cs="Times New Roman"/>
          <w:kern w:val="0"/>
          <w:szCs w:val="20"/>
          <w:lang w:eastAsia="pl-PL"/>
          <w14:ligatures w14:val="none"/>
        </w:rPr>
        <w:t>rawo o monitorowaniu gleb (COM(2023) 416 final).</w:t>
      </w:r>
      <w:r w:rsidR="003E2DE5">
        <w:rPr>
          <w:rFonts w:eastAsia="Times New Roman" w:cs="Times New Roman"/>
          <w:kern w:val="0"/>
          <w:szCs w:val="20"/>
          <w:lang w:eastAsia="pl-PL"/>
          <w14:ligatures w14:val="none"/>
        </w:rPr>
        <w:t xml:space="preserve"> </w:t>
      </w:r>
    </w:p>
    <w:p w14:paraId="64459E56" w14:textId="5E8EA883" w:rsidR="00F06483" w:rsidRPr="00AA38CA" w:rsidRDefault="00F06483" w:rsidP="00F06483">
      <w:pPr>
        <w:spacing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kern w:val="0"/>
          <w:szCs w:val="20"/>
          <w:lang w:eastAsia="pl-PL"/>
          <w14:ligatures w14:val="none"/>
        </w:rPr>
        <w:t>Polska jako kraj członkowski UE będzie wdrażała zasady monitorowania gleb w sposób opisany w</w:t>
      </w:r>
      <w:r w:rsidR="00B90C74">
        <w:rPr>
          <w:rFonts w:eastAsia="Times New Roman" w:cs="Times New Roman"/>
          <w:kern w:val="0"/>
          <w:szCs w:val="20"/>
          <w:lang w:eastAsia="pl-PL"/>
          <w14:ligatures w14:val="none"/>
        </w:rPr>
        <w:t> powyższym dokumencie</w:t>
      </w:r>
      <w:r w:rsidRPr="00AA38CA">
        <w:rPr>
          <w:rFonts w:eastAsia="Times New Roman" w:cs="Times New Roman"/>
          <w:kern w:val="0"/>
          <w:szCs w:val="20"/>
          <w:lang w:eastAsia="pl-PL"/>
          <w14:ligatures w14:val="none"/>
        </w:rPr>
        <w:t>, w tym wymagania w zakresie wyznaczenia liczby punktów monitoringowych na gruntach o różnym sposobie użytkowania oraz zastosowania parametrów oceny zdrowia gleb. Jednym ze wskaźników do zastosowania jest monitorowanie utraty węgla organicznego w glebie, w tym glebach organicznych i mineralnych, które zostały zdefiniowane w Wytycznych IPCC z 2006</w:t>
      </w:r>
      <w:r w:rsidR="00B90C74">
        <w:rPr>
          <w:rFonts w:eastAsia="Times New Roman" w:cs="Times New Roman"/>
          <w:kern w:val="0"/>
          <w:szCs w:val="20"/>
          <w:lang w:eastAsia="pl-PL"/>
          <w14:ligatures w14:val="none"/>
        </w:rPr>
        <w:t xml:space="preserve"> r. </w:t>
      </w:r>
      <w:r w:rsidRPr="00AA38CA">
        <w:rPr>
          <w:rFonts w:eastAsia="Times New Roman" w:cs="Times New Roman"/>
          <w:kern w:val="0"/>
          <w:szCs w:val="20"/>
          <w:lang w:eastAsia="pl-PL"/>
          <w14:ligatures w14:val="none"/>
        </w:rPr>
        <w:t>i materiałach uzupełniających z 2013 r. Polska definiując jednostki glebowe według zasad określonych w propozycji dyrektywy o monitorowaniu gleb w szczególności powinna uwzględnić gleby organiczne oraz zlokalizować na tych glebach statystycznie istotną liczbę punktów kontrolnych, która zapewni kontrolę ich stanu i umożliwi ocenę emisji.</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0D4D0478" w14:textId="77777777" w:rsidTr="00B90C74">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DD82F71"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5F7E1B12" wp14:editId="03E1686B">
                  <wp:extent cx="622300" cy="622300"/>
                  <wp:effectExtent l="0" t="0" r="6350" b="6350"/>
                  <wp:docPr id="31"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9A0F8F6"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F7BD952"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41BFA946" w14:textId="77777777" w:rsidTr="00B90C74">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EB135BA"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F66FB02" w14:textId="009965C9"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klimatu</w:t>
            </w:r>
            <w:r w:rsidR="003E2DE5">
              <w:rPr>
                <w:rFonts w:eastAsia="Times New Roman" w:cs="Times New Roman"/>
                <w:color w:val="808080"/>
                <w:kern w:val="0"/>
                <w:sz w:val="18"/>
                <w:szCs w:val="18"/>
                <w:lang w:eastAsia="pl-PL"/>
                <w14:ligatures w14:val="none"/>
              </w:rPr>
              <w:t xml:space="preserve"> </w:t>
            </w:r>
          </w:p>
          <w:p w14:paraId="3CB85EC8"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818FD72"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rolnictwa </w:t>
            </w:r>
          </w:p>
        </w:tc>
      </w:tr>
    </w:tbl>
    <w:p w14:paraId="1F26FB77" w14:textId="7FDD2B2F" w:rsidR="00F06483" w:rsidRPr="00FB68C2" w:rsidRDefault="00F06483" w:rsidP="00AB2606">
      <w:pPr>
        <w:pStyle w:val="Nagwek6"/>
      </w:pPr>
      <w:bookmarkStart w:id="1223" w:name="_Toc195865949"/>
      <w:bookmarkStart w:id="1224" w:name="_Ref195887442"/>
      <w:bookmarkStart w:id="1225" w:name="_Ref195888370"/>
      <w:bookmarkStart w:id="1226" w:name="_Ref202264456"/>
      <w:r w:rsidRPr="00FB68C2">
        <w:t xml:space="preserve">Działanie </w:t>
      </w:r>
      <w:r>
        <w:fldChar w:fldCharType="begin"/>
      </w:r>
      <w:r>
        <w:instrText>SEQ Działanie \* ARABIC</w:instrText>
      </w:r>
      <w:r>
        <w:fldChar w:fldCharType="separate"/>
      </w:r>
      <w:r w:rsidR="00871DD5">
        <w:rPr>
          <w:noProof/>
        </w:rPr>
        <w:t>92</w:t>
      </w:r>
      <w:r>
        <w:fldChar w:fldCharType="end"/>
      </w:r>
      <w:r w:rsidRPr="00FB68C2">
        <w:t xml:space="preserve">. </w:t>
      </w:r>
      <w:r w:rsidR="00D769FE" w:rsidRPr="00D769FE">
        <w:t>Identyfikacja i remediacja miejsc, w których występuje zanieczyszczenie powierzchni ziemi</w:t>
      </w:r>
      <w:bookmarkEnd w:id="1223"/>
      <w:bookmarkEnd w:id="1224"/>
      <w:bookmarkEnd w:id="1225"/>
      <w:bookmarkEnd w:id="1226"/>
      <w:r w:rsidR="00974007">
        <w:t xml:space="preserve">  </w:t>
      </w:r>
    </w:p>
    <w:p w14:paraId="3589CDE3" w14:textId="03232D9D" w:rsidR="00F06483" w:rsidRDefault="00F06483" w:rsidP="00F06483">
      <w:pPr>
        <w:spacing w:line="240" w:lineRule="auto"/>
        <w:textAlignment w:val="baseline"/>
        <w:rPr>
          <w:rFonts w:eastAsia="Times New Roman" w:cs="Times New Roman"/>
          <w:kern w:val="0"/>
          <w:szCs w:val="20"/>
          <w:lang w:eastAsia="pl-PL"/>
          <w14:ligatures w14:val="none"/>
        </w:rPr>
      </w:pPr>
      <w:r w:rsidRPr="00AA38CA">
        <w:rPr>
          <w:rFonts w:eastAsia="Times New Roman" w:cs="Times New Roman"/>
          <w:kern w:val="0"/>
          <w:szCs w:val="20"/>
          <w:lang w:eastAsia="pl-PL"/>
          <w14:ligatures w14:val="none"/>
        </w:rPr>
        <w:t xml:space="preserve">Działanie ma na celu kontynuowanie identyfikacji miejsc, gdzie występuje </w:t>
      </w:r>
      <w:r>
        <w:rPr>
          <w:rFonts w:eastAsia="Times New Roman" w:cs="Times New Roman"/>
          <w:kern w:val="0"/>
          <w:szCs w:val="20"/>
          <w:lang w:eastAsia="pl-PL"/>
          <w14:ligatures w14:val="none"/>
        </w:rPr>
        <w:t xml:space="preserve">degradacja środowiska poprzez m.in. </w:t>
      </w:r>
      <w:r w:rsidRPr="00AA38CA">
        <w:rPr>
          <w:rFonts w:eastAsia="Times New Roman" w:cs="Times New Roman"/>
          <w:kern w:val="0"/>
          <w:szCs w:val="20"/>
          <w:lang w:eastAsia="pl-PL"/>
          <w14:ligatures w14:val="none"/>
        </w:rPr>
        <w:t>zanieczyszczenie gleby</w:t>
      </w:r>
      <w:r w:rsidR="00854A22">
        <w:rPr>
          <w:rFonts w:eastAsia="Times New Roman" w:cs="Times New Roman"/>
          <w:kern w:val="0"/>
          <w:szCs w:val="20"/>
          <w:lang w:eastAsia="pl-PL"/>
          <w14:ligatures w14:val="none"/>
        </w:rPr>
        <w:t xml:space="preserve"> lub</w:t>
      </w:r>
      <w:r>
        <w:rPr>
          <w:rFonts w:eastAsia="Times New Roman" w:cs="Times New Roman"/>
          <w:kern w:val="0"/>
          <w:szCs w:val="20"/>
          <w:lang w:eastAsia="pl-PL"/>
          <w14:ligatures w14:val="none"/>
        </w:rPr>
        <w:t xml:space="preserve"> </w:t>
      </w:r>
      <w:r w:rsidRPr="00AA38CA">
        <w:rPr>
          <w:rFonts w:eastAsia="Times New Roman" w:cs="Times New Roman"/>
          <w:kern w:val="0"/>
          <w:szCs w:val="20"/>
          <w:lang w:eastAsia="pl-PL"/>
          <w14:ligatures w14:val="none"/>
        </w:rPr>
        <w:t>ziemi</w:t>
      </w:r>
      <w:r w:rsidR="00B36714">
        <w:rPr>
          <w:rFonts w:eastAsia="Times New Roman" w:cs="Times New Roman"/>
          <w:kern w:val="0"/>
          <w:szCs w:val="20"/>
          <w:lang w:eastAsia="pl-PL"/>
          <w14:ligatures w14:val="none"/>
        </w:rPr>
        <w:t xml:space="preserve"> </w:t>
      </w:r>
      <w:r w:rsidR="00133109" w:rsidRPr="00133109">
        <w:rPr>
          <w:rFonts w:eastAsia="Times New Roman" w:cs="Times New Roman"/>
          <w:kern w:val="0"/>
          <w:szCs w:val="20"/>
          <w:lang w:eastAsia="pl-PL"/>
          <w14:ligatures w14:val="none"/>
        </w:rPr>
        <w:t>substancjami powodującymi ryzyko w ilościach stwarzających zagrożenie dla zdrowia ludzi lub stanu środowiska</w:t>
      </w:r>
      <w:r w:rsidRPr="00AA38CA">
        <w:rPr>
          <w:rFonts w:eastAsia="Times New Roman" w:cs="Times New Roman"/>
          <w:kern w:val="0"/>
          <w:szCs w:val="20"/>
          <w:lang w:eastAsia="pl-PL"/>
          <w14:ligatures w14:val="none"/>
        </w:rPr>
        <w:t>. W</w:t>
      </w:r>
      <w:r>
        <w:rPr>
          <w:rFonts w:eastAsia="Times New Roman" w:cs="Times New Roman"/>
          <w:kern w:val="0"/>
          <w:szCs w:val="20"/>
          <w:lang w:eastAsia="pl-PL"/>
          <w14:ligatures w14:val="none"/>
        </w:rPr>
        <w:t> </w:t>
      </w:r>
      <w:r w:rsidRPr="00AA38CA">
        <w:rPr>
          <w:rFonts w:eastAsia="Times New Roman" w:cs="Times New Roman"/>
          <w:kern w:val="0"/>
          <w:szCs w:val="20"/>
          <w:lang w:eastAsia="pl-PL"/>
          <w14:ligatures w14:val="none"/>
        </w:rPr>
        <w:t>pierwszej kolejności ocenie pod względem zanieczyszczenia będą podlegały miejsca, w których jest prowadzona aktualnie</w:t>
      </w:r>
      <w:r w:rsidRPr="000B394B">
        <w:rPr>
          <w:rFonts w:eastAsia="Times New Roman" w:cs="Times New Roman"/>
          <w:kern w:val="0"/>
          <w:szCs w:val="20"/>
          <w:lang w:eastAsia="pl-PL"/>
          <w14:ligatures w14:val="none"/>
        </w:rPr>
        <w:t xml:space="preserve"> </w:t>
      </w:r>
      <w:r w:rsidRPr="00AA38CA">
        <w:rPr>
          <w:rFonts w:eastAsia="Times New Roman" w:cs="Times New Roman"/>
          <w:kern w:val="0"/>
          <w:szCs w:val="20"/>
          <w:lang w:eastAsia="pl-PL"/>
          <w14:ligatures w14:val="none"/>
        </w:rPr>
        <w:t>działalność</w:t>
      </w:r>
      <w:r>
        <w:rPr>
          <w:rFonts w:eastAsia="Times New Roman" w:cs="Times New Roman"/>
          <w:kern w:val="0"/>
          <w:szCs w:val="20"/>
          <w:lang w:eastAsia="pl-PL"/>
          <w14:ligatures w14:val="none"/>
        </w:rPr>
        <w:t>,</w:t>
      </w:r>
      <w:r w:rsidRPr="00AA38CA">
        <w:rPr>
          <w:rFonts w:eastAsia="Times New Roman" w:cs="Times New Roman"/>
          <w:kern w:val="0"/>
          <w:szCs w:val="20"/>
          <w:lang w:eastAsia="pl-PL"/>
          <w14:ligatures w14:val="none"/>
        </w:rPr>
        <w:t xml:space="preserve"> bądź była prowadzona w przeszłości, która mogła przyczynić się do zanieczyszczenia gleby lub ziemi. Weryfikacji będzie również podlegała lista takich działalności. </w:t>
      </w:r>
      <w:r w:rsidR="00723FAC" w:rsidRPr="00723FAC">
        <w:rPr>
          <w:rFonts w:eastAsia="Times New Roman" w:cs="Times New Roman"/>
          <w:kern w:val="0"/>
          <w:szCs w:val="20"/>
          <w:lang w:eastAsia="pl-PL"/>
          <w14:ligatures w14:val="none"/>
        </w:rPr>
        <w:t>W przypadku stwierdzenia zanieczyszczenia prowadzona będzie remediacja gleby lub ziemi</w:t>
      </w:r>
      <w:r w:rsidR="00723FAC">
        <w:rPr>
          <w:rFonts w:eastAsia="Times New Roman" w:cs="Times New Roman"/>
          <w:kern w:val="0"/>
          <w:szCs w:val="20"/>
          <w:lang w:eastAsia="pl-PL"/>
          <w14:ligatures w14:val="none"/>
        </w:rPr>
        <w:t>.</w:t>
      </w:r>
    </w:p>
    <w:p w14:paraId="68EBCE16" w14:textId="1C87E5ED" w:rsidR="00A2169F" w:rsidRDefault="00A2169F" w:rsidP="000625AC">
      <w:pPr>
        <w:pStyle w:val="Akapitzlist"/>
        <w:numPr>
          <w:ilvl w:val="0"/>
          <w:numId w:val="157"/>
        </w:numPr>
        <w:spacing w:after="80"/>
        <w:ind w:left="425" w:hanging="357"/>
        <w:contextualSpacing w:val="0"/>
      </w:pPr>
      <w:r>
        <w:t>Wzmocnienie ram prawnych oraz organizacyjnych na rzecz identyfikacji i remediacji zanieczyszczonej gleby lub ziemi, w szczególności rozwijanie procedur analizy zagrożenia dla zdrowia ludzi lub stanu środowiska w miejscach występowania zanieczyszczenia, a także kontynuacja prowadzenia elektronicznych rejestrów szkód w środowisku w powierzchni ziemi oraz historycznych zanieczyszczeń powierzchni ziemi.</w:t>
      </w:r>
    </w:p>
    <w:p w14:paraId="394E232B" w14:textId="641FD608" w:rsidR="00A2169F" w:rsidRDefault="00A2169F" w:rsidP="000625AC">
      <w:pPr>
        <w:pStyle w:val="Akapitzlist"/>
        <w:numPr>
          <w:ilvl w:val="0"/>
          <w:numId w:val="157"/>
        </w:numPr>
        <w:spacing w:after="80"/>
        <w:ind w:left="425" w:hanging="357"/>
        <w:contextualSpacing w:val="0"/>
      </w:pPr>
      <w:r>
        <w:t>Wzmocnienie instrumentów finansowych na rzecz identyfikacji i remediacji zanieczyszczonej gleby lub ziemi.</w:t>
      </w:r>
    </w:p>
    <w:p w14:paraId="37FB5CE4" w14:textId="2CE83829" w:rsidR="0062749E" w:rsidRDefault="00A2169F" w:rsidP="000625AC">
      <w:pPr>
        <w:pStyle w:val="Akapitzlist"/>
        <w:numPr>
          <w:ilvl w:val="0"/>
          <w:numId w:val="157"/>
        </w:numPr>
        <w:spacing w:after="80"/>
        <w:ind w:left="425" w:hanging="357"/>
        <w:contextualSpacing w:val="0"/>
      </w:pPr>
      <w:r>
        <w:t>Poszukiwanie i promowanie najlepszych technologii związanych z remediacją gleby lub ziemi, a</w:t>
      </w:r>
      <w:r w:rsidR="00433C8C">
        <w:t> </w:t>
      </w:r>
      <w:r>
        <w:t>także najlepszych technologii oczyszczania wód zanieczyszczonych w związku z</w:t>
      </w:r>
      <w:r w:rsidR="00433C8C">
        <w:t> </w:t>
      </w:r>
      <w:r>
        <w:t>zanieczyszczeniem gleby lub ziemi</w:t>
      </w:r>
    </w:p>
    <w:p w14:paraId="1C79C82D" w14:textId="77777777" w:rsidR="00F06483" w:rsidRPr="00AA38CA" w:rsidRDefault="00F06483" w:rsidP="00F06483">
      <w:pPr>
        <w:spacing w:line="240" w:lineRule="auto"/>
        <w:textAlignment w:val="baseline"/>
        <w:rPr>
          <w:rFonts w:ascii="Times New Roman" w:eastAsia="Times New Roman" w:hAnsi="Times New Roman" w:cs="Times New Roman"/>
          <w:kern w:val="0"/>
          <w:lang w:eastAsia="pl-PL"/>
          <w14:ligatures w14:val="none"/>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59BE290D" w14:textId="77777777" w:rsidTr="00B90C74">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7013314"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796F9367" wp14:editId="4876E202">
                  <wp:extent cx="622300" cy="622300"/>
                  <wp:effectExtent l="0" t="0" r="6350" b="6350"/>
                  <wp:docPr id="32" name="Obraz 1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41139BE"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3E0FFB2" w14:textId="72FC404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131B2DD2" w14:textId="77777777" w:rsidTr="00B90C74">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F39CC4F"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75FE4D1"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4D9F1FA" w14:textId="48E25913" w:rsidR="00F06483" w:rsidRDefault="00F06483">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sidR="00433C8C">
              <w:rPr>
                <w:rFonts w:eastAsia="Times New Roman" w:cs="Times New Roman"/>
                <w:color w:val="808080"/>
                <w:kern w:val="0"/>
                <w:sz w:val="18"/>
                <w:szCs w:val="18"/>
                <w:lang w:eastAsia="pl-PL"/>
                <w14:ligatures w14:val="none"/>
              </w:rPr>
              <w:t>infrastruktury</w:t>
            </w:r>
          </w:p>
          <w:p w14:paraId="4B71F5E2" w14:textId="1B891EE0" w:rsidR="00F06483" w:rsidRPr="000F7AAA" w:rsidRDefault="003E2DE5">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 xml:space="preserve"> </w:t>
            </w:r>
          </w:p>
          <w:p w14:paraId="6DF2B51E"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w:t>
            </w:r>
          </w:p>
        </w:tc>
      </w:tr>
    </w:tbl>
    <w:p w14:paraId="14B996C0" w14:textId="02FF0E3E" w:rsidR="00F06483" w:rsidRPr="00AA38CA" w:rsidRDefault="00F06483" w:rsidP="00F06483">
      <w:pPr>
        <w:spacing w:line="240" w:lineRule="auto"/>
        <w:textAlignment w:val="baseline"/>
        <w:rPr>
          <w:rFonts w:ascii="Times New Roman" w:eastAsia="Times New Roman" w:hAnsi="Times New Roman" w:cs="Times New Roman"/>
          <w:kern w:val="0"/>
          <w:lang w:eastAsia="pl-PL"/>
          <w14:ligatures w14:val="none"/>
        </w:rPr>
      </w:pPr>
    </w:p>
    <w:p w14:paraId="70D79AF4" w14:textId="6631769B" w:rsidR="004F2E79" w:rsidRDefault="00F06483" w:rsidP="00D523F3">
      <w:pPr>
        <w:pStyle w:val="Nagwek6"/>
      </w:pPr>
      <w:bookmarkStart w:id="1227" w:name="_Ref202264429"/>
      <w:bookmarkStart w:id="1228" w:name="_Toc195865950"/>
      <w:bookmarkStart w:id="1229" w:name="_Ref195887448"/>
      <w:bookmarkStart w:id="1230" w:name="_Ref195888364"/>
      <w:r>
        <w:t xml:space="preserve">Działanie </w:t>
      </w:r>
      <w:r>
        <w:fldChar w:fldCharType="begin"/>
      </w:r>
      <w:r>
        <w:instrText>SEQ Działanie \* ARABIC</w:instrText>
      </w:r>
      <w:r>
        <w:fldChar w:fldCharType="separate"/>
      </w:r>
      <w:r w:rsidR="00871DD5">
        <w:rPr>
          <w:noProof/>
        </w:rPr>
        <w:t>93</w:t>
      </w:r>
      <w:r>
        <w:fldChar w:fldCharType="end"/>
      </w:r>
      <w:r>
        <w:t>.</w:t>
      </w:r>
      <w:r w:rsidR="004F2E79">
        <w:t xml:space="preserve"> </w:t>
      </w:r>
      <w:r w:rsidR="003E1EC3" w:rsidRPr="003E1EC3">
        <w:t>Identyfikacja oraz poprawa stanu środowiska na wielkoobszarowych terenach zdegradowanych</w:t>
      </w:r>
      <w:bookmarkEnd w:id="1227"/>
      <w:r w:rsidR="003E1EC3" w:rsidRPr="003E1EC3" w:rsidDel="003E1EC3">
        <w:t xml:space="preserve"> </w:t>
      </w:r>
    </w:p>
    <w:p w14:paraId="1ED10DEF" w14:textId="4EFCF57E" w:rsidR="006F38D5" w:rsidRDefault="006F38D5" w:rsidP="006F38D5">
      <w:r>
        <w:t>Działanie ma na celu poprawę stanu środowiska na rozpoznanych wielkoobszarowych terenach zdegradowanych (WTZ) definiowanych w przepisach jako teren o powierzchni przynajmniej 10 ha, na</w:t>
      </w:r>
      <w:r w:rsidR="00846FC6">
        <w:t> </w:t>
      </w:r>
      <w:r>
        <w:t>którym znajduje się składowisko historycznych odpadów przemysłowych lub miejsce gromadzenia historycznych odpadów przemysłowych wraz z sąsiadującymi obszarami, na których występuje istotne zagrożenie dla zdrowia ludzi lub stanu środowiska spowodowane emisją z tego składowiska lub miejsca. Rozpoznane WTZ zostały wymienione wprost w przepisach, ponadto prowadzona będzie identyfikacja dotychczas nierozpoznanych WTZ.</w:t>
      </w:r>
    </w:p>
    <w:p w14:paraId="5510404C" w14:textId="5AB3C2F7" w:rsidR="006F38D5" w:rsidRDefault="006F38D5" w:rsidP="000625AC">
      <w:pPr>
        <w:pStyle w:val="Akapitzlist"/>
        <w:numPr>
          <w:ilvl w:val="0"/>
          <w:numId w:val="176"/>
        </w:numPr>
        <w:spacing w:after="80"/>
        <w:contextualSpacing w:val="0"/>
      </w:pPr>
      <w:r>
        <w:t>Wykonanie kompleksowej oceny stanu środowiska oraz opracowanie projektów planów poprawy stanu środowiska na rozpoznanych WTZ.</w:t>
      </w:r>
    </w:p>
    <w:p w14:paraId="6B7F7F78" w14:textId="73015760" w:rsidR="006F38D5" w:rsidRDefault="006F38D5" w:rsidP="000625AC">
      <w:pPr>
        <w:pStyle w:val="Akapitzlist"/>
        <w:numPr>
          <w:ilvl w:val="0"/>
          <w:numId w:val="176"/>
        </w:numPr>
        <w:spacing w:after="80"/>
        <w:contextualSpacing w:val="0"/>
      </w:pPr>
      <w:r>
        <w:t>Wykonanie zatwierdzonych planów poprawy stanu środowiska na rozpoznanych WTZ.</w:t>
      </w:r>
    </w:p>
    <w:p w14:paraId="154A12F6" w14:textId="70B50A0A" w:rsidR="006F38D5" w:rsidRDefault="006F38D5" w:rsidP="000625AC">
      <w:pPr>
        <w:pStyle w:val="Akapitzlist"/>
        <w:numPr>
          <w:ilvl w:val="0"/>
          <w:numId w:val="176"/>
        </w:numPr>
        <w:spacing w:after="80"/>
        <w:contextualSpacing w:val="0"/>
      </w:pPr>
      <w:r>
        <w:t>Prowadzenie identyfikacji dotychczas nierozpoznanych WTZ, a także ewidencji WTZ, zarówno tych rozpoznanych, jak i dotychczas nierozpoznanych w postaci cyfrowej bazy danych, a także okresowa aktualizacja danych zawartych w ewidencji WTZ.</w:t>
      </w:r>
    </w:p>
    <w:p w14:paraId="55C61E4A" w14:textId="5547406A" w:rsidR="006F38D5" w:rsidRDefault="006F38D5" w:rsidP="000625AC">
      <w:pPr>
        <w:pStyle w:val="Akapitzlist"/>
        <w:numPr>
          <w:ilvl w:val="0"/>
          <w:numId w:val="176"/>
        </w:numPr>
        <w:spacing w:after="80"/>
        <w:contextualSpacing w:val="0"/>
      </w:pPr>
      <w:r>
        <w:t>Analiza danych zgromadzonych w zbiorczym wyciągu z ewidencji WTZ w celu rozważenia, biorąc pod uwagę dostępność środków finansowych, ewentualnej nowelizacji przepisów ustawy z dnia 16 czerwca 2023 r. o wielkoobszarowych terenach zdegradowanych, zwanej dalej ustawą o WTZ, w tym uwzględnienia terenów o innym charakterze lub powierzchni.</w:t>
      </w:r>
    </w:p>
    <w:p w14:paraId="0AD0E0FC" w14:textId="3585541A" w:rsidR="004C7C6A" w:rsidRDefault="006F38D5" w:rsidP="004C7C6A">
      <w:pPr>
        <w:pStyle w:val="Akapitzlist"/>
        <w:spacing w:after="80"/>
        <w:contextualSpacing w:val="0"/>
      </w:pPr>
      <w:r>
        <w:t xml:space="preserve">Wzmocnienie ram prawnych oraz instrumentów finansowych na rzecz poprawy stanu środowiska na WTZ, w tym </w:t>
      </w:r>
      <w:r w:rsidR="006110BA" w:rsidRPr="006110BA">
        <w:t xml:space="preserve">w kolejnym etapie </w:t>
      </w:r>
      <w:r>
        <w:t>wzmocnienie roli administracji krajowej w</w:t>
      </w:r>
      <w:r w:rsidR="00846FC6">
        <w:t> </w:t>
      </w:r>
      <w:r>
        <w:t>procesach poprawy stanu środowiska na WTZ, oraz przeprowadzenie analizy ewentualnej potrzeby nowelizacji ustawy o</w:t>
      </w:r>
      <w:r w:rsidR="00416FE4">
        <w:t> </w:t>
      </w:r>
      <w:r>
        <w:t>WTZ w ww. zakresie</w:t>
      </w:r>
      <w:r w:rsidR="006110BA">
        <w:t xml:space="preserve"> </w:t>
      </w:r>
      <w:r w:rsidR="006110BA" w:rsidRPr="006110BA">
        <w:t>oraz zabezpieczenie środków z funduszy unijnych.</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4F2E79" w:rsidRPr="00AA38CA" w14:paraId="76D5F72D" w14:textId="77777777" w:rsidTr="004F2E79">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3A986FE5"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4B05D24F" wp14:editId="39620B3F">
                  <wp:extent cx="622300" cy="622300"/>
                  <wp:effectExtent l="0" t="0" r="6350" b="6350"/>
                  <wp:docPr id="1856398561"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5096C34"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588A95B"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4F2E79" w:rsidRPr="00AA38CA" w14:paraId="3BA1D8C5"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9786180" w14:textId="77777777" w:rsidR="004F2E79" w:rsidRPr="00AA38CA" w:rsidRDefault="004F2E79">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DEE1402" w14:textId="77777777" w:rsidR="005B51C2" w:rsidRDefault="004F2E79">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minister wł. ds. klimatu</w:t>
            </w:r>
          </w:p>
          <w:p w14:paraId="6A41318E" w14:textId="56F83725" w:rsidR="004F2E79" w:rsidRPr="00AA38CA" w:rsidRDefault="005B51C2">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minister wł. ds. środowiska</w:t>
            </w:r>
          </w:p>
          <w:p w14:paraId="62170E6B"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991060D" w14:textId="1E3A9B5D" w:rsidR="004F2E79" w:rsidRPr="00AA38CA" w:rsidRDefault="005B51C2">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NFOŚiGW, GIOŚ, GDOŚ</w:t>
            </w:r>
            <w:r w:rsidR="004F2E79" w:rsidRPr="00AA38CA">
              <w:rPr>
                <w:rFonts w:eastAsia="Times New Roman" w:cs="Times New Roman"/>
                <w:color w:val="808080"/>
                <w:kern w:val="0"/>
                <w:sz w:val="18"/>
                <w:szCs w:val="18"/>
                <w:lang w:eastAsia="pl-PL"/>
                <w14:ligatures w14:val="none"/>
              </w:rPr>
              <w:t> </w:t>
            </w:r>
          </w:p>
        </w:tc>
      </w:tr>
    </w:tbl>
    <w:p w14:paraId="65F51319" w14:textId="77777777" w:rsidR="004F2E79" w:rsidRDefault="004F2E79" w:rsidP="004F2E79"/>
    <w:p w14:paraId="2FCFD0B7" w14:textId="3DB72E60" w:rsidR="004F2E79" w:rsidRDefault="004F2E79" w:rsidP="00D523F3">
      <w:pPr>
        <w:pStyle w:val="Nagwek6"/>
      </w:pPr>
      <w:bookmarkStart w:id="1231" w:name="_Ref202264436"/>
      <w:r>
        <w:t xml:space="preserve">Działanie </w:t>
      </w:r>
      <w:r>
        <w:fldChar w:fldCharType="begin"/>
      </w:r>
      <w:r>
        <w:instrText>SEQ Działanie \* ARABIC</w:instrText>
      </w:r>
      <w:r>
        <w:fldChar w:fldCharType="separate"/>
      </w:r>
      <w:r w:rsidR="00871DD5">
        <w:rPr>
          <w:noProof/>
        </w:rPr>
        <w:t>94</w:t>
      </w:r>
      <w:r>
        <w:fldChar w:fldCharType="end"/>
      </w:r>
      <w:r>
        <w:t xml:space="preserve">. </w:t>
      </w:r>
      <w:r w:rsidR="00657716" w:rsidRPr="00657716">
        <w:t>Ograniczanie nielegalnego przemieszczania odpadów oraz identyfikacja i</w:t>
      </w:r>
      <w:r w:rsidR="00657716">
        <w:t> </w:t>
      </w:r>
      <w:r w:rsidR="00657716" w:rsidRPr="00657716">
        <w:t>zapobieganie powstawaniu miejsc nielegalnego deponowania odpadów</w:t>
      </w:r>
      <w:bookmarkEnd w:id="1231"/>
    </w:p>
    <w:p w14:paraId="21E77CA6" w14:textId="777B022D" w:rsidR="00CE5931" w:rsidRDefault="00CE5931" w:rsidP="00CE5931">
      <w:r>
        <w:t>Działanie ma na celu ograniczanie międzynarodowego i krajowego nielegalnego przemieszczania odpadów, w szczególności odpadów niebezpiecznych. Działanie ma na celu również zapobieganie powstawania miejsc nielegalnego deponowania odpadów, w tym niebezpiecznych, kontynuowanie ich identyfikowania oraz zwiększenie możliwości usuwania takich miejsc.</w:t>
      </w:r>
    </w:p>
    <w:p w14:paraId="48A5B25D" w14:textId="1A3D135B" w:rsidR="00CE5931" w:rsidRDefault="00CE5931" w:rsidP="000625AC">
      <w:pPr>
        <w:pStyle w:val="Akapitzlist"/>
        <w:numPr>
          <w:ilvl w:val="0"/>
          <w:numId w:val="177"/>
        </w:numPr>
        <w:spacing w:after="80"/>
        <w:contextualSpacing w:val="0"/>
      </w:pPr>
      <w:r>
        <w:t>Wzmocnienie prawne i administracyjne nadzoru nad międzynarodowym i wewnątrzkrajowym przemieszczaniem odpadów, ze szczególnym uwzględnieniem przemieszczania odpadów niebezpiecznych, co poprawi wykrywalność nielegalnego przemieszczania odpadów</w:t>
      </w:r>
    </w:p>
    <w:p w14:paraId="17B86D42" w14:textId="169BD642" w:rsidR="00CE5931" w:rsidRDefault="00CE5931" w:rsidP="000625AC">
      <w:pPr>
        <w:pStyle w:val="Akapitzlist"/>
        <w:numPr>
          <w:ilvl w:val="0"/>
          <w:numId w:val="177"/>
        </w:numPr>
        <w:spacing w:after="80"/>
        <w:contextualSpacing w:val="0"/>
      </w:pPr>
      <w:r>
        <w:t xml:space="preserve">Wzmocnienie ram prawnych zapobiegających powstawaniu miejsc nielegalnego deponowania odpadów, w szczególności miejsc zagrażających zdrowiu i życiu ludzi oraz środowisku. W ramach </w:t>
      </w:r>
      <w:r>
        <w:lastRenderedPageBreak/>
        <w:t>działania zwiększone zostaną możliwości kontrolne oraz doprecyzowana zostanie odpowiedzialność wytwórcy odpadów niebezpiecznych.</w:t>
      </w:r>
    </w:p>
    <w:p w14:paraId="19443DCB" w14:textId="65EF9582" w:rsidR="00CE5931" w:rsidRDefault="00CE5931" w:rsidP="000625AC">
      <w:pPr>
        <w:pStyle w:val="Akapitzlist"/>
        <w:numPr>
          <w:ilvl w:val="0"/>
          <w:numId w:val="177"/>
        </w:numPr>
        <w:spacing w:after="80"/>
        <w:contextualSpacing w:val="0"/>
      </w:pPr>
      <w:r>
        <w:t xml:space="preserve">Prowadzenie identyfikacji miejsc nielegalnego deponowania odpadów, w szczególności miejsc zagrażających zdrowiu i życiu człowieka oraz środowiska, wraz z ich inwentaryzowaniem z wykorzystaniem narzędzi informatycznych umożliwiających bieżącą współpracę służb, nadzór i monitoring takich miejsc. </w:t>
      </w:r>
    </w:p>
    <w:p w14:paraId="11A58AE5" w14:textId="558FB65A" w:rsidR="004F2E79" w:rsidRDefault="00CE5931" w:rsidP="000625AC">
      <w:pPr>
        <w:pStyle w:val="Akapitzlist"/>
        <w:numPr>
          <w:ilvl w:val="0"/>
          <w:numId w:val="177"/>
        </w:numPr>
        <w:spacing w:after="80"/>
        <w:contextualSpacing w:val="0"/>
      </w:pPr>
      <w:r>
        <w:t>Wzmocnienie instrumentów finansowych służących zapobieganiu powstawania miejsc nielegalnego deponowania odpadów a także wspomagających usuwanie miejsc nielegalnego deponowania odpadów zagrażającym zdrowiu i życiu człowieka oraz środowisku.</w:t>
      </w:r>
    </w:p>
    <w:p w14:paraId="58B39B97" w14:textId="77777777" w:rsidR="004C7C6A" w:rsidRDefault="004C7C6A" w:rsidP="004C7C6A">
      <w:pPr>
        <w:pStyle w:val="Akapitzlist"/>
        <w:spacing w:after="80"/>
        <w:contextualSpacing w:val="0"/>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4F2E79" w:rsidRPr="00AA38CA" w14:paraId="33B724DA"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FBF063B"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089DB572" wp14:editId="254693DB">
                  <wp:extent cx="622300" cy="622300"/>
                  <wp:effectExtent l="0" t="0" r="6350" b="6350"/>
                  <wp:docPr id="2011104833"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E5EC3D9"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48C4170"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4F2E79" w:rsidRPr="00AA38CA" w14:paraId="1735DE4C"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40D9DC2" w14:textId="77777777" w:rsidR="004F2E79" w:rsidRPr="00AA38CA" w:rsidRDefault="004F2E79">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D330945" w14:textId="77777777" w:rsidR="00CE5931" w:rsidRDefault="004F2E79">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minister wł. ds. klimatu</w:t>
            </w:r>
          </w:p>
          <w:p w14:paraId="6969D7CB" w14:textId="69312965" w:rsidR="004F2E79" w:rsidRPr="00AA38CA" w:rsidRDefault="00CE5931">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GIOŚ</w:t>
            </w:r>
            <w:r w:rsidR="004F2E79">
              <w:rPr>
                <w:rFonts w:eastAsia="Times New Roman" w:cs="Times New Roman"/>
                <w:color w:val="808080"/>
                <w:kern w:val="0"/>
                <w:sz w:val="18"/>
                <w:szCs w:val="18"/>
                <w:lang w:eastAsia="pl-PL"/>
                <w14:ligatures w14:val="none"/>
              </w:rPr>
              <w:t xml:space="preserve"> </w:t>
            </w:r>
            <w:r w:rsidR="008B2505">
              <w:rPr>
                <w:rFonts w:eastAsia="Times New Roman" w:cs="Times New Roman"/>
                <w:color w:val="808080"/>
                <w:kern w:val="0"/>
                <w:sz w:val="18"/>
                <w:szCs w:val="18"/>
                <w:lang w:eastAsia="pl-PL"/>
                <w14:ligatures w14:val="none"/>
              </w:rPr>
              <w:t xml:space="preserve">(w zakresie </w:t>
            </w:r>
            <w:r w:rsidR="006B544C">
              <w:rPr>
                <w:rFonts w:eastAsia="Times New Roman" w:cs="Times New Roman"/>
                <w:color w:val="808080"/>
                <w:kern w:val="0"/>
                <w:sz w:val="18"/>
                <w:szCs w:val="18"/>
                <w:lang w:eastAsia="pl-PL"/>
                <w14:ligatures w14:val="none"/>
              </w:rPr>
              <w:t>przemieszczania odpadów)</w:t>
            </w:r>
          </w:p>
          <w:p w14:paraId="1C88690E" w14:textId="77777777"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832FD8D" w14:textId="3FF2BD3F" w:rsidR="004F2E79" w:rsidRPr="00AA38CA" w:rsidRDefault="004F2E79">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w:t>
            </w:r>
            <w:r w:rsidR="004C7C6A">
              <w:rPr>
                <w:rFonts w:eastAsia="Times New Roman" w:cs="Times New Roman"/>
                <w:color w:val="808080"/>
                <w:kern w:val="0"/>
                <w:sz w:val="18"/>
                <w:szCs w:val="18"/>
                <w:lang w:eastAsia="pl-PL"/>
                <w14:ligatures w14:val="none"/>
              </w:rPr>
              <w:t>ds. finansów publicznych</w:t>
            </w:r>
            <w:r w:rsidRPr="00AA38CA">
              <w:rPr>
                <w:rFonts w:eastAsia="Times New Roman" w:cs="Times New Roman"/>
                <w:color w:val="808080"/>
                <w:kern w:val="0"/>
                <w:sz w:val="18"/>
                <w:szCs w:val="18"/>
                <w:lang w:eastAsia="pl-PL"/>
                <w14:ligatures w14:val="none"/>
              </w:rPr>
              <w:t> </w:t>
            </w:r>
          </w:p>
        </w:tc>
      </w:tr>
    </w:tbl>
    <w:p w14:paraId="2ED905D7" w14:textId="014D56E3" w:rsidR="00F06483" w:rsidRPr="00AA38CA" w:rsidRDefault="00F06483" w:rsidP="00D523F3">
      <w:pPr>
        <w:pStyle w:val="Nagwek6"/>
        <w:rPr>
          <w:rFonts w:ascii="Times New Roman" w:hAnsi="Times New Roman"/>
          <w:i/>
          <w:iCs/>
          <w:color w:val="595959"/>
          <w:lang w:eastAsia="pl-PL"/>
        </w:rPr>
      </w:pPr>
      <w:bookmarkStart w:id="1232" w:name="_Ref202264672"/>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95</w:t>
      </w:r>
      <w:r w:rsidRPr="00FB68C2">
        <w:rPr>
          <w:rStyle w:val="Nagwek6Znak"/>
          <w:b/>
          <w:bCs/>
        </w:rPr>
        <w:fldChar w:fldCharType="end"/>
      </w:r>
      <w:r w:rsidRPr="00FB68C2">
        <w:rPr>
          <w:rStyle w:val="Nagwek6Znak"/>
          <w:b/>
          <w:bCs/>
        </w:rPr>
        <w:t xml:space="preserve">. </w:t>
      </w:r>
      <w:r w:rsidRPr="00AA38CA">
        <w:rPr>
          <w:lang w:eastAsia="pl-PL"/>
        </w:rPr>
        <w:t>Zapobieganie procesom degradacji gruntów naturalnych oraz użytkowanych w</w:t>
      </w:r>
      <w:r w:rsidRPr="00AA38CA">
        <w:rPr>
          <w:rFonts w:ascii="Arial" w:hAnsi="Arial" w:cs="Arial"/>
          <w:lang w:eastAsia="pl-PL"/>
        </w:rPr>
        <w:t> </w:t>
      </w:r>
      <w:r w:rsidRPr="00AA38CA">
        <w:rPr>
          <w:lang w:eastAsia="pl-PL"/>
        </w:rPr>
        <w:t>celach rolniczych i le</w:t>
      </w:r>
      <w:r w:rsidRPr="00AA38CA">
        <w:rPr>
          <w:rFonts w:cs="Bahnschrift"/>
          <w:lang w:eastAsia="pl-PL"/>
        </w:rPr>
        <w:t>ś</w:t>
      </w:r>
      <w:r w:rsidRPr="00AA38CA">
        <w:rPr>
          <w:lang w:eastAsia="pl-PL"/>
        </w:rPr>
        <w:t>nych</w:t>
      </w:r>
      <w:bookmarkEnd w:id="1228"/>
      <w:bookmarkEnd w:id="1229"/>
      <w:bookmarkEnd w:id="1230"/>
      <w:bookmarkEnd w:id="1232"/>
      <w:r w:rsidRPr="00AA38CA">
        <w:rPr>
          <w:i/>
          <w:iCs/>
          <w:lang w:eastAsia="pl-PL"/>
        </w:rPr>
        <w:t> </w:t>
      </w:r>
    </w:p>
    <w:p w14:paraId="629D2417" w14:textId="10CEF09E" w:rsidR="00F06483" w:rsidRPr="00522BC0" w:rsidRDefault="00F06483" w:rsidP="00522BC0">
      <w:pPr>
        <w:spacing w:after="240"/>
        <w:rPr>
          <w:rFonts w:ascii="Times New Roman" w:hAnsi="Times New Roman"/>
        </w:rPr>
      </w:pPr>
      <w:r w:rsidRPr="000A31B1">
        <w:t>Działanie polega na udoskonalaniu mechanizmów legislacyjnych celem przeciwdziałania zmianom przeznaczania na inny cel gruntów rolnych i leśnych oraz wzmacnianie istniejących mechanizmów ochrony gruntów naturalnych przed degradacją. Zapobieganie procesom degradacji ma na celu zachowanie przez gleby jak największych możliwości pełnienia funkcji ekosystemowych oraz zapewnienia bezpieczeństwa żywnościowego, a także zapewnienia maksymalizacji sekwestracji CO</w:t>
      </w:r>
      <w:r w:rsidRPr="000A31B1">
        <w:rPr>
          <w:sz w:val="16"/>
          <w:vertAlign w:val="subscript"/>
        </w:rPr>
        <w:t xml:space="preserve">2 </w:t>
      </w:r>
      <w:r w:rsidRPr="000A31B1">
        <w:t>w glebie. Promowane będzie przywracanie zrównoważonego wykorzystywania ekosystemów lądowych, zwalczanie pustynnienia, działania mające zatrzymać i odwrócić proces degradacji gleby, powstrzymanie straty w bioróżnorodności gleb.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71D2AB07" w14:textId="77777777" w:rsidTr="00EC4EDF">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417E7746"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13C94FDB" wp14:editId="2D0931F7">
                  <wp:extent cx="622300" cy="622300"/>
                  <wp:effectExtent l="0" t="0" r="6350" b="6350"/>
                  <wp:docPr id="430967713" name="Obraz 1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BB28801"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B186474"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1227FD8C" w14:textId="77777777" w:rsidTr="00EC4ED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9F8132B"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D043A8D"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6471C93" w14:textId="6C341CBA"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rolnictwa </w:t>
            </w:r>
          </w:p>
          <w:p w14:paraId="111FF5DE" w14:textId="6C15E396"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p>
        </w:tc>
      </w:tr>
    </w:tbl>
    <w:p w14:paraId="2336AAAB" w14:textId="142DDED1" w:rsidR="00F06483" w:rsidRPr="00AA38CA" w:rsidRDefault="00F06483" w:rsidP="00D523F3">
      <w:pPr>
        <w:pStyle w:val="Nagwek6"/>
        <w:rPr>
          <w:rFonts w:ascii="Times New Roman" w:hAnsi="Times New Roman"/>
          <w:i/>
          <w:iCs/>
          <w:color w:val="595959"/>
          <w:lang w:eastAsia="pl-PL"/>
        </w:rPr>
      </w:pPr>
      <w:bookmarkStart w:id="1233" w:name="_Toc195865951"/>
      <w:bookmarkStart w:id="1234" w:name="_Ref195887459"/>
      <w:bookmarkStart w:id="1235" w:name="_Ref195888347"/>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96</w:t>
      </w:r>
      <w:r w:rsidRPr="00FB68C2">
        <w:rPr>
          <w:rStyle w:val="Nagwek6Znak"/>
          <w:b/>
          <w:bCs/>
        </w:rPr>
        <w:fldChar w:fldCharType="end"/>
      </w:r>
      <w:r w:rsidRPr="00FB68C2">
        <w:rPr>
          <w:rStyle w:val="Nagwek6Znak"/>
          <w:b/>
          <w:bCs/>
        </w:rPr>
        <w:t xml:space="preserve">. </w:t>
      </w:r>
      <w:r w:rsidRPr="00AA38CA">
        <w:rPr>
          <w:lang w:eastAsia="pl-PL"/>
        </w:rPr>
        <w:t>Wspieranie rekultywacji gruntów zdegradowanych i</w:t>
      </w:r>
      <w:r w:rsidRPr="00AA38CA">
        <w:rPr>
          <w:rFonts w:ascii="Arial" w:hAnsi="Arial" w:cs="Arial"/>
          <w:lang w:eastAsia="pl-PL"/>
        </w:rPr>
        <w:t> </w:t>
      </w:r>
      <w:r w:rsidRPr="00AA38CA">
        <w:rPr>
          <w:lang w:eastAsia="pl-PL"/>
        </w:rPr>
        <w:t>zdewastowanych</w:t>
      </w:r>
      <w:bookmarkEnd w:id="1233"/>
      <w:bookmarkEnd w:id="1234"/>
      <w:bookmarkEnd w:id="1235"/>
      <w:r w:rsidRPr="00AA38CA">
        <w:rPr>
          <w:i/>
          <w:iCs/>
          <w:lang w:eastAsia="pl-PL"/>
        </w:rPr>
        <w:t> </w:t>
      </w:r>
    </w:p>
    <w:p w14:paraId="033E2E8D" w14:textId="77777777" w:rsidR="00F06483" w:rsidRPr="00522BC0" w:rsidRDefault="00F06483" w:rsidP="00522BC0">
      <w:pPr>
        <w:spacing w:after="240"/>
        <w:rPr>
          <w:rFonts w:ascii="Times New Roman" w:hAnsi="Times New Roman"/>
        </w:rPr>
      </w:pPr>
      <w:r w:rsidRPr="00522BC0">
        <w:t>Działanie polega na zapewnieniu różnego rodzaju wsparcia w przypadku realizacji rekultywacji gruntów zdegradowanych i zdewastowanych. Przeprowadzenie rekultywacji gruntów zdegradowanych ma na celu zwiększenie ich potencjału produkcyjnego. Istotnym działaniem jest również rekultywacja terenów zdewastowanych i ich włączanie do obiegu gospodarczego, aby nie lokować inwestycji na terenach ,,zielonych”.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3AFEC1C5" w14:textId="77777777" w:rsidTr="00EC4ED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38C9531"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54CEAD6A" wp14:editId="17DFAFCD">
                  <wp:extent cx="622300" cy="622300"/>
                  <wp:effectExtent l="0" t="0" r="6350" b="6350"/>
                  <wp:docPr id="1660309562"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3443499"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AA29A1B"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45D73101" w14:textId="77777777" w:rsidTr="00EC4ED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A5C72BD"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7AAA423" w14:textId="6DF1A8B3"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sidR="006257D2">
              <w:rPr>
                <w:rFonts w:eastAsia="Times New Roman" w:cs="Times New Roman"/>
                <w:color w:val="808080"/>
                <w:kern w:val="0"/>
                <w:sz w:val="18"/>
                <w:szCs w:val="18"/>
                <w:lang w:eastAsia="pl-PL"/>
                <w14:ligatures w14:val="none"/>
              </w:rPr>
              <w:t>klimatu</w:t>
            </w:r>
            <w:r w:rsidR="006257D2" w:rsidRPr="00AA38CA">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867A6A2"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rolnictwa </w:t>
            </w:r>
          </w:p>
          <w:p w14:paraId="1B707F7A" w14:textId="730C35FA"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sidR="006257D2">
              <w:rPr>
                <w:rFonts w:eastAsia="Times New Roman" w:cs="Times New Roman"/>
                <w:color w:val="808080"/>
                <w:kern w:val="0"/>
                <w:sz w:val="18"/>
                <w:szCs w:val="18"/>
                <w:lang w:eastAsia="pl-PL"/>
                <w14:ligatures w14:val="none"/>
              </w:rPr>
              <w:t xml:space="preserve">środowiska </w:t>
            </w:r>
          </w:p>
        </w:tc>
      </w:tr>
    </w:tbl>
    <w:p w14:paraId="570456DB" w14:textId="70D2FD47" w:rsidR="00F06483" w:rsidRPr="00AA38CA" w:rsidRDefault="00F06483" w:rsidP="00D523F3">
      <w:pPr>
        <w:pStyle w:val="Nagwek6"/>
        <w:rPr>
          <w:rFonts w:ascii="Times New Roman" w:hAnsi="Times New Roman"/>
          <w:i/>
          <w:iCs/>
          <w:color w:val="595959"/>
          <w:lang w:eastAsia="pl-PL"/>
        </w:rPr>
      </w:pPr>
      <w:bookmarkStart w:id="1236" w:name="_Toc195865952"/>
      <w:bookmarkStart w:id="1237" w:name="_Ref195887464"/>
      <w:bookmarkStart w:id="1238" w:name="_Ref195888324"/>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97</w:t>
      </w:r>
      <w:r w:rsidRPr="00FB68C2">
        <w:rPr>
          <w:rStyle w:val="Nagwek6Znak"/>
          <w:b/>
          <w:bCs/>
        </w:rPr>
        <w:fldChar w:fldCharType="end"/>
      </w:r>
      <w:r w:rsidRPr="00FB68C2">
        <w:rPr>
          <w:rStyle w:val="Nagwek6Znak"/>
          <w:b/>
          <w:bCs/>
        </w:rPr>
        <w:t>.</w:t>
      </w:r>
      <w:r w:rsidRPr="00AA38CA">
        <w:rPr>
          <w:lang w:eastAsia="pl-PL"/>
        </w:rPr>
        <w:t xml:space="preserve"> Instrument finansowy – Program Priorytetowy NFOŚiGW „Ochrona powierzchni ziemi”</w:t>
      </w:r>
      <w:bookmarkEnd w:id="1236"/>
      <w:bookmarkEnd w:id="1237"/>
      <w:bookmarkEnd w:id="1238"/>
      <w:r w:rsidRPr="00AA38CA">
        <w:rPr>
          <w:i/>
          <w:iCs/>
          <w:lang w:eastAsia="pl-PL"/>
        </w:rPr>
        <w:t> </w:t>
      </w:r>
    </w:p>
    <w:p w14:paraId="5C84F5E9" w14:textId="77777777" w:rsidR="00F06483" w:rsidRPr="00522BC0" w:rsidRDefault="00F06483" w:rsidP="00F207C1">
      <w:pPr>
        <w:spacing w:after="240"/>
        <w:rPr>
          <w:rFonts w:ascii="Times New Roman" w:hAnsi="Times New Roman"/>
        </w:rPr>
      </w:pPr>
      <w:r w:rsidRPr="00522BC0">
        <w:t xml:space="preserve">Działanie polega na wykreowaniu i utrzymywaniu mechanizmów finansowych, których celem będzie wspieranie inwestycji dedykowanych szeroko rozumianej ochronie powierzchni ziemi. W przypadkach, </w:t>
      </w:r>
      <w:r w:rsidRPr="00522BC0">
        <w:lastRenderedPageBreak/>
        <w:t>kiedy nie można zastosować zasady ,,zanieczyszczający płaci” konieczny jest instrument finansowy zabezpieczający możliwość korzystania w przypadku potrzeby realizacji inwestycji w tym obszarze.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656B6397" w14:textId="77777777" w:rsidTr="00EC4EDF">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3DACA20"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7B67FB59" wp14:editId="5F228828">
                  <wp:extent cx="622300" cy="622300"/>
                  <wp:effectExtent l="0" t="0" r="6350" b="6350"/>
                  <wp:docPr id="985606970"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B892FB4"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8F7CC74"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73DD3F05" w14:textId="77777777" w:rsidTr="00EC4ED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3D895CF"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6F80D01"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5179AEE"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NFOŚiGW </w:t>
            </w:r>
          </w:p>
          <w:p w14:paraId="259F85D0"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w:t>
            </w:r>
          </w:p>
        </w:tc>
      </w:tr>
    </w:tbl>
    <w:p w14:paraId="09C7A771" w14:textId="5E72662C" w:rsidR="00F06483" w:rsidRPr="004D6F82" w:rsidRDefault="00F06483" w:rsidP="00D523F3">
      <w:pPr>
        <w:pStyle w:val="Nagwek6"/>
        <w:rPr>
          <w:rFonts w:ascii="Times New Roman" w:hAnsi="Times New Roman"/>
          <w:i/>
          <w:iCs/>
          <w:color w:val="595959"/>
          <w:lang w:eastAsia="pl-PL"/>
        </w:rPr>
      </w:pPr>
      <w:bookmarkStart w:id="1239" w:name="_Toc195865953"/>
      <w:bookmarkStart w:id="1240" w:name="_Ref195887553"/>
      <w:bookmarkStart w:id="1241" w:name="_Ref195887573"/>
      <w:bookmarkStart w:id="1242" w:name="_Ref195888272"/>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98</w:t>
      </w:r>
      <w:r w:rsidRPr="00FB68C2">
        <w:rPr>
          <w:rStyle w:val="Nagwek6Znak"/>
          <w:b/>
          <w:bCs/>
        </w:rPr>
        <w:fldChar w:fldCharType="end"/>
      </w:r>
      <w:r w:rsidRPr="00FB68C2">
        <w:rPr>
          <w:rStyle w:val="Nagwek6Znak"/>
          <w:b/>
          <w:bCs/>
        </w:rPr>
        <w:t>.</w:t>
      </w:r>
      <w:r w:rsidRPr="00AA38CA">
        <w:rPr>
          <w:lang w:eastAsia="pl-PL"/>
        </w:rPr>
        <w:t xml:space="preserve"> </w:t>
      </w:r>
      <w:r w:rsidRPr="004D6F82">
        <w:rPr>
          <w:lang w:eastAsia="pl-PL"/>
        </w:rPr>
        <w:t>Instrument finansowy – Programy NFOŚiGW wspierające adaptację do zmian klimatu</w:t>
      </w:r>
      <w:bookmarkEnd w:id="1239"/>
      <w:bookmarkEnd w:id="1240"/>
      <w:bookmarkEnd w:id="1241"/>
      <w:bookmarkEnd w:id="1242"/>
    </w:p>
    <w:p w14:paraId="498D50D7" w14:textId="622909B9" w:rsidR="00F06483" w:rsidRPr="00F207C1" w:rsidRDefault="00F06483" w:rsidP="00F207C1">
      <w:r w:rsidRPr="00F207C1">
        <w:t>Działanie obejmuje podniesienie poziomu ochrony przed skutkami zmian klimatu oraz zagrożeń naturalnych jak również poważnych awarii, usprawnienia usuwania ich skutków oraz wzmocnienia wybranych elementów zarządzania środowiskiem; upowszechnienie nowoczesnych, efektywnych i</w:t>
      </w:r>
      <w:r w:rsidR="00846FC6">
        <w:t> </w:t>
      </w:r>
      <w:r w:rsidRPr="00F207C1">
        <w:t>skutecznych rozwiązań służących poprawie jakości życia mieszkańców oraz poprawiających odporność miast na skutki zmian klimatu, jak również zwiększających przystosowanie do zmian klimatu na terenach wiejskich.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70F3D2A8" w14:textId="77777777" w:rsidTr="00EC4EDF">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36B1A271" w14:textId="367FB088" w:rsidR="00F06483" w:rsidRPr="004D6F82" w:rsidRDefault="00F06483">
            <w:pPr>
              <w:spacing w:after="0" w:line="240" w:lineRule="auto"/>
              <w:textAlignment w:val="baseline"/>
              <w:rPr>
                <w:rFonts w:ascii="Times New Roman" w:eastAsia="Times New Roman" w:hAnsi="Times New Roman" w:cs="Times New Roman"/>
                <w:lang w:eastAsia="pl-PL"/>
              </w:rPr>
            </w:pPr>
            <w:r w:rsidRPr="004D6F82">
              <w:rPr>
                <w:rFonts w:ascii="Times New Roman" w:eastAsia="Times New Roman" w:hAnsi="Times New Roman" w:cs="Times New Roman"/>
                <w:noProof/>
                <w:lang w:eastAsia="pl-PL"/>
              </w:rPr>
              <w:drawing>
                <wp:inline distT="0" distB="0" distL="0" distR="0" wp14:anchorId="4ACE4611" wp14:editId="6662C45A">
                  <wp:extent cx="622300" cy="622300"/>
                  <wp:effectExtent l="0" t="0" r="6350" b="6350"/>
                  <wp:docPr id="29" name="Obraz 1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7B1ABF4" w14:textId="77777777" w:rsidR="00F06483" w:rsidRPr="004D6F82" w:rsidRDefault="00F06483">
            <w:pPr>
              <w:spacing w:after="0" w:line="240" w:lineRule="auto"/>
              <w:textAlignment w:val="baseline"/>
              <w:rPr>
                <w:rFonts w:ascii="Times New Roman" w:eastAsia="Times New Roman" w:hAnsi="Times New Roman" w:cs="Times New Roman"/>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61EA6DA" w14:textId="77777777" w:rsidR="00F06483" w:rsidRPr="004D6F82" w:rsidRDefault="00F06483">
            <w:pPr>
              <w:spacing w:after="0" w:line="240" w:lineRule="auto"/>
              <w:textAlignment w:val="baseline"/>
              <w:rPr>
                <w:rFonts w:ascii="Times New Roman" w:eastAsia="Times New Roman" w:hAnsi="Times New Roman" w:cs="Times New Roman"/>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507BFD78" w14:textId="77777777" w:rsidTr="00EC4ED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4E57296" w14:textId="77777777" w:rsidR="00F06483" w:rsidRPr="004D6F82" w:rsidRDefault="00F06483">
            <w:pPr>
              <w:spacing w:after="0" w:line="240" w:lineRule="auto"/>
              <w:rPr>
                <w:rFonts w:ascii="Times New Roman" w:eastAsia="Times New Roman" w:hAnsi="Times New Roman" w:cs="Times New Roman"/>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169D291" w14:textId="77777777" w:rsidR="00F06483" w:rsidRPr="004D6F82" w:rsidRDefault="00F06483">
            <w:pPr>
              <w:spacing w:after="0" w:line="240" w:lineRule="auto"/>
              <w:textAlignment w:val="baseline"/>
              <w:rPr>
                <w:rFonts w:ascii="Times New Roman" w:eastAsia="Times New Roman" w:hAnsi="Times New Roman" w:cs="Times New Roman"/>
                <w:lang w:eastAsia="pl-PL"/>
              </w:rPr>
            </w:pPr>
            <w:r w:rsidRPr="004D6F82">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3BFB1A2" w14:textId="77777777" w:rsidR="00F06483" w:rsidRPr="004D6F82" w:rsidRDefault="00F06483">
            <w:pPr>
              <w:spacing w:after="0" w:line="240" w:lineRule="auto"/>
              <w:textAlignment w:val="baseline"/>
              <w:rPr>
                <w:rFonts w:ascii="Times New Roman" w:eastAsia="Times New Roman" w:hAnsi="Times New Roman" w:cs="Times New Roman"/>
                <w:lang w:eastAsia="pl-PL"/>
              </w:rPr>
            </w:pPr>
            <w:r w:rsidRPr="004D6F82">
              <w:rPr>
                <w:rFonts w:eastAsia="Times New Roman" w:cs="Times New Roman"/>
                <w:color w:val="808080"/>
                <w:sz w:val="18"/>
                <w:szCs w:val="18"/>
                <w:lang w:eastAsia="pl-PL"/>
              </w:rPr>
              <w:t> NFOŚiGW </w:t>
            </w:r>
          </w:p>
          <w:p w14:paraId="7C0E6D17" w14:textId="77777777" w:rsidR="00F06483" w:rsidRPr="004D6F82" w:rsidRDefault="00F06483">
            <w:pPr>
              <w:spacing w:after="0" w:line="240" w:lineRule="auto"/>
              <w:textAlignment w:val="baseline"/>
              <w:rPr>
                <w:rFonts w:ascii="Times New Roman" w:eastAsia="Times New Roman" w:hAnsi="Times New Roman" w:cs="Times New Roman"/>
                <w:lang w:eastAsia="pl-PL"/>
              </w:rPr>
            </w:pPr>
            <w:r w:rsidRPr="004D6F82">
              <w:rPr>
                <w:rFonts w:eastAsia="Times New Roman" w:cs="Times New Roman"/>
                <w:color w:val="808080"/>
                <w:sz w:val="18"/>
                <w:szCs w:val="18"/>
                <w:lang w:eastAsia="pl-PL"/>
              </w:rPr>
              <w:t> </w:t>
            </w:r>
          </w:p>
        </w:tc>
      </w:tr>
    </w:tbl>
    <w:p w14:paraId="0AC04F95" w14:textId="0239C840" w:rsidR="00F06483" w:rsidRPr="00410100" w:rsidRDefault="00F06483" w:rsidP="0042160C">
      <w:pPr>
        <w:pStyle w:val="Nagwek6"/>
        <w:rPr>
          <w:rFonts w:ascii="Times New Roman" w:hAnsi="Times New Roman"/>
          <w:i/>
          <w:iCs/>
          <w:color w:val="595959"/>
          <w:lang w:eastAsia="pl-PL"/>
        </w:rPr>
      </w:pPr>
      <w:bookmarkStart w:id="1243" w:name="_Toc195865954"/>
      <w:bookmarkStart w:id="1244" w:name="_Ref195887613"/>
      <w:bookmarkStart w:id="1245" w:name="_Ref195887659"/>
      <w:r w:rsidRPr="00FB68C2">
        <w:rPr>
          <w:rStyle w:val="Nagwek6Znak"/>
          <w:b/>
          <w:bCs/>
        </w:rPr>
        <w:t xml:space="preserve">Działanie </w:t>
      </w:r>
      <w:r w:rsidRPr="00FB68C2">
        <w:rPr>
          <w:rStyle w:val="Nagwek6Znak"/>
          <w:b/>
          <w:bCs/>
        </w:rPr>
        <w:fldChar w:fldCharType="begin"/>
      </w:r>
      <w:r w:rsidRPr="00FB68C2">
        <w:rPr>
          <w:rStyle w:val="Nagwek6Znak"/>
          <w:b/>
          <w:bCs/>
        </w:rPr>
        <w:instrText xml:space="preserve"> SEQ Działanie \* ARABIC </w:instrText>
      </w:r>
      <w:r w:rsidRPr="00FB68C2">
        <w:rPr>
          <w:rStyle w:val="Nagwek6Znak"/>
          <w:b/>
          <w:bCs/>
        </w:rPr>
        <w:fldChar w:fldCharType="separate"/>
      </w:r>
      <w:r w:rsidR="00871DD5">
        <w:rPr>
          <w:rStyle w:val="Nagwek6Znak"/>
          <w:b/>
          <w:bCs/>
          <w:noProof/>
        </w:rPr>
        <w:t>99</w:t>
      </w:r>
      <w:r w:rsidRPr="00FB68C2">
        <w:rPr>
          <w:rStyle w:val="Nagwek6Znak"/>
          <w:b/>
          <w:bCs/>
        </w:rPr>
        <w:fldChar w:fldCharType="end"/>
      </w:r>
      <w:r w:rsidRPr="00FB68C2">
        <w:rPr>
          <w:rStyle w:val="Nagwek6Znak"/>
          <w:b/>
          <w:bCs/>
        </w:rPr>
        <w:t xml:space="preserve">. </w:t>
      </w:r>
      <w:r w:rsidRPr="007F6377">
        <w:rPr>
          <w:lang w:eastAsia="pl-PL"/>
        </w:rPr>
        <w:t xml:space="preserve">Ograniczenie wykorzystania </w:t>
      </w:r>
      <w:bookmarkEnd w:id="1243"/>
      <w:bookmarkEnd w:id="1244"/>
      <w:bookmarkEnd w:id="1245"/>
      <w:r w:rsidR="001C29C1">
        <w:rPr>
          <w:lang w:eastAsia="pl-PL"/>
        </w:rPr>
        <w:t>tworzyw sztucznych</w:t>
      </w:r>
      <w:r w:rsidRPr="00410100">
        <w:rPr>
          <w:i/>
          <w:iCs/>
          <w:lang w:eastAsia="pl-PL"/>
        </w:rPr>
        <w:t> </w:t>
      </w:r>
    </w:p>
    <w:p w14:paraId="0EB9B12B" w14:textId="1ACAA798" w:rsidR="00F06483" w:rsidRPr="00993BDD" w:rsidRDefault="00F06483" w:rsidP="003C312A">
      <w:pPr>
        <w:spacing w:after="0"/>
      </w:pPr>
      <w:r w:rsidRPr="00410100">
        <w:rPr>
          <w:rFonts w:eastAsia="Times New Roman" w:cs="Times New Roman"/>
          <w:kern w:val="0"/>
          <w:szCs w:val="20"/>
          <w:lang w:eastAsia="pl-PL"/>
          <w14:ligatures w14:val="none"/>
        </w:rPr>
        <w:t xml:space="preserve">W obliczu narastającego zagrożenia, jakie niesie ze sobą nadmierna obecność </w:t>
      </w:r>
      <w:r w:rsidR="001C29C1">
        <w:rPr>
          <w:rFonts w:eastAsia="Times New Roman" w:cs="Times New Roman"/>
          <w:kern w:val="0"/>
          <w:szCs w:val="20"/>
          <w:lang w:eastAsia="pl-PL"/>
          <w14:ligatures w14:val="none"/>
        </w:rPr>
        <w:t>tworzyw sztucznych</w:t>
      </w:r>
      <w:r w:rsidR="001C29C1" w:rsidRPr="00410100">
        <w:rPr>
          <w:rFonts w:eastAsia="Times New Roman" w:cs="Times New Roman"/>
          <w:kern w:val="0"/>
          <w:szCs w:val="20"/>
          <w:lang w:eastAsia="pl-PL"/>
          <w14:ligatures w14:val="none"/>
        </w:rPr>
        <w:t xml:space="preserve"> </w:t>
      </w:r>
      <w:r w:rsidRPr="00410100">
        <w:rPr>
          <w:rFonts w:eastAsia="Times New Roman" w:cs="Times New Roman"/>
          <w:kern w:val="0"/>
          <w:szCs w:val="20"/>
          <w:lang w:eastAsia="pl-PL"/>
          <w14:ligatures w14:val="none"/>
        </w:rPr>
        <w:t>w</w:t>
      </w:r>
      <w:r w:rsidR="00846FC6">
        <w:rPr>
          <w:rFonts w:eastAsia="Times New Roman" w:cs="Times New Roman"/>
          <w:kern w:val="0"/>
          <w:szCs w:val="20"/>
          <w:lang w:eastAsia="pl-PL"/>
          <w14:ligatures w14:val="none"/>
        </w:rPr>
        <w:t> </w:t>
      </w:r>
      <w:r w:rsidRPr="00410100">
        <w:rPr>
          <w:rFonts w:eastAsia="Times New Roman" w:cs="Times New Roman"/>
          <w:kern w:val="0"/>
          <w:szCs w:val="20"/>
          <w:lang w:eastAsia="pl-PL"/>
          <w14:ligatures w14:val="none"/>
        </w:rPr>
        <w:t>naszym życiu i</w:t>
      </w:r>
      <w:r w:rsidR="00EC4EDF">
        <w:rPr>
          <w:rFonts w:eastAsia="Times New Roman" w:cs="Times New Roman"/>
          <w:kern w:val="0"/>
          <w:szCs w:val="20"/>
          <w:lang w:eastAsia="pl-PL"/>
          <w14:ligatures w14:val="none"/>
        </w:rPr>
        <w:t> </w:t>
      </w:r>
      <w:r w:rsidRPr="00410100">
        <w:rPr>
          <w:rFonts w:eastAsia="Times New Roman" w:cs="Times New Roman"/>
          <w:kern w:val="0"/>
          <w:szCs w:val="20"/>
          <w:lang w:eastAsia="pl-PL"/>
          <w14:ligatures w14:val="none"/>
        </w:rPr>
        <w:t xml:space="preserve">gospodarce, niezbędne jest wdrażanie polityki ograniczającej jego użycie. </w:t>
      </w:r>
      <w:r w:rsidR="001C29C1">
        <w:rPr>
          <w:rFonts w:eastAsia="Times New Roman" w:cs="Times New Roman"/>
          <w:kern w:val="0"/>
          <w:szCs w:val="20"/>
          <w:lang w:eastAsia="pl-PL"/>
          <w14:ligatures w14:val="none"/>
        </w:rPr>
        <w:t>Tworzywa</w:t>
      </w:r>
      <w:r w:rsidR="00846FC6">
        <w:rPr>
          <w:rFonts w:eastAsia="Times New Roman" w:cs="Times New Roman"/>
          <w:kern w:val="0"/>
          <w:szCs w:val="20"/>
          <w:lang w:eastAsia="pl-PL"/>
          <w14:ligatures w14:val="none"/>
        </w:rPr>
        <w:t> </w:t>
      </w:r>
      <w:r w:rsidR="001C29C1">
        <w:rPr>
          <w:rFonts w:eastAsia="Times New Roman" w:cs="Times New Roman"/>
          <w:kern w:val="0"/>
          <w:szCs w:val="20"/>
          <w:lang w:eastAsia="pl-PL"/>
          <w14:ligatures w14:val="none"/>
        </w:rPr>
        <w:t>sztuczne są</w:t>
      </w:r>
      <w:r w:rsidRPr="00410100">
        <w:rPr>
          <w:rFonts w:eastAsia="Times New Roman" w:cs="Times New Roman"/>
          <w:kern w:val="0"/>
          <w:szCs w:val="20"/>
          <w:lang w:eastAsia="pl-PL"/>
          <w14:ligatures w14:val="none"/>
        </w:rPr>
        <w:t xml:space="preserve"> wyjątkowo </w:t>
      </w:r>
      <w:r w:rsidRPr="00993BDD">
        <w:t>szkodliw</w:t>
      </w:r>
      <w:r w:rsidR="001C29C1">
        <w:rPr>
          <w:rFonts w:eastAsia="Times New Roman" w:cs="Times New Roman"/>
          <w:kern w:val="0"/>
          <w:szCs w:val="20"/>
          <w:lang w:eastAsia="pl-PL"/>
          <w14:ligatures w14:val="none"/>
        </w:rPr>
        <w:t>e</w:t>
      </w:r>
      <w:r w:rsidRPr="00993BDD">
        <w:t xml:space="preserve"> dla środowiska – </w:t>
      </w:r>
      <w:r w:rsidR="001C29C1">
        <w:rPr>
          <w:rFonts w:eastAsia="Times New Roman" w:cs="Times New Roman"/>
          <w:kern w:val="0"/>
          <w:szCs w:val="20"/>
          <w:lang w:eastAsia="pl-PL"/>
          <w14:ligatures w14:val="none"/>
        </w:rPr>
        <w:t>jego mikrodrobiny</w:t>
      </w:r>
      <w:r w:rsidRPr="00410100">
        <w:rPr>
          <w:rFonts w:eastAsia="Times New Roman" w:cs="Times New Roman"/>
          <w:kern w:val="0"/>
          <w:szCs w:val="20"/>
          <w:lang w:eastAsia="pl-PL"/>
          <w14:ligatures w14:val="none"/>
        </w:rPr>
        <w:t xml:space="preserve"> </w:t>
      </w:r>
      <w:r w:rsidR="001C29C1">
        <w:rPr>
          <w:rFonts w:eastAsia="Times New Roman" w:cs="Times New Roman"/>
          <w:kern w:val="0"/>
          <w:szCs w:val="20"/>
          <w:lang w:eastAsia="pl-PL"/>
          <w14:ligatures w14:val="none"/>
        </w:rPr>
        <w:t>są</w:t>
      </w:r>
      <w:r w:rsidRPr="00993BDD">
        <w:t xml:space="preserve"> dziś </w:t>
      </w:r>
      <w:r w:rsidRPr="00410100">
        <w:rPr>
          <w:rFonts w:eastAsia="Times New Roman" w:cs="Times New Roman"/>
          <w:kern w:val="0"/>
          <w:szCs w:val="20"/>
          <w:lang w:eastAsia="pl-PL"/>
          <w14:ligatures w14:val="none"/>
        </w:rPr>
        <w:t>obecn</w:t>
      </w:r>
      <w:r w:rsidR="001C29C1">
        <w:rPr>
          <w:rFonts w:eastAsia="Times New Roman" w:cs="Times New Roman"/>
          <w:kern w:val="0"/>
          <w:szCs w:val="20"/>
          <w:lang w:eastAsia="pl-PL"/>
          <w14:ligatures w14:val="none"/>
        </w:rPr>
        <w:t>e</w:t>
      </w:r>
      <w:r w:rsidRPr="00993BDD">
        <w:t xml:space="preserve"> nie tylko w ekosystemach wodnych i lądowych, ale także </w:t>
      </w:r>
      <w:r w:rsidRPr="00410100">
        <w:rPr>
          <w:rFonts w:eastAsia="Times New Roman" w:cs="Times New Roman"/>
          <w:kern w:val="0"/>
          <w:szCs w:val="20"/>
          <w:lang w:eastAsia="pl-PL"/>
          <w14:ligatures w14:val="none"/>
        </w:rPr>
        <w:t>trafia</w:t>
      </w:r>
      <w:r w:rsidR="001C29C1">
        <w:rPr>
          <w:rFonts w:eastAsia="Times New Roman" w:cs="Times New Roman"/>
          <w:kern w:val="0"/>
          <w:szCs w:val="20"/>
          <w:lang w:eastAsia="pl-PL"/>
          <w14:ligatures w14:val="none"/>
        </w:rPr>
        <w:t>ją</w:t>
      </w:r>
      <w:r w:rsidRPr="00993BDD">
        <w:t xml:space="preserve"> do naszego jedzenia i organizmów, gromadząc się w ciałach ludzi i powodując długofalowe konsekwencje zdrowotne. Dlatego konieczne jest </w:t>
      </w:r>
      <w:r w:rsidR="000A296A">
        <w:t>podjęcie działań</w:t>
      </w:r>
      <w:r w:rsidRPr="00993BDD">
        <w:t>, któr</w:t>
      </w:r>
      <w:r w:rsidR="000A296A">
        <w:t>e</w:t>
      </w:r>
      <w:r w:rsidRPr="00993BDD">
        <w:t xml:space="preserve"> konsekwentnie prowadz</w:t>
      </w:r>
      <w:r w:rsidR="000A296A">
        <w:t>ą</w:t>
      </w:r>
      <w:r w:rsidRPr="00993BDD">
        <w:t xml:space="preserve"> do ograniczenia ilości </w:t>
      </w:r>
      <w:r w:rsidRPr="00410100">
        <w:rPr>
          <w:rFonts w:eastAsia="Times New Roman" w:cs="Times New Roman"/>
          <w:kern w:val="0"/>
          <w:szCs w:val="20"/>
          <w:lang w:eastAsia="pl-PL"/>
          <w14:ligatures w14:val="none"/>
        </w:rPr>
        <w:t>produkowan</w:t>
      </w:r>
      <w:r w:rsidR="00F26158">
        <w:rPr>
          <w:rFonts w:eastAsia="Times New Roman" w:cs="Times New Roman"/>
          <w:kern w:val="0"/>
          <w:szCs w:val="20"/>
          <w:lang w:eastAsia="pl-PL"/>
          <w14:ligatures w14:val="none"/>
        </w:rPr>
        <w:t>ych</w:t>
      </w:r>
      <w:r w:rsidRPr="00993BDD">
        <w:t xml:space="preserve"> i </w:t>
      </w:r>
      <w:r w:rsidR="00F26158">
        <w:rPr>
          <w:rFonts w:eastAsia="Times New Roman" w:cs="Times New Roman"/>
          <w:kern w:val="0"/>
          <w:szCs w:val="20"/>
          <w:lang w:eastAsia="pl-PL"/>
          <w14:ligatures w14:val="none"/>
        </w:rPr>
        <w:t>wykorzystywanych tworzyw sztucznych</w:t>
      </w:r>
      <w:r w:rsidRPr="00410100">
        <w:rPr>
          <w:rFonts w:eastAsia="Times New Roman" w:cs="Times New Roman"/>
          <w:kern w:val="0"/>
          <w:szCs w:val="20"/>
          <w:lang w:eastAsia="pl-PL"/>
          <w14:ligatures w14:val="none"/>
        </w:rPr>
        <w:t>.</w:t>
      </w:r>
      <w:r w:rsidRPr="00993BDD">
        <w:t xml:space="preserve"> Kluczowymi działaniami w tym zakresie są: </w:t>
      </w:r>
    </w:p>
    <w:p w14:paraId="04CE6E48" w14:textId="242861B6" w:rsidR="00F06483" w:rsidRPr="00993BDD" w:rsidRDefault="00F06483" w:rsidP="000625AC">
      <w:pPr>
        <w:pStyle w:val="Akapitzlist"/>
        <w:numPr>
          <w:ilvl w:val="0"/>
          <w:numId w:val="158"/>
        </w:numPr>
        <w:spacing w:after="0"/>
        <w:ind w:left="426" w:hanging="357"/>
        <w:contextualSpacing w:val="0"/>
      </w:pPr>
      <w:r w:rsidRPr="00D85297">
        <w:t xml:space="preserve">Ograniczenie używania </w:t>
      </w:r>
      <w:r w:rsidR="00F26158" w:rsidRPr="00D85297">
        <w:rPr>
          <w:rFonts w:eastAsia="Times New Roman" w:cs="Times New Roman"/>
          <w:kern w:val="0"/>
          <w:szCs w:val="20"/>
          <w:lang w:eastAsia="pl-PL"/>
          <w14:ligatures w14:val="none"/>
        </w:rPr>
        <w:t>produktów</w:t>
      </w:r>
      <w:r w:rsidR="00F26158">
        <w:rPr>
          <w:rFonts w:eastAsia="Times New Roman" w:cs="Times New Roman"/>
          <w:kern w:val="0"/>
          <w:szCs w:val="20"/>
          <w:lang w:eastAsia="pl-PL"/>
          <w14:ligatures w14:val="none"/>
        </w:rPr>
        <w:t xml:space="preserve"> </w:t>
      </w:r>
      <w:r w:rsidRPr="00993BDD">
        <w:t>jednorazowego użytku</w:t>
      </w:r>
      <w:r w:rsidR="00F26158">
        <w:rPr>
          <w:rFonts w:eastAsia="Times New Roman" w:cs="Times New Roman"/>
          <w:kern w:val="0"/>
          <w:szCs w:val="20"/>
          <w:lang w:eastAsia="pl-PL"/>
          <w14:ligatures w14:val="none"/>
        </w:rPr>
        <w:t xml:space="preserve"> z tworzyw sztucznych</w:t>
      </w:r>
      <w:r w:rsidRPr="00993BDD">
        <w:t>. </w:t>
      </w:r>
    </w:p>
    <w:p w14:paraId="7E696159" w14:textId="5B01FC64" w:rsidR="00F06483" w:rsidRPr="00901FEA" w:rsidRDefault="008134F4" w:rsidP="000625AC">
      <w:pPr>
        <w:pStyle w:val="Akapitzlist"/>
        <w:numPr>
          <w:ilvl w:val="0"/>
          <w:numId w:val="158"/>
        </w:numPr>
        <w:spacing w:after="0"/>
        <w:ind w:left="426" w:hanging="357"/>
        <w:contextualSpacing w:val="0"/>
      </w:pPr>
      <w:r w:rsidRPr="008134F4">
        <w:t xml:space="preserve">Zwiększenie </w:t>
      </w:r>
      <w:r w:rsidR="003543BF">
        <w:t>stosowania</w:t>
      </w:r>
      <w:r w:rsidR="00974007">
        <w:t xml:space="preserve"> </w:t>
      </w:r>
      <w:r w:rsidR="00F06483" w:rsidRPr="00930069">
        <w:t>alternatywnych materiałów</w:t>
      </w:r>
      <w:r w:rsidR="00F06483" w:rsidRPr="00993BDD">
        <w:t xml:space="preserve">, które skutecznie zastąpią opakowania </w:t>
      </w:r>
      <w:r w:rsidR="00F26158">
        <w:rPr>
          <w:rFonts w:eastAsia="Times New Roman" w:cs="Times New Roman"/>
          <w:kern w:val="0"/>
          <w:szCs w:val="20"/>
          <w:lang w:eastAsia="pl-PL"/>
          <w14:ligatures w14:val="none"/>
        </w:rPr>
        <w:t>z</w:t>
      </w:r>
      <w:r w:rsidR="00846FC6">
        <w:rPr>
          <w:rFonts w:eastAsia="Times New Roman" w:cs="Times New Roman"/>
          <w:kern w:val="0"/>
          <w:szCs w:val="20"/>
          <w:lang w:eastAsia="pl-PL"/>
          <w14:ligatures w14:val="none"/>
        </w:rPr>
        <w:t> </w:t>
      </w:r>
      <w:r w:rsidR="00F26158">
        <w:rPr>
          <w:rFonts w:eastAsia="Times New Roman" w:cs="Times New Roman"/>
          <w:kern w:val="0"/>
          <w:szCs w:val="20"/>
          <w:lang w:eastAsia="pl-PL"/>
          <w14:ligatures w14:val="none"/>
        </w:rPr>
        <w:t xml:space="preserve">tworzyw sztucznych </w:t>
      </w:r>
      <w:r w:rsidR="00F06483" w:rsidRPr="00901FEA">
        <w:t>oraz przedmioty jednorazowego użytku</w:t>
      </w:r>
      <w:r w:rsidR="00F26158">
        <w:rPr>
          <w:rFonts w:eastAsia="Times New Roman" w:cs="Times New Roman"/>
          <w:kern w:val="0"/>
          <w:szCs w:val="20"/>
          <w:lang w:eastAsia="pl-PL"/>
          <w14:ligatures w14:val="none"/>
        </w:rPr>
        <w:t xml:space="preserve"> z tworzyw sztucznych</w:t>
      </w:r>
      <w:r w:rsidR="00F06483" w:rsidRPr="00901FEA">
        <w:t>. </w:t>
      </w:r>
    </w:p>
    <w:p w14:paraId="2BC87F15" w14:textId="12CE9608" w:rsidR="00F06483" w:rsidRPr="00901FEA" w:rsidRDefault="00F06483" w:rsidP="000625AC">
      <w:pPr>
        <w:pStyle w:val="Akapitzlist"/>
        <w:numPr>
          <w:ilvl w:val="0"/>
          <w:numId w:val="158"/>
        </w:numPr>
        <w:spacing w:after="0"/>
        <w:ind w:left="426" w:hanging="357"/>
        <w:contextualSpacing w:val="0"/>
      </w:pPr>
      <w:r w:rsidRPr="00901FEA">
        <w:t xml:space="preserve">Rozwój gospodarki o obiegu zamkniętym, która promuje intensywny </w:t>
      </w:r>
      <w:r w:rsidR="00265EEF" w:rsidRPr="00901FEA">
        <w:t>recykling</w:t>
      </w:r>
      <w:r w:rsidR="00265EEF">
        <w:t xml:space="preserve"> tworzyw</w:t>
      </w:r>
      <w:r w:rsidR="00F26158">
        <w:rPr>
          <w:rFonts w:eastAsia="Times New Roman" w:cs="Times New Roman"/>
          <w:kern w:val="0"/>
          <w:szCs w:val="20"/>
          <w:lang w:eastAsia="pl-PL"/>
          <w14:ligatures w14:val="none"/>
        </w:rPr>
        <w:t xml:space="preserve"> sztucznych</w:t>
      </w:r>
      <w:r w:rsidRPr="00410100" w:rsidDel="00F26158">
        <w:rPr>
          <w:rFonts w:eastAsia="Times New Roman" w:cs="Times New Roman"/>
          <w:kern w:val="0"/>
          <w:szCs w:val="20"/>
          <w:lang w:eastAsia="pl-PL"/>
          <w14:ligatures w14:val="none"/>
        </w:rPr>
        <w:t xml:space="preserve"> </w:t>
      </w:r>
      <w:r w:rsidRPr="00901FEA">
        <w:t xml:space="preserve">i minimalizuje ilość odpadów poprzez </w:t>
      </w:r>
      <w:r w:rsidR="002C236C" w:rsidRPr="00D85297">
        <w:t>z</w:t>
      </w:r>
      <w:r w:rsidR="00D85297" w:rsidRPr="00D85297">
        <w:t>większenie stosowania</w:t>
      </w:r>
      <w:r w:rsidR="0097664B" w:rsidRPr="00D85297">
        <w:t xml:space="preserve"> </w:t>
      </w:r>
      <w:r w:rsidR="003333A3" w:rsidRPr="00D85297">
        <w:t>opakowań wielokrotnego użytku</w:t>
      </w:r>
      <w:r w:rsidRPr="00901FEA">
        <w:t xml:space="preserve">. Konieczne jest zwrócenie uwagi na </w:t>
      </w:r>
      <w:r w:rsidR="009A46DE">
        <w:t xml:space="preserve">przydatność opakowań do recyklingu poprzez </w:t>
      </w:r>
      <w:r w:rsidR="00682D68">
        <w:t xml:space="preserve">ograniczenie stosowania czynników, </w:t>
      </w:r>
      <w:r w:rsidR="00E53A69">
        <w:t xml:space="preserve">które </w:t>
      </w:r>
      <w:r w:rsidR="003878FC">
        <w:t xml:space="preserve">ograniczają </w:t>
      </w:r>
      <w:r w:rsidR="003878FC" w:rsidRPr="00901FEA">
        <w:t xml:space="preserve">pełny recykling </w:t>
      </w:r>
      <w:r w:rsidRPr="00901FEA">
        <w:t>taki</w:t>
      </w:r>
      <w:r w:rsidR="00502214">
        <w:t>ch</w:t>
      </w:r>
      <w:r w:rsidRPr="00901FEA">
        <w:t xml:space="preserve"> jak </w:t>
      </w:r>
      <w:r w:rsidR="003878FC" w:rsidRPr="00901FEA">
        <w:t xml:space="preserve">dodatki do tworzyw sztucznych, </w:t>
      </w:r>
      <w:r w:rsidR="00502214">
        <w:t>spoiwa</w:t>
      </w:r>
      <w:r w:rsidR="00265EEF">
        <w:t>, barwniki.</w:t>
      </w:r>
      <w:r w:rsidRPr="00901FEA">
        <w:t xml:space="preserve"> Konieczne są działania zmierzające do zachęcenia producentów do stosowania takich dodatków, które nie blokują ponownego przetwarzania. </w:t>
      </w:r>
    </w:p>
    <w:p w14:paraId="45C003E6" w14:textId="6B19397E" w:rsidR="00F06483" w:rsidRPr="00901FEA" w:rsidRDefault="009D13E6" w:rsidP="000625AC">
      <w:pPr>
        <w:pStyle w:val="Akapitzlist"/>
        <w:numPr>
          <w:ilvl w:val="0"/>
          <w:numId w:val="158"/>
        </w:numPr>
        <w:spacing w:after="80"/>
        <w:ind w:left="426" w:hanging="357"/>
        <w:contextualSpacing w:val="0"/>
      </w:pPr>
      <w:r>
        <w:t xml:space="preserve">Wspieranie </w:t>
      </w:r>
      <w:r w:rsidR="00F06483" w:rsidRPr="00901FEA">
        <w:t xml:space="preserve">lokalności łańcuchów dostaw </w:t>
      </w:r>
      <w:r w:rsidR="00D729BE">
        <w:t>–</w:t>
      </w:r>
      <w:r w:rsidR="00F06483" w:rsidRPr="00901FEA">
        <w:t xml:space="preserve"> miejsce użycia i </w:t>
      </w:r>
      <w:r w:rsidR="00F26158">
        <w:rPr>
          <w:rFonts w:eastAsia="Times New Roman" w:cs="Times New Roman"/>
          <w:kern w:val="0"/>
          <w:szCs w:val="20"/>
          <w:lang w:eastAsia="pl-PL"/>
          <w14:ligatures w14:val="none"/>
        </w:rPr>
        <w:t xml:space="preserve">zagospodarowania </w:t>
      </w:r>
      <w:r w:rsidR="00F06483" w:rsidRPr="00901FEA">
        <w:t>tworzywa nie powinny być od siebie oddalone. Bliskość pomiędzy miejscem użytkowania, a miejscem przetwarzania tworzywa pozwala producentowi na efektywne odzyskiwanie surowca oraz jego ponowne wykorzystanie. </w:t>
      </w:r>
    </w:p>
    <w:p w14:paraId="72625C07" w14:textId="41BF745C" w:rsidR="00F06483" w:rsidRPr="00901FEA" w:rsidRDefault="00F06483" w:rsidP="000625AC">
      <w:pPr>
        <w:pStyle w:val="Akapitzlist"/>
        <w:numPr>
          <w:ilvl w:val="0"/>
          <w:numId w:val="158"/>
        </w:numPr>
        <w:ind w:left="426" w:hanging="357"/>
        <w:contextualSpacing w:val="0"/>
      </w:pPr>
      <w:r w:rsidRPr="00901FEA">
        <w:t>Wsparcie badań naukowych (B+R) nad opracowaniem nowych, innowacyjnych materiałów, oraz rozwój technologii recyklingu, które umożliwią skuteczne odzyskiwanie wartościowych surowców. </w:t>
      </w:r>
    </w:p>
    <w:p w14:paraId="427171B4" w14:textId="68DFC250" w:rsidR="00F06483" w:rsidRPr="00901FEA" w:rsidRDefault="00F06483" w:rsidP="00F207C1">
      <w:r w:rsidRPr="00901FEA">
        <w:t>Niezwykle istotna jest również edukacja społeczna, zwiększająca świadomość zagrożeń wynikających z</w:t>
      </w:r>
      <w:r w:rsidR="00846FC6">
        <w:t> </w:t>
      </w:r>
      <w:r w:rsidRPr="00901FEA">
        <w:t xml:space="preserve">nadmiernego użycia </w:t>
      </w:r>
      <w:r w:rsidR="00F26158">
        <w:rPr>
          <w:rFonts w:eastAsia="Times New Roman" w:cs="Times New Roman"/>
          <w:kern w:val="0"/>
          <w:szCs w:val="20"/>
          <w:lang w:eastAsia="pl-PL"/>
          <w14:ligatures w14:val="none"/>
        </w:rPr>
        <w:t>tworzyw sztucznych</w:t>
      </w:r>
      <w:r w:rsidRPr="00901FEA">
        <w:t xml:space="preserve"> oraz zachęcająca do zmiany nawyków konsumpcyjnych na bardziej ekologiczne. </w:t>
      </w:r>
    </w:p>
    <w:p w14:paraId="1ABA5BFD" w14:textId="6B2E6F8B" w:rsidR="00F06483" w:rsidRPr="00EC4EDF" w:rsidRDefault="00F06483" w:rsidP="00901FEA">
      <w:pPr>
        <w:rPr>
          <w:rFonts w:eastAsia="Times New Roman" w:cs="Times New Roman"/>
          <w:kern w:val="0"/>
          <w:szCs w:val="20"/>
          <w:lang w:eastAsia="pl-PL"/>
          <w14:ligatures w14:val="none"/>
        </w:rPr>
      </w:pPr>
      <w:r w:rsidRPr="00901FEA">
        <w:lastRenderedPageBreak/>
        <w:t>Wdrożenie tych rozwiązań jest nie tylko kluczowe dla ochrony środowiska, ale również przynosi korzyści ekonomiczne oraz społeczne, przyczyniając się do zrównoważonego rozwoju i poprawy jakości życia przyszłych pokoleń. Polityka ta jest także istotna z punktu widzenia ograniczenia emisji CO</w:t>
      </w:r>
      <w:r w:rsidRPr="00901FEA">
        <w:rPr>
          <w:rFonts w:ascii="Cambria Math" w:hAnsi="Cambria Math"/>
        </w:rPr>
        <w:t>₂</w:t>
      </w:r>
      <w:r w:rsidRPr="00901FEA">
        <w:t xml:space="preserve">, ponieważ </w:t>
      </w:r>
      <w:r w:rsidRPr="00410100">
        <w:rPr>
          <w:rFonts w:eastAsia="Times New Roman" w:cs="Times New Roman"/>
          <w:kern w:val="0"/>
          <w:szCs w:val="20"/>
          <w:lang w:eastAsia="pl-PL"/>
          <w14:ligatures w14:val="none"/>
        </w:rPr>
        <w:t>nierecyklingowan</w:t>
      </w:r>
      <w:r w:rsidR="00F26158">
        <w:rPr>
          <w:rFonts w:eastAsia="Times New Roman" w:cs="Times New Roman"/>
          <w:kern w:val="0"/>
          <w:szCs w:val="20"/>
          <w:lang w:eastAsia="pl-PL"/>
          <w14:ligatures w14:val="none"/>
        </w:rPr>
        <w:t>e</w:t>
      </w:r>
      <w:r w:rsidRPr="00901FEA">
        <w:t xml:space="preserve"> </w:t>
      </w:r>
      <w:r w:rsidR="00F26158">
        <w:rPr>
          <w:rFonts w:eastAsia="Times New Roman" w:cs="Times New Roman"/>
          <w:kern w:val="0"/>
          <w:szCs w:val="20"/>
          <w:lang w:eastAsia="pl-PL"/>
          <w14:ligatures w14:val="none"/>
        </w:rPr>
        <w:t>tworzywa sztuczne</w:t>
      </w:r>
      <w:r w:rsidRPr="00410100">
        <w:rPr>
          <w:rFonts w:eastAsia="Times New Roman" w:cs="Times New Roman"/>
          <w:kern w:val="0"/>
          <w:szCs w:val="20"/>
          <w:lang w:eastAsia="pl-PL"/>
          <w14:ligatures w14:val="none"/>
        </w:rPr>
        <w:t xml:space="preserve"> </w:t>
      </w:r>
      <w:r w:rsidRPr="00901FEA">
        <w:t>często</w:t>
      </w:r>
      <w:r w:rsidRPr="00410100">
        <w:rPr>
          <w:rFonts w:eastAsia="Times New Roman" w:cs="Times New Roman"/>
          <w:kern w:val="0"/>
          <w:szCs w:val="20"/>
          <w:lang w:eastAsia="pl-PL"/>
          <w14:ligatures w14:val="none"/>
        </w:rPr>
        <w:t xml:space="preserve"> </w:t>
      </w:r>
      <w:r w:rsidR="00F26158">
        <w:rPr>
          <w:rFonts w:eastAsia="Times New Roman" w:cs="Times New Roman"/>
          <w:kern w:val="0"/>
          <w:szCs w:val="20"/>
          <w:lang w:eastAsia="pl-PL"/>
          <w14:ligatures w14:val="none"/>
        </w:rPr>
        <w:t>są</w:t>
      </w:r>
      <w:r w:rsidRPr="00410100">
        <w:rPr>
          <w:rFonts w:eastAsia="Times New Roman" w:cs="Times New Roman"/>
          <w:kern w:val="0"/>
          <w:szCs w:val="20"/>
          <w:lang w:eastAsia="pl-PL"/>
          <w14:ligatures w14:val="none"/>
        </w:rPr>
        <w:t xml:space="preserve"> wykorzystywan</w:t>
      </w:r>
      <w:r w:rsidR="00F26158">
        <w:rPr>
          <w:rFonts w:eastAsia="Times New Roman" w:cs="Times New Roman"/>
          <w:kern w:val="0"/>
          <w:szCs w:val="20"/>
          <w:lang w:eastAsia="pl-PL"/>
          <w14:ligatures w14:val="none"/>
        </w:rPr>
        <w:t>e</w:t>
      </w:r>
      <w:r w:rsidRPr="00410100">
        <w:rPr>
          <w:rFonts w:eastAsia="Times New Roman" w:cs="Times New Roman"/>
          <w:kern w:val="0"/>
          <w:szCs w:val="20"/>
          <w:lang w:eastAsia="pl-PL"/>
          <w14:ligatures w14:val="none"/>
        </w:rPr>
        <w:t xml:space="preserve"> jako paliwo, co prowadzi do</w:t>
      </w:r>
      <w:r w:rsidR="00846FC6">
        <w:rPr>
          <w:rFonts w:eastAsia="Times New Roman" w:cs="Times New Roman"/>
          <w:kern w:val="0"/>
          <w:szCs w:val="20"/>
          <w:lang w:eastAsia="pl-PL"/>
          <w14:ligatures w14:val="none"/>
        </w:rPr>
        <w:t> </w:t>
      </w:r>
      <w:r w:rsidRPr="00410100">
        <w:rPr>
          <w:rFonts w:eastAsia="Times New Roman" w:cs="Times New Roman"/>
          <w:kern w:val="0"/>
          <w:szCs w:val="20"/>
          <w:lang w:eastAsia="pl-PL"/>
          <w14:ligatures w14:val="none"/>
        </w:rPr>
        <w:t xml:space="preserve">dodatkowych emisji </w:t>
      </w:r>
      <w:r w:rsidR="00EC4EDF">
        <w:rPr>
          <w:rFonts w:eastAsia="Times New Roman" w:cs="Times New Roman"/>
          <w:kern w:val="0"/>
          <w:szCs w:val="20"/>
          <w:lang w:eastAsia="pl-PL"/>
          <w14:ligatures w14:val="none"/>
        </w:rPr>
        <w:t>CO</w:t>
      </w:r>
      <w:r w:rsidR="00EC4EDF" w:rsidRPr="00EC4EDF">
        <w:rPr>
          <w:rFonts w:eastAsia="Times New Roman" w:cs="Times New Roman"/>
          <w:kern w:val="0"/>
          <w:szCs w:val="20"/>
          <w:vertAlign w:val="subscript"/>
          <w:lang w:eastAsia="pl-PL"/>
          <w14:ligatures w14:val="none"/>
        </w:rPr>
        <w:t>2</w:t>
      </w:r>
      <w:r w:rsidRPr="00410100">
        <w:rPr>
          <w:rFonts w:eastAsia="Times New Roman" w:cs="Times New Roman"/>
          <w:kern w:val="0"/>
          <w:szCs w:val="20"/>
          <w:lang w:eastAsia="pl-PL"/>
          <w14:ligatures w14:val="none"/>
        </w:rPr>
        <w:t>.</w:t>
      </w:r>
      <w:r w:rsidRPr="00410100">
        <w:rPr>
          <w:rFonts w:eastAsia="Times New Roman" w:cs="Lato"/>
          <w:kern w:val="0"/>
          <w:szCs w:val="20"/>
          <w:lang w:eastAsia="pl-PL"/>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610B771A" w14:textId="77777777" w:rsidTr="00EC4EDF">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A67C628"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7613AA27" wp14:editId="6B7384DD">
                  <wp:extent cx="622300" cy="622300"/>
                  <wp:effectExtent l="0" t="0" r="6350" b="6350"/>
                  <wp:docPr id="1241067264" name="Obraz 1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A29F725"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6FB4825"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4981445B" w14:textId="77777777" w:rsidTr="00EC4ED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FE4FB1D"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E8232C4" w14:textId="65E9BB5A"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3E281FD" w14:textId="52C55CD6" w:rsidR="00F06483" w:rsidRDefault="00F06483">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minister wł. ds. klimatu</w:t>
            </w:r>
            <w:r w:rsidR="003E2DE5">
              <w:rPr>
                <w:rFonts w:eastAsia="Times New Roman" w:cs="Times New Roman"/>
                <w:color w:val="808080"/>
                <w:kern w:val="0"/>
                <w:sz w:val="18"/>
                <w:szCs w:val="18"/>
                <w:lang w:eastAsia="pl-PL"/>
                <w14:ligatures w14:val="none"/>
              </w:rPr>
              <w:t xml:space="preserve"> </w:t>
            </w:r>
          </w:p>
          <w:p w14:paraId="321CEF24" w14:textId="2B94A325" w:rsidR="0011604D" w:rsidRDefault="00F06483">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minister wł. ds.</w:t>
            </w:r>
            <w:r>
              <w:rPr>
                <w:rFonts w:eastAsia="Times New Roman" w:cs="Times New Roman"/>
                <w:color w:val="808080"/>
                <w:kern w:val="0"/>
                <w:sz w:val="18"/>
                <w:szCs w:val="18"/>
                <w:lang w:eastAsia="pl-PL"/>
                <w14:ligatures w14:val="none"/>
              </w:rPr>
              <w:t xml:space="preserve"> </w:t>
            </w:r>
            <w:r w:rsidR="0011604D">
              <w:rPr>
                <w:rFonts w:eastAsia="Times New Roman" w:cs="Times New Roman"/>
                <w:color w:val="808080"/>
                <w:kern w:val="0"/>
                <w:sz w:val="18"/>
                <w:szCs w:val="18"/>
                <w:lang w:eastAsia="pl-PL"/>
                <w14:ligatures w14:val="none"/>
              </w:rPr>
              <w:t>gospodarki</w:t>
            </w:r>
          </w:p>
          <w:p w14:paraId="63A19941"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2A7AB3">
              <w:rPr>
                <w:rFonts w:eastAsia="Times New Roman" w:cs="Times New Roman"/>
                <w:color w:val="808080"/>
                <w:sz w:val="18"/>
                <w:szCs w:val="18"/>
                <w:lang w:eastAsia="pl-PL"/>
              </w:rPr>
              <w:t>minister wł. ds. nauki i szkolnictwa wyższego </w:t>
            </w:r>
          </w:p>
        </w:tc>
      </w:tr>
    </w:tbl>
    <w:p w14:paraId="7F28268E" w14:textId="5FCFCF1F" w:rsidR="00F06483" w:rsidRPr="00FB68C2" w:rsidRDefault="00F06483" w:rsidP="00D523F3">
      <w:pPr>
        <w:pStyle w:val="Nagwek6"/>
      </w:pPr>
      <w:bookmarkStart w:id="1246" w:name="_Toc195865955"/>
      <w:bookmarkStart w:id="1247" w:name="_Ref195887625"/>
      <w:bookmarkStart w:id="1248" w:name="_Ref195887667"/>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100</w:t>
      </w:r>
      <w:r w:rsidRPr="00FB68C2">
        <w:rPr>
          <w:rStyle w:val="Nagwek6Znak"/>
          <w:b/>
        </w:rPr>
        <w:fldChar w:fldCharType="end"/>
      </w:r>
      <w:r w:rsidRPr="00FB68C2">
        <w:rPr>
          <w:rStyle w:val="Nagwek6Znak"/>
          <w:b/>
        </w:rPr>
        <w:t xml:space="preserve">. </w:t>
      </w:r>
      <w:r w:rsidRPr="00FB68C2">
        <w:t xml:space="preserve">Gospodarka </w:t>
      </w:r>
      <w:r>
        <w:t>o o</w:t>
      </w:r>
      <w:r w:rsidRPr="00FB68C2">
        <w:t xml:space="preserve">biegu </w:t>
      </w:r>
      <w:r>
        <w:t>z</w:t>
      </w:r>
      <w:r w:rsidRPr="00FB68C2">
        <w:t>amknięt</w:t>
      </w:r>
      <w:r>
        <w:t>ym</w:t>
      </w:r>
      <w:bookmarkEnd w:id="1246"/>
      <w:bookmarkEnd w:id="1247"/>
      <w:bookmarkEnd w:id="1248"/>
    </w:p>
    <w:p w14:paraId="425C0B13" w14:textId="6F7A2AB1" w:rsidR="00F06483" w:rsidRPr="00993BDD" w:rsidRDefault="00F06483" w:rsidP="00F207C1">
      <w:r w:rsidRPr="00F207C1">
        <w:t>Rozwój gospodarki o obiegu zamkniętym (GOZ) stanowi jedno z ważniejszych narzędzi redukcji emisji, ponieważ zamykanie pętli materiałowych w gospodarce ogranicza energochłonne wydobycie i</w:t>
      </w:r>
      <w:r w:rsidR="00EC4EDF">
        <w:rPr>
          <w:lang w:eastAsia="pl-PL"/>
        </w:rPr>
        <w:t> </w:t>
      </w:r>
      <w:r w:rsidRPr="00F207C1">
        <w:t xml:space="preserve">przetwarzanie surowców pierwotnych, zmniejsza globalny transport zasobów, a także pozwala uniknąć emisji </w:t>
      </w:r>
      <w:r w:rsidRPr="00993BDD">
        <w:t xml:space="preserve">związanych ze </w:t>
      </w:r>
      <w:r w:rsidR="009523E7">
        <w:rPr>
          <w:rFonts w:eastAsia="Times New Roman" w:cs="Times New Roman"/>
          <w:kern w:val="0"/>
          <w:szCs w:val="20"/>
          <w:lang w:eastAsia="pl-PL"/>
          <w14:ligatures w14:val="none"/>
        </w:rPr>
        <w:t>składowaniem i</w:t>
      </w:r>
      <w:r w:rsidRPr="00C602E0">
        <w:rPr>
          <w:rFonts w:eastAsia="Times New Roman" w:cs="Times New Roman"/>
          <w:kern w:val="0"/>
          <w:szCs w:val="20"/>
          <w:lang w:eastAsia="pl-PL"/>
          <w14:ligatures w14:val="none"/>
        </w:rPr>
        <w:t xml:space="preserve"> </w:t>
      </w:r>
      <w:r w:rsidRPr="00993BDD">
        <w:t>spalaniem odpadów. Każda tona materiału, która pozostaje w</w:t>
      </w:r>
      <w:r w:rsidR="00846FC6">
        <w:t> </w:t>
      </w:r>
      <w:r w:rsidRPr="00993BDD">
        <w:t xml:space="preserve">obiegu, oznacza uniknięte emisje zarówno na etapie wydobycia (np. rudy żelaza, boksytu, paliw kopalnych), jak i w procesach wysokotemperaturowych takich jak wytapianie stali, produkcja aluminium czy kraking petrochemiczny. W sektorach budownictwa, motoryzacji i elektroniki wydłużanie życia produktów, ponowne wykorzystanie komponentów i recykling materiałowy znacząco ograniczają popyt na cement, stal i tworzywa sztuczne. Natomiast redukcja odpadów kierowanych do instalacji termicznego </w:t>
      </w:r>
      <w:r w:rsidRPr="00C602E0">
        <w:rPr>
          <w:rFonts w:eastAsia="Times New Roman" w:cs="Times New Roman"/>
          <w:kern w:val="0"/>
          <w:szCs w:val="20"/>
          <w:lang w:eastAsia="pl-PL"/>
          <w14:ligatures w14:val="none"/>
        </w:rPr>
        <w:t>prze</w:t>
      </w:r>
      <w:r w:rsidR="009523E7">
        <w:rPr>
          <w:rFonts w:eastAsia="Times New Roman" w:cs="Times New Roman"/>
          <w:kern w:val="0"/>
          <w:szCs w:val="20"/>
          <w:lang w:eastAsia="pl-PL"/>
          <w14:ligatures w14:val="none"/>
        </w:rPr>
        <w:t>kształc</w:t>
      </w:r>
      <w:r w:rsidRPr="00C602E0">
        <w:rPr>
          <w:rFonts w:eastAsia="Times New Roman" w:cs="Times New Roman"/>
          <w:kern w:val="0"/>
          <w:szCs w:val="20"/>
          <w:lang w:eastAsia="pl-PL"/>
          <w14:ligatures w14:val="none"/>
        </w:rPr>
        <w:t>ania</w:t>
      </w:r>
      <w:r w:rsidRPr="00F207C1">
        <w:t xml:space="preserve"> zmniejsza emisje CO</w:t>
      </w:r>
      <w:r w:rsidRPr="00F207C1">
        <w:rPr>
          <w:rFonts w:ascii="Cambria Math" w:hAnsi="Cambria Math"/>
        </w:rPr>
        <w:t>₂</w:t>
      </w:r>
      <w:r w:rsidRPr="00F207C1">
        <w:t>, tlenków azotu i pyłów.</w:t>
      </w:r>
    </w:p>
    <w:p w14:paraId="6021AA8C" w14:textId="6C079CCD" w:rsidR="00F06483" w:rsidRPr="00901FEA" w:rsidRDefault="00F06483" w:rsidP="00F207C1">
      <w:r w:rsidRPr="00F207C1">
        <w:t>Działanie polega na wdrożeniu zintegrowanego pakietu inicjatyw obejmujących ekoprojektowanie, które zapewnia trwałość, możliwość naprawy i recyklingu produktów; systemowe wspieranie napraw i</w:t>
      </w:r>
      <w:r w:rsidR="00EC4EDF">
        <w:rPr>
          <w:lang w:eastAsia="pl-PL"/>
        </w:rPr>
        <w:t> </w:t>
      </w:r>
      <w:r w:rsidRPr="00F207C1">
        <w:t>ponownego użycia poprzez sieć punktów serwisowych oraz platform re</w:t>
      </w:r>
      <w:r w:rsidRPr="00F207C1">
        <w:noBreakHyphen/>
        <w:t>use; wprowadzenie systemów kaucyjnych i obiegu opakowań wielokrotnego użytku; rozszerzoną odpowiedzialność producenta, zobowiązującą wytwórców do finansowania i organizowania zbiórki oraz recyklingu swoich wyrobów; inwestycje w nowoczesne sortownie oraz instalacje recyklingu mechanicznego i chemicznego gwarantujące surowce wtórne wysokiej jakości; rozwijanie symbioz przemysłowych, w których odpady jednego zakładu stają się surowcem dla drugiego; promowanie modeli współdzielenia takich jak car</w:t>
      </w:r>
      <w:r w:rsidRPr="00F207C1">
        <w:noBreakHyphen/>
        <w:t>, bike</w:t>
      </w:r>
      <w:r w:rsidRPr="00F207C1">
        <w:noBreakHyphen/>
        <w:t xml:space="preserve"> i tool</w:t>
      </w:r>
      <w:r w:rsidRPr="00F207C1">
        <w:noBreakHyphen/>
        <w:t xml:space="preserve">sharing; zakrojone na szeroką skalę programy edukacyjne i kampanie społeczne budujące świadomość cyrkularną. Skoordynowana realizacja tych inicjatyw ograniczy masę odpadów kierowanych do </w:t>
      </w:r>
      <w:r w:rsidR="009523E7">
        <w:rPr>
          <w:rFonts w:eastAsia="Times New Roman" w:cs="Times New Roman"/>
          <w:kern w:val="0"/>
          <w:szCs w:val="20"/>
          <w:lang w:eastAsia="pl-PL"/>
          <w14:ligatures w14:val="none"/>
        </w:rPr>
        <w:t xml:space="preserve">składowania i </w:t>
      </w:r>
      <w:r w:rsidRPr="00901FEA">
        <w:t xml:space="preserve">termicznego </w:t>
      </w:r>
      <w:r w:rsidRPr="00C602E0">
        <w:rPr>
          <w:rFonts w:eastAsia="Times New Roman" w:cs="Times New Roman"/>
          <w:kern w:val="0"/>
          <w:szCs w:val="20"/>
          <w:lang w:eastAsia="pl-PL"/>
          <w14:ligatures w14:val="none"/>
        </w:rPr>
        <w:t>prze</w:t>
      </w:r>
      <w:r w:rsidR="009523E7">
        <w:rPr>
          <w:rFonts w:eastAsia="Times New Roman" w:cs="Times New Roman"/>
          <w:kern w:val="0"/>
          <w:szCs w:val="20"/>
          <w:lang w:eastAsia="pl-PL"/>
          <w14:ligatures w14:val="none"/>
        </w:rPr>
        <w:t>kształc</w:t>
      </w:r>
      <w:r w:rsidRPr="00C602E0">
        <w:rPr>
          <w:rFonts w:eastAsia="Times New Roman" w:cs="Times New Roman"/>
          <w:kern w:val="0"/>
          <w:szCs w:val="20"/>
          <w:lang w:eastAsia="pl-PL"/>
          <w14:ligatures w14:val="none"/>
        </w:rPr>
        <w:t>ania</w:t>
      </w:r>
      <w:r w:rsidRPr="00901FEA">
        <w:t>, zmniejszy popyt na surowce pierwotne, obniży emisje gazów cieplarnianych w całym łańcuchu wartości oraz podniesie innowacyjność i konkurencyjność gospodarki.</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AA38CA" w14:paraId="14C91965" w14:textId="77777777" w:rsidTr="00EC4EDF">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0698A41D"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ascii="Times New Roman" w:eastAsia="Times New Roman" w:hAnsi="Times New Roman" w:cs="Times New Roman"/>
                <w:noProof/>
                <w:kern w:val="0"/>
                <w:lang w:eastAsia="pl-PL"/>
                <w14:ligatures w14:val="none"/>
              </w:rPr>
              <w:drawing>
                <wp:inline distT="0" distB="0" distL="0" distR="0" wp14:anchorId="49BD054D" wp14:editId="73812DEA">
                  <wp:extent cx="622300" cy="622300"/>
                  <wp:effectExtent l="0" t="0" r="6350" b="6350"/>
                  <wp:docPr id="263948178"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AA38CA">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8DCAB8D"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smallCaps/>
                <w:color w:val="000000"/>
                <w:kern w:val="0"/>
                <w:sz w:val="18"/>
                <w:szCs w:val="18"/>
                <w:lang w:eastAsia="pl-PL"/>
                <w14:ligatures w14:val="none"/>
              </w:rPr>
              <w:t>PODMIOT WIODĄCY</w:t>
            </w:r>
            <w:r w:rsidRPr="00AA38CA">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4AE10D9"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b/>
                <w:bCs/>
                <w:color w:val="000000"/>
                <w:kern w:val="0"/>
                <w:sz w:val="18"/>
                <w:szCs w:val="18"/>
                <w:lang w:eastAsia="pl-PL"/>
                <w14:ligatures w14:val="none"/>
              </w:rPr>
              <w:t>PODMIOTY WSPÓŁPRACUJĄCE</w:t>
            </w:r>
            <w:r w:rsidRPr="00AA38CA">
              <w:rPr>
                <w:rFonts w:eastAsia="Times New Roman" w:cs="Times New Roman"/>
                <w:color w:val="000000"/>
                <w:kern w:val="0"/>
                <w:sz w:val="18"/>
                <w:szCs w:val="18"/>
                <w:lang w:eastAsia="pl-PL"/>
                <w14:ligatures w14:val="none"/>
              </w:rPr>
              <w:t> </w:t>
            </w:r>
          </w:p>
        </w:tc>
      </w:tr>
      <w:tr w:rsidR="003B6773" w:rsidRPr="00AA38CA" w14:paraId="1E624680" w14:textId="77777777" w:rsidTr="00EC4EDF">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1DFF2E4" w14:textId="77777777" w:rsidR="00F06483" w:rsidRPr="00AA38CA" w:rsidRDefault="00F06483">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775B4FA"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Pr>
                <w:rFonts w:eastAsia="Times New Roman" w:cs="Times New Roman"/>
                <w:color w:val="808080"/>
                <w:kern w:val="0"/>
                <w:sz w:val="18"/>
                <w:szCs w:val="18"/>
                <w:lang w:eastAsia="pl-PL"/>
                <w14:ligatures w14:val="none"/>
              </w:rPr>
              <w:t>gospodarki</w:t>
            </w:r>
            <w:r w:rsidRPr="00AA38CA">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9AC8B60" w14:textId="77777777" w:rsidR="00F06483" w:rsidRPr="00AA38CA" w:rsidRDefault="00F06483">
            <w:pPr>
              <w:spacing w:after="0" w:line="240" w:lineRule="auto"/>
              <w:textAlignment w:val="baseline"/>
              <w:rPr>
                <w:rFonts w:ascii="Times New Roman" w:eastAsia="Times New Roman" w:hAnsi="Times New Roman" w:cs="Times New Roman"/>
                <w:kern w:val="0"/>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Pr>
                <w:rFonts w:eastAsia="Times New Roman" w:cs="Times New Roman"/>
                <w:color w:val="808080"/>
                <w:kern w:val="0"/>
                <w:sz w:val="18"/>
                <w:szCs w:val="18"/>
                <w:lang w:eastAsia="pl-PL"/>
                <w14:ligatures w14:val="none"/>
              </w:rPr>
              <w:t>środowiska</w:t>
            </w:r>
          </w:p>
          <w:p w14:paraId="7B6BC751" w14:textId="77777777" w:rsidR="00F06483" w:rsidRDefault="00F06483">
            <w:pPr>
              <w:spacing w:after="0" w:line="240" w:lineRule="auto"/>
              <w:textAlignment w:val="baseline"/>
              <w:rPr>
                <w:rFonts w:eastAsia="Times New Roman" w:cs="Times New Roman"/>
                <w:color w:val="808080"/>
                <w:kern w:val="0"/>
                <w:sz w:val="18"/>
                <w:szCs w:val="18"/>
                <w:lang w:eastAsia="pl-PL"/>
                <w14:ligatures w14:val="none"/>
              </w:rPr>
            </w:pPr>
            <w:r w:rsidRPr="00AA38CA">
              <w:rPr>
                <w:rFonts w:eastAsia="Times New Roman" w:cs="Times New Roman"/>
                <w:color w:val="808080"/>
                <w:kern w:val="0"/>
                <w:sz w:val="18"/>
                <w:szCs w:val="18"/>
                <w:lang w:eastAsia="pl-PL"/>
                <w14:ligatures w14:val="none"/>
              </w:rPr>
              <w:t xml:space="preserve">minister wł. ds. </w:t>
            </w:r>
            <w:r>
              <w:rPr>
                <w:rFonts w:eastAsia="Times New Roman" w:cs="Times New Roman"/>
                <w:color w:val="808080"/>
                <w:kern w:val="0"/>
                <w:sz w:val="18"/>
                <w:szCs w:val="18"/>
                <w:lang w:eastAsia="pl-PL"/>
                <w14:ligatures w14:val="none"/>
              </w:rPr>
              <w:t>klimatu</w:t>
            </w:r>
          </w:p>
          <w:p w14:paraId="70CA5D18" w14:textId="77777777" w:rsidR="00F06483" w:rsidRPr="00C602E0" w:rsidRDefault="00F06483">
            <w:pPr>
              <w:spacing w:after="0" w:line="240" w:lineRule="auto"/>
              <w:textAlignment w:val="baseline"/>
              <w:rPr>
                <w:rFonts w:eastAsia="Times New Roman" w:cs="Times New Roman"/>
                <w:color w:val="808080"/>
                <w:kern w:val="0"/>
                <w:sz w:val="18"/>
                <w:szCs w:val="18"/>
                <w:lang w:eastAsia="pl-PL"/>
                <w14:ligatures w14:val="none"/>
              </w:rPr>
            </w:pPr>
          </w:p>
        </w:tc>
      </w:tr>
    </w:tbl>
    <w:p w14:paraId="5FD113B7" w14:textId="77777777" w:rsidR="00F06483" w:rsidRDefault="00F06483" w:rsidP="00F06483"/>
    <w:p w14:paraId="283999B6" w14:textId="77777777" w:rsidR="00CE5AEF" w:rsidRDefault="00CE5AEF" w:rsidP="000029E7">
      <w:pPr>
        <w:spacing w:before="240" w:after="120"/>
        <w:rPr>
          <w:szCs w:val="20"/>
        </w:rPr>
        <w:sectPr w:rsidR="00CE5AEF" w:rsidSect="00CE5AEF">
          <w:headerReference w:type="even" r:id="rId104"/>
          <w:headerReference w:type="default" r:id="rId105"/>
          <w:headerReference w:type="first" r:id="rId106"/>
          <w:footerReference w:type="first" r:id="rId107"/>
          <w:pgSz w:w="11906" w:h="16838"/>
          <w:pgMar w:top="1417" w:right="1417" w:bottom="1417" w:left="1417" w:header="708" w:footer="708" w:gutter="0"/>
          <w:cols w:space="708"/>
          <w:titlePg/>
          <w:docGrid w:linePitch="360"/>
        </w:sectPr>
      </w:pPr>
    </w:p>
    <w:bookmarkStart w:id="1249" w:name="_Toc159598356"/>
    <w:bookmarkStart w:id="1250" w:name="_Toc195897404"/>
    <w:bookmarkStart w:id="1251" w:name="_Toc205203234"/>
    <w:p w14:paraId="706261AC" w14:textId="0A1ED757" w:rsidR="0057223B" w:rsidRPr="009D414E" w:rsidRDefault="00103429" w:rsidP="00A905F3">
      <w:pPr>
        <w:pStyle w:val="Nagwek2"/>
      </w:pPr>
      <w:r>
        <w:rPr>
          <w:noProof/>
          <w:lang w:eastAsia="pl-PL"/>
        </w:rPr>
        <w:lastRenderedPageBreak/>
        <mc:AlternateContent>
          <mc:Choice Requires="wps">
            <w:drawing>
              <wp:anchor distT="0" distB="0" distL="114300" distR="114300" simplePos="0" relativeHeight="251433472" behindDoc="0" locked="0" layoutInCell="1" allowOverlap="1" wp14:anchorId="224EB9C6" wp14:editId="60FC5B30">
                <wp:simplePos x="0" y="0"/>
                <wp:positionH relativeFrom="page">
                  <wp:posOffset>287020</wp:posOffset>
                </wp:positionH>
                <wp:positionV relativeFrom="page">
                  <wp:posOffset>467995</wp:posOffset>
                </wp:positionV>
                <wp:extent cx="6984000" cy="1814400"/>
                <wp:effectExtent l="0" t="0" r="7620" b="0"/>
                <wp:wrapNone/>
                <wp:docPr id="3552556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000" cy="1814400"/>
                        </a:xfrm>
                        <a:prstGeom prst="rect">
                          <a:avLst/>
                        </a:prstGeom>
                        <a:solidFill>
                          <a:srgbClr val="BDD7E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5D84CF" w14:textId="3AC5E577" w:rsidR="00C36C5C" w:rsidRPr="00936E90" w:rsidRDefault="00C36C5C" w:rsidP="00936E90">
                            <w:pPr>
                              <w:spacing w:after="0"/>
                              <w:ind w:left="979"/>
                              <w:jc w:val="left"/>
                              <w:rPr>
                                <w:rFonts w:ascii="Bahnschrift" w:hAnsi="Bahnschrift"/>
                                <w:b/>
                                <w:bCs/>
                                <w:kern w:val="24"/>
                                <w:sz w:val="56"/>
                                <w:szCs w:val="56"/>
                                <w14:ligatures w14:val="none"/>
                              </w:rPr>
                            </w:pPr>
                            <w:r w:rsidRPr="00936E90">
                              <w:rPr>
                                <w:rFonts w:ascii="Bahnschrift" w:hAnsi="Bahnschrift"/>
                                <w:color w:val="000000" w:themeColor="text1"/>
                                <w:kern w:val="24"/>
                                <w:sz w:val="56"/>
                                <w:szCs w:val="56"/>
                              </w:rPr>
                              <w:t>Wymiar 2</w:t>
                            </w:r>
                            <w:r w:rsidRPr="00936E90">
                              <w:rPr>
                                <w:rFonts w:ascii="Bahnschrift" w:hAnsi="Bahnschrift"/>
                                <w:kern w:val="24"/>
                                <w:sz w:val="72"/>
                                <w:szCs w:val="72"/>
                              </w:rPr>
                              <w:br/>
                            </w:r>
                            <w:r w:rsidRPr="00936E90">
                              <w:rPr>
                                <w:rFonts w:ascii="Bahnschrift" w:hAnsi="Bahnschrift"/>
                                <w:b/>
                                <w:bCs/>
                                <w:color w:val="000000" w:themeColor="text1"/>
                                <w:kern w:val="24"/>
                                <w:sz w:val="56"/>
                                <w:szCs w:val="56"/>
                                <w14:ligatures w14:val="none"/>
                              </w:rPr>
                              <w:t>Efektywność energetyczna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24EB9C6" id="Prostokąt 4" o:spid="_x0000_s1136" style="position:absolute;left:0;text-align:left;margin-left:22.6pt;margin-top:36.85pt;width:549.9pt;height:142.85pt;z-index:25143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" fillcolor="#bdd7ee" stroked="f" strokeweight="1pt">
                <v:textbox>
                  <w:txbxContent>
                    <w:p w14:paraId="255D84CF" w14:textId="3AC5E577" w:rsidR="00C36C5C" w:rsidRPr="00936E90" w:rsidRDefault="00C36C5C" w:rsidP="00936E90">
                      <w:pPr>
                        <w:spacing w:after="0"/>
                        <w:ind w:left="979"/>
                        <w:jc w:val="left"/>
                        <w:rPr>
                          <w:rFonts w:ascii="Bahnschrift" w:hAnsi="Bahnschrift"/>
                          <w:b/>
                          <w:bCs/>
                          <w:kern w:val="24"/>
                          <w:sz w:val="56"/>
                          <w:szCs w:val="56"/>
                          <w14:ligatures w14:val="none"/>
                        </w:rPr>
                      </w:pPr>
                      <w:r w:rsidRPr="00936E90">
                        <w:rPr>
                          <w:rFonts w:ascii="Bahnschrift" w:hAnsi="Bahnschrift"/>
                          <w:color w:val="000000" w:themeColor="text1"/>
                          <w:kern w:val="24"/>
                          <w:sz w:val="56"/>
                          <w:szCs w:val="56"/>
                        </w:rPr>
                        <w:t>Wymiar 2</w:t>
                      </w:r>
                      <w:r w:rsidRPr="00936E90">
                        <w:rPr>
                          <w:rFonts w:ascii="Bahnschrift" w:hAnsi="Bahnschrift"/>
                          <w:kern w:val="24"/>
                          <w:sz w:val="72"/>
                          <w:szCs w:val="72"/>
                        </w:rPr>
                        <w:br/>
                      </w:r>
                      <w:r w:rsidRPr="00936E90">
                        <w:rPr>
                          <w:rFonts w:ascii="Bahnschrift" w:hAnsi="Bahnschrift"/>
                          <w:b/>
                          <w:bCs/>
                          <w:color w:val="000000" w:themeColor="text1"/>
                          <w:kern w:val="24"/>
                          <w:sz w:val="56"/>
                          <w:szCs w:val="56"/>
                          <w14:ligatures w14:val="none"/>
                        </w:rPr>
                        <w:t>Efektywność energetyczna</w:t>
                      </w:r>
                    </w:p>
                  </w:txbxContent>
                </v:textbox>
                <w10:wrap anchorx="page" anchory="page"/>
              </v:rect>
            </w:pict>
          </mc:Fallback>
        </mc:AlternateContent>
      </w:r>
      <w:r w:rsidR="0057223B" w:rsidRPr="009D414E">
        <w:t>Efektywność energetyczna</w:t>
      </w:r>
      <w:bookmarkEnd w:id="1249"/>
      <w:bookmarkEnd w:id="1250"/>
      <w:bookmarkEnd w:id="1251"/>
    </w:p>
    <w:p w14:paraId="09282016" w14:textId="6ACDEE05" w:rsidR="006D2F10" w:rsidRDefault="006D2F10" w:rsidP="0057223B">
      <w:pPr>
        <w:rPr>
          <w:color w:val="000000" w:themeColor="text1"/>
        </w:rPr>
      </w:pPr>
    </w:p>
    <w:p w14:paraId="18659D38" w14:textId="63BF51D5" w:rsidR="000029E7" w:rsidRPr="000029E7" w:rsidRDefault="000029E7" w:rsidP="0057223B">
      <w:pPr>
        <w:rPr>
          <w:color w:val="000000" w:themeColor="text1"/>
        </w:rPr>
      </w:pPr>
    </w:p>
    <w:p w14:paraId="0BE87278" w14:textId="77980A43" w:rsidR="00CE5AEF" w:rsidRDefault="00CE5AEF" w:rsidP="00CA6554">
      <w:pPr>
        <w:pStyle w:val="Bezodstpw"/>
      </w:pPr>
      <w:bookmarkStart w:id="1252" w:name="_Ref157423173"/>
    </w:p>
    <w:bookmarkEnd w:id="1252"/>
    <w:p w14:paraId="3FA50DD1" w14:textId="63D1FE8A" w:rsidR="00A31859" w:rsidRDefault="00A31859" w:rsidP="00DC5106">
      <w:pPr>
        <w:spacing w:line="257" w:lineRule="auto"/>
      </w:pPr>
    </w:p>
    <w:p w14:paraId="5AF505DE" w14:textId="3A14170C" w:rsidR="007134AD" w:rsidRDefault="00FE1B8E" w:rsidP="00D523F3">
      <w:pPr>
        <w:pStyle w:val="Nagwek6"/>
        <w:rPr>
          <w:lang w:eastAsia="pl-PL"/>
        </w:rPr>
      </w:pPr>
      <w:bookmarkStart w:id="1253" w:name="_Ref198316911"/>
      <w:bookmarkStart w:id="1254" w:name="_Toc195865956"/>
      <w:bookmarkStart w:id="1255" w:name="_Ref195884981"/>
      <w:r>
        <w:t xml:space="preserve">Działanie </w:t>
      </w:r>
      <w:r>
        <w:fldChar w:fldCharType="begin"/>
      </w:r>
      <w:r>
        <w:instrText>SEQ Działanie \* ARABIC</w:instrText>
      </w:r>
      <w:r>
        <w:fldChar w:fldCharType="separate"/>
      </w:r>
      <w:r w:rsidR="00871DD5">
        <w:rPr>
          <w:noProof/>
        </w:rPr>
        <w:t>101</w:t>
      </w:r>
      <w:r>
        <w:fldChar w:fldCharType="end"/>
      </w:r>
      <w:r>
        <w:t xml:space="preserve">. </w:t>
      </w:r>
      <w:r w:rsidR="00526B59" w:rsidRPr="00526B59">
        <w:t>Mapa drogowa upowszechnienia modelu ESCO</w:t>
      </w:r>
      <w:bookmarkEnd w:id="1253"/>
    </w:p>
    <w:p w14:paraId="5951130C" w14:textId="3CC4CA9A" w:rsidR="00E52984" w:rsidRDefault="00E52984" w:rsidP="00FF5AA7">
      <w:pPr>
        <w:spacing w:after="80"/>
        <w:textAlignment w:val="baseline"/>
        <w:rPr>
          <w:szCs w:val="20"/>
          <w:lang w:eastAsia="pl-PL"/>
        </w:rPr>
      </w:pPr>
      <w:r>
        <w:rPr>
          <w:szCs w:val="20"/>
          <w:lang w:eastAsia="pl-PL"/>
        </w:rPr>
        <w:t>Należy stworzyć plan i wytyczne dla rynku w zakresie upowszechnienia formuły ESCO</w:t>
      </w:r>
      <w:r w:rsidR="00AD2F40">
        <w:rPr>
          <w:szCs w:val="20"/>
          <w:lang w:eastAsia="pl-PL"/>
        </w:rPr>
        <w:t xml:space="preserve"> </w:t>
      </w:r>
      <w:r w:rsidR="00AD2F40">
        <w:rPr>
          <w:rFonts w:eastAsia="Times New Roman" w:cs="Times New Roman"/>
          <w:lang w:eastAsia="pl-PL"/>
        </w:rPr>
        <w:t xml:space="preserve">(ang. </w:t>
      </w:r>
      <w:r w:rsidR="00AD2F40" w:rsidRPr="00173807">
        <w:rPr>
          <w:rFonts w:eastAsia="Times New Roman" w:cs="Times New Roman"/>
          <w:i/>
          <w:iCs/>
          <w:lang w:eastAsia="pl-PL"/>
        </w:rPr>
        <w:t>Energy Service Company</w:t>
      </w:r>
      <w:r w:rsidR="00AD2F40">
        <w:rPr>
          <w:rFonts w:eastAsia="Times New Roman" w:cs="Times New Roman"/>
          <w:lang w:eastAsia="pl-PL"/>
        </w:rPr>
        <w:t>)</w:t>
      </w:r>
      <w:r w:rsidR="00FF5AA7" w:rsidRPr="00A25804">
        <w:rPr>
          <w:szCs w:val="20"/>
          <w:lang w:eastAsia="pl-PL"/>
        </w:rPr>
        <w:t>.</w:t>
      </w:r>
      <w:r>
        <w:rPr>
          <w:szCs w:val="20"/>
          <w:lang w:eastAsia="pl-PL"/>
        </w:rPr>
        <w:t xml:space="preserve"> Formuła ESCO w polskich warunkach może być bardzo dobrym mechanizmem finansowym do</w:t>
      </w:r>
      <w:r w:rsidR="00025D4B">
        <w:rPr>
          <w:szCs w:val="20"/>
          <w:lang w:eastAsia="pl-PL"/>
        </w:rPr>
        <w:t> </w:t>
      </w:r>
      <w:r>
        <w:rPr>
          <w:szCs w:val="20"/>
          <w:lang w:eastAsia="pl-PL"/>
        </w:rPr>
        <w:t>realizacji transformacji szczególnie w zakresie modernizacji budynków. Przygotowany plan i wytyczne powinny zawierać: </w:t>
      </w:r>
    </w:p>
    <w:p w14:paraId="16549EBC" w14:textId="649D4AFD" w:rsidR="00E52984" w:rsidRPr="00005331" w:rsidRDefault="00E52984" w:rsidP="000625AC">
      <w:pPr>
        <w:pStyle w:val="Akapitzlist"/>
        <w:numPr>
          <w:ilvl w:val="0"/>
          <w:numId w:val="173"/>
        </w:numPr>
        <w:rPr>
          <w:rFonts w:cs="Arial"/>
          <w:lang w:eastAsia="pl-PL"/>
        </w:rPr>
      </w:pPr>
      <w:r w:rsidRPr="00ED1A73">
        <w:rPr>
          <w:lang w:eastAsia="pl-PL"/>
        </w:rPr>
        <w:t>Opis modeli realizacji formuły ESCO ze wskazaniem dla jakich podmiotów dana formuła jest</w:t>
      </w:r>
      <w:r w:rsidR="00025D4B">
        <w:rPr>
          <w:lang w:eastAsia="pl-PL"/>
        </w:rPr>
        <w:t> </w:t>
      </w:r>
      <w:r w:rsidRPr="00ED1A73">
        <w:rPr>
          <w:lang w:eastAsia="pl-PL"/>
        </w:rPr>
        <w:t>najbardziej wskazana, </w:t>
      </w:r>
    </w:p>
    <w:p w14:paraId="475A50F0" w14:textId="77777777" w:rsidR="00E52984" w:rsidRPr="00005331" w:rsidRDefault="00E52984" w:rsidP="000625AC">
      <w:pPr>
        <w:pStyle w:val="Akapitzlist"/>
        <w:numPr>
          <w:ilvl w:val="0"/>
          <w:numId w:val="173"/>
        </w:numPr>
        <w:rPr>
          <w:rFonts w:cs="Arial"/>
          <w:lang w:eastAsia="pl-PL"/>
        </w:rPr>
      </w:pPr>
      <w:r w:rsidRPr="00ED1A73">
        <w:rPr>
          <w:lang w:eastAsia="pl-PL"/>
        </w:rPr>
        <w:t>Określenie barier i uwarunkowań które ograniczają upowszechnienie formuły ESCO, </w:t>
      </w:r>
    </w:p>
    <w:p w14:paraId="6EDFDB54" w14:textId="77777777" w:rsidR="00FF5AA7" w:rsidRPr="00005331" w:rsidRDefault="00FF5AA7" w:rsidP="000625AC">
      <w:pPr>
        <w:pStyle w:val="Akapitzlist"/>
        <w:numPr>
          <w:ilvl w:val="0"/>
          <w:numId w:val="173"/>
        </w:numPr>
        <w:rPr>
          <w:rFonts w:cs="Arial"/>
          <w:lang w:eastAsia="pl-PL"/>
        </w:rPr>
      </w:pPr>
      <w:r w:rsidRPr="00ED1A73">
        <w:rPr>
          <w:lang w:eastAsia="pl-PL"/>
        </w:rPr>
        <w:t>Rekomendacje w zakresie zmian prawnych, </w:t>
      </w:r>
    </w:p>
    <w:p w14:paraId="1CEE250C" w14:textId="77777777" w:rsidR="00FF5AA7" w:rsidRPr="00005331" w:rsidRDefault="00FF5AA7" w:rsidP="000625AC">
      <w:pPr>
        <w:pStyle w:val="Akapitzlist"/>
        <w:numPr>
          <w:ilvl w:val="0"/>
          <w:numId w:val="173"/>
        </w:numPr>
        <w:rPr>
          <w:rFonts w:cs="Arial"/>
          <w:lang w:eastAsia="pl-PL"/>
        </w:rPr>
      </w:pPr>
      <w:r w:rsidRPr="00ED1A73">
        <w:rPr>
          <w:lang w:eastAsia="pl-PL"/>
        </w:rPr>
        <w:t>Rekomendacje w zakresie mechanizmów wsparcia,</w:t>
      </w:r>
    </w:p>
    <w:p w14:paraId="770FF6D4" w14:textId="77777777" w:rsidR="00FF5AA7" w:rsidRPr="00005331" w:rsidRDefault="00FF5AA7" w:rsidP="000625AC">
      <w:pPr>
        <w:pStyle w:val="Akapitzlist"/>
        <w:numPr>
          <w:ilvl w:val="0"/>
          <w:numId w:val="173"/>
        </w:numPr>
        <w:rPr>
          <w:rFonts w:cs="Arial"/>
          <w:lang w:eastAsia="pl-PL"/>
        </w:rPr>
      </w:pPr>
      <w:r w:rsidRPr="00ED1A73">
        <w:rPr>
          <w:lang w:eastAsia="pl-PL"/>
        </w:rPr>
        <w:t>Rekomendacje działań w zakresie programów pilotażowych, </w:t>
      </w:r>
    </w:p>
    <w:p w14:paraId="3A7D0912" w14:textId="77777777" w:rsidR="00FF5AA7" w:rsidRPr="00005331" w:rsidRDefault="00FF5AA7" w:rsidP="000625AC">
      <w:pPr>
        <w:pStyle w:val="Akapitzlist"/>
        <w:numPr>
          <w:ilvl w:val="0"/>
          <w:numId w:val="173"/>
        </w:numPr>
        <w:ind w:left="714" w:hanging="357"/>
        <w:contextualSpacing w:val="0"/>
        <w:rPr>
          <w:rFonts w:cs="Times New Roman"/>
          <w:lang w:eastAsia="pl-PL"/>
        </w:rPr>
      </w:pPr>
      <w:r w:rsidRPr="00ED1A73">
        <w:rPr>
          <w:lang w:eastAsia="pl-PL"/>
        </w:rPr>
        <w:t>Rekomendacje</w:t>
      </w:r>
      <w:r w:rsidR="00E52984" w:rsidRPr="00ED1A73">
        <w:rPr>
          <w:lang w:eastAsia="pl-PL"/>
        </w:rPr>
        <w:t xml:space="preserve"> działań w zakresie działań </w:t>
      </w:r>
      <w:r w:rsidRPr="00ED1A73">
        <w:rPr>
          <w:lang w:eastAsia="pl-PL"/>
        </w:rPr>
        <w:t>promocyjno-edukacyjnych</w:t>
      </w:r>
    </w:p>
    <w:p w14:paraId="26D42EA7" w14:textId="77777777" w:rsidR="008A1067" w:rsidRDefault="008A1067" w:rsidP="00164ABE">
      <w:pPr>
        <w:pStyle w:val="Akapitzlist"/>
        <w:tabs>
          <w:tab w:val="num" w:pos="720"/>
        </w:tabs>
        <w:spacing w:after="80" w:line="240" w:lineRule="auto"/>
        <w:textAlignment w:val="baseline"/>
        <w:rPr>
          <w:rFonts w:eastAsia="Times New Roman" w:cs="Times New Roman"/>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8A1067" w:rsidRPr="00077D7F" w14:paraId="0DD1E875" w14:textId="77777777">
        <w:trPr>
          <w:trHeight w:val="300"/>
        </w:trPr>
        <w:tc>
          <w:tcPr>
            <w:tcW w:w="1049" w:type="dxa"/>
            <w:vMerge w:val="restart"/>
            <w:tcBorders>
              <w:top w:val="dashed" w:sz="12" w:space="0" w:color="FFFFFF"/>
              <w:left w:val="dashed" w:sz="12" w:space="0" w:color="FFFFFF"/>
              <w:bottom w:val="dashed" w:sz="12" w:space="0" w:color="FFFFFF"/>
              <w:right w:val="dashed" w:sz="12" w:space="0" w:color="FFFFFF"/>
            </w:tcBorders>
            <w:hideMark/>
          </w:tcPr>
          <w:p w14:paraId="07A0B7B8" w14:textId="77777777" w:rsidR="008A1067" w:rsidRPr="00077D7F" w:rsidRDefault="008A1067">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4CFE37BE" wp14:editId="4FAD5009">
                  <wp:extent cx="617220" cy="617220"/>
                  <wp:effectExtent l="0" t="0" r="0" b="0"/>
                  <wp:docPr id="1931943691"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az 1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BB4B21C" w14:textId="77777777" w:rsidR="008A1067" w:rsidRPr="00077D7F" w:rsidRDefault="008A1067">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sz w:val="18"/>
                <w:szCs w:val="18"/>
                <w:lang w:eastAsia="pl-PL"/>
              </w:rPr>
              <w:t>PODMIOT WIODĄCY</w:t>
            </w:r>
            <w:r w:rsidRPr="00077D7F">
              <w:rPr>
                <w:rFonts w:eastAsia="Times New Roman" w:cs="Times New Roman"/>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E21B2B7" w14:textId="77777777" w:rsidR="008A1067" w:rsidRPr="00077D7F" w:rsidRDefault="008A1067">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z w:val="18"/>
                <w:szCs w:val="18"/>
                <w:lang w:eastAsia="pl-PL"/>
              </w:rPr>
              <w:t>PODMIOTY WSPÓŁPRACUJĄCE</w:t>
            </w:r>
            <w:r w:rsidRPr="00077D7F">
              <w:rPr>
                <w:rFonts w:eastAsia="Times New Roman" w:cs="Times New Roman"/>
                <w:sz w:val="18"/>
                <w:szCs w:val="18"/>
                <w:lang w:eastAsia="pl-PL"/>
              </w:rPr>
              <w:t> </w:t>
            </w:r>
          </w:p>
        </w:tc>
      </w:tr>
      <w:tr w:rsidR="008A1067" w:rsidRPr="00077D7F" w14:paraId="0BB229E7"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8CF790A" w14:textId="77777777" w:rsidR="008A1067" w:rsidRPr="00077D7F" w:rsidRDefault="008A1067">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A6358BC" w14:textId="5B163C8C" w:rsidR="008A1067" w:rsidRPr="00077D7F" w:rsidRDefault="008A1067">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xml:space="preserve">minister wł. ds. </w:t>
            </w:r>
            <w:r>
              <w:rPr>
                <w:rFonts w:eastAsia="Times New Roman" w:cs="Times New Roman"/>
                <w:color w:val="808080"/>
                <w:sz w:val="18"/>
                <w:szCs w:val="18"/>
                <w:lang w:eastAsia="pl-PL"/>
              </w:rPr>
              <w:t>klimatu</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CAD1455" w14:textId="0152ABF9" w:rsidR="008A1067" w:rsidRDefault="008A1067" w:rsidP="008A1067">
            <w:pPr>
              <w:spacing w:after="0" w:line="240" w:lineRule="auto"/>
              <w:jc w:val="left"/>
              <w:textAlignment w:val="baseline"/>
              <w:rPr>
                <w:rFonts w:eastAsia="Times New Roman" w:cs="Times New Roman"/>
                <w:color w:val="808080"/>
                <w:sz w:val="18"/>
                <w:szCs w:val="18"/>
                <w:lang w:eastAsia="pl-PL"/>
              </w:rPr>
            </w:pPr>
            <w:r w:rsidRPr="00077D7F">
              <w:rPr>
                <w:rFonts w:eastAsia="Times New Roman" w:cs="Times New Roman"/>
                <w:color w:val="808080"/>
                <w:sz w:val="18"/>
                <w:szCs w:val="18"/>
                <w:lang w:eastAsia="pl-PL"/>
              </w:rPr>
              <w:t xml:space="preserve">minister wł. ds. </w:t>
            </w:r>
            <w:r w:rsidRPr="008A1067">
              <w:rPr>
                <w:rFonts w:eastAsia="Times New Roman" w:cs="Times New Roman"/>
                <w:color w:val="808080"/>
                <w:sz w:val="18"/>
                <w:szCs w:val="18"/>
                <w:lang w:eastAsia="pl-PL"/>
              </w:rPr>
              <w:t>budownictwa, planowania i</w:t>
            </w:r>
            <w:r w:rsidR="00025D4B">
              <w:rPr>
                <w:rFonts w:eastAsia="Times New Roman" w:cs="Times New Roman"/>
                <w:color w:val="808080"/>
                <w:sz w:val="18"/>
                <w:szCs w:val="18"/>
                <w:lang w:eastAsia="pl-PL"/>
              </w:rPr>
              <w:t> </w:t>
            </w:r>
            <w:r w:rsidRPr="008A1067">
              <w:rPr>
                <w:rFonts w:eastAsia="Times New Roman" w:cs="Times New Roman"/>
                <w:color w:val="808080"/>
                <w:sz w:val="18"/>
                <w:szCs w:val="18"/>
                <w:lang w:eastAsia="pl-PL"/>
              </w:rPr>
              <w:t>zagospodarowania przestrzennego oraz mieszkalnictwa</w:t>
            </w:r>
          </w:p>
          <w:p w14:paraId="305017EA" w14:textId="182DA125" w:rsidR="008A1067" w:rsidRPr="00077D7F" w:rsidRDefault="008A1067" w:rsidP="008A1067">
            <w:pPr>
              <w:spacing w:after="0" w:line="240" w:lineRule="auto"/>
              <w:jc w:val="left"/>
              <w:textAlignment w:val="baseline"/>
              <w:rPr>
                <w:rFonts w:ascii="Times New Roman" w:eastAsia="Times New Roman" w:hAnsi="Times New Roman" w:cs="Times New Roman"/>
                <w:sz w:val="24"/>
                <w:szCs w:val="24"/>
                <w:lang w:eastAsia="pl-PL"/>
              </w:rPr>
            </w:pPr>
            <w:r w:rsidRPr="008A1067">
              <w:rPr>
                <w:rFonts w:eastAsia="Times New Roman" w:cs="Times New Roman"/>
                <w:color w:val="808080"/>
                <w:sz w:val="18"/>
                <w:szCs w:val="18"/>
                <w:lang w:eastAsia="pl-PL"/>
              </w:rPr>
              <w:t>minister wł. ds. rozwoju regionalnego</w:t>
            </w:r>
          </w:p>
        </w:tc>
      </w:tr>
    </w:tbl>
    <w:p w14:paraId="48873FA0" w14:textId="77777777" w:rsidR="008A1067" w:rsidRPr="008A1067" w:rsidRDefault="008A1067" w:rsidP="008A1067">
      <w:pPr>
        <w:tabs>
          <w:tab w:val="num" w:pos="720"/>
        </w:tabs>
        <w:spacing w:after="80" w:line="240" w:lineRule="auto"/>
        <w:textAlignment w:val="baseline"/>
        <w:rPr>
          <w:rFonts w:eastAsia="Times New Roman" w:cs="Times New Roman"/>
          <w:lang w:eastAsia="pl-PL"/>
        </w:rPr>
      </w:pPr>
    </w:p>
    <w:p w14:paraId="78118FBD" w14:textId="0A98ED5B" w:rsidR="00A31859" w:rsidRPr="00077D7F" w:rsidRDefault="00B96E7D" w:rsidP="00D523F3">
      <w:pPr>
        <w:pStyle w:val="Nagwek6"/>
        <w:rPr>
          <w:rFonts w:ascii="Times New Roman" w:hAnsi="Times New Roman"/>
          <w:i/>
          <w:iCs/>
          <w:color w:val="595959"/>
          <w:sz w:val="24"/>
          <w:szCs w:val="24"/>
          <w:lang w:eastAsia="pl-PL"/>
        </w:rPr>
      </w:pPr>
      <w:bookmarkStart w:id="1256" w:name="_Ref198288378"/>
      <w:r>
        <w:t xml:space="preserve">Działanie </w:t>
      </w:r>
      <w:r>
        <w:fldChar w:fldCharType="begin"/>
      </w:r>
      <w:r>
        <w:instrText>SEQ Działanie \* ARABIC</w:instrText>
      </w:r>
      <w:r>
        <w:fldChar w:fldCharType="separate"/>
      </w:r>
      <w:r w:rsidR="00871DD5">
        <w:rPr>
          <w:noProof/>
        </w:rPr>
        <w:t>102</w:t>
      </w:r>
      <w:r>
        <w:fldChar w:fldCharType="end"/>
      </w:r>
      <w:r>
        <w:t xml:space="preserve">. </w:t>
      </w:r>
      <w:r w:rsidR="00A31859" w:rsidRPr="00077D7F">
        <w:rPr>
          <w:lang w:eastAsia="pl-PL"/>
        </w:rPr>
        <w:t>Wprowadzenie wymogów w zakresie wykorzystania energii słonecznej w</w:t>
      </w:r>
      <w:r w:rsidR="00EC4EDF">
        <w:rPr>
          <w:lang w:eastAsia="pl-PL"/>
        </w:rPr>
        <w:t> </w:t>
      </w:r>
      <w:r w:rsidR="00A31859" w:rsidRPr="00077D7F">
        <w:rPr>
          <w:lang w:eastAsia="pl-PL"/>
        </w:rPr>
        <w:t>budynkach</w:t>
      </w:r>
      <w:bookmarkEnd w:id="1254"/>
      <w:bookmarkEnd w:id="1255"/>
      <w:bookmarkEnd w:id="1256"/>
      <w:r w:rsidR="00A31859" w:rsidRPr="00077D7F">
        <w:rPr>
          <w:lang w:eastAsia="pl-PL"/>
        </w:rPr>
        <w:t xml:space="preserve"> </w:t>
      </w:r>
    </w:p>
    <w:p w14:paraId="54C446D6" w14:textId="77777777" w:rsidR="00A31859" w:rsidRPr="00077D7F" w:rsidRDefault="00A31859" w:rsidP="008A1067">
      <w:pPr>
        <w:spacing w:after="8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lang w:eastAsia="pl-PL"/>
        </w:rPr>
        <w:t xml:space="preserve">Działanie polega na wprowadzeniu wymogów wyposażania budynków nowych oraz budynków poddawanych </w:t>
      </w:r>
      <w:r w:rsidRPr="00EC4EDF">
        <w:t>modernizacji w urządzenia lub instalacje wykorzystujące do wytworzenia energii elektrycznej lub ciepła</w:t>
      </w:r>
      <w:r w:rsidRPr="00077D7F">
        <w:rPr>
          <w:rFonts w:eastAsia="Times New Roman" w:cs="Times New Roman"/>
          <w:lang w:eastAsia="pl-PL"/>
        </w:rPr>
        <w:t xml:space="preserve"> energię promieniowania słonecznego, o ile jest to odpowiednie pod względem: technicznym, funkcjonalnym oraz ekonomicznym zgodnie z następującym harmonogramem: </w:t>
      </w:r>
    </w:p>
    <w:p w14:paraId="08DE5F48" w14:textId="64BDC3A9" w:rsidR="00A31859" w:rsidRPr="00EC4EDF" w:rsidRDefault="00A31859" w:rsidP="000625AC">
      <w:pPr>
        <w:pStyle w:val="Akapitzlist"/>
        <w:numPr>
          <w:ilvl w:val="0"/>
          <w:numId w:val="159"/>
        </w:numPr>
        <w:ind w:left="567"/>
        <w:rPr>
          <w:rFonts w:ascii="Times New Roman" w:hAnsi="Times New Roman"/>
          <w:sz w:val="24"/>
          <w:szCs w:val="24"/>
          <w:lang w:eastAsia="pl-PL"/>
        </w:rPr>
      </w:pPr>
      <w:r w:rsidRPr="00077D7F">
        <w:rPr>
          <w:lang w:eastAsia="pl-PL"/>
        </w:rPr>
        <w:t>budynki użyteczności publicznej, budynki zamieszkania zbiorowego, budynki gospodarcze, o</w:t>
      </w:r>
      <w:r w:rsidR="00EC4EDF">
        <w:rPr>
          <w:lang w:eastAsia="pl-PL"/>
        </w:rPr>
        <w:t> </w:t>
      </w:r>
      <w:r w:rsidRPr="00077D7F">
        <w:rPr>
          <w:lang w:eastAsia="pl-PL"/>
        </w:rPr>
        <w:t>powierzchni powyżej 250 m</w:t>
      </w:r>
      <w:r w:rsidRPr="008A1067">
        <w:rPr>
          <w:vertAlign w:val="superscript"/>
        </w:rPr>
        <w:t>2</w:t>
      </w:r>
      <w:r w:rsidRPr="00077D7F">
        <w:rPr>
          <w:lang w:eastAsia="pl-PL"/>
        </w:rPr>
        <w:t xml:space="preserve"> – od 31 grudnia 2026 r., </w:t>
      </w:r>
    </w:p>
    <w:p w14:paraId="55F9F0F9" w14:textId="77777777" w:rsidR="00A31859" w:rsidRPr="00EC4EDF" w:rsidRDefault="00A31859" w:rsidP="000625AC">
      <w:pPr>
        <w:pStyle w:val="Akapitzlist"/>
        <w:numPr>
          <w:ilvl w:val="0"/>
          <w:numId w:val="159"/>
        </w:numPr>
        <w:ind w:left="567"/>
        <w:rPr>
          <w:rFonts w:ascii="Times New Roman" w:hAnsi="Times New Roman"/>
          <w:sz w:val="24"/>
          <w:szCs w:val="24"/>
          <w:lang w:eastAsia="pl-PL"/>
        </w:rPr>
      </w:pPr>
      <w:r w:rsidRPr="00077D7F">
        <w:rPr>
          <w:lang w:eastAsia="pl-PL"/>
        </w:rPr>
        <w:t>budynki mieszkalne – od 31 grudnia 2029 r. </w:t>
      </w:r>
    </w:p>
    <w:p w14:paraId="709E538D" w14:textId="76E84C69" w:rsidR="00A31859" w:rsidRPr="00077D7F" w:rsidRDefault="00A31859" w:rsidP="008A1067">
      <w:pPr>
        <w:rPr>
          <w:rFonts w:ascii="Times New Roman" w:hAnsi="Times New Roman"/>
          <w:sz w:val="24"/>
          <w:szCs w:val="24"/>
          <w:lang w:eastAsia="pl-PL"/>
        </w:rPr>
      </w:pPr>
      <w:r w:rsidRPr="00077D7F">
        <w:rPr>
          <w:lang w:eastAsia="pl-PL"/>
        </w:rPr>
        <w:t>Oprócz tego nowe zadaszone parkingi przylegające do budynku należy wyposażyć w urządzenia lub</w:t>
      </w:r>
      <w:r w:rsidR="00025D4B">
        <w:rPr>
          <w:lang w:eastAsia="pl-PL"/>
        </w:rPr>
        <w:t> </w:t>
      </w:r>
      <w:r w:rsidRPr="00077D7F">
        <w:rPr>
          <w:lang w:eastAsia="pl-PL"/>
        </w:rPr>
        <w:t>instalacje wykorzystujące do wytworzenia energii elektrycznej lub ciepła energię promieniowania słonecznego od 31 grudnia 2029 r. </w:t>
      </w:r>
    </w:p>
    <w:p w14:paraId="04F832ED" w14:textId="17CD496A" w:rsidR="00A31859" w:rsidRPr="00077D7F" w:rsidRDefault="00A31859" w:rsidP="008A1067">
      <w:pPr>
        <w:spacing w:after="80"/>
        <w:rPr>
          <w:rFonts w:ascii="Times New Roman" w:hAnsi="Times New Roman"/>
          <w:sz w:val="24"/>
          <w:szCs w:val="24"/>
          <w:lang w:eastAsia="pl-PL"/>
        </w:rPr>
      </w:pPr>
      <w:r w:rsidRPr="00077D7F">
        <w:rPr>
          <w:lang w:eastAsia="pl-PL"/>
        </w:rPr>
        <w:t>Ponadto użytkowane budynki należy wyposażać w urządzenia lub instalacje wykorzystujące do</w:t>
      </w:r>
      <w:r w:rsidR="00025D4B">
        <w:rPr>
          <w:lang w:eastAsia="pl-PL"/>
        </w:rPr>
        <w:t> </w:t>
      </w:r>
      <w:r w:rsidRPr="00077D7F">
        <w:rPr>
          <w:lang w:eastAsia="pl-PL"/>
        </w:rPr>
        <w:t>wytworzenia energii elektrycznej lub ciepła energię promieniowania słonecznego o ile jest to</w:t>
      </w:r>
      <w:r w:rsidR="00025D4B">
        <w:rPr>
          <w:lang w:eastAsia="pl-PL"/>
        </w:rPr>
        <w:t> </w:t>
      </w:r>
      <w:r w:rsidRPr="00077D7F">
        <w:rPr>
          <w:lang w:eastAsia="pl-PL"/>
        </w:rPr>
        <w:t>odpowiednie pod względem: technicznym, funkcjonalnym oraz ekonomicznym zgodnie z</w:t>
      </w:r>
      <w:r w:rsidR="00025D4B">
        <w:t> </w:t>
      </w:r>
      <w:r w:rsidRPr="00077D7F">
        <w:rPr>
          <w:lang w:eastAsia="pl-PL"/>
        </w:rPr>
        <w:t>następującym harmonogramem: </w:t>
      </w:r>
    </w:p>
    <w:p w14:paraId="25111A5B" w14:textId="517C5145" w:rsidR="009377A1" w:rsidRPr="009377A1" w:rsidRDefault="00A31859" w:rsidP="000625AC">
      <w:pPr>
        <w:pStyle w:val="Akapitzlist"/>
        <w:numPr>
          <w:ilvl w:val="0"/>
          <w:numId w:val="160"/>
        </w:numPr>
        <w:ind w:left="567"/>
        <w:jc w:val="left"/>
        <w:rPr>
          <w:rFonts w:ascii="Times New Roman" w:hAnsi="Times New Roman"/>
          <w:sz w:val="24"/>
          <w:szCs w:val="24"/>
          <w:lang w:eastAsia="pl-PL"/>
        </w:rPr>
      </w:pPr>
      <w:r w:rsidRPr="00077D7F">
        <w:rPr>
          <w:lang w:eastAsia="pl-PL"/>
        </w:rPr>
        <w:t>budynki sektora finansów publicznych o powierzchni użytkowej</w:t>
      </w:r>
      <w:r w:rsidR="009377A1">
        <w:rPr>
          <w:lang w:eastAsia="pl-PL"/>
        </w:rPr>
        <w:t>:</w:t>
      </w:r>
    </w:p>
    <w:p w14:paraId="40C65463" w14:textId="5A1ED82F" w:rsidR="00A31859" w:rsidRPr="00EC4EDF" w:rsidRDefault="00A31859" w:rsidP="000625AC">
      <w:pPr>
        <w:pStyle w:val="Akapitzlist"/>
        <w:numPr>
          <w:ilvl w:val="1"/>
          <w:numId w:val="160"/>
        </w:numPr>
        <w:jc w:val="left"/>
        <w:rPr>
          <w:rFonts w:ascii="Times New Roman" w:hAnsi="Times New Roman"/>
          <w:sz w:val="24"/>
          <w:szCs w:val="24"/>
          <w:lang w:eastAsia="pl-PL"/>
        </w:rPr>
      </w:pPr>
      <w:r w:rsidRPr="00077D7F">
        <w:rPr>
          <w:lang w:eastAsia="pl-PL"/>
        </w:rPr>
        <w:lastRenderedPageBreak/>
        <w:t>powyżej 2000 m</w:t>
      </w:r>
      <w:r w:rsidRPr="00632735">
        <w:rPr>
          <w:vertAlign w:val="superscript"/>
        </w:rPr>
        <w:t>2</w:t>
      </w:r>
      <w:r w:rsidRPr="00077D7F">
        <w:rPr>
          <w:lang w:eastAsia="pl-PL"/>
        </w:rPr>
        <w:t xml:space="preserve"> – do 31 grudnia 2027 r., </w:t>
      </w:r>
    </w:p>
    <w:p w14:paraId="7155C403" w14:textId="3CA69562" w:rsidR="009377A1" w:rsidRPr="00EC4EDF" w:rsidRDefault="00A31859" w:rsidP="000625AC">
      <w:pPr>
        <w:pStyle w:val="Akapitzlist"/>
        <w:numPr>
          <w:ilvl w:val="1"/>
          <w:numId w:val="160"/>
        </w:numPr>
        <w:jc w:val="left"/>
        <w:rPr>
          <w:rFonts w:ascii="Times New Roman" w:hAnsi="Times New Roman"/>
          <w:sz w:val="24"/>
          <w:szCs w:val="24"/>
          <w:lang w:eastAsia="pl-PL"/>
        </w:rPr>
      </w:pPr>
      <w:r w:rsidRPr="00077D7F">
        <w:rPr>
          <w:lang w:eastAsia="pl-PL"/>
        </w:rPr>
        <w:t>powyżej 750 m</w:t>
      </w:r>
      <w:r w:rsidRPr="00632735">
        <w:rPr>
          <w:vertAlign w:val="superscript"/>
        </w:rPr>
        <w:t>2</w:t>
      </w:r>
      <w:r w:rsidRPr="00077D7F">
        <w:rPr>
          <w:lang w:eastAsia="pl-PL"/>
        </w:rPr>
        <w:t xml:space="preserve"> – do 31 grudnia 2028 r., </w:t>
      </w:r>
    </w:p>
    <w:p w14:paraId="02E4E38A" w14:textId="51B9659E" w:rsidR="00A31859" w:rsidRPr="009377A1" w:rsidRDefault="00A31859" w:rsidP="000625AC">
      <w:pPr>
        <w:pStyle w:val="Akapitzlist"/>
        <w:numPr>
          <w:ilvl w:val="1"/>
          <w:numId w:val="160"/>
        </w:numPr>
        <w:jc w:val="left"/>
        <w:rPr>
          <w:rFonts w:ascii="Times New Roman" w:hAnsi="Times New Roman"/>
          <w:sz w:val="24"/>
          <w:szCs w:val="24"/>
          <w:lang w:eastAsia="pl-PL"/>
        </w:rPr>
      </w:pPr>
      <w:r w:rsidRPr="00077D7F">
        <w:rPr>
          <w:lang w:eastAsia="pl-PL"/>
        </w:rPr>
        <w:t>powyżej 250 m</w:t>
      </w:r>
      <w:r w:rsidRPr="00F207C1">
        <w:rPr>
          <w:vertAlign w:val="superscript"/>
        </w:rPr>
        <w:t>2</w:t>
      </w:r>
      <w:r w:rsidRPr="00077D7F">
        <w:rPr>
          <w:lang w:eastAsia="pl-PL"/>
        </w:rPr>
        <w:t xml:space="preserve"> – do 31 grudnia 2030 r., </w:t>
      </w:r>
    </w:p>
    <w:p w14:paraId="21F9D7C9" w14:textId="39862B05" w:rsidR="00A31859" w:rsidRPr="00EC4EDF" w:rsidRDefault="00A31859" w:rsidP="000625AC">
      <w:pPr>
        <w:pStyle w:val="Akapitzlist"/>
        <w:numPr>
          <w:ilvl w:val="0"/>
          <w:numId w:val="160"/>
        </w:numPr>
        <w:ind w:left="567"/>
        <w:rPr>
          <w:rFonts w:ascii="Times New Roman" w:hAnsi="Times New Roman"/>
          <w:sz w:val="24"/>
          <w:szCs w:val="24"/>
          <w:lang w:eastAsia="pl-PL"/>
        </w:rPr>
      </w:pPr>
      <w:r w:rsidRPr="00077D7F">
        <w:rPr>
          <w:lang w:eastAsia="pl-PL"/>
        </w:rPr>
        <w:t>budynki użyteczności publicznej, budynki zamieszkania zbiorowego, budynki gospodarcze, o</w:t>
      </w:r>
      <w:r w:rsidR="009377A1">
        <w:rPr>
          <w:lang w:eastAsia="pl-PL"/>
        </w:rPr>
        <w:t> </w:t>
      </w:r>
      <w:r w:rsidRPr="00077D7F">
        <w:rPr>
          <w:lang w:eastAsia="pl-PL"/>
        </w:rPr>
        <w:t>powierzchni powyżej 500 m</w:t>
      </w:r>
      <w:r w:rsidRPr="00F207C1">
        <w:rPr>
          <w:vertAlign w:val="superscript"/>
        </w:rPr>
        <w:t>2</w:t>
      </w:r>
      <w:r w:rsidRPr="00077D7F">
        <w:rPr>
          <w:lang w:eastAsia="pl-PL"/>
        </w:rPr>
        <w:t xml:space="preserve"> – od 31 grudnia 2027 r., w przypadku</w:t>
      </w:r>
      <w:r w:rsidR="009377A1">
        <w:rPr>
          <w:lang w:eastAsia="pl-PL"/>
        </w:rPr>
        <w:t>,</w:t>
      </w:r>
      <w:r w:rsidRPr="00077D7F">
        <w:rPr>
          <w:lang w:eastAsia="pl-PL"/>
        </w:rPr>
        <w:t xml:space="preserve"> gdy budynek zostanie poddany ważniejszej renowacji lub działaniu wymagającemu pozwolenia administracyjnego na</w:t>
      </w:r>
      <w:r w:rsidR="00025D4B">
        <w:rPr>
          <w:lang w:eastAsia="pl-PL"/>
        </w:rPr>
        <w:t> </w:t>
      </w:r>
      <w:r w:rsidRPr="00077D7F">
        <w:rPr>
          <w:lang w:eastAsia="pl-PL"/>
        </w:rPr>
        <w:t>renowację budynków, prace na dachu lub instalację systemu technicznego budynku. </w:t>
      </w:r>
    </w:p>
    <w:p w14:paraId="08D80BC6" w14:textId="77777777" w:rsidR="00A31859" w:rsidRPr="00077D7F" w:rsidRDefault="00A31859" w:rsidP="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ascii="Aptos" w:eastAsia="Times New Roman" w:hAnsi="Aptos" w:cs="Times New Roman"/>
          <w:sz w:val="24"/>
          <w:szCs w:val="24"/>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077D7F" w14:paraId="7AE35BB4" w14:textId="77777777" w:rsidTr="00B96E7D">
        <w:trPr>
          <w:trHeight w:val="300"/>
        </w:trPr>
        <w:tc>
          <w:tcPr>
            <w:tcW w:w="1079" w:type="dxa"/>
            <w:vMerge w:val="restart"/>
            <w:tcBorders>
              <w:top w:val="dashed" w:sz="12" w:space="0" w:color="FFFFFF"/>
              <w:left w:val="dashed" w:sz="12" w:space="0" w:color="FFFFFF"/>
              <w:bottom w:val="dashed" w:sz="12" w:space="0" w:color="FFFFFF"/>
              <w:right w:val="dashed" w:sz="12" w:space="0" w:color="FFFFFF"/>
            </w:tcBorders>
            <w:hideMark/>
          </w:tcPr>
          <w:p w14:paraId="6348559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736770DB" wp14:editId="62617E16">
                  <wp:extent cx="617220" cy="617220"/>
                  <wp:effectExtent l="0" t="0" r="0" b="0"/>
                  <wp:docPr id="67"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az 1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9075CB6"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sz w:val="18"/>
                <w:szCs w:val="18"/>
                <w:lang w:eastAsia="pl-PL"/>
              </w:rPr>
              <w:t>PODMIOT WIODĄCY</w:t>
            </w:r>
            <w:r w:rsidRPr="00077D7F">
              <w:rPr>
                <w:rFonts w:eastAsia="Times New Roman" w:cs="Times New Roman"/>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A7CA56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z w:val="18"/>
                <w:szCs w:val="18"/>
                <w:lang w:eastAsia="pl-PL"/>
              </w:rPr>
              <w:t>PODMIOTY WSPÓŁPRACUJĄCE</w:t>
            </w:r>
            <w:r w:rsidRPr="00077D7F">
              <w:rPr>
                <w:rFonts w:eastAsia="Times New Roman" w:cs="Times New Roman"/>
                <w:sz w:val="18"/>
                <w:szCs w:val="18"/>
                <w:lang w:eastAsia="pl-PL"/>
              </w:rPr>
              <w:t> </w:t>
            </w:r>
          </w:p>
        </w:tc>
      </w:tr>
      <w:tr w:rsidR="003B6773" w:rsidRPr="00077D7F" w14:paraId="051198C7"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F41F40F"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03CE467"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gospodarki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B130E1F"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tc>
      </w:tr>
    </w:tbl>
    <w:p w14:paraId="0F1EB1C9" w14:textId="54F44A03" w:rsidR="00A31859" w:rsidRPr="00077D7F" w:rsidRDefault="00B96E7D" w:rsidP="00D523F3">
      <w:pPr>
        <w:pStyle w:val="Nagwek6"/>
        <w:rPr>
          <w:lang w:eastAsia="pl-PL"/>
        </w:rPr>
      </w:pPr>
      <w:bookmarkStart w:id="1257" w:name="_Toc195865957"/>
      <w:bookmarkStart w:id="1258" w:name="_Ref195884711"/>
      <w:bookmarkStart w:id="1259" w:name="_Ref195889076"/>
      <w:bookmarkStart w:id="1260" w:name="_Ref200465587"/>
      <w:bookmarkStart w:id="1261" w:name="_Ref200469023"/>
      <w:bookmarkStart w:id="1262" w:name="_Ref202526576"/>
      <w:bookmarkStart w:id="1263" w:name="_Ref203398819"/>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103</w:t>
      </w:r>
      <w:r>
        <w:fldChar w:fldCharType="end"/>
      </w:r>
      <w:r>
        <w:t xml:space="preserve">. </w:t>
      </w:r>
      <w:r w:rsidR="00A31859" w:rsidRPr="00077D7F">
        <w:rPr>
          <w:lang w:eastAsia="pl-PL"/>
        </w:rPr>
        <w:t>Instrument finansowy – Program Priorytetowy NFOŚiGW – „Moje ciepło”</w:t>
      </w:r>
      <w:bookmarkEnd w:id="1257"/>
      <w:bookmarkEnd w:id="1258"/>
      <w:bookmarkEnd w:id="1259"/>
      <w:bookmarkEnd w:id="1260"/>
      <w:bookmarkEnd w:id="1261"/>
      <w:bookmarkEnd w:id="1262"/>
      <w:bookmarkEnd w:id="1263"/>
      <w:r w:rsidR="00A31859" w:rsidRPr="00077D7F">
        <w:rPr>
          <w:lang w:eastAsia="pl-PL"/>
        </w:rPr>
        <w:t> </w:t>
      </w:r>
    </w:p>
    <w:p w14:paraId="279714EF" w14:textId="6B2D2B8A" w:rsidR="00A31859" w:rsidRPr="00077D7F" w:rsidRDefault="00A31859" w:rsidP="00F207C1">
      <w:pPr>
        <w:rPr>
          <w:rFonts w:ascii="Times New Roman" w:hAnsi="Times New Roman"/>
          <w:sz w:val="24"/>
          <w:szCs w:val="24"/>
          <w:lang w:eastAsia="pl-PL"/>
        </w:rPr>
      </w:pPr>
      <w:r w:rsidRPr="00077D7F">
        <w:rPr>
          <w:lang w:eastAsia="pl-PL"/>
        </w:rPr>
        <w:t>Program polega na wsparciu finansowym rozwoju ogrzewnictwa indywidualnego i rozwoju energetyki prosumenckiej w obszarze powietrznych, wodnych i gruntowych pomp ciepła w nowych jednorodzinnych budynkach mieszkalnych oraz w wielorodzinnych budynkach mieszkalnych oraz budynkach użyteczności publicznej. Program powinien być modyfikowany w kierunku, aby obejmował zarówno budowę nowych, jak i rozbudowę lub przebudowę, lub nadbudowę istniejących budynków, ale pod warunkiem, że</w:t>
      </w:r>
      <w:r w:rsidR="00025D4B">
        <w:rPr>
          <w:lang w:eastAsia="pl-PL"/>
        </w:rPr>
        <w:t> </w:t>
      </w:r>
      <w:r w:rsidRPr="00077D7F">
        <w:rPr>
          <w:lang w:eastAsia="pl-PL"/>
        </w:rPr>
        <w:t>wymagane jest do takiej rozbudowy lub przebudowy, lub nadbudowy pozwolenia na budowę, lub koszt rozbudowy lub przebudowy, lub nadbudowy przewyższa 50% wartości budynku. </w:t>
      </w:r>
    </w:p>
    <w:p w14:paraId="6A0ACF0B" w14:textId="77777777" w:rsidR="00A31859" w:rsidRPr="00077D7F" w:rsidRDefault="00A31859" w:rsidP="00D9020F">
      <w:pPr>
        <w:spacing w:after="80"/>
        <w:rPr>
          <w:rFonts w:ascii="Times New Roman" w:hAnsi="Times New Roman"/>
          <w:sz w:val="24"/>
          <w:szCs w:val="24"/>
          <w:lang w:eastAsia="pl-PL"/>
        </w:rPr>
      </w:pPr>
      <w:r w:rsidRPr="00077D7F">
        <w:rPr>
          <w:lang w:eastAsia="pl-PL"/>
        </w:rPr>
        <w:t>Program powinien być rozwijany w kierunku: </w:t>
      </w:r>
    </w:p>
    <w:p w14:paraId="3BB5B801" w14:textId="5DBDA45F" w:rsidR="00A31859" w:rsidRPr="009377A1" w:rsidRDefault="00A31859" w:rsidP="000625AC">
      <w:pPr>
        <w:pStyle w:val="Akapitzlist"/>
        <w:numPr>
          <w:ilvl w:val="0"/>
          <w:numId w:val="161"/>
        </w:numPr>
        <w:ind w:left="426"/>
      </w:pPr>
      <w:r w:rsidRPr="009377A1">
        <w:t>cyfryzacji procesu realizacji wsparcia. Należy doprowadzić do obsługi cyfrowej wniosków oraz ich weryfikacji. W tym celu konieczna jest cyfryzacja pełnej ścieżki obsługi wniosków i płatności, stworzenie centralnej bazy danych i jej synchronizacja z Centralną Ewidencją Emisyjności Budynków i centralnym rejestrem charakterystyki energetycznej budynków oraz wykorzystanie bazy danych kosztów referencyjnych. Cyfryzacja procesu usprawni obsługę programu, skróci czas rozpatrywania wniosków, poprawi transparentność całego systemu wsparcia i zapewni dodatkowe zabezpieczenie przed nieprawidłowościami.</w:t>
      </w:r>
      <w:r w:rsidR="003E2DE5">
        <w:rPr>
          <w:rFonts w:eastAsia="Times New Roman" w:cs="Times New Roman"/>
          <w:lang w:eastAsia="pl-PL"/>
        </w:rPr>
        <w:t xml:space="preserve"> </w:t>
      </w:r>
    </w:p>
    <w:p w14:paraId="4560E47E" w14:textId="7D7BC722" w:rsidR="00A31859" w:rsidRPr="009377A1" w:rsidRDefault="00A31859" w:rsidP="000625AC">
      <w:pPr>
        <w:pStyle w:val="Akapitzlist"/>
        <w:numPr>
          <w:ilvl w:val="0"/>
          <w:numId w:val="161"/>
        </w:numPr>
        <w:spacing w:after="240"/>
        <w:ind w:left="426"/>
      </w:pPr>
      <w:r w:rsidRPr="009377A1">
        <w:t>stopniowego wprowadzania i zwiększania magazynowania energii w tym przy wykorzystaniu magazynów ciepła.</w:t>
      </w:r>
      <w:r w:rsidR="003E2DE5">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42"/>
        <w:gridCol w:w="3870"/>
        <w:gridCol w:w="3960"/>
      </w:tblGrid>
      <w:tr w:rsidR="003B6773" w:rsidRPr="00077D7F" w14:paraId="7AEBB5AA" w14:textId="77777777" w:rsidTr="00417FF8">
        <w:trPr>
          <w:trHeight w:val="300"/>
        </w:trPr>
        <w:tc>
          <w:tcPr>
            <w:tcW w:w="1118" w:type="dxa"/>
            <w:vMerge w:val="restart"/>
            <w:tcBorders>
              <w:top w:val="dashed" w:sz="12" w:space="0" w:color="FFFFFF"/>
              <w:left w:val="dashed" w:sz="12" w:space="0" w:color="FFFFFF"/>
              <w:bottom w:val="dashed" w:sz="12" w:space="0" w:color="FFFFFF"/>
              <w:right w:val="dashed" w:sz="12" w:space="0" w:color="FFFFFF"/>
            </w:tcBorders>
            <w:hideMark/>
          </w:tcPr>
          <w:p w14:paraId="312A7F5B"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lang w:eastAsia="pl-PL"/>
              </w:rPr>
              <w:t> </w:t>
            </w:r>
            <w:r w:rsidRPr="00077D7F">
              <w:rPr>
                <w:rFonts w:ascii="Times New Roman" w:eastAsia="Times New Roman" w:hAnsi="Times New Roman" w:cs="Times New Roman"/>
                <w:noProof/>
                <w:sz w:val="24"/>
                <w:szCs w:val="24"/>
                <w:lang w:eastAsia="pl-PL"/>
              </w:rPr>
              <w:drawing>
                <wp:inline distT="0" distB="0" distL="0" distR="0" wp14:anchorId="512F0DFF" wp14:editId="1538E115">
                  <wp:extent cx="617220" cy="617220"/>
                  <wp:effectExtent l="0" t="0" r="0" b="0"/>
                  <wp:docPr id="368750635" name="Obraz 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66487C5"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9B975DF"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45200EC8"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FA529CD"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E417EC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p w14:paraId="71AA7CC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482A7C1" w14:textId="3EEC4D56"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w:t>
            </w:r>
            <w:r w:rsidR="00025D4B">
              <w:rPr>
                <w:rFonts w:eastAsia="Times New Roman" w:cs="Times New Roman"/>
                <w:color w:val="808080"/>
                <w:sz w:val="18"/>
                <w:szCs w:val="18"/>
                <w:lang w:eastAsia="pl-PL"/>
              </w:rPr>
              <w:t> </w:t>
            </w:r>
            <w:r w:rsidRPr="00077D7F">
              <w:rPr>
                <w:rFonts w:eastAsia="Times New Roman" w:cs="Times New Roman"/>
                <w:color w:val="808080"/>
                <w:sz w:val="18"/>
                <w:szCs w:val="18"/>
                <w:lang w:eastAsia="pl-PL"/>
              </w:rPr>
              <w:t>zagospodarowania przestrzennego oraz mieszkalnictwa </w:t>
            </w:r>
          </w:p>
          <w:p w14:paraId="136A6484" w14:textId="7B174CD8"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739EE7C7" w14:textId="47EBFBB8"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informatyzacji</w:t>
            </w:r>
            <w:r w:rsidR="003E2DE5">
              <w:rPr>
                <w:rFonts w:eastAsia="Times New Roman" w:cs="Times New Roman"/>
                <w:color w:val="808080"/>
                <w:sz w:val="18"/>
                <w:szCs w:val="18"/>
                <w:lang w:eastAsia="pl-PL"/>
              </w:rPr>
              <w:t xml:space="preserve"> </w:t>
            </w:r>
          </w:p>
          <w:p w14:paraId="322EB69A"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NFOŚiGW </w:t>
            </w:r>
          </w:p>
        </w:tc>
      </w:tr>
    </w:tbl>
    <w:p w14:paraId="79E3EA84" w14:textId="31F424D2" w:rsidR="00A31859" w:rsidRPr="00077D7F" w:rsidRDefault="00417FF8" w:rsidP="00D523F3">
      <w:pPr>
        <w:pStyle w:val="Nagwek6"/>
        <w:rPr>
          <w:lang w:eastAsia="pl-PL"/>
        </w:rPr>
      </w:pPr>
      <w:bookmarkStart w:id="1264" w:name="_Toc195865958"/>
      <w:bookmarkStart w:id="1265" w:name="_Ref195884714"/>
      <w:bookmarkStart w:id="1266" w:name="_Ref195889082"/>
      <w:bookmarkStart w:id="1267" w:name="_Ref200465602"/>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104</w:t>
      </w:r>
      <w:r>
        <w:fldChar w:fldCharType="end"/>
      </w:r>
      <w:r>
        <w:t xml:space="preserve">. </w:t>
      </w:r>
      <w:r w:rsidR="00A31859" w:rsidRPr="00077D7F">
        <w:rPr>
          <w:lang w:eastAsia="pl-PL"/>
        </w:rPr>
        <w:t>Instrument finansowy – Program Priorytetowy NFOŚiGW – „Czyste Powietrze”</w:t>
      </w:r>
      <w:bookmarkEnd w:id="1264"/>
      <w:bookmarkEnd w:id="1265"/>
      <w:bookmarkEnd w:id="1266"/>
      <w:bookmarkEnd w:id="1267"/>
      <w:r w:rsidR="003E2DE5">
        <w:rPr>
          <w:lang w:eastAsia="pl-PL"/>
        </w:rPr>
        <w:t xml:space="preserve"> </w:t>
      </w:r>
    </w:p>
    <w:p w14:paraId="7BDDF9F3" w14:textId="0A5FADFE" w:rsidR="004C7F09" w:rsidRPr="004C7F09" w:rsidRDefault="00A31859" w:rsidP="00D9020F">
      <w:pPr>
        <w:rPr>
          <w:lang w:eastAsia="pl-PL"/>
        </w:rPr>
      </w:pPr>
      <w:r w:rsidRPr="00077D7F">
        <w:rPr>
          <w:lang w:eastAsia="pl-PL"/>
        </w:rPr>
        <w:t>Program obejmuje dofinansowanie wymiany starych i nieefektywnych źródeł ciepła na paliwo stałe w</w:t>
      </w:r>
      <w:r w:rsidR="00025D4B">
        <w:rPr>
          <w:lang w:eastAsia="pl-PL"/>
        </w:rPr>
        <w:t> </w:t>
      </w:r>
      <w:r w:rsidRPr="00077D7F">
        <w:rPr>
          <w:lang w:eastAsia="pl-PL"/>
        </w:rPr>
        <w:t xml:space="preserve">budynkach jednorodzinnych na nowoczesne źródła OZE oraz kompleksową termomodernizację tych budynków. </w:t>
      </w:r>
      <w:r w:rsidR="004C7F09" w:rsidRPr="004C7F09">
        <w:rPr>
          <w:lang w:eastAsia="pl-PL"/>
        </w:rPr>
        <w:t>Celem jest zmniejszenie emisji pyłów i innych zanieczyszczeń do atmosfery z istniejących jednorodzinnych budynków mieszkalnych oraz poprawa efektywności energetycznej.</w:t>
      </w:r>
      <w:r w:rsidR="003E2DE5">
        <w:rPr>
          <w:rFonts w:eastAsia="Times New Roman" w:cs="Times New Roman"/>
          <w:lang w:eastAsia="pl-PL"/>
        </w:rPr>
        <w:t xml:space="preserve"> </w:t>
      </w:r>
    </w:p>
    <w:p w14:paraId="0DCAE69A" w14:textId="61D64DB0" w:rsidR="004C7F09" w:rsidRPr="004C7F09" w:rsidRDefault="004C7F09" w:rsidP="00D9020F">
      <w:pPr>
        <w:rPr>
          <w:lang w:eastAsia="pl-PL"/>
        </w:rPr>
      </w:pPr>
      <w:r w:rsidRPr="004C7F09">
        <w:rPr>
          <w:lang w:eastAsia="pl-PL"/>
        </w:rPr>
        <w:t>Program powinien być rozwijany w kierunku:</w:t>
      </w:r>
      <w:r w:rsidR="003E2DE5">
        <w:rPr>
          <w:rFonts w:eastAsia="Times New Roman" w:cs="Times New Roman"/>
          <w:lang w:eastAsia="pl-PL"/>
        </w:rPr>
        <w:t xml:space="preserve"> </w:t>
      </w:r>
    </w:p>
    <w:p w14:paraId="3BFD5738" w14:textId="56C48019" w:rsidR="004C7F09" w:rsidRPr="009377A1" w:rsidRDefault="004C7F09" w:rsidP="000625AC">
      <w:pPr>
        <w:pStyle w:val="Akapitzlist"/>
        <w:numPr>
          <w:ilvl w:val="0"/>
          <w:numId w:val="162"/>
        </w:numPr>
        <w:spacing w:after="80"/>
        <w:ind w:left="426" w:hanging="357"/>
        <w:contextualSpacing w:val="0"/>
      </w:pPr>
      <w:r w:rsidRPr="009377A1">
        <w:rPr>
          <w:b/>
          <w:bCs/>
        </w:rPr>
        <w:t>Cyfryzacji procesu realizacji wsparcia</w:t>
      </w:r>
      <w:r w:rsidRPr="009377A1">
        <w:t xml:space="preserve">. Należy doprowadzić do obsługi cyfrowej wniosków oraz ich weryfikacji. W tym celu konieczna jest cyfryzacja pełnej ścieżki obsługi wniosków i płatności, </w:t>
      </w:r>
      <w:r w:rsidRPr="009377A1">
        <w:lastRenderedPageBreak/>
        <w:t>stworzenie centralnej bazy danych Czystego Powietrza i jej synchronizacja z Centralną Ewidencją Emisyjności Budynków i centralnym rejestrem charakterystyki energetycznej budynków oraz wykorzystanie bazy danych kosztów referencyjnych. Cyfryzacja procesu usprawni obsługę programu, skróci czas rozpatrywania wniosków, poprawi transparentność całego systemu wsparcia i zapewni dodatkowe zabezpieczenie przed nieprawidłowościami.</w:t>
      </w:r>
      <w:r w:rsidR="003E2DE5">
        <w:rPr>
          <w:rFonts w:eastAsia="Times New Roman" w:cs="Times New Roman"/>
          <w:lang w:eastAsia="pl-PL"/>
        </w:rPr>
        <w:t xml:space="preserve"> </w:t>
      </w:r>
    </w:p>
    <w:p w14:paraId="0107DECE" w14:textId="35C89BF7" w:rsidR="004C7F09" w:rsidRPr="009377A1" w:rsidRDefault="004C7F09" w:rsidP="000625AC">
      <w:pPr>
        <w:pStyle w:val="Akapitzlist"/>
        <w:numPr>
          <w:ilvl w:val="0"/>
          <w:numId w:val="162"/>
        </w:numPr>
        <w:spacing w:after="80"/>
        <w:ind w:left="426" w:hanging="357"/>
        <w:contextualSpacing w:val="0"/>
      </w:pPr>
      <w:r w:rsidRPr="009377A1">
        <w:rPr>
          <w:b/>
          <w:bCs/>
        </w:rPr>
        <w:t>Podnoszenia oczekiwanego finalnego stanu budynku</w:t>
      </w:r>
      <w:r w:rsidRPr="009377A1">
        <w:t xml:space="preserve">, tak aby </w:t>
      </w:r>
      <w:r w:rsidR="000F31A7">
        <w:t>zapotrzebowanie na</w:t>
      </w:r>
      <w:r w:rsidR="000F31A7" w:rsidRPr="009377A1">
        <w:t xml:space="preserve"> </w:t>
      </w:r>
      <w:r w:rsidRPr="009377A1">
        <w:t>energi</w:t>
      </w:r>
      <w:r w:rsidR="000F31A7">
        <w:t>ę</w:t>
      </w:r>
      <w:r w:rsidRPr="009377A1">
        <w:t xml:space="preserve"> użytkow</w:t>
      </w:r>
      <w:r w:rsidR="000F31A7">
        <w:t>ą</w:t>
      </w:r>
      <w:r w:rsidRPr="009377A1">
        <w:t xml:space="preserve"> był</w:t>
      </w:r>
      <w:r w:rsidR="00E22D3B">
        <w:t>o</w:t>
      </w:r>
      <w:r w:rsidRPr="009377A1">
        <w:t xml:space="preserve"> jak najniższ</w:t>
      </w:r>
      <w:r w:rsidR="00E22D3B">
        <w:t>e</w:t>
      </w:r>
      <w:r w:rsidRPr="009377A1">
        <w:t xml:space="preserve">. Należy dążyć do standardu </w:t>
      </w:r>
      <w:r w:rsidR="00110505">
        <w:t>wskaźnika rocznego zapotrzebowania na e</w:t>
      </w:r>
      <w:r w:rsidR="00110505" w:rsidRPr="009377A1">
        <w:t>nergi</w:t>
      </w:r>
      <w:r w:rsidR="00110505">
        <w:t>ę</w:t>
      </w:r>
      <w:r w:rsidR="00110505" w:rsidRPr="009377A1">
        <w:t xml:space="preserve"> </w:t>
      </w:r>
      <w:r w:rsidR="00110505">
        <w:t>u</w:t>
      </w:r>
      <w:r w:rsidR="00110505" w:rsidRPr="009377A1">
        <w:t>żytko</w:t>
      </w:r>
      <w:r w:rsidR="00110505">
        <w:t>wą</w:t>
      </w:r>
      <w:r w:rsidR="00110505" w:rsidRPr="009377A1">
        <w:t xml:space="preserve"> </w:t>
      </w:r>
      <w:r w:rsidRPr="009377A1">
        <w:t>(EU) na jak najlepszym możliwym poziomie, co pozwoli na znaczące ograniczenie zużycia energii oraz poprawę efektywności energetycznej budynków. Osiągnięcie tego celu wymaga wprowadzenia wyższych wymogów dotyczących izolacji termicznej, powszechnego stosowania wentylacji z odzyskiem ciepła oraz nowoczesnych systemów zarządzania energią.</w:t>
      </w:r>
      <w:r w:rsidR="003E2DE5">
        <w:rPr>
          <w:rFonts w:eastAsia="Times New Roman" w:cs="Times New Roman"/>
          <w:lang w:eastAsia="pl-PL"/>
        </w:rPr>
        <w:t xml:space="preserve"> </w:t>
      </w:r>
    </w:p>
    <w:p w14:paraId="25FB480C" w14:textId="0C9899DE" w:rsidR="004C7F09" w:rsidRPr="009377A1" w:rsidRDefault="004C7F09" w:rsidP="000625AC">
      <w:pPr>
        <w:pStyle w:val="Akapitzlist"/>
        <w:numPr>
          <w:ilvl w:val="0"/>
          <w:numId w:val="162"/>
        </w:numPr>
        <w:spacing w:after="80"/>
        <w:ind w:left="426" w:hanging="357"/>
        <w:contextualSpacing w:val="0"/>
      </w:pPr>
      <w:r w:rsidRPr="009377A1">
        <w:rPr>
          <w:b/>
          <w:bCs/>
        </w:rPr>
        <w:t>Podnoszenia wymagań jakościowych i środowiskowych</w:t>
      </w:r>
      <w:r w:rsidRPr="009377A1">
        <w:t xml:space="preserve"> </w:t>
      </w:r>
      <w:r w:rsidRPr="006F2D0F">
        <w:rPr>
          <w:b/>
        </w:rPr>
        <w:t>dla urządzeń grzewczych</w:t>
      </w:r>
      <w:r w:rsidRPr="009377A1">
        <w:t xml:space="preserve"> </w:t>
      </w:r>
      <w:r w:rsidRPr="006F2D0F">
        <w:rPr>
          <w:b/>
        </w:rPr>
        <w:t>objętych dofinansowaniem</w:t>
      </w:r>
      <w:r w:rsidRPr="009377A1">
        <w:t xml:space="preserve"> oraz stopniowego zwiększania udziału elektryfikacji systemów grzewczych oraz większego wykorzystywania magazynowania energii w tym przy wykorzystaniu magazynów ciepła. Dofinansowaniem powinny być objęte wyłącznie urządzenia grzewcze produkowane na terenie Unii Europejskiej. W przypadku stref z przekroczeniami poziomów dopuszczalnych zanieczyszczeń w powietrzu należy preferować rozwiązania zeroemisyjne. </w:t>
      </w:r>
    </w:p>
    <w:p w14:paraId="3FC80830" w14:textId="13A2A345" w:rsidR="00A31859" w:rsidRPr="009377A1" w:rsidRDefault="004C7F09" w:rsidP="000625AC">
      <w:pPr>
        <w:pStyle w:val="Akapitzlist"/>
        <w:numPr>
          <w:ilvl w:val="0"/>
          <w:numId w:val="162"/>
        </w:numPr>
        <w:spacing w:after="240"/>
        <w:ind w:left="426" w:hanging="357"/>
        <w:contextualSpacing w:val="0"/>
        <w:rPr>
          <w:rFonts w:eastAsia="Times New Roman" w:cs="Times New Roman"/>
          <w:lang w:eastAsia="pl-PL"/>
        </w:rPr>
      </w:pPr>
      <w:r w:rsidRPr="009377A1">
        <w:rPr>
          <w:b/>
          <w:bCs/>
        </w:rPr>
        <w:t>Wprowadzenie alternatywy dla modernizacji budynków</w:t>
      </w:r>
      <w:r w:rsidRPr="006F2D0F">
        <w:rPr>
          <w:b/>
        </w:rPr>
        <w:t xml:space="preserve"> o bardzo złym stanie technicznym</w:t>
      </w:r>
      <w:r w:rsidRPr="009377A1">
        <w:t>. Modernizacja powinna być realizowana przede wszystkim tam, gdzie przyniesie największe korzyści energetyczne i ekonomiczne. W przypadku budynków w bardzo złym stanie technicznym, bardziej zasadne może okazać się wsparcie alternatywnych rozwiązań w ramach innych programów, takich</w:t>
      </w:r>
      <w:r w:rsidR="000315E9">
        <w:t> </w:t>
      </w:r>
      <w:r w:rsidRPr="009377A1">
        <w:t>jak budowa nowych budynków o wysokiej efektywności energetycznej.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077D7F" w14:paraId="4349CD18" w14:textId="77777777" w:rsidTr="00417FF8">
        <w:trPr>
          <w:trHeight w:val="300"/>
        </w:trPr>
        <w:tc>
          <w:tcPr>
            <w:tcW w:w="1079" w:type="dxa"/>
            <w:vMerge w:val="restart"/>
            <w:tcBorders>
              <w:top w:val="dashed" w:sz="12" w:space="0" w:color="FFFFFF"/>
              <w:left w:val="dashed" w:sz="12" w:space="0" w:color="FFFFFF"/>
              <w:bottom w:val="dashed" w:sz="12" w:space="0" w:color="FFFFFF"/>
              <w:right w:val="dashed" w:sz="12" w:space="0" w:color="FFFFFF"/>
            </w:tcBorders>
            <w:hideMark/>
          </w:tcPr>
          <w:p w14:paraId="77EEF0BA"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421F9641" wp14:editId="50D41B39">
                  <wp:extent cx="617220" cy="617220"/>
                  <wp:effectExtent l="0" t="0" r="0" b="0"/>
                  <wp:docPr id="1455896416" name="Obraz 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49600D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9ABEA57"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650E0D46"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14DE21F"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3E86EEB"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p w14:paraId="26F3F4E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8081F58" w14:textId="615E582B"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w:t>
            </w:r>
            <w:r w:rsidR="000315E9">
              <w:rPr>
                <w:rFonts w:eastAsia="Times New Roman" w:cs="Times New Roman"/>
                <w:color w:val="808080"/>
                <w:sz w:val="18"/>
                <w:szCs w:val="18"/>
                <w:lang w:eastAsia="pl-PL"/>
              </w:rPr>
              <w:t> </w:t>
            </w:r>
            <w:r w:rsidRPr="00077D7F">
              <w:rPr>
                <w:rFonts w:eastAsia="Times New Roman" w:cs="Times New Roman"/>
                <w:color w:val="808080"/>
                <w:sz w:val="18"/>
                <w:szCs w:val="18"/>
                <w:lang w:eastAsia="pl-PL"/>
              </w:rPr>
              <w:t>zagospodarowania przestrzennego oraz mieszkalnictwa </w:t>
            </w:r>
          </w:p>
          <w:p w14:paraId="6AA76319" w14:textId="77777777"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 </w:t>
            </w:r>
          </w:p>
          <w:p w14:paraId="32919C83" w14:textId="4FA2EE31"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informatyzacji</w:t>
            </w:r>
            <w:r w:rsidR="003E2DE5">
              <w:rPr>
                <w:rFonts w:eastAsia="Times New Roman" w:cs="Times New Roman"/>
                <w:color w:val="808080"/>
                <w:sz w:val="18"/>
                <w:szCs w:val="18"/>
                <w:lang w:eastAsia="pl-PL"/>
              </w:rPr>
              <w:t xml:space="preserve"> </w:t>
            </w:r>
          </w:p>
          <w:p w14:paraId="5CA946CD" w14:textId="0F59E581" w:rsidR="00A31859" w:rsidRPr="00077D7F" w:rsidRDefault="00A31859" w:rsidP="004D5FAC">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NFOŚiGW </w:t>
            </w:r>
          </w:p>
        </w:tc>
      </w:tr>
    </w:tbl>
    <w:p w14:paraId="55536AC5" w14:textId="23833918" w:rsidR="00A31859" w:rsidRPr="00077D7F" w:rsidRDefault="00417FF8" w:rsidP="00A31859">
      <w:pPr>
        <w:pStyle w:val="Nagwek6"/>
        <w:rPr>
          <w:lang w:eastAsia="pl-PL"/>
        </w:rPr>
      </w:pPr>
      <w:bookmarkStart w:id="1268" w:name="_Toc195865959"/>
      <w:bookmarkStart w:id="1269" w:name="_Ref195884716"/>
      <w:bookmarkStart w:id="1270" w:name="_Ref195889094"/>
      <w:bookmarkStart w:id="1271" w:name="_Ref203395364"/>
      <w:bookmarkStart w:id="1272" w:name="_Ref203395366"/>
      <w:bookmarkStart w:id="1273" w:name="_Hlk195766966"/>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105</w:t>
      </w:r>
      <w:r>
        <w:fldChar w:fldCharType="end"/>
      </w:r>
      <w:r>
        <w:t xml:space="preserve">. </w:t>
      </w:r>
      <w:r w:rsidR="00A31859" w:rsidRPr="00077D7F">
        <w:rPr>
          <w:lang w:eastAsia="pl-PL"/>
        </w:rPr>
        <w:t>Instrument finansowy – Ulga podatkowa dotycząca wydatków poniesionych na termomodernizację jednorodzinnych budynków mieszkalnych (ulga termomodernizacyjna)</w:t>
      </w:r>
      <w:bookmarkEnd w:id="1268"/>
      <w:bookmarkEnd w:id="1269"/>
      <w:bookmarkEnd w:id="1270"/>
      <w:bookmarkEnd w:id="1271"/>
      <w:bookmarkEnd w:id="1272"/>
      <w:r w:rsidR="00A31859" w:rsidRPr="00077D7F">
        <w:rPr>
          <w:lang w:eastAsia="pl-PL"/>
        </w:rPr>
        <w:t> </w:t>
      </w:r>
    </w:p>
    <w:p w14:paraId="7C33F03D" w14:textId="3A2D5AB3" w:rsidR="00A31859" w:rsidRPr="00077D7F" w:rsidRDefault="00A31859" w:rsidP="00FE1B8E">
      <w:pPr>
        <w:rPr>
          <w:rFonts w:ascii="Times New Roman" w:hAnsi="Times New Roman"/>
          <w:sz w:val="24"/>
          <w:szCs w:val="24"/>
          <w:lang w:eastAsia="pl-PL"/>
        </w:rPr>
      </w:pPr>
      <w:r w:rsidRPr="00077D7F">
        <w:rPr>
          <w:lang w:eastAsia="pl-PL"/>
        </w:rPr>
        <w:t>Działanie polega na zapewnieniu ulgi podatkowej (odliczenie od dochodu/przychodu) w podatku dochodowym od osób fizycznych (tzw. ulga termomodernizacyjna) dotyczącej możliwości odliczenia od przychodu wydatków poniesionych na termomodernizację jednorodzinnych budynków mieszkalnych. Mechanizm skierowany jest do właścicieli i współwłaścicieli domów jednorodzinnych i uzupełnia rozwiązania programu „Czyste Powietrze”. W ramach „Czystego Powietrza” wsparcie jest kierowane do osób osiągających określone dochody. Ulga podatkowa nie zawiera takich ograniczeń, zapewnia jednocześnie powszechność wsparcia i wpływa na decyzje podejmowane przez osoby fizyczne w zakresie poprawy efektywności energetycznej budynków mieszkalnych. Ponadto zawiera szerszy katalog wydatków kwalifikowalnych, obejmujący również odnawialne źródła energii, w tym panele fotowoltaiczne oraz magazyny energii.</w:t>
      </w:r>
      <w:r w:rsidR="00974007">
        <w:rPr>
          <w:rFonts w:eastAsia="Times New Roman" w:cs="Times New Roman"/>
          <w:lang w:eastAsia="pl-PL"/>
        </w:rPr>
        <w:t xml:space="preserve">  </w:t>
      </w:r>
    </w:p>
    <w:p w14:paraId="039B6701" w14:textId="5CBF718E" w:rsidR="009E19D4" w:rsidRPr="0031318A" w:rsidRDefault="00A31859" w:rsidP="009E19D4">
      <w:r w:rsidRPr="0031318A">
        <w:t xml:space="preserve">Funkcjonujący od </w:t>
      </w:r>
      <w:r w:rsidR="009E19D4" w:rsidRPr="0031318A">
        <w:t>2019</w:t>
      </w:r>
      <w:r w:rsidRPr="0031318A">
        <w:t xml:space="preserve"> r</w:t>
      </w:r>
      <w:r w:rsidR="006F2D0F">
        <w:t>.</w:t>
      </w:r>
      <w:r w:rsidRPr="0031318A">
        <w:t xml:space="preserve"> mechanizm ulgi termomodernizacyjnej powinien podlegać analizie pod kątem zwiększenia jakości prowadzonych inwestycji termomodernizacyjnych</w:t>
      </w:r>
      <w:r w:rsidR="009E19D4" w:rsidRPr="0031318A">
        <w:t xml:space="preserve"> oraz umożliwienia monitoringu ich efektów. Działania te powinny być spójne z przewidzianymi w programach bezpośrednio wspierających termomodernizację i </w:t>
      </w:r>
      <w:r w:rsidR="009E19D4">
        <w:t>instalację odnawialnych źródeł energii</w:t>
      </w:r>
      <w:r w:rsidR="009E19D4" w:rsidRPr="0031318A">
        <w:t xml:space="preserve"> w budynkach jednorodzinnych, takich jak program „Czyste Powietrze” oraz program „Mój Prąd”, z uwzględnieniem jednak specyfiki ulgi podatkowej jako instrumentu fiskalnego obsługiwanego przez administrację skarbową.</w:t>
      </w:r>
    </w:p>
    <w:p w14:paraId="246985B1" w14:textId="3A14AC09" w:rsidR="00A31859" w:rsidRPr="00D94B2B" w:rsidRDefault="009E19D4" w:rsidP="00234A6A">
      <w:r w:rsidRPr="0031318A">
        <w:lastRenderedPageBreak/>
        <w:t>Mechanizm powinien rozwijać się w kierunku umożliwienia monitorowania podejmowanych prac termomodernizacyjnych i instalacji odnawialnych źródeł energii w celu umożliwienia oceny ich efektów w kontekście energetycznym, klimatycznym oraz oceny efektywności wydatkowania środków publicznych</w:t>
      </w:r>
      <w:r>
        <w:t>.</w:t>
      </w:r>
      <w:bookmarkEnd w:id="1273"/>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1284059E" w14:textId="77777777" w:rsidTr="00417FF8">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7F3A9543"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74252ADA" wp14:editId="50E9E288">
                  <wp:extent cx="622300" cy="622300"/>
                  <wp:effectExtent l="0" t="0" r="6350" b="6350"/>
                  <wp:docPr id="933145487"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57D33D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F3B56F7"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1D3A6C40"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DD8479A"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34A0A0B" w14:textId="5BCF4D1A" w:rsidR="00A31859" w:rsidRPr="00077D7F" w:rsidRDefault="00A31859" w:rsidP="006F2D0F">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A700FC7"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finansów publicznych </w:t>
            </w:r>
          </w:p>
          <w:p w14:paraId="781A1F94"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r>
    </w:tbl>
    <w:p w14:paraId="6BD2487A" w14:textId="004BBFD7" w:rsidR="00A31859" w:rsidRPr="00645B8D" w:rsidRDefault="00417FF8" w:rsidP="00D523F3">
      <w:pPr>
        <w:pStyle w:val="Nagwek6"/>
        <w:rPr>
          <w:rStyle w:val="Nagwek6Znak"/>
          <w:b/>
        </w:rPr>
      </w:pPr>
      <w:bookmarkStart w:id="1274" w:name="_Toc195865960"/>
      <w:bookmarkStart w:id="1275" w:name="_Ref195884719"/>
      <w:bookmarkStart w:id="1276" w:name="_Ref195889472"/>
      <w:bookmarkStart w:id="1277" w:name="_Ref203395370"/>
      <w:r>
        <w:t xml:space="preserve">Działanie </w:t>
      </w:r>
      <w:r>
        <w:fldChar w:fldCharType="begin"/>
      </w:r>
      <w:r w:rsidRPr="00645B8D">
        <w:rPr>
          <w:rStyle w:val="Nagwek6Znak"/>
          <w:b/>
        </w:rPr>
        <w:instrText xml:space="preserve"> SEQ Działanie \* ARABIC </w:instrText>
      </w:r>
      <w:r>
        <w:fldChar w:fldCharType="separate"/>
      </w:r>
      <w:r w:rsidR="00871DD5">
        <w:rPr>
          <w:rStyle w:val="Nagwek6Znak"/>
          <w:b/>
          <w:noProof/>
        </w:rPr>
        <w:t>106</w:t>
      </w:r>
      <w:r>
        <w:fldChar w:fldCharType="end"/>
      </w:r>
      <w:r>
        <w:t xml:space="preserve">. </w:t>
      </w:r>
      <w:r w:rsidR="00A31859" w:rsidRPr="00B86593">
        <w:t>Instrument finansowy – Program TERMO, wsparcie poprawy efektywności energetycznej w budynkach wielorodzinnych</w:t>
      </w:r>
      <w:bookmarkEnd w:id="1274"/>
      <w:bookmarkEnd w:id="1275"/>
      <w:bookmarkEnd w:id="1276"/>
      <w:bookmarkEnd w:id="1277"/>
      <w:r w:rsidR="00A31859" w:rsidRPr="00645B8D">
        <w:rPr>
          <w:rStyle w:val="Nagwek6Znak"/>
          <w:b/>
        </w:rPr>
        <w:t> </w:t>
      </w:r>
    </w:p>
    <w:p w14:paraId="7D3373AB" w14:textId="70027B39" w:rsidR="00A31859" w:rsidRPr="00077D7F" w:rsidRDefault="00A31859" w:rsidP="006F2D0F">
      <w:pPr>
        <w:rPr>
          <w:rFonts w:ascii="Times New Roman" w:hAnsi="Times New Roman"/>
          <w:sz w:val="24"/>
          <w:szCs w:val="24"/>
          <w:lang w:eastAsia="pl-PL"/>
        </w:rPr>
      </w:pPr>
      <w:r w:rsidRPr="00077D7F">
        <w:rPr>
          <w:lang w:eastAsia="pl-PL"/>
        </w:rPr>
        <w:t>Program TERMO, finansowany ze środków Funduszu Termomodernizacji i Remontów ulokowanym w</w:t>
      </w:r>
      <w:r w:rsidR="00913397">
        <w:rPr>
          <w:lang w:eastAsia="pl-PL"/>
        </w:rPr>
        <w:t> </w:t>
      </w:r>
      <w:r w:rsidRPr="00077D7F">
        <w:rPr>
          <w:lang w:eastAsia="pl-PL"/>
        </w:rPr>
        <w:t>Banku Gospodarstwa Krajowego, będzie podstawowym instrumentem wsparcia transformacji energetycznej w sektorze budynków wielorodzinnych. Od 2023 r. program korzysta również ze środków europejskich w ramach Krajowego Planu Odbudowy i Zwiększania Odporności. Docelowo program będzie przechodził modyfikację związaną ze zobowiązaniami wynikającymi z dyrektywy EPBD. W</w:t>
      </w:r>
      <w:r w:rsidR="00913397">
        <w:rPr>
          <w:lang w:eastAsia="pl-PL"/>
        </w:rPr>
        <w:t> </w:t>
      </w:r>
      <w:r w:rsidRPr="00077D7F">
        <w:rPr>
          <w:lang w:eastAsia="pl-PL"/>
        </w:rPr>
        <w:t>szczególności:</w:t>
      </w:r>
      <w:r w:rsidR="00974007">
        <w:rPr>
          <w:rFonts w:eastAsia="Times New Roman" w:cs="Times New Roman"/>
          <w:lang w:eastAsia="pl-PL"/>
        </w:rPr>
        <w:t xml:space="preserve">  </w:t>
      </w:r>
    </w:p>
    <w:p w14:paraId="39E950FF" w14:textId="2A3E2827" w:rsidR="00A31859" w:rsidRPr="009377A1" w:rsidRDefault="00A31859" w:rsidP="000625AC">
      <w:pPr>
        <w:pStyle w:val="Akapitzlist"/>
        <w:numPr>
          <w:ilvl w:val="0"/>
          <w:numId w:val="163"/>
        </w:numPr>
        <w:spacing w:after="80"/>
        <w:ind w:left="567" w:hanging="357"/>
        <w:contextualSpacing w:val="0"/>
      </w:pPr>
      <w:r w:rsidRPr="009377A1">
        <w:t>system wsparcia, w tym intensywność wsparcia, zostanie powiązany z systemem klas energetycznych. Preferencją zostanie objęte przechodzenie do wyższych klas energetycznych, przy wskazaniu minimalnych wartości, które należy osiągnąć w wyniku prowadzonych prac termomodernizacyjnych. Wymusi to stosowanie na inwestorach wysokich parametrów dotyczących systemów docieplenia, wymiany stolarki okiennej i drzwiowej, mechanizacji systemów wentylacyjnych z preferencją wentylacji z odzyskiem ciepła i wilgoci, stosowania systemów zarzadzania energią oraz szerokiego stosowania instalacji OZE,</w:t>
      </w:r>
      <w:r w:rsidR="00974007">
        <w:rPr>
          <w:rFonts w:eastAsia="Times New Roman" w:cs="Times New Roman"/>
          <w:lang w:eastAsia="pl-PL"/>
        </w:rPr>
        <w:t xml:space="preserve">  </w:t>
      </w:r>
    </w:p>
    <w:p w14:paraId="46D51370" w14:textId="2D97301E" w:rsidR="00A31859" w:rsidRPr="009377A1" w:rsidRDefault="00A31859" w:rsidP="000625AC">
      <w:pPr>
        <w:pStyle w:val="Akapitzlist"/>
        <w:numPr>
          <w:ilvl w:val="0"/>
          <w:numId w:val="163"/>
        </w:numPr>
        <w:spacing w:after="80"/>
        <w:ind w:left="567" w:hanging="357"/>
        <w:contextualSpacing w:val="0"/>
      </w:pPr>
      <w:r w:rsidRPr="009377A1">
        <w:t>w ramach programu TERMO będzie możliwe uzyskanie dofinansowania części kosztów wynikających z szeroko pojętych inwestycji termomodernizacyjnych, w tym z instalacją odnawialnych źródeł energii i magazynów energii, w tym magazynów ciepła,</w:t>
      </w:r>
      <w:r w:rsidR="00974007">
        <w:rPr>
          <w:rFonts w:eastAsia="Times New Roman" w:cs="Times New Roman"/>
          <w:lang w:eastAsia="pl-PL"/>
        </w:rPr>
        <w:t xml:space="preserve">  </w:t>
      </w:r>
    </w:p>
    <w:p w14:paraId="7757907E" w14:textId="1C1DC179" w:rsidR="00A31859" w:rsidRPr="009377A1" w:rsidRDefault="00A31859" w:rsidP="000625AC">
      <w:pPr>
        <w:pStyle w:val="Akapitzlist"/>
        <w:numPr>
          <w:ilvl w:val="0"/>
          <w:numId w:val="163"/>
        </w:numPr>
        <w:spacing w:after="80"/>
        <w:ind w:left="567" w:hanging="357"/>
        <w:contextualSpacing w:val="0"/>
      </w:pPr>
      <w:r w:rsidRPr="009377A1">
        <w:t>odpowiednie rozwiązania zostaną zastosowane dla budynków zabytkowych, a także dla budynków gminnych szczególnie narażonych na problem ubóstwa energetycznego,</w:t>
      </w:r>
      <w:r w:rsidR="00974007">
        <w:rPr>
          <w:rFonts w:eastAsia="Times New Roman" w:cs="Times New Roman"/>
          <w:lang w:eastAsia="pl-PL"/>
        </w:rPr>
        <w:t xml:space="preserve">  </w:t>
      </w:r>
    </w:p>
    <w:p w14:paraId="7865AAC6" w14:textId="3512F481" w:rsidR="00A31859" w:rsidRPr="00913397" w:rsidRDefault="00A31859" w:rsidP="000625AC">
      <w:pPr>
        <w:pStyle w:val="Akapitzlist"/>
        <w:numPr>
          <w:ilvl w:val="0"/>
          <w:numId w:val="163"/>
        </w:numPr>
        <w:spacing w:after="240"/>
        <w:ind w:left="567" w:hanging="357"/>
        <w:contextualSpacing w:val="0"/>
      </w:pPr>
      <w:r w:rsidRPr="009377A1">
        <w:t>proces ubiegania się o wsparcie będzie uproszczony i scyfryzowany, zostanie zachowany wymóg sporządzania audytów, które będą podlegać szczegółowej zewnętrznej weryfikacji. Audyt będzie sporządzany w wersji elektronicznej. Jednocześnie zostaną sformułowane wymogi dla osób, które będą mogły sporządzać audyty.</w:t>
      </w:r>
      <w:r w:rsidR="00974007">
        <w:rPr>
          <w:rFonts w:eastAsia="Times New Roman" w:cs="Times New Roman"/>
          <w:lang w:eastAsia="pl-PL"/>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913397" w:rsidRPr="00077D7F" w14:paraId="6BB407F3" w14:textId="77777777">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587993F0" w14:textId="77777777" w:rsidR="00913397" w:rsidRPr="00077D7F" w:rsidRDefault="00913397">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481A9167" wp14:editId="3E48F3A3">
                  <wp:extent cx="622300" cy="622300"/>
                  <wp:effectExtent l="0" t="0" r="6350" b="6350"/>
                  <wp:docPr id="1081024287"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B2D4297" w14:textId="77777777" w:rsidR="00913397" w:rsidRPr="00077D7F" w:rsidRDefault="00913397">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26083FB" w14:textId="77777777" w:rsidR="00913397" w:rsidRPr="00077D7F" w:rsidRDefault="00913397">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913397" w:rsidRPr="00077D7F" w14:paraId="2547A1E5"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4A1F853" w14:textId="77777777" w:rsidR="00913397" w:rsidRPr="00077D7F" w:rsidRDefault="00913397">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775B13D" w14:textId="6CC38D60" w:rsidR="00913397" w:rsidRPr="00077D7F" w:rsidRDefault="00913397">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A448E1B" w14:textId="307791BF" w:rsidR="00913397" w:rsidRPr="00913397" w:rsidRDefault="00913397" w:rsidP="00913397">
            <w:pPr>
              <w:spacing w:after="0" w:line="240" w:lineRule="auto"/>
              <w:textAlignment w:val="baseline"/>
              <w:rPr>
                <w:rFonts w:eastAsia="Times New Roman" w:cs="Times New Roman"/>
                <w:color w:val="808080"/>
                <w:sz w:val="18"/>
                <w:szCs w:val="18"/>
                <w:lang w:eastAsia="pl-PL"/>
              </w:rPr>
            </w:pPr>
            <w:r w:rsidRPr="00913397">
              <w:rPr>
                <w:rFonts w:eastAsia="Times New Roman" w:cs="Times New Roman"/>
                <w:color w:val="808080"/>
                <w:sz w:val="18"/>
                <w:szCs w:val="18"/>
                <w:lang w:eastAsia="pl-PL"/>
              </w:rPr>
              <w:t xml:space="preserve">minister wł. ds. energii </w:t>
            </w:r>
          </w:p>
          <w:p w14:paraId="330CA143" w14:textId="77777777" w:rsidR="00913397" w:rsidRPr="00913397" w:rsidRDefault="00913397" w:rsidP="00913397">
            <w:pPr>
              <w:spacing w:after="0" w:line="240" w:lineRule="auto"/>
              <w:textAlignment w:val="baseline"/>
              <w:rPr>
                <w:rFonts w:eastAsia="Times New Roman" w:cs="Times New Roman"/>
                <w:color w:val="808080"/>
                <w:sz w:val="18"/>
                <w:szCs w:val="18"/>
                <w:lang w:eastAsia="pl-PL"/>
              </w:rPr>
            </w:pPr>
            <w:r w:rsidRPr="00913397">
              <w:rPr>
                <w:rFonts w:eastAsia="Times New Roman" w:cs="Times New Roman"/>
                <w:color w:val="808080"/>
                <w:sz w:val="18"/>
                <w:szCs w:val="18"/>
                <w:lang w:eastAsia="pl-PL"/>
              </w:rPr>
              <w:t xml:space="preserve">minister ds. finansów publicznych </w:t>
            </w:r>
          </w:p>
          <w:p w14:paraId="64A4E73B" w14:textId="06936022" w:rsidR="00913397" w:rsidRPr="00077D7F" w:rsidRDefault="00913397" w:rsidP="00913397">
            <w:pPr>
              <w:spacing w:after="0" w:line="240" w:lineRule="auto"/>
              <w:textAlignment w:val="baseline"/>
              <w:rPr>
                <w:rFonts w:ascii="Times New Roman" w:eastAsia="Times New Roman" w:hAnsi="Times New Roman" w:cs="Times New Roman"/>
                <w:sz w:val="24"/>
                <w:szCs w:val="24"/>
                <w:lang w:eastAsia="pl-PL"/>
              </w:rPr>
            </w:pPr>
            <w:r w:rsidRPr="00913397">
              <w:rPr>
                <w:rFonts w:eastAsia="Times New Roman" w:cs="Times New Roman"/>
                <w:color w:val="808080"/>
                <w:sz w:val="18"/>
                <w:szCs w:val="18"/>
                <w:lang w:eastAsia="pl-PL"/>
              </w:rPr>
              <w:t>Bank Gospodarstwa Krajowego</w:t>
            </w:r>
          </w:p>
        </w:tc>
      </w:tr>
    </w:tbl>
    <w:p w14:paraId="02F9C257" w14:textId="1759B459" w:rsidR="00A31859" w:rsidRPr="00645B8D" w:rsidRDefault="00810D41" w:rsidP="00D523F3">
      <w:pPr>
        <w:pStyle w:val="Nagwek6"/>
      </w:pPr>
      <w:bookmarkStart w:id="1278" w:name="_Toc195865961"/>
      <w:bookmarkStart w:id="1279" w:name="_Ref195884721"/>
      <w:bookmarkStart w:id="1280" w:name="_Ref195885212"/>
      <w:bookmarkStart w:id="1281" w:name="_Ref203395389"/>
      <w:r>
        <w:t xml:space="preserve">Działanie </w:t>
      </w:r>
      <w:r>
        <w:fldChar w:fldCharType="begin"/>
      </w:r>
      <w:r w:rsidRPr="00645B8D">
        <w:rPr>
          <w:rStyle w:val="Nagwek6Znak"/>
          <w:b/>
        </w:rPr>
        <w:instrText xml:space="preserve"> SEQ Działanie \* ARABIC </w:instrText>
      </w:r>
      <w:r>
        <w:fldChar w:fldCharType="separate"/>
      </w:r>
      <w:r w:rsidR="00871DD5">
        <w:rPr>
          <w:rStyle w:val="Nagwek6Znak"/>
          <w:b/>
          <w:noProof/>
        </w:rPr>
        <w:t>107</w:t>
      </w:r>
      <w:r>
        <w:fldChar w:fldCharType="end"/>
      </w:r>
      <w:r>
        <w:t xml:space="preserve">. </w:t>
      </w:r>
      <w:r w:rsidR="00A31859" w:rsidRPr="00645B8D">
        <w:t>Instrument finansowy – Program Priorytetowy NFOŚiGW – „Modernizacja szkół”</w:t>
      </w:r>
      <w:bookmarkEnd w:id="1278"/>
      <w:bookmarkEnd w:id="1279"/>
      <w:bookmarkEnd w:id="1280"/>
      <w:bookmarkEnd w:id="1281"/>
      <w:r w:rsidR="003E2DE5">
        <w:t xml:space="preserve"> </w:t>
      </w:r>
    </w:p>
    <w:p w14:paraId="42A14551" w14:textId="7B695C1C" w:rsidR="00A31859" w:rsidRPr="00077D7F" w:rsidRDefault="00A31859" w:rsidP="00913397">
      <w:pPr>
        <w:spacing w:after="80"/>
        <w:rPr>
          <w:rFonts w:ascii="Times New Roman" w:hAnsi="Times New Roman"/>
          <w:sz w:val="24"/>
          <w:szCs w:val="24"/>
          <w:lang w:eastAsia="pl-PL"/>
        </w:rPr>
      </w:pPr>
      <w:r w:rsidRPr="00077D7F">
        <w:rPr>
          <w:lang w:eastAsia="pl-PL"/>
        </w:rPr>
        <w:t>Należy uruchomić program obejmujący dofinansowanie kompleksowej termomodernizacji szkół oraz instalacji nowoczesnych źródeł OZE. Modernizacja placówek edukacyjnych jest kluczowym elementem poprawy efektywności energetycznej, komfortu nauki oraz redukcji emisji zanieczyszczeń. Wiele szkół w</w:t>
      </w:r>
      <w:r w:rsidR="000315E9">
        <w:rPr>
          <w:lang w:eastAsia="pl-PL"/>
        </w:rPr>
        <w:t> </w:t>
      </w:r>
      <w:r w:rsidRPr="00077D7F">
        <w:rPr>
          <w:lang w:eastAsia="pl-PL"/>
        </w:rPr>
        <w:t>Polsce charakteryzuje się niską izolacyjnością termiczną, co skutkuje wysokimi kosztami ogrzewania, nadmiernym zużyciem energii oraz złą jakością powietrza wewnątrz. Wiele badań wskazuje na znacznie podniesiony poziom CO</w:t>
      </w:r>
      <w:r w:rsidRPr="00077D7F">
        <w:rPr>
          <w:rFonts w:ascii="Cambria Math" w:hAnsi="Cambria Math" w:cs="Cambria Math"/>
          <w:lang w:eastAsia="pl-PL"/>
        </w:rPr>
        <w:t>₂</w:t>
      </w:r>
      <w:r w:rsidRPr="00077D7F">
        <w:rPr>
          <w:lang w:eastAsia="pl-PL"/>
        </w:rPr>
        <w:t xml:space="preserve">, nawet powyżej 4000 ppm, co negatywnie wpływa na jakość nauki i zdrowie dzieci. Dofinansowanie w ramach programu obejmie kompleksowe działania mające na celu poprawę </w:t>
      </w:r>
      <w:r w:rsidRPr="00077D7F">
        <w:rPr>
          <w:lang w:eastAsia="pl-PL"/>
        </w:rPr>
        <w:lastRenderedPageBreak/>
        <w:t>standardów energetycznych oraz stworzenie zdrowych i komfortowych warunków nauki. Modernizacja będzie obejmować instalację nowoczesnych źródeł ciepła, poprawę izolacji termicznej, montaż nowoczesnych systemów zarządzania energią oraz obowiązkową instalację wentylacji z odzyskiem ciepła. Kluczowym celem programu jest dostosowanie placówek edukacyjnych do nowoczesnych standardów efektywności energetycznej oraz poprawa jakości powietrza w budynkach szkolnych. </w:t>
      </w:r>
    </w:p>
    <w:p w14:paraId="3FED19BB" w14:textId="77777777" w:rsidR="00A31859" w:rsidRPr="00077D7F" w:rsidRDefault="00A31859" w:rsidP="009377A1">
      <w:pPr>
        <w:rPr>
          <w:rFonts w:ascii="Times New Roman" w:hAnsi="Times New Roman"/>
          <w:sz w:val="24"/>
          <w:szCs w:val="24"/>
          <w:lang w:eastAsia="pl-PL"/>
        </w:rPr>
      </w:pPr>
      <w:r w:rsidRPr="00077D7F">
        <w:rPr>
          <w:lang w:eastAsia="pl-PL"/>
        </w:rPr>
        <w:t>Program powinien dążyć do: </w:t>
      </w:r>
    </w:p>
    <w:p w14:paraId="0600FB98" w14:textId="13FF8CFE" w:rsidR="00A31859" w:rsidRPr="00077D7F" w:rsidRDefault="00A31859" w:rsidP="000625AC">
      <w:pPr>
        <w:pStyle w:val="Akapitzlist"/>
        <w:numPr>
          <w:ilvl w:val="0"/>
          <w:numId w:val="117"/>
        </w:numPr>
        <w:spacing w:after="80"/>
        <w:ind w:left="284" w:hanging="357"/>
        <w:contextualSpacing w:val="0"/>
        <w:rPr>
          <w:rFonts w:eastAsia="Times New Roman" w:cs="Times New Roman"/>
          <w:lang w:eastAsia="pl-PL"/>
        </w:rPr>
      </w:pPr>
      <w:r w:rsidRPr="00077D7F">
        <w:rPr>
          <w:rFonts w:eastAsia="Times New Roman" w:cs="Times New Roman"/>
          <w:b/>
          <w:bCs/>
          <w:lang w:eastAsia="pl-PL"/>
        </w:rPr>
        <w:t>Uzyskania wysokiego standardu energetycznego budynków</w:t>
      </w:r>
      <w:r w:rsidRPr="00077D7F">
        <w:rPr>
          <w:rFonts w:eastAsia="Times New Roman" w:cs="Times New Roman"/>
          <w:lang w:eastAsia="pl-PL"/>
        </w:rPr>
        <w:t xml:space="preserve">, tak aby </w:t>
      </w:r>
      <w:r w:rsidR="009C4B8F">
        <w:t>zapotrzebowanie na</w:t>
      </w:r>
      <w:r w:rsidR="009C4B8F" w:rsidRPr="009377A1">
        <w:t xml:space="preserve"> energi</w:t>
      </w:r>
      <w:r w:rsidR="009C4B8F">
        <w:t>ę</w:t>
      </w:r>
      <w:r w:rsidR="009C4B8F" w:rsidRPr="009377A1">
        <w:t xml:space="preserve"> użytkow</w:t>
      </w:r>
      <w:r w:rsidR="009C4B8F">
        <w:t>ą</w:t>
      </w:r>
      <w:r w:rsidR="009C4B8F" w:rsidRPr="009377A1">
        <w:t xml:space="preserve"> był</w:t>
      </w:r>
      <w:r w:rsidR="009C4B8F">
        <w:t>o</w:t>
      </w:r>
      <w:r w:rsidRPr="00077D7F">
        <w:rPr>
          <w:rFonts w:eastAsia="Times New Roman" w:cs="Times New Roman"/>
          <w:lang w:eastAsia="pl-PL"/>
        </w:rPr>
        <w:t xml:space="preserve"> jak </w:t>
      </w:r>
      <w:r w:rsidR="009C4B8F" w:rsidRPr="009377A1">
        <w:t>najniższ</w:t>
      </w:r>
      <w:r w:rsidR="009C4B8F">
        <w:t>e</w:t>
      </w:r>
      <w:r w:rsidR="009C4B8F" w:rsidRPr="009377A1">
        <w:t xml:space="preserve">. Należy dążyć do standardu </w:t>
      </w:r>
      <w:r w:rsidR="009C4B8F">
        <w:t>wskaźnika rocznego zapotrzebowania na</w:t>
      </w:r>
      <w:r w:rsidR="000315E9">
        <w:t> </w:t>
      </w:r>
      <w:r w:rsidR="009C4B8F">
        <w:t>e</w:t>
      </w:r>
      <w:r w:rsidR="009C4B8F" w:rsidRPr="009377A1">
        <w:t>nergi</w:t>
      </w:r>
      <w:r w:rsidR="009C4B8F">
        <w:t>ę</w:t>
      </w:r>
      <w:r w:rsidR="009C4B8F" w:rsidRPr="009377A1">
        <w:t xml:space="preserve"> </w:t>
      </w:r>
      <w:r w:rsidR="009C4B8F">
        <w:t>u</w:t>
      </w:r>
      <w:r w:rsidR="009C4B8F" w:rsidRPr="009377A1">
        <w:t>żytko</w:t>
      </w:r>
      <w:r w:rsidR="009C4B8F">
        <w:t>wą</w:t>
      </w:r>
      <w:r w:rsidR="009C4B8F" w:rsidRPr="00077D7F" w:rsidDel="009C4B8F">
        <w:rPr>
          <w:rFonts w:eastAsia="Times New Roman" w:cs="Times New Roman"/>
          <w:lang w:eastAsia="pl-PL"/>
        </w:rPr>
        <w:t xml:space="preserve"> </w:t>
      </w:r>
      <w:r w:rsidRPr="00077D7F">
        <w:rPr>
          <w:rFonts w:eastAsia="Times New Roman" w:cs="Times New Roman"/>
          <w:lang w:eastAsia="pl-PL"/>
        </w:rPr>
        <w:t xml:space="preserve">na jak najlepszym możliwym poziomie, co pozwoli na znaczące ograniczenie zużycia energii oraz poprawę efektywności energetycznej budynków. Osiągnięcie tego celu wymaga wprowadzenia wyższych wymogów dotyczących izolacji termicznej, powszechnego stosowania wentylacji z odzyskiem ciepła i odzyskiem wilgoci, </w:t>
      </w:r>
      <w:r w:rsidR="007E015D">
        <w:rPr>
          <w:rFonts w:eastAsia="Times New Roman" w:cs="Times New Roman"/>
          <w:lang w:eastAsia="pl-PL"/>
        </w:rPr>
        <w:t xml:space="preserve">rozwiązań </w:t>
      </w:r>
      <w:r w:rsidRPr="00F13E19">
        <w:rPr>
          <w:rFonts w:eastAsia="Times New Roman" w:cs="Times New Roman"/>
          <w:lang w:eastAsia="pl-PL"/>
        </w:rPr>
        <w:t>wspomaga</w:t>
      </w:r>
      <w:r w:rsidR="007E015D">
        <w:rPr>
          <w:rFonts w:eastAsia="Times New Roman" w:cs="Times New Roman"/>
          <w:lang w:eastAsia="pl-PL"/>
        </w:rPr>
        <w:t>jących</w:t>
      </w:r>
      <w:r w:rsidRPr="00077D7F">
        <w:rPr>
          <w:rFonts w:eastAsia="Times New Roman" w:cs="Times New Roman"/>
          <w:lang w:eastAsia="pl-PL"/>
        </w:rPr>
        <w:t xml:space="preserve"> chłodzeni</w:t>
      </w:r>
      <w:r w:rsidR="007E015D">
        <w:rPr>
          <w:rFonts w:eastAsia="Times New Roman" w:cs="Times New Roman"/>
          <w:lang w:eastAsia="pl-PL"/>
        </w:rPr>
        <w:t>e</w:t>
      </w:r>
      <w:r w:rsidRPr="00077D7F">
        <w:rPr>
          <w:rFonts w:eastAsia="Times New Roman" w:cs="Times New Roman"/>
          <w:lang w:eastAsia="pl-PL"/>
        </w:rPr>
        <w:t xml:space="preserve"> pomieszczeń w okresie letnim oraz zapewnienia efektywnego zarządzania energią. Odpowiednia jakość powietrza w klasach stworzy zdrowe warunki do nauki. </w:t>
      </w:r>
    </w:p>
    <w:p w14:paraId="6EC0B5D5" w14:textId="77777777" w:rsidR="00A31859" w:rsidRPr="00077D7F" w:rsidRDefault="00A31859" w:rsidP="000625AC">
      <w:pPr>
        <w:pStyle w:val="Akapitzlist"/>
        <w:numPr>
          <w:ilvl w:val="0"/>
          <w:numId w:val="117"/>
        </w:numPr>
        <w:spacing w:after="80"/>
        <w:ind w:left="284" w:hanging="357"/>
        <w:contextualSpacing w:val="0"/>
        <w:rPr>
          <w:rFonts w:eastAsia="Times New Roman" w:cs="Times New Roman"/>
          <w:lang w:eastAsia="pl-PL"/>
        </w:rPr>
      </w:pPr>
      <w:r w:rsidRPr="00077D7F">
        <w:rPr>
          <w:rFonts w:eastAsia="Times New Roman" w:cs="Times New Roman"/>
          <w:b/>
          <w:bCs/>
          <w:lang w:eastAsia="pl-PL"/>
        </w:rPr>
        <w:t>Cyfryzacji procesu wsparcia</w:t>
      </w:r>
      <w:r w:rsidRPr="00077D7F">
        <w:rPr>
          <w:rFonts w:eastAsia="Times New Roman" w:cs="Times New Roman"/>
          <w:lang w:eastAsia="pl-PL"/>
        </w:rPr>
        <w:t>, obejmującą pełną obsługę cyfrową wniosków i ich weryfikację, synchronizację baz danych oraz integrację z audytami energetycznymi i Centralną Bazą Emisyjności Budynków. Usprawni to proces, skróci czas rozpatrywania wniosków i poprawi transparentność. </w:t>
      </w:r>
    </w:p>
    <w:p w14:paraId="720C8E62" w14:textId="4DD0B8A0" w:rsidR="00A31859" w:rsidRPr="00077D7F" w:rsidRDefault="00A31859" w:rsidP="000625AC">
      <w:pPr>
        <w:pStyle w:val="Akapitzlist"/>
        <w:numPr>
          <w:ilvl w:val="0"/>
          <w:numId w:val="117"/>
        </w:numPr>
        <w:spacing w:after="240"/>
        <w:ind w:left="284" w:hanging="357"/>
        <w:contextualSpacing w:val="0"/>
        <w:rPr>
          <w:rFonts w:eastAsia="Times New Roman" w:cs="Times New Roman"/>
          <w:lang w:eastAsia="pl-PL"/>
        </w:rPr>
      </w:pPr>
      <w:r w:rsidRPr="00077D7F">
        <w:rPr>
          <w:rFonts w:eastAsia="Times New Roman" w:cs="Times New Roman"/>
          <w:b/>
          <w:bCs/>
          <w:lang w:eastAsia="pl-PL"/>
        </w:rPr>
        <w:t>Priorytetu dla elektryfikacji systemów grzewczych</w:t>
      </w:r>
      <w:r w:rsidRPr="00077D7F">
        <w:rPr>
          <w:rFonts w:eastAsia="Times New Roman" w:cs="Times New Roman"/>
          <w:lang w:eastAsia="pl-PL"/>
        </w:rPr>
        <w:t xml:space="preserve">, opartych na pompach ciepła oraz magazynowaniu ciepła. </w:t>
      </w:r>
      <w:r w:rsidR="007B75C2">
        <w:rPr>
          <w:rFonts w:eastAsia="Times New Roman" w:cs="Times New Roman"/>
          <w:lang w:eastAsia="pl-PL"/>
        </w:rPr>
        <w:t xml:space="preserve">Tradycyjne paliwa </w:t>
      </w:r>
      <w:r w:rsidR="001950F5">
        <w:rPr>
          <w:rFonts w:eastAsia="Times New Roman" w:cs="Times New Roman"/>
          <w:lang w:eastAsia="pl-PL"/>
        </w:rPr>
        <w:t>powinny być zastąpione przez n</w:t>
      </w:r>
      <w:r w:rsidRPr="00077D7F">
        <w:rPr>
          <w:rFonts w:eastAsia="Times New Roman" w:cs="Times New Roman"/>
          <w:lang w:eastAsia="pl-PL"/>
        </w:rPr>
        <w:t>owoczesne technologie ogrzewania, co</w:t>
      </w:r>
      <w:r w:rsidR="000315E9">
        <w:rPr>
          <w:rFonts w:eastAsia="Times New Roman" w:cs="Times New Roman"/>
          <w:lang w:eastAsia="pl-PL"/>
        </w:rPr>
        <w:t> </w:t>
      </w:r>
      <w:r w:rsidRPr="00077D7F">
        <w:rPr>
          <w:rFonts w:eastAsia="Times New Roman" w:cs="Times New Roman"/>
          <w:lang w:eastAsia="pl-PL"/>
        </w:rPr>
        <w:t>zwiększy efektywność energetyczną i zmniejszy emisję zanieczyszczeń.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077D7F" w14:paraId="2A508788" w14:textId="77777777" w:rsidTr="00810D41">
        <w:trPr>
          <w:trHeight w:val="300"/>
        </w:trPr>
        <w:tc>
          <w:tcPr>
            <w:tcW w:w="1079" w:type="dxa"/>
            <w:vMerge w:val="restart"/>
            <w:tcBorders>
              <w:top w:val="dashed" w:sz="12" w:space="0" w:color="FFFFFF"/>
              <w:left w:val="dashed" w:sz="12" w:space="0" w:color="FFFFFF"/>
              <w:bottom w:val="dashed" w:sz="12" w:space="0" w:color="FFFFFF"/>
              <w:right w:val="dashed" w:sz="12" w:space="0" w:color="FFFFFF"/>
            </w:tcBorders>
            <w:hideMark/>
          </w:tcPr>
          <w:p w14:paraId="66BF35EB"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1D9BF4FA" wp14:editId="0311CCE0">
                  <wp:extent cx="617220" cy="617220"/>
                  <wp:effectExtent l="0" t="0" r="0" b="0"/>
                  <wp:docPr id="1347862173"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0845D0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0F0A0AC"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1EDAB894"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E6C23DA"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5A8576C"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p w14:paraId="662E97C8"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481D3C9" w14:textId="5B47AF7C"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w:t>
            </w:r>
            <w:r w:rsidR="000315E9">
              <w:rPr>
                <w:rFonts w:eastAsia="Times New Roman" w:cs="Times New Roman"/>
                <w:color w:val="808080"/>
                <w:sz w:val="18"/>
                <w:szCs w:val="18"/>
                <w:lang w:eastAsia="pl-PL"/>
              </w:rPr>
              <w:t> </w:t>
            </w:r>
            <w:r w:rsidRPr="00077D7F">
              <w:rPr>
                <w:rFonts w:eastAsia="Times New Roman" w:cs="Times New Roman"/>
                <w:color w:val="808080"/>
                <w:sz w:val="18"/>
                <w:szCs w:val="18"/>
                <w:lang w:eastAsia="pl-PL"/>
              </w:rPr>
              <w:t>zagospodarowania przestrzennego oraz mieszkalnictwa </w:t>
            </w:r>
          </w:p>
          <w:p w14:paraId="23A690BA" w14:textId="4B2F3BD8"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480AE6B8"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oświaty i wychowania </w:t>
            </w:r>
          </w:p>
          <w:p w14:paraId="6541EEB1" w14:textId="6E17AA01"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informatyzacji</w:t>
            </w:r>
            <w:r w:rsidR="003E2DE5">
              <w:rPr>
                <w:rFonts w:eastAsia="Times New Roman" w:cs="Times New Roman"/>
                <w:color w:val="808080"/>
                <w:sz w:val="18"/>
                <w:szCs w:val="18"/>
                <w:lang w:eastAsia="pl-PL"/>
              </w:rPr>
              <w:t xml:space="preserve"> </w:t>
            </w:r>
          </w:p>
          <w:p w14:paraId="144464C6" w14:textId="0B6F4171"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NFOŚiGW </w:t>
            </w:r>
          </w:p>
        </w:tc>
      </w:tr>
    </w:tbl>
    <w:p w14:paraId="47E7C588" w14:textId="300FB4EC" w:rsidR="00A31859" w:rsidRPr="00077D7F" w:rsidRDefault="00810D41" w:rsidP="00D523F3">
      <w:pPr>
        <w:pStyle w:val="Nagwek6"/>
        <w:rPr>
          <w:rFonts w:ascii="Times New Roman" w:hAnsi="Times New Roman"/>
          <w:i/>
          <w:iCs/>
          <w:color w:val="595959"/>
          <w:sz w:val="24"/>
          <w:szCs w:val="24"/>
          <w:lang w:eastAsia="pl-PL"/>
        </w:rPr>
      </w:pPr>
      <w:bookmarkStart w:id="1282" w:name="_Toc195865962"/>
      <w:bookmarkStart w:id="1283" w:name="_Ref195884723"/>
      <w:bookmarkStart w:id="1284" w:name="_Ref195885215"/>
      <w:bookmarkStart w:id="1285" w:name="_Ref203395405"/>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108</w:t>
      </w:r>
      <w:r>
        <w:fldChar w:fldCharType="end"/>
      </w:r>
      <w:r>
        <w:t xml:space="preserve">. </w:t>
      </w:r>
      <w:r w:rsidR="00A31859" w:rsidRPr="00077D7F">
        <w:rPr>
          <w:lang w:eastAsia="pl-PL"/>
        </w:rPr>
        <w:t>Instrument finansowy – Program Priorytetowy NFOŚiGW – „Modernizacja budynk</w:t>
      </w:r>
      <w:r w:rsidR="003A7BF7">
        <w:rPr>
          <w:lang w:eastAsia="pl-PL"/>
        </w:rPr>
        <w:t>ów</w:t>
      </w:r>
      <w:r w:rsidR="00A31859" w:rsidRPr="00077D7F">
        <w:rPr>
          <w:lang w:eastAsia="pl-PL"/>
        </w:rPr>
        <w:t xml:space="preserve"> użyteczności publicznej”</w:t>
      </w:r>
      <w:bookmarkEnd w:id="1282"/>
      <w:bookmarkEnd w:id="1283"/>
      <w:bookmarkEnd w:id="1284"/>
      <w:bookmarkEnd w:id="1285"/>
      <w:r w:rsidR="00A31859" w:rsidRPr="00077D7F">
        <w:rPr>
          <w:i/>
          <w:iCs/>
          <w:lang w:eastAsia="pl-PL"/>
        </w:rPr>
        <w:t> </w:t>
      </w:r>
    </w:p>
    <w:p w14:paraId="2191BBFD" w14:textId="77777777" w:rsidR="00A31859" w:rsidRPr="00077D7F" w:rsidRDefault="00A31859" w:rsidP="00C55D95">
      <w:pPr>
        <w:rPr>
          <w:rFonts w:ascii="Times New Roman" w:eastAsia="Times New Roman" w:hAnsi="Times New Roman" w:cs="Times New Roman"/>
          <w:sz w:val="24"/>
          <w:szCs w:val="24"/>
          <w:lang w:eastAsia="pl-PL"/>
        </w:rPr>
      </w:pPr>
      <w:r w:rsidRPr="00077D7F">
        <w:rPr>
          <w:rFonts w:eastAsia="Times New Roman" w:cs="Times New Roman"/>
          <w:lang w:eastAsia="pl-PL"/>
        </w:rPr>
        <w:t>Należy uruchomić program obejmujący dofinansowanie kompleksowej termomodernizacji budynków użyteczności publicznej, takich jak szpitale, domy kultury, urzędy, biblioteki oraz inne obiekty administracyjne. Modernizacja tych placówek jest kluczowym elementem poprawy efektywności energetycznej, komfortu użytkowników oraz redukcji emisji zanieczyszczeń. Wiele budynków tego typu w Polsce charakteryzuje się niską izolacyjnością termiczną, co skutkuje wysokimi kosztami ogrzewania, nadmiernym zużyciem energii oraz pogorszoną jakością powietrza wewnątrz budynków. Dofinansowanie w ramach programu obejmie kompleksowe działania mające na celu poprawę standardów energetycznych oraz stworzenie zdrowych i komfortowych warunków użytkowania. Modernizacja będzie obejmować instalację nowoczesnych źródeł ciepła, poprawę izolacji termicznej, montaż nowoczesnych systemów zarządzania energią oraz obowiązkową instalację wentylacji z odzyskiem ciepła. Kluczowym celem programu jest dostosowanie budynków użyteczności publicznej do nowoczesnych standardów efektywności energetycznej oraz poprawa jakości powietrza w tych obiektach. </w:t>
      </w:r>
    </w:p>
    <w:p w14:paraId="6EE59A9F" w14:textId="77777777" w:rsidR="00A31859" w:rsidRPr="00077D7F" w:rsidRDefault="00A31859" w:rsidP="00C55D95">
      <w:pPr>
        <w:rPr>
          <w:rFonts w:ascii="Times New Roman" w:eastAsia="Times New Roman" w:hAnsi="Times New Roman" w:cs="Times New Roman"/>
          <w:sz w:val="24"/>
          <w:szCs w:val="24"/>
          <w:lang w:eastAsia="pl-PL"/>
        </w:rPr>
      </w:pPr>
      <w:r w:rsidRPr="00077D7F">
        <w:rPr>
          <w:rFonts w:eastAsia="Times New Roman" w:cs="Times New Roman"/>
          <w:lang w:eastAsia="pl-PL"/>
        </w:rPr>
        <w:t>Program powinien dążyć do: </w:t>
      </w:r>
    </w:p>
    <w:p w14:paraId="7969AB10" w14:textId="19601DDB" w:rsidR="00A31859" w:rsidRPr="00077D7F" w:rsidRDefault="00A31859" w:rsidP="000625AC">
      <w:pPr>
        <w:pStyle w:val="Akapitzlist"/>
        <w:numPr>
          <w:ilvl w:val="0"/>
          <w:numId w:val="118"/>
        </w:numPr>
        <w:ind w:left="426"/>
        <w:rPr>
          <w:rFonts w:eastAsia="Times New Roman" w:cs="Times New Roman"/>
          <w:lang w:eastAsia="pl-PL"/>
        </w:rPr>
      </w:pPr>
      <w:r w:rsidRPr="00077D7F">
        <w:rPr>
          <w:rFonts w:eastAsia="Times New Roman" w:cs="Times New Roman"/>
          <w:b/>
          <w:bCs/>
          <w:lang w:eastAsia="pl-PL"/>
        </w:rPr>
        <w:t>Uzyskania wysokiego standardu energetycznego budynków</w:t>
      </w:r>
      <w:r w:rsidRPr="00077D7F">
        <w:rPr>
          <w:rFonts w:eastAsia="Times New Roman" w:cs="Times New Roman"/>
          <w:lang w:eastAsia="pl-PL"/>
        </w:rPr>
        <w:t xml:space="preserve">, tak aby </w:t>
      </w:r>
      <w:r w:rsidR="002C6B58">
        <w:t>zapotrzebowanie na</w:t>
      </w:r>
      <w:r w:rsidR="002C6B58" w:rsidRPr="009377A1">
        <w:t xml:space="preserve"> energi</w:t>
      </w:r>
      <w:r w:rsidR="002C6B58">
        <w:t>ę</w:t>
      </w:r>
      <w:r w:rsidR="002C6B58" w:rsidRPr="009377A1">
        <w:t xml:space="preserve"> użytkow</w:t>
      </w:r>
      <w:r w:rsidR="002C6B58">
        <w:t>ą</w:t>
      </w:r>
      <w:r w:rsidR="002C6B58" w:rsidRPr="009377A1">
        <w:t xml:space="preserve"> był</w:t>
      </w:r>
      <w:r w:rsidR="002C6B58">
        <w:t>o</w:t>
      </w:r>
      <w:r w:rsidRPr="00077D7F">
        <w:rPr>
          <w:rFonts w:eastAsia="Times New Roman" w:cs="Times New Roman"/>
          <w:lang w:eastAsia="pl-PL"/>
        </w:rPr>
        <w:t xml:space="preserve"> jak </w:t>
      </w:r>
      <w:r w:rsidR="002C6B58" w:rsidRPr="009377A1">
        <w:t>najniższ</w:t>
      </w:r>
      <w:r w:rsidR="002C6B58">
        <w:t>e</w:t>
      </w:r>
      <w:r w:rsidR="002C6B58" w:rsidRPr="009377A1">
        <w:t xml:space="preserve">. Należy dążyć do standardu </w:t>
      </w:r>
      <w:r w:rsidR="002C6B58">
        <w:t>wskaźnika rocznego zapotrzebowania na e</w:t>
      </w:r>
      <w:r w:rsidR="002C6B58" w:rsidRPr="009377A1">
        <w:t>nergi</w:t>
      </w:r>
      <w:r w:rsidR="002C6B58">
        <w:t>ę</w:t>
      </w:r>
      <w:r w:rsidR="002C6B58" w:rsidRPr="009377A1">
        <w:t xml:space="preserve"> </w:t>
      </w:r>
      <w:r w:rsidR="002C6B58">
        <w:t>u</w:t>
      </w:r>
      <w:r w:rsidR="002C6B58" w:rsidRPr="009377A1">
        <w:t>żytko</w:t>
      </w:r>
      <w:r w:rsidR="002C6B58">
        <w:t>wą</w:t>
      </w:r>
      <w:r w:rsidRPr="00077D7F">
        <w:rPr>
          <w:rFonts w:eastAsia="Times New Roman" w:cs="Times New Roman"/>
          <w:lang w:eastAsia="pl-PL"/>
        </w:rPr>
        <w:t xml:space="preserve"> (EU) na jak najlepszym możliwym poziomie, co pozwoli na znaczące ograniczenie zużycia energii oraz poprawę efektywności energetycznej budynków. Osiągnięcie tego celu wymaga wprowadzenia wyższych wymogów dotyczących izolacji termicznej, powszechnego stosowania </w:t>
      </w:r>
      <w:r w:rsidRPr="00077D7F">
        <w:rPr>
          <w:rFonts w:eastAsia="Times New Roman" w:cs="Times New Roman"/>
          <w:lang w:eastAsia="pl-PL"/>
        </w:rPr>
        <w:lastRenderedPageBreak/>
        <w:t xml:space="preserve">wentylacji z odzyskiem ciepła i odzyskiem wilgoci, </w:t>
      </w:r>
      <w:r w:rsidR="00A238FE">
        <w:rPr>
          <w:rFonts w:eastAsia="Times New Roman" w:cs="Times New Roman"/>
          <w:lang w:eastAsia="pl-PL"/>
        </w:rPr>
        <w:t xml:space="preserve">rozwiązań </w:t>
      </w:r>
      <w:r w:rsidRPr="00077D7F">
        <w:rPr>
          <w:rFonts w:eastAsia="Times New Roman" w:cs="Times New Roman"/>
          <w:lang w:eastAsia="pl-PL"/>
        </w:rPr>
        <w:t>wspomaga</w:t>
      </w:r>
      <w:r w:rsidR="00A238FE">
        <w:rPr>
          <w:rFonts w:eastAsia="Times New Roman" w:cs="Times New Roman"/>
          <w:lang w:eastAsia="pl-PL"/>
        </w:rPr>
        <w:t>jących</w:t>
      </w:r>
      <w:r w:rsidRPr="00077D7F">
        <w:rPr>
          <w:rFonts w:eastAsia="Times New Roman" w:cs="Times New Roman"/>
          <w:lang w:eastAsia="pl-PL"/>
        </w:rPr>
        <w:t xml:space="preserve"> chłodzeni</w:t>
      </w:r>
      <w:r w:rsidR="00A238FE">
        <w:rPr>
          <w:rFonts w:eastAsia="Times New Roman" w:cs="Times New Roman"/>
          <w:lang w:eastAsia="pl-PL"/>
        </w:rPr>
        <w:t>e</w:t>
      </w:r>
      <w:r w:rsidRPr="00077D7F">
        <w:rPr>
          <w:rFonts w:eastAsia="Times New Roman" w:cs="Times New Roman"/>
          <w:lang w:eastAsia="pl-PL"/>
        </w:rPr>
        <w:t xml:space="preserve"> pomieszczeń w okresie letnim oraz zapewnienia efektywnego zarządzania energią. Odpowiednia jakość powietrza w budynkach użyteczności publicznej poprawi warunki pracy, opieki zdrowotnej oraz dostępności usług publicznych. </w:t>
      </w:r>
    </w:p>
    <w:p w14:paraId="65D474D4" w14:textId="77777777" w:rsidR="00A31859" w:rsidRPr="00077D7F" w:rsidRDefault="00A31859" w:rsidP="000625AC">
      <w:pPr>
        <w:pStyle w:val="Akapitzlist"/>
        <w:numPr>
          <w:ilvl w:val="0"/>
          <w:numId w:val="118"/>
        </w:numPr>
        <w:ind w:left="426"/>
        <w:rPr>
          <w:rFonts w:eastAsia="Times New Roman" w:cs="Times New Roman"/>
          <w:lang w:eastAsia="pl-PL"/>
        </w:rPr>
      </w:pPr>
      <w:r w:rsidRPr="00077D7F">
        <w:rPr>
          <w:rFonts w:eastAsia="Times New Roman" w:cs="Times New Roman"/>
          <w:b/>
          <w:bCs/>
          <w:lang w:eastAsia="pl-PL"/>
        </w:rPr>
        <w:t>Cyfryzacji procesu wsparcia</w:t>
      </w:r>
      <w:r w:rsidRPr="00077D7F">
        <w:rPr>
          <w:rFonts w:eastAsia="Times New Roman" w:cs="Times New Roman"/>
          <w:lang w:eastAsia="pl-PL"/>
        </w:rPr>
        <w:t>, obejmującą pełną obsługę cyfrową wniosków i ich weryfikację, synchronizację baz danych oraz integrację z audytami energetycznymi i Centralną Bazą Emisyjności Budynków. Usprawni to proces, skróci czas rozpatrywania wniosków i poprawi transparentność. </w:t>
      </w:r>
    </w:p>
    <w:p w14:paraId="2292D823" w14:textId="176617A1" w:rsidR="00A31859" w:rsidRPr="00077D7F" w:rsidRDefault="00A31859" w:rsidP="000625AC">
      <w:pPr>
        <w:pStyle w:val="Akapitzlist"/>
        <w:numPr>
          <w:ilvl w:val="0"/>
          <w:numId w:val="118"/>
        </w:numPr>
        <w:ind w:left="426"/>
        <w:rPr>
          <w:rFonts w:eastAsia="Times New Roman" w:cs="Times New Roman"/>
          <w:lang w:eastAsia="pl-PL"/>
        </w:rPr>
      </w:pPr>
      <w:r w:rsidRPr="00077D7F">
        <w:rPr>
          <w:rFonts w:eastAsia="Times New Roman" w:cs="Times New Roman"/>
          <w:b/>
          <w:bCs/>
          <w:lang w:eastAsia="pl-PL"/>
        </w:rPr>
        <w:t>Priorytetu dla elektryfikacji systemów grzewczych</w:t>
      </w:r>
      <w:r w:rsidRPr="00077D7F">
        <w:rPr>
          <w:rFonts w:eastAsia="Times New Roman" w:cs="Times New Roman"/>
          <w:lang w:eastAsia="pl-PL"/>
        </w:rPr>
        <w:t xml:space="preserve">, opartych na pompach ciepła oraz magazynowaniu ciepła. </w:t>
      </w:r>
      <w:r w:rsidR="00C739C1">
        <w:rPr>
          <w:rFonts w:eastAsia="Times New Roman" w:cs="Times New Roman"/>
          <w:lang w:eastAsia="pl-PL"/>
        </w:rPr>
        <w:t>Tradycyjne paliwa powinny być zastąpione przez n</w:t>
      </w:r>
      <w:r w:rsidR="00C739C1" w:rsidRPr="00077D7F">
        <w:rPr>
          <w:rFonts w:eastAsia="Times New Roman" w:cs="Times New Roman"/>
          <w:lang w:eastAsia="pl-PL"/>
        </w:rPr>
        <w:t>owoczesne technologie ogrzewania</w:t>
      </w:r>
      <w:r w:rsidRPr="00077D7F">
        <w:rPr>
          <w:rFonts w:eastAsia="Times New Roman" w:cs="Times New Roman"/>
          <w:lang w:eastAsia="pl-PL"/>
        </w:rPr>
        <w:t>, co zwiększy efektywność energetyczną i zmniejszy emisję zanieczyszczeń.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077D7F" w14:paraId="11DD4D29" w14:textId="77777777" w:rsidTr="00810D41">
        <w:trPr>
          <w:trHeight w:val="300"/>
        </w:trPr>
        <w:tc>
          <w:tcPr>
            <w:tcW w:w="1079" w:type="dxa"/>
            <w:vMerge w:val="restart"/>
            <w:tcBorders>
              <w:top w:val="dashed" w:sz="12" w:space="0" w:color="FFFFFF"/>
              <w:left w:val="dashed" w:sz="12" w:space="0" w:color="FFFFFF"/>
              <w:bottom w:val="dashed" w:sz="12" w:space="0" w:color="FFFFFF"/>
              <w:right w:val="dashed" w:sz="12" w:space="0" w:color="FFFFFF"/>
            </w:tcBorders>
            <w:hideMark/>
          </w:tcPr>
          <w:p w14:paraId="767A788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5CED6DBD" wp14:editId="1B97C6A1">
                  <wp:extent cx="617220" cy="617220"/>
                  <wp:effectExtent l="0" t="0" r="0" b="0"/>
                  <wp:docPr id="38"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36DB2C5"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2701B8A"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73AB2001"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1E5D111"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8927BB4"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p w14:paraId="46A06C0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35E0964" w14:textId="68240E52"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w:t>
            </w:r>
            <w:r w:rsidR="000315E9">
              <w:rPr>
                <w:rFonts w:eastAsia="Times New Roman" w:cs="Times New Roman"/>
                <w:color w:val="808080"/>
                <w:sz w:val="18"/>
                <w:szCs w:val="18"/>
                <w:lang w:eastAsia="pl-PL"/>
              </w:rPr>
              <w:t> </w:t>
            </w:r>
            <w:r w:rsidRPr="00077D7F">
              <w:rPr>
                <w:rFonts w:eastAsia="Times New Roman" w:cs="Times New Roman"/>
                <w:color w:val="808080"/>
                <w:sz w:val="18"/>
                <w:szCs w:val="18"/>
                <w:lang w:eastAsia="pl-PL"/>
              </w:rPr>
              <w:t>zagospodarowania przestrzennego oraz mieszkalnictwa </w:t>
            </w:r>
          </w:p>
          <w:p w14:paraId="199AEC90" w14:textId="67049A02"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677222BB" w14:textId="36952BC0"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informatyzacji</w:t>
            </w:r>
            <w:r w:rsidR="003E2DE5">
              <w:rPr>
                <w:rFonts w:eastAsia="Times New Roman" w:cs="Times New Roman"/>
                <w:color w:val="808080"/>
                <w:sz w:val="18"/>
                <w:szCs w:val="18"/>
                <w:lang w:eastAsia="pl-PL"/>
              </w:rPr>
              <w:t xml:space="preserve"> </w:t>
            </w:r>
          </w:p>
          <w:p w14:paraId="68747D51" w14:textId="40CA373D"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NFOŚiGW </w:t>
            </w:r>
          </w:p>
          <w:p w14:paraId="57F88249"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r>
    </w:tbl>
    <w:p w14:paraId="06F7BF60" w14:textId="1858029F" w:rsidR="00A31859" w:rsidRPr="00077D7F" w:rsidRDefault="00493812" w:rsidP="00D523F3">
      <w:pPr>
        <w:pStyle w:val="Nagwek6"/>
      </w:pPr>
      <w:bookmarkStart w:id="1286" w:name="_Toc195865963"/>
      <w:bookmarkStart w:id="1287" w:name="_Ref195884727"/>
      <w:bookmarkStart w:id="1288" w:name="_Ref203395424"/>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109</w:t>
      </w:r>
      <w:r>
        <w:fldChar w:fldCharType="end"/>
      </w:r>
      <w:r>
        <w:t xml:space="preserve">. </w:t>
      </w:r>
      <w:r w:rsidR="00A31859" w:rsidRPr="00077D7F">
        <w:t>Program wsparcia mikroprzedsiębiorstw – efektywność energetyczna budynków</w:t>
      </w:r>
      <w:bookmarkEnd w:id="1286"/>
      <w:bookmarkEnd w:id="1287"/>
      <w:bookmarkEnd w:id="1288"/>
      <w:r w:rsidR="003E2DE5">
        <w:t xml:space="preserve"> </w:t>
      </w:r>
    </w:p>
    <w:p w14:paraId="697586D6" w14:textId="353370CA" w:rsidR="00A31859" w:rsidRPr="00077D7F" w:rsidRDefault="00A31859" w:rsidP="009377A1">
      <w:pPr>
        <w:rPr>
          <w:lang w:eastAsia="pl-PL"/>
        </w:rPr>
      </w:pPr>
      <w:r w:rsidRPr="00077D7F">
        <w:rPr>
          <w:lang w:eastAsia="pl-PL"/>
        </w:rPr>
        <w:t>Inwestycja skierowana będzie do mikroprzedsiębiorstw i będzie polegać na wsparciu renowacji budynków w celu zwiększenia ich efektywności energetycznej oraz obniżenia emisyjności ogrzewania i chłodzenia budynków wykorzystywanych do prowadzenia działalności gospodarczej, w tym przez integrację w</w:t>
      </w:r>
      <w:r w:rsidR="009377A1">
        <w:rPr>
          <w:lang w:eastAsia="pl-PL"/>
        </w:rPr>
        <w:t> </w:t>
      </w:r>
      <w:r w:rsidRPr="00077D7F">
        <w:rPr>
          <w:lang w:eastAsia="pl-PL"/>
        </w:rPr>
        <w:t xml:space="preserve">budynkach wytwarzania energii odnawialnej i magazynowanie takiej energii. </w:t>
      </w:r>
    </w:p>
    <w:p w14:paraId="5CC2AC16" w14:textId="0F8E23FA" w:rsidR="00A31859" w:rsidRPr="00077D7F" w:rsidRDefault="00A31859" w:rsidP="009377A1">
      <w:pPr>
        <w:rPr>
          <w:lang w:eastAsia="pl-PL"/>
        </w:rPr>
      </w:pPr>
      <w:r w:rsidRPr="00077D7F">
        <w:rPr>
          <w:lang w:eastAsia="pl-PL"/>
        </w:rPr>
        <w:t>Celem inwestycji jest objęcie wsparciem mikroprzedsiębiorstw znajdujących się w trudniej sytuacji, czyli będzie skierowana do tych, którzy udokumentują ponoszenie znaczących wydatków związanych z</w:t>
      </w:r>
      <w:r w:rsidR="009377A1">
        <w:rPr>
          <w:lang w:eastAsia="pl-PL"/>
        </w:rPr>
        <w:t> </w:t>
      </w:r>
      <w:r w:rsidRPr="00077D7F">
        <w:rPr>
          <w:lang w:eastAsia="pl-PL"/>
        </w:rPr>
        <w:t xml:space="preserve">kosztami paliw kopalnych wykorzystywanych do ogrzania bądź chłodzenia budynków wykorzystywanych do prowadzenia działalności gospodarczej w stosunku do przychodów firmy. </w:t>
      </w:r>
    </w:p>
    <w:p w14:paraId="3350BADC" w14:textId="0946A5AD" w:rsidR="00A31859" w:rsidRPr="00077D7F" w:rsidRDefault="00A31859" w:rsidP="009377A1">
      <w:pPr>
        <w:rPr>
          <w:lang w:eastAsia="pl-PL"/>
        </w:rPr>
      </w:pPr>
      <w:r w:rsidRPr="00077D7F">
        <w:rPr>
          <w:lang w:eastAsia="pl-PL"/>
        </w:rPr>
        <w:t>Wsparcie będzie miało charakter finansowy i będzie stanowiło uzupełnienie środków prywatnych. Inwestycje</w:t>
      </w:r>
      <w:r w:rsidR="00766E87">
        <w:rPr>
          <w:lang w:eastAsia="pl-PL"/>
        </w:rPr>
        <w:t xml:space="preserve"> </w:t>
      </w:r>
      <w:r w:rsidRPr="00077D7F">
        <w:rPr>
          <w:lang w:eastAsia="pl-PL"/>
        </w:rPr>
        <w:t>w środki na rzecz efektywności energetycznej, a także w systemy ogrzewania i chłodzenia oparte na energii odnawialnej, takie jak ogrzewanie za pomocą elektrycznych pomp ciepła, lokalne systemy ciepłownicze i chłodnicze, oraz w udział w społecznościach energetycznych działających w</w:t>
      </w:r>
      <w:r w:rsidR="00523FD5">
        <w:rPr>
          <w:lang w:eastAsia="pl-PL"/>
        </w:rPr>
        <w:t> </w:t>
      </w:r>
      <w:r w:rsidRPr="00077D7F">
        <w:rPr>
          <w:lang w:eastAsia="pl-PL"/>
        </w:rPr>
        <w:t>zakresie energii odnawialnej, są skuteczną metodą zmniejszenia zależności od importu paliw i obniżenia emisji. Konieczne jest zatem specjalne finansowanie w celu wsparcia mikroprzedsiębiorstw znajdujących się w trudnej sytuacji w dążeniu do transformacji energetycznej.</w:t>
      </w:r>
    </w:p>
    <w:p w14:paraId="3B1D4EDB" w14:textId="4A465DAB" w:rsidR="00A31859" w:rsidRPr="00077D7F" w:rsidRDefault="00A31859" w:rsidP="009377A1">
      <w:pPr>
        <w:rPr>
          <w:lang w:eastAsia="pl-PL"/>
        </w:rPr>
      </w:pPr>
      <w:bookmarkStart w:id="1289" w:name="_Ref195885207"/>
      <w:r w:rsidRPr="00077D7F">
        <w:rPr>
          <w:lang w:eastAsia="pl-PL"/>
        </w:rPr>
        <w:t>Inwestycja podniesie trwale odporność mikroprzedsiębiorstw na wzrost kosztów paliw kopalnych i</w:t>
      </w:r>
      <w:r w:rsidR="003E2DE5" w:rsidRPr="00077D7F">
        <w:rPr>
          <w:lang w:eastAsia="pl-PL"/>
        </w:rPr>
        <w:t xml:space="preserve"> </w:t>
      </w:r>
      <w:r w:rsidRPr="00077D7F">
        <w:rPr>
          <w:lang w:eastAsia="pl-PL"/>
        </w:rPr>
        <w:t>ułatwi im funkcjonowanie, rozwój i wzrost konkurencyjności na rynku. Będzie to miało duży wpływ z uwagi na</w:t>
      </w:r>
      <w:r w:rsidR="000315E9">
        <w:rPr>
          <w:lang w:eastAsia="pl-PL"/>
        </w:rPr>
        <w:t> </w:t>
      </w:r>
      <w:r w:rsidRPr="00077D7F">
        <w:rPr>
          <w:lang w:eastAsia="pl-PL"/>
        </w:rPr>
        <w:t>strategiczne znaczenie mikroprzedsiębiorstw dla polskiej gospodarki.</w:t>
      </w:r>
      <w:bookmarkEnd w:id="1289"/>
      <w:r w:rsidRPr="00077D7F">
        <w:rPr>
          <w:lang w:eastAsia="pl-PL"/>
        </w:rPr>
        <w:t xml:space="preserve"> </w:t>
      </w:r>
    </w:p>
    <w:p w14:paraId="6E670597" w14:textId="1951C59C" w:rsidR="00A31859" w:rsidRDefault="00A31859" w:rsidP="009377A1">
      <w:pPr>
        <w:rPr>
          <w:lang w:eastAsia="pl-PL"/>
        </w:rPr>
      </w:pPr>
      <w:r w:rsidRPr="00077D7F">
        <w:rPr>
          <w:lang w:eastAsia="pl-PL"/>
        </w:rPr>
        <w:t>Inwestycja będzie realizowana na poziomie centralnym we współpracy z Bankiem Gospodarstwa Krajowego jako operatorem programu obsługującym proces naboru wniosków, przyznawania i wypłaty wsparcia.</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091"/>
        <w:gridCol w:w="3870"/>
        <w:gridCol w:w="3960"/>
      </w:tblGrid>
      <w:tr w:rsidR="003B6773" w:rsidRPr="00077D7F" w14:paraId="737878E1" w14:textId="77777777" w:rsidTr="00493812">
        <w:trPr>
          <w:trHeight w:val="300"/>
        </w:trPr>
        <w:tc>
          <w:tcPr>
            <w:tcW w:w="1079" w:type="dxa"/>
            <w:vMerge w:val="restart"/>
            <w:tcBorders>
              <w:top w:val="dashed" w:sz="12" w:space="0" w:color="FFFFFF"/>
              <w:left w:val="dashed" w:sz="12" w:space="0" w:color="FFFFFF"/>
              <w:bottom w:val="dashed" w:sz="12" w:space="0" w:color="FFFFFF"/>
              <w:right w:val="dashed" w:sz="12" w:space="0" w:color="FFFFFF"/>
            </w:tcBorders>
            <w:hideMark/>
          </w:tcPr>
          <w:p w14:paraId="014E707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28ABC63D" wp14:editId="60E0CB07">
                  <wp:extent cx="617220" cy="617220"/>
                  <wp:effectExtent l="0" t="0" r="0" b="0"/>
                  <wp:docPr id="249405425" name="Obraz 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93E1DF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F113DB1"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070FF2D2" w14:textId="77777777" w:rsidTr="009377A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FC237D0"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8E40BF2" w14:textId="5AB4649A" w:rsidR="00A31859" w:rsidRPr="00BB6076" w:rsidRDefault="00A31859">
            <w:pPr>
              <w:spacing w:after="0" w:line="240" w:lineRule="auto"/>
              <w:jc w:val="left"/>
              <w:textAlignment w:val="baseline"/>
              <w:rPr>
                <w:rFonts w:eastAsia="Times New Roman" w:cs="Times New Roman"/>
                <w:sz w:val="24"/>
                <w:szCs w:val="24"/>
                <w:lang w:eastAsia="pl-PL"/>
              </w:rPr>
            </w:pPr>
            <w:r w:rsidRPr="00BB6076">
              <w:rPr>
                <w:rFonts w:eastAsia="Times New Roman" w:cs="Times New Roman"/>
                <w:color w:val="808080"/>
                <w:sz w:val="18"/>
                <w:szCs w:val="18"/>
                <w:lang w:eastAsia="pl-PL"/>
              </w:rPr>
              <w:t>minister wł. ds. budownictwa, planowania i zagospodarowania przestrzennego oraz mieszkalnictwa</w:t>
            </w:r>
            <w:r w:rsidR="003E2DE5" w:rsidRPr="00BB6076">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FAAED40" w14:textId="77777777" w:rsidR="00A31859" w:rsidRPr="00BB6076" w:rsidRDefault="00A31859">
            <w:pPr>
              <w:spacing w:after="0" w:line="240" w:lineRule="auto"/>
              <w:textAlignment w:val="baseline"/>
              <w:rPr>
                <w:rFonts w:eastAsia="Times New Roman" w:cs="Times New Roman"/>
                <w:sz w:val="24"/>
                <w:szCs w:val="24"/>
                <w:lang w:eastAsia="pl-PL"/>
              </w:rPr>
            </w:pPr>
            <w:r w:rsidRPr="00077D7F">
              <w:rPr>
                <w:rFonts w:eastAsia="Times New Roman" w:cs="Times New Roman"/>
                <w:color w:val="808080"/>
                <w:sz w:val="18"/>
                <w:szCs w:val="18"/>
                <w:lang w:eastAsia="pl-PL"/>
              </w:rPr>
              <w:t>m</w:t>
            </w:r>
            <w:r w:rsidRPr="00BB6076">
              <w:rPr>
                <w:rFonts w:eastAsia="Times New Roman" w:cs="Times New Roman"/>
                <w:color w:val="808080"/>
                <w:sz w:val="18"/>
                <w:szCs w:val="18"/>
                <w:lang w:eastAsia="pl-PL"/>
              </w:rPr>
              <w:t>inister wł. ds. energii </w:t>
            </w:r>
          </w:p>
          <w:p w14:paraId="4B5C7BC7" w14:textId="5584533E" w:rsidR="00A31859" w:rsidRPr="00BB6076" w:rsidRDefault="00A31859">
            <w:pPr>
              <w:spacing w:after="0" w:line="240" w:lineRule="auto"/>
              <w:textAlignment w:val="baseline"/>
              <w:rPr>
                <w:rFonts w:eastAsia="Times New Roman" w:cs="Times New Roman"/>
                <w:sz w:val="24"/>
                <w:szCs w:val="24"/>
                <w:lang w:eastAsia="pl-PL"/>
              </w:rPr>
            </w:pPr>
            <w:r w:rsidRPr="00BB6076">
              <w:rPr>
                <w:rFonts w:eastAsia="Times New Roman" w:cs="Times New Roman"/>
                <w:color w:val="808080"/>
                <w:sz w:val="18"/>
                <w:szCs w:val="18"/>
                <w:lang w:eastAsia="pl-PL"/>
              </w:rPr>
              <w:t>minister ds. finansów publicznych</w:t>
            </w:r>
            <w:r w:rsidR="003E2DE5" w:rsidRPr="00BB6076">
              <w:rPr>
                <w:rFonts w:eastAsia="Times New Roman" w:cs="Times New Roman"/>
                <w:color w:val="808080"/>
                <w:sz w:val="18"/>
                <w:szCs w:val="18"/>
                <w:lang w:eastAsia="pl-PL"/>
              </w:rPr>
              <w:t xml:space="preserve"> </w:t>
            </w:r>
          </w:p>
          <w:p w14:paraId="36055EBB" w14:textId="7F4AF936" w:rsidR="00A31859" w:rsidRPr="00BB6076" w:rsidRDefault="00A31859">
            <w:pPr>
              <w:spacing w:after="0" w:line="240" w:lineRule="auto"/>
              <w:textAlignment w:val="baseline"/>
              <w:rPr>
                <w:rFonts w:eastAsia="Times New Roman" w:cs="Times New Roman"/>
                <w:sz w:val="24"/>
                <w:szCs w:val="24"/>
                <w:lang w:eastAsia="pl-PL"/>
              </w:rPr>
            </w:pPr>
            <w:bookmarkStart w:id="1290" w:name="_Ref195885296"/>
            <w:r w:rsidRPr="00BB6076">
              <w:rPr>
                <w:rFonts w:eastAsia="Times New Roman" w:cs="Times New Roman"/>
                <w:color w:val="808080"/>
                <w:sz w:val="18"/>
                <w:szCs w:val="18"/>
                <w:lang w:eastAsia="pl-PL"/>
              </w:rPr>
              <w:t>Bank Gospodarstwa Krajowego</w:t>
            </w:r>
            <w:bookmarkEnd w:id="1290"/>
            <w:r w:rsidR="003E2DE5" w:rsidRPr="00BB6076">
              <w:rPr>
                <w:rFonts w:eastAsia="Times New Roman" w:cs="Times New Roman"/>
                <w:color w:val="808080"/>
                <w:sz w:val="18"/>
                <w:szCs w:val="18"/>
                <w:lang w:eastAsia="pl-PL"/>
              </w:rPr>
              <w:t xml:space="preserve"> </w:t>
            </w:r>
          </w:p>
        </w:tc>
      </w:tr>
    </w:tbl>
    <w:p w14:paraId="45C6C52B" w14:textId="4605D361" w:rsidR="00A31859" w:rsidRPr="00077D7F" w:rsidRDefault="00493812" w:rsidP="00485729">
      <w:pPr>
        <w:pStyle w:val="Nagwek6"/>
        <w:rPr>
          <w:rFonts w:eastAsia="Times New Roman" w:cs="Times New Roman"/>
          <w:color w:val="000000"/>
          <w:lang w:eastAsia="pl-PL"/>
        </w:rPr>
      </w:pPr>
      <w:bookmarkStart w:id="1291" w:name="_Toc195865964"/>
      <w:bookmarkStart w:id="1292" w:name="_Ref195884732"/>
      <w:bookmarkStart w:id="1293" w:name="_Ref195885303"/>
      <w:bookmarkStart w:id="1294" w:name="_Ref203397711"/>
      <w:bookmarkStart w:id="1295" w:name="_Ref203397712"/>
      <w:r>
        <w:lastRenderedPageBreak/>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110</w:t>
      </w:r>
      <w:r>
        <w:fldChar w:fldCharType="end"/>
      </w:r>
      <w:r>
        <w:t xml:space="preserve">. </w:t>
      </w:r>
      <w:r w:rsidR="00A31859" w:rsidRPr="00077D7F">
        <w:rPr>
          <w:rFonts w:eastAsia="Times New Roman" w:cs="Times New Roman"/>
          <w:color w:val="000000"/>
          <w:lang w:eastAsia="pl-PL"/>
        </w:rPr>
        <w:t>Efektywny energetycznie sektor publiczny</w:t>
      </w:r>
      <w:bookmarkEnd w:id="1291"/>
      <w:bookmarkEnd w:id="1292"/>
      <w:bookmarkEnd w:id="1293"/>
      <w:bookmarkEnd w:id="1294"/>
      <w:bookmarkEnd w:id="1295"/>
      <w:r w:rsidR="00A31859" w:rsidRPr="00077D7F">
        <w:rPr>
          <w:rFonts w:eastAsia="Times New Roman" w:cs="Times New Roman"/>
          <w:color w:val="000000"/>
          <w:lang w:eastAsia="pl-PL"/>
        </w:rPr>
        <w:t> </w:t>
      </w:r>
    </w:p>
    <w:p w14:paraId="7586D6FD" w14:textId="5DE29DA2" w:rsidR="00A31859" w:rsidRPr="00077D7F" w:rsidRDefault="00A31859" w:rsidP="006441CB">
      <w:pPr>
        <w:rPr>
          <w:rFonts w:ascii="Times New Roman" w:eastAsia="Times New Roman" w:hAnsi="Times New Roman" w:cs="Times New Roman"/>
          <w:sz w:val="24"/>
          <w:szCs w:val="24"/>
          <w:lang w:eastAsia="pl-PL"/>
        </w:rPr>
      </w:pPr>
      <w:r w:rsidRPr="00077D7F">
        <w:rPr>
          <w:rFonts w:eastAsia="Times New Roman" w:cs="Times New Roman"/>
          <w:lang w:eastAsia="pl-PL"/>
        </w:rPr>
        <w:t>Działanie polega na upowszechnianiu dobrych praktyk z zakresu efektywności energetycznej, zmniejszeniu emisji zanieczyszczeń do atmosfery poprzez realizację inwestycji polegających na</w:t>
      </w:r>
      <w:r w:rsidR="000315E9">
        <w:rPr>
          <w:rFonts w:eastAsia="Times New Roman" w:cs="Times New Roman"/>
          <w:lang w:eastAsia="pl-PL"/>
        </w:rPr>
        <w:t> </w:t>
      </w:r>
      <w:r w:rsidRPr="00077D7F">
        <w:rPr>
          <w:rFonts w:eastAsia="Times New Roman" w:cs="Times New Roman"/>
          <w:lang w:eastAsia="pl-PL"/>
        </w:rPr>
        <w:t>kompleksowej termomodernizacji budynków w sposób wzorcowy prowadzącej do racjonalizacji zużycia energii oraz poprawie efektywności energetycznej budynków użyteczności publicznej. Celem</w:t>
      </w:r>
      <w:r w:rsidR="007838B6">
        <w:rPr>
          <w:rFonts w:eastAsia="Times New Roman" w:cs="Times New Roman"/>
          <w:lang w:eastAsia="pl-PL"/>
        </w:rPr>
        <w:t> </w:t>
      </w:r>
      <w:r w:rsidRPr="00077D7F">
        <w:rPr>
          <w:rFonts w:eastAsia="Times New Roman" w:cs="Times New Roman"/>
          <w:lang w:eastAsia="pl-PL"/>
        </w:rPr>
        <w:t>działania jest uzyskanie</w:t>
      </w:r>
      <w:r w:rsidRPr="00077D7F" w:rsidDel="00CB26C7">
        <w:rPr>
          <w:rFonts w:eastAsia="Times New Roman" w:cs="Times New Roman"/>
          <w:lang w:eastAsia="pl-PL"/>
        </w:rPr>
        <w:t xml:space="preserve"> </w:t>
      </w:r>
      <w:r w:rsidRPr="00077D7F">
        <w:rPr>
          <w:rFonts w:eastAsia="Times New Roman" w:cs="Times New Roman"/>
          <w:lang w:eastAsia="pl-PL"/>
        </w:rPr>
        <w:t>modernizacji minimum 3% rocznie całkowitej powierzchni budynków o</w:t>
      </w:r>
      <w:r w:rsidR="007838B6">
        <w:t> </w:t>
      </w:r>
      <w:r w:rsidRPr="00077D7F">
        <w:rPr>
          <w:rFonts w:eastAsia="Times New Roman" w:cs="Times New Roman"/>
          <w:lang w:eastAsia="pl-PL"/>
        </w:rPr>
        <w:t>regulowanej temperaturze, ogrzewanych lub chłodzonych, które są własnością instytucji publicznych. Jednoczeniem celem działania jest takie prowadzenie procesów modernizacyjnych, aby modernizowane budynki użyteczności publicznej stawały się zasobem dobrych praktyk i wzorców dla całego procesu modernizacyjnego. W tym kontekście należy przygotować szczegółowe wytyczne w zakresie modernizacji budynków użyteczności publicznej, z dążeniem do następujących priorytetów:</w:t>
      </w:r>
      <w:r w:rsidR="003E2DE5">
        <w:rPr>
          <w:rFonts w:eastAsia="Times New Roman" w:cs="Times New Roman"/>
          <w:lang w:eastAsia="pl-PL"/>
        </w:rPr>
        <w:t xml:space="preserve"> </w:t>
      </w:r>
    </w:p>
    <w:p w14:paraId="50F295FB"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Uzyskanie jak najwyższej efektywności energetycznej oraz najwyższej możliwej klasy energetycznej budynków po modernizacji poprzez stosowanie wysokiej jakości systemów docieplenia, stolarki okiennej i drzwiowej, mechanicznych systemów wentylacyjnych, systemów zarządzania energią oraz instalacji OZE. </w:t>
      </w:r>
    </w:p>
    <w:p w14:paraId="05709195"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Elektryfikacja systemów grzewczych poprzez stosowanie pomp ciepła oraz magazynów ciepła, zastępujących tradycyjne paliwa, co zwiększy efektywność energetyczną i zmniejszy emisję zanieczyszczeń. </w:t>
      </w:r>
    </w:p>
    <w:p w14:paraId="4A8DBAF9"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Uzyskanie możliwie najwyższej jakości powietrza wewnętrznego dzięki zastosowaniu mechanicznej wentylacji z odzyskiem ciepła i wilgoci. </w:t>
      </w:r>
    </w:p>
    <w:p w14:paraId="3A4AC4FD"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Zapewnienie możliwie wysokiego poziomu autokonsumpcji energii poprzez wykorzystanie instalacji fotowoltaicznych (PV) oraz magazynów energii. </w:t>
      </w:r>
    </w:p>
    <w:p w14:paraId="6173F247"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Niedopuszczenie, na ile to możliwe, do zwiększenia wymaganej mocy przyłącza na potrzeby grzewcze i chłodnicze (przy zastosowaniu pomp ciepła oraz kotłów elektrodowych) dzięki odpowiednim magazynom ciepła oraz ograniczeniu godzin pracy pomp. </w:t>
      </w:r>
    </w:p>
    <w:p w14:paraId="38227BDD"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Wdrożenie systemów oszczędzania wody oraz odzyskiwania wody (w tym wykorzystanie deszczówki) i stosowanie zamkniętych obiegów wodnych. </w:t>
      </w:r>
    </w:p>
    <w:p w14:paraId="1DF6A09C"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Odzyskiwanie energii z wody i powietrza. </w:t>
      </w:r>
    </w:p>
    <w:p w14:paraId="197C338D" w14:textId="59C63EAB"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Utrzymanie odpowiedniej wilgotności powietrza wewnętrznego dzięki odzyskowi wilgoci w</w:t>
      </w:r>
      <w:r w:rsidR="007838B6">
        <w:rPr>
          <w:rFonts w:eastAsia="Times New Roman" w:cs="Times New Roman"/>
          <w:lang w:eastAsia="pl-PL"/>
        </w:rPr>
        <w:t> </w:t>
      </w:r>
      <w:r w:rsidRPr="00077D7F">
        <w:rPr>
          <w:rFonts w:eastAsia="Times New Roman" w:cs="Times New Roman"/>
          <w:lang w:eastAsia="pl-PL"/>
        </w:rPr>
        <w:t>systemach wentylacyjnych. </w:t>
      </w:r>
    </w:p>
    <w:p w14:paraId="4CD26883" w14:textId="77777777" w:rsidR="00A31859" w:rsidRPr="00077D7F" w:rsidRDefault="00A31859" w:rsidP="000625AC">
      <w:pPr>
        <w:pStyle w:val="Akapitzlist"/>
        <w:numPr>
          <w:ilvl w:val="0"/>
          <w:numId w:val="112"/>
        </w:numPr>
        <w:rPr>
          <w:rFonts w:eastAsia="Times New Roman" w:cs="Times New Roman"/>
          <w:lang w:eastAsia="pl-PL"/>
        </w:rPr>
      </w:pPr>
      <w:r w:rsidRPr="00077D7F">
        <w:rPr>
          <w:rFonts w:eastAsia="Times New Roman" w:cs="Times New Roman"/>
          <w:lang w:eastAsia="pl-PL"/>
        </w:rPr>
        <w:t>Zastosowanie automatyki budynkowej do kompleksowego zarządzania i optymalizacji pracy budynku.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00460CF0" w14:textId="77777777" w:rsidTr="00493812">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3F003D96"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2AD9C694" wp14:editId="7FA3D8FA">
                  <wp:extent cx="622300" cy="622300"/>
                  <wp:effectExtent l="0" t="0" r="6350" b="6350"/>
                  <wp:docPr id="48" name="Obraz 1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7476EB9"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A6F70C5"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7FF629F3" w14:textId="77777777" w:rsidTr="00523FD5">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A6AFEB9"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5BAC724" w14:textId="25C9E7D9"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w:t>
            </w:r>
            <w:r w:rsidR="003E2DE5">
              <w:rPr>
                <w:rFonts w:eastAsia="Times New Roman" w:cs="Times New Roman"/>
                <w:color w:val="808080"/>
                <w:sz w:val="18"/>
                <w:szCs w:val="18"/>
                <w:lang w:eastAsia="pl-PL"/>
              </w:rPr>
              <w:t xml:space="preserve"> </w:t>
            </w:r>
          </w:p>
          <w:p w14:paraId="3976804F"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22526A2"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p w14:paraId="3647C8E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p w14:paraId="7AF40F26" w14:textId="4DD03D3C" w:rsidR="00A31859" w:rsidRPr="00077D7F" w:rsidRDefault="003E2DE5">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 xml:space="preserve"> </w:t>
            </w:r>
          </w:p>
        </w:tc>
      </w:tr>
    </w:tbl>
    <w:p w14:paraId="21B446F1" w14:textId="7C9450B7" w:rsidR="00A31859" w:rsidRPr="00351096" w:rsidRDefault="00493812" w:rsidP="00D523F3">
      <w:pPr>
        <w:pStyle w:val="Nagwek6"/>
        <w:rPr>
          <w:lang w:eastAsia="pl-PL"/>
        </w:rPr>
      </w:pPr>
      <w:bookmarkStart w:id="1296" w:name="_Toc195865965"/>
      <w:bookmarkStart w:id="1297" w:name="_Ref195884736"/>
      <w:bookmarkStart w:id="1298" w:name="_Ref195885221"/>
      <w:bookmarkStart w:id="1299" w:name="_Ref203397813"/>
      <w:bookmarkStart w:id="1300" w:name="_Ref203398846"/>
      <w:r>
        <w:t xml:space="preserve">Działanie </w:t>
      </w:r>
      <w:r>
        <w:fldChar w:fldCharType="begin"/>
      </w:r>
      <w:r w:rsidRPr="00351096">
        <w:rPr>
          <w:rStyle w:val="Nagwek6Znak"/>
          <w:b/>
        </w:rPr>
        <w:instrText xml:space="preserve"> SEQ Działanie \* ARABIC </w:instrText>
      </w:r>
      <w:r>
        <w:fldChar w:fldCharType="separate"/>
      </w:r>
      <w:r w:rsidR="00871DD5">
        <w:rPr>
          <w:rStyle w:val="Nagwek6Znak"/>
          <w:b/>
          <w:noProof/>
        </w:rPr>
        <w:t>111</w:t>
      </w:r>
      <w:r>
        <w:fldChar w:fldCharType="end"/>
      </w:r>
      <w:r>
        <w:t xml:space="preserve">. </w:t>
      </w:r>
      <w:r w:rsidR="00A31859" w:rsidRPr="00351096">
        <w:rPr>
          <w:lang w:eastAsia="pl-PL"/>
        </w:rPr>
        <w:t>Wprowadzenie modelu oceny ofert w przetargach na budowę budynków użyteczności publicznych w oparciu o całkowity koszt cyklu życia (</w:t>
      </w:r>
      <w:r w:rsidR="00523FD5">
        <w:rPr>
          <w:lang w:eastAsia="pl-PL"/>
        </w:rPr>
        <w:t>LCC</w:t>
      </w:r>
      <w:r w:rsidR="00A31859" w:rsidRPr="00351096">
        <w:rPr>
          <w:lang w:eastAsia="pl-PL"/>
        </w:rPr>
        <w:t>)</w:t>
      </w:r>
      <w:bookmarkEnd w:id="1296"/>
      <w:bookmarkEnd w:id="1297"/>
      <w:bookmarkEnd w:id="1298"/>
      <w:bookmarkEnd w:id="1299"/>
      <w:bookmarkEnd w:id="1300"/>
      <w:r w:rsidR="00A31859" w:rsidRPr="00351096">
        <w:rPr>
          <w:lang w:eastAsia="pl-PL"/>
        </w:rPr>
        <w:t> </w:t>
      </w:r>
    </w:p>
    <w:p w14:paraId="1C12422D" w14:textId="734ED4F1" w:rsidR="00A31859" w:rsidRPr="00077D7F" w:rsidRDefault="00A31859" w:rsidP="006441CB">
      <w:pPr>
        <w:rPr>
          <w:rFonts w:eastAsia="Times New Roman" w:cs="Times New Roman"/>
          <w:lang w:eastAsia="pl-PL"/>
        </w:rPr>
      </w:pPr>
      <w:r w:rsidRPr="00077D7F">
        <w:rPr>
          <w:rFonts w:eastAsia="Times New Roman" w:cs="Times New Roman"/>
          <w:lang w:eastAsia="pl-PL"/>
        </w:rPr>
        <w:t>Należy promować technologie obniżające koszty długoterminowe, takie jak rozwiązania energooszczędne, odnawialne źródła energii oraz trwałe materiały o niskich kosztach eksploatacyjnych. W zamówieniach publicznych na budowę i modernizację budynków użyteczności publicznej, takich jak szkoły, przedszkola, urzędy czy szpitale, rekomenduje się stosowanie przy ocenie ofert kryterium kosztu pozwalającego na zastosowanie rachunku kosztów cyklu życia budynków (LCC</w:t>
      </w:r>
      <w:r w:rsidR="00523FD5">
        <w:rPr>
          <w:rFonts w:eastAsia="Times New Roman" w:cs="Times New Roman"/>
          <w:lang w:eastAsia="pl-PL"/>
        </w:rPr>
        <w:t xml:space="preserve">, ang. </w:t>
      </w:r>
      <w:r w:rsidR="00523FD5" w:rsidRPr="00523FD5">
        <w:rPr>
          <w:rFonts w:eastAsia="Times New Roman" w:cs="Times New Roman"/>
          <w:i/>
          <w:iCs/>
          <w:lang w:eastAsia="pl-PL"/>
        </w:rPr>
        <w:t>Life Cost Cycle</w:t>
      </w:r>
      <w:r w:rsidRPr="00077D7F">
        <w:rPr>
          <w:rFonts w:eastAsia="Times New Roman" w:cs="Times New Roman"/>
          <w:lang w:eastAsia="pl-PL"/>
        </w:rPr>
        <w:t xml:space="preserve">) zgodnie z </w:t>
      </w:r>
      <w:r w:rsidR="007945C0">
        <w:rPr>
          <w:rFonts w:eastAsia="Times New Roman" w:cs="Times New Roman"/>
          <w:lang w:eastAsia="pl-PL"/>
        </w:rPr>
        <w:t>r</w:t>
      </w:r>
      <w:r w:rsidRPr="00077D7F">
        <w:rPr>
          <w:rFonts w:eastAsia="Times New Roman" w:cs="Times New Roman"/>
          <w:lang w:eastAsia="pl-PL"/>
        </w:rPr>
        <w:t>ozporządzeniem</w:t>
      </w:r>
      <w:r w:rsidRPr="00077D7F" w:rsidDel="00523FD5">
        <w:rPr>
          <w:rFonts w:eastAsia="Times New Roman" w:cs="Times New Roman"/>
          <w:lang w:eastAsia="pl-PL"/>
        </w:rPr>
        <w:t xml:space="preserve"> </w:t>
      </w:r>
      <w:r w:rsidRPr="00077D7F">
        <w:rPr>
          <w:rFonts w:eastAsia="Times New Roman" w:cs="Times New Roman"/>
          <w:lang w:eastAsia="pl-PL"/>
        </w:rPr>
        <w:t>Ministra Rozwoju i Technologii z dnia 23 listopada 2021 r. w sprawie metody kalkulacji kosztów cyklu życia budynków oraz sposobu przedstawiania informacji o tych kosztach.</w:t>
      </w:r>
    </w:p>
    <w:p w14:paraId="03817BCA" w14:textId="255F18C3" w:rsidR="00A31859" w:rsidRPr="00077D7F" w:rsidRDefault="00A31859" w:rsidP="006441CB">
      <w:pPr>
        <w:rPr>
          <w:rFonts w:ascii="Calibri" w:eastAsia="Times New Roman" w:hAnsi="Calibri" w:cs="Calibri"/>
          <w:sz w:val="22"/>
          <w:lang w:eastAsia="pl-PL"/>
        </w:rPr>
      </w:pPr>
      <w:r w:rsidRPr="00077D7F">
        <w:rPr>
          <w:rFonts w:eastAsia="Times New Roman" w:cs="Times New Roman"/>
          <w:lang w:eastAsia="pl-PL"/>
        </w:rPr>
        <w:t xml:space="preserve">W celu zachęcenia samorządów do stosowania metody LCC w zamówieniach publicznych Urząd Zamówień Publicznych w ramach swojej działalności informacyjno-szkoleniowej będzie promować materiał pn. „Stosowanie kryterium kosztu opartego na LCC z zastosowaniem metody kalkulacji kosztów </w:t>
      </w:r>
      <w:r w:rsidRPr="00077D7F">
        <w:rPr>
          <w:rFonts w:eastAsia="Times New Roman" w:cs="Times New Roman"/>
          <w:lang w:eastAsia="pl-PL"/>
        </w:rPr>
        <w:lastRenderedPageBreak/>
        <w:t>cyklu życia dla budynków w oparciu o przepisy Ministra Rozwoju i Technologii z dnia 23 listopada 2021 r. w sprawie metody kalkulacji kosztów cyklu życia budynków oraz sposobu przedstawiania informacji o</w:t>
      </w:r>
      <w:r w:rsidR="007838B6">
        <w:rPr>
          <w:rFonts w:eastAsia="Times New Roman" w:cs="Times New Roman"/>
          <w:lang w:eastAsia="pl-PL"/>
        </w:rPr>
        <w:t> </w:t>
      </w:r>
      <w:r w:rsidRPr="00077D7F">
        <w:rPr>
          <w:rFonts w:eastAsia="Times New Roman" w:cs="Times New Roman"/>
          <w:lang w:eastAsia="pl-PL"/>
        </w:rPr>
        <w:t xml:space="preserve">tych kosztach” udostępniony na stronie UZP pod linkiem: </w:t>
      </w:r>
      <w:hyperlink r:id="rId108" w:history="1">
        <w:r w:rsidRPr="00077D7F">
          <w:rPr>
            <w:rFonts w:ascii="Calibri" w:eastAsia="Times New Roman" w:hAnsi="Calibri" w:cs="Calibri"/>
            <w:color w:val="467886"/>
            <w:sz w:val="22"/>
            <w:u w:val="single"/>
            <w:lang w:eastAsia="pl-PL"/>
          </w:rPr>
          <w:t>Publikacje z obszaru ZZP - Urząd Zamówień Publicznych - Portal Gov.pl</w:t>
        </w:r>
      </w:hyperlink>
      <w:r w:rsidRPr="00077D7F">
        <w:rPr>
          <w:rFonts w:ascii="Calibri" w:eastAsia="Times New Roman" w:hAnsi="Calibri" w:cs="Calibri"/>
          <w:sz w:val="22"/>
          <w:lang w:eastAsia="pl-PL"/>
        </w:rPr>
        <w:t>.</w:t>
      </w:r>
    </w:p>
    <w:p w14:paraId="197693C8" w14:textId="77777777" w:rsidR="00A31859" w:rsidRPr="00077D7F" w:rsidRDefault="00A31859" w:rsidP="00523FD5">
      <w:pPr>
        <w:rPr>
          <w:lang w:eastAsia="pl-PL"/>
        </w:rPr>
      </w:pPr>
      <w:r w:rsidRPr="00077D7F">
        <w:rPr>
          <w:lang w:eastAsia="pl-PL"/>
        </w:rPr>
        <w:t>Tego typu podejście – najniższa cena liczona w szczególności jako koszt budowy i użytkowania – stanowi gwarancję uzyskania odpowiedniej jakości budynku, jego wysokiej efektywności energetycznej oraz zastosowania efektywnych systemów grzewczych i technicznych. Takie podejście zapewni racjonalne gospodarowanie zasobami, zwiększy trwałość budynków oraz zagwarantuje komfort ich użytkowania przy jednoczesnym ograniczeniu wydatków na energię i utrzymanie. Co więcej, budynki te staną się wzorem dla innych inwestycji, wyznaczając nowy standard jakości, efektywności i długoterminowej opłacalności w sektorze budownictwa.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40DE464A" w14:textId="77777777" w:rsidTr="00493812">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7510174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4BC7FE62" wp14:editId="5276D057">
                  <wp:extent cx="622300" cy="622300"/>
                  <wp:effectExtent l="0" t="0" r="6350" b="6350"/>
                  <wp:docPr id="110" name="Obraz 3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558E9EA"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F126CA2"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55EDA6DF" w14:textId="77777777" w:rsidTr="00523FD5">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A3B4AA5"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FAB538A" w14:textId="77777777"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AB0A66E" w14:textId="302E480C"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r w:rsidR="00105050" w:rsidRPr="00077D7F">
              <w:rPr>
                <w:rFonts w:eastAsia="Times New Roman" w:cs="Times New Roman"/>
                <w:color w:val="808080"/>
                <w:sz w:val="18"/>
                <w:szCs w:val="18"/>
                <w:lang w:eastAsia="pl-PL"/>
              </w:rPr>
              <w:t>minister wł. ds.</w:t>
            </w:r>
            <w:r w:rsidR="00105050">
              <w:rPr>
                <w:rFonts w:eastAsia="Times New Roman" w:cs="Times New Roman"/>
                <w:color w:val="808080"/>
                <w:sz w:val="18"/>
                <w:szCs w:val="18"/>
                <w:lang w:eastAsia="pl-PL"/>
              </w:rPr>
              <w:t xml:space="preserve"> </w:t>
            </w:r>
            <w:r w:rsidR="00E61869">
              <w:rPr>
                <w:rFonts w:eastAsia="Times New Roman" w:cs="Times New Roman"/>
                <w:color w:val="808080"/>
                <w:sz w:val="18"/>
                <w:szCs w:val="18"/>
                <w:lang w:eastAsia="pl-PL"/>
              </w:rPr>
              <w:t>energii</w:t>
            </w:r>
          </w:p>
        </w:tc>
      </w:tr>
    </w:tbl>
    <w:p w14:paraId="1F92775A" w14:textId="31806321" w:rsidR="00A31859" w:rsidRPr="00077D7F" w:rsidRDefault="00493812" w:rsidP="00D523F3">
      <w:pPr>
        <w:pStyle w:val="Nagwek6"/>
        <w:rPr>
          <w:lang w:eastAsia="pl-PL"/>
        </w:rPr>
      </w:pPr>
      <w:bookmarkStart w:id="1301" w:name="_Toc195865966"/>
      <w:bookmarkStart w:id="1302" w:name="_Ref195885094"/>
      <w:bookmarkStart w:id="1303" w:name="_Ref195885226"/>
      <w:bookmarkStart w:id="1304" w:name="_Ref203397696"/>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112</w:t>
      </w:r>
      <w:r>
        <w:fldChar w:fldCharType="end"/>
      </w:r>
      <w:r>
        <w:t xml:space="preserve">. </w:t>
      </w:r>
      <w:r w:rsidR="00A31859" w:rsidRPr="00077D7F">
        <w:rPr>
          <w:lang w:eastAsia="pl-PL"/>
        </w:rPr>
        <w:t>Wdrażanie nowych standardów energetycznych stawianych nowym budynkom oraz budynkom podlegającym ważniejszym renowacjom</w:t>
      </w:r>
      <w:bookmarkEnd w:id="1301"/>
      <w:bookmarkEnd w:id="1302"/>
      <w:bookmarkEnd w:id="1303"/>
      <w:bookmarkEnd w:id="1304"/>
      <w:r w:rsidR="00A31859" w:rsidRPr="00077D7F">
        <w:rPr>
          <w:lang w:eastAsia="pl-PL"/>
        </w:rPr>
        <w:t> </w:t>
      </w:r>
    </w:p>
    <w:p w14:paraId="50F96EEB" w14:textId="4C45C73B" w:rsidR="00A31859" w:rsidRPr="00077D7F" w:rsidRDefault="00A31859" w:rsidP="00523FD5">
      <w:pPr>
        <w:rPr>
          <w:rFonts w:ascii="Times New Roman" w:hAnsi="Times New Roman"/>
          <w:sz w:val="24"/>
          <w:szCs w:val="24"/>
          <w:lang w:eastAsia="pl-PL"/>
        </w:rPr>
      </w:pPr>
      <w:bookmarkStart w:id="1305" w:name="_Ref203398306"/>
      <w:r w:rsidRPr="00077D7F">
        <w:rPr>
          <w:lang w:eastAsia="pl-PL"/>
        </w:rPr>
        <w:t xml:space="preserve">Działanie obejmuje ustalenie minimalnych wymagań dotyczących charakterystyki energetycznej nowych budynków oraz budynków podlegających ważniejszym renowacjom zgodnie z dyrektywą </w:t>
      </w:r>
      <w:r w:rsidR="00BD56E0">
        <w:rPr>
          <w:lang w:eastAsia="pl-PL"/>
        </w:rPr>
        <w:t xml:space="preserve">UE </w:t>
      </w:r>
      <w:r w:rsidRPr="00077D7F">
        <w:rPr>
          <w:lang w:eastAsia="pl-PL"/>
        </w:rPr>
        <w:t>2024/1275 w sprawie charakterystyki energetycznej budynków oraz postępem w budownictwie w sposób zapewniający osiągnięcie optymalnej pod względem kosztów równowagi między wymaganymi nakładami i kosztami energii zaoszczędzonymi podczas cyklu życia budynku. Proces ustalania minimalnych wymagań dotyczących charakterystyki energetycznej powinien również uwzględniać optymalizowanie budynków pod kątem wykorzystania ich potencjału w zakresie wykorzystania energii słonecznej oraz wprowadzenie standardów bezemisyjności. Ustalanie minimalnych wymagań powinno bazować na energii pierwotnej liczonej w całości, energii końcowej i energii użytkowej. Wymagania minimalne dotyczące charakterystyki energetycznej budynków powinny podlegać regularnemu przeglądowi w świetle postępu technicznego.</w:t>
      </w:r>
      <w:bookmarkEnd w:id="1305"/>
    </w:p>
    <w:p w14:paraId="0C210232" w14:textId="77777777" w:rsidR="00A31859" w:rsidRPr="00077D7F" w:rsidRDefault="00A31859" w:rsidP="00A31859">
      <w:pPr>
        <w:spacing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26D98E10" w14:textId="77777777" w:rsidTr="00493812">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695DDCF4"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3323722C" wp14:editId="71DFD048">
                  <wp:extent cx="622300" cy="622300"/>
                  <wp:effectExtent l="0" t="0" r="6350" b="6350"/>
                  <wp:docPr id="58" name="Obraz 2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0F25D99"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CFD9211"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1544DE7E" w14:textId="77777777" w:rsidTr="00523FD5">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32BC745"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188522C" w14:textId="77777777"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 </w:t>
            </w:r>
          </w:p>
          <w:p w14:paraId="25C52CF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85BCFF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 </w:t>
            </w:r>
          </w:p>
        </w:tc>
      </w:tr>
    </w:tbl>
    <w:p w14:paraId="0E183303" w14:textId="7BAAF053" w:rsidR="00A31859" w:rsidRPr="00077D7F" w:rsidRDefault="00493812" w:rsidP="00D523F3">
      <w:pPr>
        <w:pStyle w:val="Nagwek6"/>
        <w:rPr>
          <w:rFonts w:ascii="Times New Roman" w:hAnsi="Times New Roman"/>
          <w:sz w:val="24"/>
          <w:szCs w:val="24"/>
          <w:lang w:eastAsia="pl-PL"/>
        </w:rPr>
      </w:pPr>
      <w:bookmarkStart w:id="1306" w:name="_Toc195865967"/>
      <w:bookmarkStart w:id="1307" w:name="_Ref195885229"/>
      <w:bookmarkStart w:id="1308" w:name="_Ref203395457"/>
      <w:bookmarkStart w:id="1309" w:name="_Ref203398321"/>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113</w:t>
      </w:r>
      <w:r>
        <w:fldChar w:fldCharType="end"/>
      </w:r>
      <w:r>
        <w:t xml:space="preserve">. </w:t>
      </w:r>
      <w:r w:rsidR="00A31859" w:rsidRPr="00077D7F">
        <w:rPr>
          <w:lang w:eastAsia="pl-PL"/>
        </w:rPr>
        <w:t>System oceny energetycznej budynków i systemów technicznych budynków</w:t>
      </w:r>
      <w:bookmarkEnd w:id="1306"/>
      <w:bookmarkEnd w:id="1307"/>
      <w:bookmarkEnd w:id="1308"/>
      <w:bookmarkEnd w:id="1309"/>
      <w:r w:rsidR="00A31859" w:rsidRPr="00077D7F">
        <w:rPr>
          <w:i/>
          <w:iCs/>
          <w:lang w:eastAsia="pl-PL"/>
        </w:rPr>
        <w:t> </w:t>
      </w:r>
    </w:p>
    <w:p w14:paraId="5169A626" w14:textId="0C6E1E86" w:rsidR="00A31859" w:rsidRPr="00077D7F" w:rsidRDefault="00A31859" w:rsidP="00523FD5">
      <w:pPr>
        <w:rPr>
          <w:lang w:eastAsia="pl-PL"/>
        </w:rPr>
      </w:pPr>
      <w:r w:rsidRPr="00077D7F">
        <w:rPr>
          <w:lang w:eastAsia="pl-PL"/>
        </w:rPr>
        <w:t>System funkcjonuje w oparciu o świadectwa charakterystyki energetycznej budynków oraz protokoły z</w:t>
      </w:r>
      <w:r w:rsidR="007838B6">
        <w:rPr>
          <w:lang w:eastAsia="pl-PL"/>
        </w:rPr>
        <w:t> </w:t>
      </w:r>
      <w:r w:rsidRPr="00077D7F">
        <w:rPr>
          <w:lang w:eastAsia="pl-PL"/>
        </w:rPr>
        <w:t xml:space="preserve">kontroli systemów ogrzewania i systemów klimatyzacji w budynkach. Dokumenty sporządzane są na różnych etapach związanych z budową, użytkowaniem, sprzedażą lub najmem budynków. Dzięki nim możliwe jest uzyskanie wiedzy na temat efektywności energetycznej budynków oraz systemów technicznych w nich zainstalowanych, a także informacji na temat możliwości poprawy efektywności energetycznej przez szerokie grono zainteresowanych w uzyskaniu oszczędności energii w budynkach. Dzięki informacjom zawartym w świadectwie właściciel, najemca lub użytkownik budynku może określić orientacyjne roczne zapotrzebowanie na energię, a tym samym koszt utrzymania związany ze zużyciem energii. Ta wiedza wspiera podejmowanie decyzji o działaniach na rzecz poprawy efektywności energetycznej. System oceny energetycznej budynków powinien być sukcesywnie rozwijany przez wprowadzenie rozwiązań skutkujących lepszą jakością i czytelnością dokumentów oraz zwiększaniem poziomu cyfryzacji poprzez również integrację baz w tym z CEEB oraz również przez rozwój Centralnego </w:t>
      </w:r>
      <w:r w:rsidRPr="00077D7F">
        <w:rPr>
          <w:lang w:eastAsia="pl-PL"/>
        </w:rPr>
        <w:lastRenderedPageBreak/>
        <w:t>Rejestru Charakterystyki Energetycznej Budynków w kierunku budowy systemu eksperckiego na bazie odpowiednich algorytmów wspierającego merytorycznie decyzje o podjęciu inwestycji termomodernizacyjnych budynków dla realizacji celów polityki klimatycznej UE. </w:t>
      </w:r>
    </w:p>
    <w:p w14:paraId="5D17D226" w14:textId="77777777" w:rsidR="00A31859" w:rsidRPr="00077D7F" w:rsidRDefault="00A31859" w:rsidP="00A31859">
      <w:pPr>
        <w:spacing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21AD2061" w14:textId="77777777" w:rsidTr="00493812">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75E5ED8B"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3246533E" wp14:editId="4EF43961">
                  <wp:extent cx="622300" cy="622300"/>
                  <wp:effectExtent l="0" t="0" r="6350" b="6350"/>
                  <wp:docPr id="59" name="Obraz 2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0D6E35D"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EDD0FA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77D7F" w14:paraId="20047046" w14:textId="77777777" w:rsidTr="00523FD5">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9BFE602"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1E79A1E" w14:textId="77777777" w:rsidR="00A31859" w:rsidRPr="00077D7F" w:rsidRDefault="00A31859">
            <w:pPr>
              <w:spacing w:after="0" w:line="240" w:lineRule="auto"/>
              <w:jc w:val="left"/>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budownictwa, planowania i zagospodarowania przestrzennego oraz mieszkalnictwa </w:t>
            </w:r>
          </w:p>
          <w:p w14:paraId="4D103E00"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3275C52"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finansów publicznych </w:t>
            </w:r>
          </w:p>
          <w:p w14:paraId="180D72DC"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energii </w:t>
            </w:r>
          </w:p>
          <w:p w14:paraId="56FC16D3"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 </w:t>
            </w:r>
          </w:p>
        </w:tc>
      </w:tr>
    </w:tbl>
    <w:p w14:paraId="2890C62C" w14:textId="51F84B90" w:rsidR="0094341E" w:rsidRPr="002A431F" w:rsidRDefault="00493812" w:rsidP="00D523F3">
      <w:pPr>
        <w:pStyle w:val="Nagwek6"/>
      </w:pPr>
      <w:bookmarkStart w:id="1310" w:name="_Ref198287730"/>
      <w:bookmarkStart w:id="1311" w:name="_Hlk195732304"/>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114</w:t>
      </w:r>
      <w:r>
        <w:fldChar w:fldCharType="end"/>
      </w:r>
      <w:r>
        <w:t xml:space="preserve">. </w:t>
      </w:r>
      <w:r w:rsidR="0094341E" w:rsidRPr="0094341E">
        <w:t>Efektywność energetyczna w budownictwie społecznym uwzględniającym potrzeby grup wrażliwych</w:t>
      </w:r>
      <w:bookmarkEnd w:id="1310"/>
    </w:p>
    <w:p w14:paraId="21FC19CF" w14:textId="7035AF75" w:rsidR="009B14A3" w:rsidRPr="009B14A3" w:rsidRDefault="0094341E" w:rsidP="009B14A3">
      <w:r>
        <w:t>Celem działania jest zwiększenie efektywności energetycznej istniejących i nowych budynków mieszkalnych, z naciskiem na poprawę dostępności ekonomicznej i dostosowanie do potrzeb grup wrażliwych społecznie, w tym seniorów, osób niepełnosprawnych oraz rodzin o niskich dochodach. Działanie to wpisuje się w szerszą strategię integracji polityki klimatyczno-energetycznej z polityką społeczną i mieszkaniową państwa. Dzięki temu można efektywniej ograniczyć emisję CO</w:t>
      </w:r>
      <w:r>
        <w:rPr>
          <w:rFonts w:ascii="Cambria Math" w:hAnsi="Cambria Math" w:cs="Cambria Math"/>
        </w:rPr>
        <w:t>₂</w:t>
      </w:r>
      <w:r>
        <w:t xml:space="preserve"> i jednocześnie poprawić jakość życia grup wrażliwych. Z uwagi na starzenie się społeczeństwa oraz wzrastającą liczbę osób wymagających wsparcia, niezbędne jest wdrażanie programów wspierających kompleksową termomodernizację istniejących budynków mieszkalnych z uwzględnieniem ich dostępności dla osób starszych i niepełnosprawnych. </w:t>
      </w:r>
      <w:r w:rsidRPr="00BD1CEF">
        <w:t>W działaniach tych szczególny nacisk powinien być położony na umożliwienie seniorom jak najdłuższego pozostawania w ich dotychczasowych miejscach zamieszkania poprzez zwiększenie komfortu cieplnego, obniżenie kosztów utrzymania, zapewnienie odpowiednich usług społecznych, ale jednocześnie tworzenie alternatywy w postaci wsparcia budowy nowych budynków senioralnych dostosowanych do potrzeb osób starszych</w:t>
      </w:r>
      <w:r>
        <w:t>.</w:t>
      </w:r>
      <w:r w:rsidR="009B14A3">
        <w:t xml:space="preserve"> </w:t>
      </w:r>
      <w:r w:rsidR="009B14A3" w:rsidRPr="009B14A3">
        <w:t>W działaniach tych szczególny nacisk powinien być położony na wsparcie budowy nowych budynków mieszkalnych o zwiększonym komforcie cieplnym i obniżonych kosztach utrzymania.</w:t>
      </w:r>
    </w:p>
    <w:p w14:paraId="494C39CA" w14:textId="77777777" w:rsidR="0094341E" w:rsidRDefault="0094341E" w:rsidP="0094341E">
      <w:r>
        <w:t>Działanie to powinno być realizowane w spójności z innymi dokumentami strategicznymi, takimi jak Krajowy Plan Odbudowy i Zwiększania Odporności oraz Plan Społeczno-Klimatyczny, zapewniając komplementarność wsparcia i efektywne wykorzystanie dostępnych zasobów publicznych.</w:t>
      </w:r>
    </w:p>
    <w:p w14:paraId="4294E237" w14:textId="0C2B84AD" w:rsidR="00F473AA" w:rsidRDefault="00F473AA" w:rsidP="00B11FB3">
      <w:r w:rsidRPr="00BD1CEF">
        <w:t>Jednocześnie</w:t>
      </w:r>
      <w:r>
        <w:t xml:space="preserve"> w działaniach dotyczących poprawy stanu technicznego istniejących budynków mieszkalnych powinny znaleźć się zachęty do zwiększania dostępności takich budynków dla osób starszych i niepełnosprawnych, </w:t>
      </w:r>
      <w:r w:rsidRPr="00BD1CEF">
        <w:t>umożliwiających im jak najdłuższe zamieszkanie w odpowiednim komforcie</w:t>
      </w:r>
      <w:r>
        <w:t xml:space="preserve"> (w tym komforcie cieplnym) w dotychczasowych miejscach zamieszkania. Zapewni to komplementarność działań kierowanych do grup</w:t>
      </w:r>
      <w:r w:rsidR="00B11FB3">
        <w:t xml:space="preserve"> społecznie wrażliwych, którym w zależności od potrzeb i preferencji należy oferować bądź podwyższony standard aktualnego miejsca zamieszkania bądź nowe mieszkanie o wysokim standardzie cieplnym i niskich kosztach utrzymania.</w:t>
      </w:r>
    </w:p>
    <w:p w14:paraId="5A5094AF" w14:textId="1EBCD6FD" w:rsidR="00A31859" w:rsidRPr="00077D7F" w:rsidRDefault="00A31859" w:rsidP="007945C0">
      <w:pPr>
        <w:spacing w:after="240"/>
        <w:rPr>
          <w:rFonts w:eastAsia="Times New Roman" w:cs="Times New Roman"/>
          <w:lang w:eastAsia="pl-PL"/>
        </w:rPr>
      </w:pPr>
      <w:r w:rsidRPr="00077D7F">
        <w:rPr>
          <w:rFonts w:eastAsia="Times New Roman" w:cs="Times New Roman"/>
          <w:lang w:eastAsia="pl-PL"/>
        </w:rPr>
        <w:t xml:space="preserve"> </w:t>
      </w:r>
    </w:p>
    <w:tbl>
      <w:tblPr>
        <w:tblStyle w:val="Siatkatabelijasna"/>
        <w:tblW w:w="0" w:type="auto"/>
        <w:tblLayout w:type="fixed"/>
        <w:tblCellMar>
          <w:left w:w="57" w:type="dxa"/>
          <w:right w:w="17" w:type="dxa"/>
        </w:tblCellMar>
        <w:tblLook w:val="04A0" w:firstRow="1" w:lastRow="0" w:firstColumn="1" w:lastColumn="0" w:noHBand="0" w:noVBand="1"/>
      </w:tblPr>
      <w:tblGrid>
        <w:gridCol w:w="975"/>
        <w:gridCol w:w="3870"/>
        <w:gridCol w:w="3960"/>
      </w:tblGrid>
      <w:tr w:rsidR="00057FAB" w:rsidRPr="00077D7F" w14:paraId="30C38A76" w14:textId="77777777" w:rsidTr="00523FD5">
        <w:trPr>
          <w:trHeight w:val="300"/>
        </w:trPr>
        <w:tc>
          <w:tcPr>
            <w:tcW w:w="975" w:type="dxa"/>
            <w:vMerge w:val="restart"/>
            <w:tcBorders>
              <w:top w:val="nil"/>
              <w:left w:val="nil"/>
              <w:bottom w:val="nil"/>
              <w:right w:val="nil"/>
            </w:tcBorders>
            <w:tcMar>
              <w:left w:w="105" w:type="dxa"/>
              <w:right w:w="105" w:type="dxa"/>
            </w:tcMar>
          </w:tcPr>
          <w:bookmarkEnd w:id="1311"/>
          <w:p w14:paraId="6064ECC4" w14:textId="77777777" w:rsidR="00A31859" w:rsidRPr="00077D7F" w:rsidRDefault="00A31859">
            <w:pPr>
              <w:rPr>
                <w:color w:val="FFFFFF" w:themeColor="background1"/>
                <w:sz w:val="18"/>
                <w:szCs w:val="18"/>
              </w:rPr>
            </w:pPr>
            <w:r w:rsidRPr="00077D7F">
              <w:rPr>
                <w:noProof/>
                <w:lang w:eastAsia="pl-PL"/>
              </w:rPr>
              <w:drawing>
                <wp:inline distT="0" distB="0" distL="0" distR="0" wp14:anchorId="0A4A1F80" wp14:editId="58A71C22">
                  <wp:extent cx="476250" cy="476250"/>
                  <wp:effectExtent l="0" t="0" r="0" b="0"/>
                  <wp:docPr id="1511521848" name="Picture 151152184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21848" name="Picture 1511521848" descr="Obraz zawierający design&#10;&#10;Zawartość wygenerowana przez sztuczną inteligencję może być niepoprawna."/>
                          <pic:cNvPicPr/>
                        </pic:nvPicPr>
                        <pic:blipFill>
                          <a:blip r:embed="rId102">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p>
        </w:tc>
        <w:tc>
          <w:tcPr>
            <w:tcW w:w="3870" w:type="dxa"/>
            <w:tcBorders>
              <w:top w:val="dashed" w:sz="12" w:space="0" w:color="FFFFFF" w:themeColor="background1"/>
              <w:left w:val="nil"/>
              <w:bottom w:val="dashSmallGap" w:sz="4" w:space="0" w:color="D9D9D9" w:themeColor="background1" w:themeShade="D9"/>
              <w:right w:val="dashSmallGap" w:sz="4" w:space="0" w:color="D9D9D9" w:themeColor="background1" w:themeShade="D9"/>
            </w:tcBorders>
            <w:tcMar>
              <w:left w:w="105" w:type="dxa"/>
              <w:right w:w="105" w:type="dxa"/>
            </w:tcMar>
          </w:tcPr>
          <w:p w14:paraId="1ADC0A53" w14:textId="77777777" w:rsidR="00A31859" w:rsidRPr="00077D7F" w:rsidRDefault="00A31859">
            <w:pPr>
              <w:rPr>
                <w:color w:val="000000" w:themeColor="text1"/>
                <w:sz w:val="18"/>
                <w:szCs w:val="18"/>
              </w:rPr>
            </w:pPr>
            <w:r w:rsidRPr="00077D7F">
              <w:rPr>
                <w:b/>
                <w:smallCaps/>
                <w:color w:val="000000" w:themeColor="text1"/>
                <w:sz w:val="18"/>
                <w:szCs w:val="18"/>
              </w:rPr>
              <w:t>PODMIOT WIODĄCY</w:t>
            </w:r>
          </w:p>
        </w:tc>
        <w:tc>
          <w:tcPr>
            <w:tcW w:w="3960" w:type="dxa"/>
            <w:tcBorders>
              <w:top w:val="dashed" w:sz="12" w:space="0" w:color="FFFFFF" w:themeColor="background1"/>
              <w:left w:val="dashSmallGap" w:sz="4" w:space="0" w:color="D9D9D9" w:themeColor="background1" w:themeShade="D9"/>
              <w:bottom w:val="dashSmallGap" w:sz="4" w:space="0" w:color="D9D9D9" w:themeColor="background1" w:themeShade="D9"/>
              <w:right w:val="dashed" w:sz="12" w:space="0" w:color="FFFFFF" w:themeColor="background1"/>
            </w:tcBorders>
            <w:tcMar>
              <w:left w:w="105" w:type="dxa"/>
              <w:right w:w="105" w:type="dxa"/>
            </w:tcMar>
          </w:tcPr>
          <w:p w14:paraId="0684D3F1" w14:textId="77777777" w:rsidR="00A31859" w:rsidRPr="00077D7F" w:rsidRDefault="00A31859">
            <w:pPr>
              <w:spacing w:line="257" w:lineRule="auto"/>
              <w:rPr>
                <w:color w:val="000000" w:themeColor="text1"/>
                <w:sz w:val="18"/>
                <w:szCs w:val="18"/>
              </w:rPr>
            </w:pPr>
            <w:r w:rsidRPr="00077D7F">
              <w:rPr>
                <w:b/>
                <w:color w:val="000000" w:themeColor="text1"/>
                <w:sz w:val="18"/>
                <w:szCs w:val="18"/>
              </w:rPr>
              <w:t>PODMIOTY WSPÓŁPRACUJĄCE</w:t>
            </w:r>
          </w:p>
        </w:tc>
      </w:tr>
      <w:tr w:rsidR="00057FAB" w:rsidRPr="00077D7F" w14:paraId="7C7D828B" w14:textId="77777777" w:rsidTr="00523FD5">
        <w:trPr>
          <w:trHeight w:val="300"/>
        </w:trPr>
        <w:tc>
          <w:tcPr>
            <w:tcW w:w="975" w:type="dxa"/>
            <w:vMerge/>
            <w:tcBorders>
              <w:top w:val="nil"/>
              <w:left w:val="nil"/>
              <w:bottom w:val="nil"/>
              <w:right w:val="nil"/>
            </w:tcBorders>
            <w:vAlign w:val="center"/>
          </w:tcPr>
          <w:p w14:paraId="58A39666" w14:textId="77777777" w:rsidR="00A31859" w:rsidRPr="00077D7F" w:rsidRDefault="00A31859"/>
        </w:tc>
        <w:tc>
          <w:tcPr>
            <w:tcW w:w="3870" w:type="dxa"/>
            <w:tcBorders>
              <w:top w:val="dashSmallGap" w:sz="4" w:space="0" w:color="D9D9D9" w:themeColor="background1" w:themeShade="D9"/>
              <w:left w:val="nil"/>
              <w:bottom w:val="dashed" w:sz="12" w:space="0" w:color="FFFFFF" w:themeColor="background1"/>
              <w:right w:val="dashSmallGap" w:sz="4" w:space="0" w:color="D9D9D9" w:themeColor="background1" w:themeShade="D9"/>
            </w:tcBorders>
            <w:tcMar>
              <w:left w:w="105" w:type="dxa"/>
              <w:right w:w="105" w:type="dxa"/>
            </w:tcMar>
          </w:tcPr>
          <w:p w14:paraId="16CDB67A" w14:textId="75BAB832" w:rsidR="00A31859" w:rsidRPr="00077D7F" w:rsidRDefault="00A31859" w:rsidP="002A431F">
            <w:pPr>
              <w:jc w:val="left"/>
              <w:rPr>
                <w:color w:val="808080" w:themeColor="background1" w:themeShade="80"/>
                <w:sz w:val="18"/>
                <w:szCs w:val="18"/>
              </w:rPr>
            </w:pPr>
            <w:r w:rsidRPr="00077D7F">
              <w:rPr>
                <w:color w:val="808080" w:themeColor="background1" w:themeShade="80"/>
                <w:sz w:val="18"/>
                <w:szCs w:val="18"/>
              </w:rPr>
              <w:t xml:space="preserve">minister wł. ds. budownictwa, planowania i zagospodarowania przestrzennego oraz mieszkalnictwa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themeColor="background1"/>
              <w:right w:val="dashed" w:sz="12" w:space="0" w:color="FFFFFF" w:themeColor="background1"/>
            </w:tcBorders>
            <w:tcMar>
              <w:left w:w="105" w:type="dxa"/>
              <w:right w:w="105" w:type="dxa"/>
            </w:tcMar>
          </w:tcPr>
          <w:p w14:paraId="6CDE1D9D" w14:textId="77777777" w:rsidR="00A31859" w:rsidRPr="00077D7F" w:rsidRDefault="00A31859">
            <w:pPr>
              <w:rPr>
                <w:color w:val="808080" w:themeColor="background1" w:themeShade="80"/>
                <w:sz w:val="18"/>
                <w:szCs w:val="18"/>
              </w:rPr>
            </w:pPr>
            <w:r w:rsidRPr="00077D7F">
              <w:rPr>
                <w:color w:val="808080" w:themeColor="background1" w:themeShade="80"/>
                <w:sz w:val="18"/>
                <w:szCs w:val="18"/>
              </w:rPr>
              <w:t xml:space="preserve">minister wł. ds. zabezpieczenia społecznego </w:t>
            </w:r>
          </w:p>
          <w:p w14:paraId="20231230" w14:textId="77777777" w:rsidR="00A31859" w:rsidRPr="00077D7F" w:rsidRDefault="00A31859">
            <w:pPr>
              <w:rPr>
                <w:color w:val="808080" w:themeColor="background1" w:themeShade="80"/>
                <w:sz w:val="18"/>
                <w:szCs w:val="18"/>
              </w:rPr>
            </w:pPr>
          </w:p>
        </w:tc>
      </w:tr>
    </w:tbl>
    <w:p w14:paraId="7605F6CB" w14:textId="77777777" w:rsidR="00A31859" w:rsidRPr="00077D7F" w:rsidRDefault="00A31859" w:rsidP="00A31859">
      <w:pPr>
        <w:spacing w:line="240" w:lineRule="auto"/>
        <w:textAlignment w:val="baseline"/>
        <w:rPr>
          <w:rFonts w:ascii="Times New Roman" w:eastAsia="Times New Roman" w:hAnsi="Times New Roman" w:cs="Times New Roman"/>
          <w:sz w:val="24"/>
          <w:szCs w:val="24"/>
          <w:lang w:eastAsia="pl-PL"/>
        </w:rPr>
      </w:pPr>
    </w:p>
    <w:p w14:paraId="5DD9C3F4" w14:textId="02857106" w:rsidR="00A31859" w:rsidRPr="00077D7F" w:rsidRDefault="00493812" w:rsidP="00D523F3">
      <w:pPr>
        <w:pStyle w:val="Nagwek6"/>
        <w:rPr>
          <w:rFonts w:ascii="Times New Roman" w:hAnsi="Times New Roman"/>
          <w:i/>
          <w:iCs/>
          <w:color w:val="595959"/>
          <w:sz w:val="24"/>
          <w:szCs w:val="24"/>
          <w:lang w:eastAsia="pl-PL"/>
        </w:rPr>
      </w:pPr>
      <w:bookmarkStart w:id="1312" w:name="_Toc195865969"/>
      <w:bookmarkStart w:id="1313" w:name="_Ref195885617"/>
      <w:bookmarkStart w:id="1314" w:name="_Ref195889311"/>
      <w:r>
        <w:t xml:space="preserve">Działanie </w:t>
      </w:r>
      <w:r>
        <w:fldChar w:fldCharType="begin"/>
      </w:r>
      <w:r w:rsidRPr="00FB68C2">
        <w:rPr>
          <w:rStyle w:val="Nagwek6Znak"/>
          <w:b/>
        </w:rPr>
        <w:instrText xml:space="preserve"> SEQ Działanie \* ARABIC </w:instrText>
      </w:r>
      <w:r>
        <w:fldChar w:fldCharType="separate"/>
      </w:r>
      <w:r w:rsidR="00871DD5">
        <w:rPr>
          <w:rStyle w:val="Nagwek6Znak"/>
          <w:b/>
          <w:noProof/>
        </w:rPr>
        <w:t>115</w:t>
      </w:r>
      <w:r>
        <w:fldChar w:fldCharType="end"/>
      </w:r>
      <w:r>
        <w:t xml:space="preserve">. </w:t>
      </w:r>
      <w:r w:rsidR="00A31859" w:rsidRPr="00077D7F">
        <w:rPr>
          <w:lang w:eastAsia="pl-PL"/>
        </w:rPr>
        <w:t>Instrument finansowy – system białych certyfikatów</w:t>
      </w:r>
      <w:bookmarkEnd w:id="1312"/>
      <w:bookmarkEnd w:id="1313"/>
      <w:bookmarkEnd w:id="1314"/>
      <w:r w:rsidR="00A31859" w:rsidRPr="00077D7F">
        <w:rPr>
          <w:i/>
          <w:iCs/>
          <w:lang w:eastAsia="pl-PL"/>
        </w:rPr>
        <w:t> </w:t>
      </w:r>
    </w:p>
    <w:p w14:paraId="063F4B60" w14:textId="4A21342E" w:rsidR="00A31859" w:rsidRPr="00077D7F" w:rsidRDefault="00A31859" w:rsidP="007945C0">
      <w:pPr>
        <w:spacing w:after="80"/>
        <w:rPr>
          <w:lang w:eastAsia="pl-PL"/>
        </w:rPr>
      </w:pPr>
      <w:r w:rsidRPr="00077D7F">
        <w:rPr>
          <w:lang w:eastAsia="pl-PL"/>
        </w:rPr>
        <w:t xml:space="preserve">Celem systemu świadectw efektywności energetycznej (systemu białych certyfikatów) jest zapewnienie spełnienia wymogu osiągnięcia oszczędności energii finalnej u odbiorców końcowych, wynikającego z art. </w:t>
      </w:r>
      <w:r w:rsidRPr="00077D7F">
        <w:rPr>
          <w:lang w:eastAsia="pl-PL"/>
        </w:rPr>
        <w:lastRenderedPageBreak/>
        <w:t xml:space="preserve">8 dyrektywy 2023/1791. System funkcjonuje na podstawie ustawy z dnia 20 maja 2016 r. o efektywności energetycznej. Podmioty zobowiązane realizują obowiązek uzyskania oszczędności energii przez: </w:t>
      </w:r>
    </w:p>
    <w:p w14:paraId="453B4C49" w14:textId="77777777" w:rsidR="00A31859" w:rsidRPr="00523FD5" w:rsidRDefault="00A31859" w:rsidP="000625AC">
      <w:pPr>
        <w:pStyle w:val="Akapitzlist"/>
        <w:numPr>
          <w:ilvl w:val="0"/>
          <w:numId w:val="164"/>
        </w:numPr>
        <w:ind w:left="426"/>
      </w:pPr>
      <w:r w:rsidRPr="00523FD5">
        <w:t>realizowanie przedsięwzięć służących poprawie efektywności energetycznej u odbiorcy końcowego, w wyniku których uzyskuje się oszczędność energii finalnej potwierdzonej audytem efektywności energetycznej, </w:t>
      </w:r>
    </w:p>
    <w:p w14:paraId="0EEA5F05" w14:textId="77777777" w:rsidR="00A31859" w:rsidRPr="00523FD5" w:rsidRDefault="00A31859" w:rsidP="000625AC">
      <w:pPr>
        <w:pStyle w:val="Akapitzlist"/>
        <w:numPr>
          <w:ilvl w:val="0"/>
          <w:numId w:val="164"/>
        </w:numPr>
        <w:ind w:left="426"/>
      </w:pPr>
      <w:r w:rsidRPr="00523FD5">
        <w:t>uzyskanie i przedstawienie do umorzenia Prezesowi URE świadectw efektywności energetycznej, </w:t>
      </w:r>
    </w:p>
    <w:p w14:paraId="504BF5C4" w14:textId="77777777" w:rsidR="00A31859" w:rsidRPr="00523FD5" w:rsidRDefault="00A31859" w:rsidP="000625AC">
      <w:pPr>
        <w:pStyle w:val="Akapitzlist"/>
        <w:numPr>
          <w:ilvl w:val="0"/>
          <w:numId w:val="164"/>
        </w:numPr>
        <w:ind w:left="426"/>
      </w:pPr>
      <w:r w:rsidRPr="00523FD5">
        <w:t>realizowanie przedsięwzięć służących poprawie efektywności energetycznej u obiorcy końcowego w ramach programów bezzwrotnych dofinansowań. </w:t>
      </w:r>
    </w:p>
    <w:p w14:paraId="0D204DD4" w14:textId="77777777" w:rsidR="00A31859" w:rsidRPr="00077D7F" w:rsidRDefault="00A31859" w:rsidP="007945C0">
      <w:pPr>
        <w:rPr>
          <w:lang w:eastAsia="pl-PL"/>
        </w:rPr>
      </w:pPr>
      <w:r w:rsidRPr="00077D7F">
        <w:rPr>
          <w:lang w:eastAsia="pl-PL"/>
        </w:rPr>
        <w:t>Ze świadectw efektywności energetycznej wynikają zbywalne prawa majątkowe, które są towarem giełdowym, a więc podlegają obrotowi na Towarowej Giełdzie Energii. </w:t>
      </w:r>
    </w:p>
    <w:p w14:paraId="2B566787" w14:textId="77777777" w:rsidR="00A31859" w:rsidRPr="00077D7F" w:rsidRDefault="00A31859" w:rsidP="007945C0">
      <w:pPr>
        <w:spacing w:after="80"/>
        <w:rPr>
          <w:lang w:eastAsia="pl-PL"/>
        </w:rPr>
      </w:pPr>
      <w:r w:rsidRPr="00077D7F">
        <w:rPr>
          <w:lang w:eastAsia="pl-PL"/>
        </w:rPr>
        <w:t>Przewiduje się modyfikację systemu świadectw efektywności energetycznej, obejmującą w szczególności usprawnienie zasad obliczania oszczędności energii oraz weryfikacji i kontroli osiągniętych oszczędności energii, w tym: </w:t>
      </w:r>
    </w:p>
    <w:p w14:paraId="2CCE71A6" w14:textId="77777777" w:rsidR="00A31859" w:rsidRPr="00523FD5" w:rsidRDefault="00A31859" w:rsidP="000625AC">
      <w:pPr>
        <w:pStyle w:val="Akapitzlist"/>
        <w:numPr>
          <w:ilvl w:val="0"/>
          <w:numId w:val="165"/>
        </w:numPr>
        <w:ind w:left="426"/>
      </w:pPr>
      <w:r w:rsidRPr="00523FD5">
        <w:t>ustanowienie zawodu regulowanego audytora efektywności energetycznej i tym samym przeniesienie ciężaru weryfikacji audytów z URE na audytorów, co w konsekwencji nie tylko usprawni proces ich weryfikacji, ale również przyczyni się do poprawy jakości audytów efektywności energetycznej, </w:t>
      </w:r>
    </w:p>
    <w:p w14:paraId="06EAAB59" w14:textId="77777777" w:rsidR="00A31859" w:rsidRPr="00523FD5" w:rsidRDefault="00A31859" w:rsidP="000625AC">
      <w:pPr>
        <w:pStyle w:val="Akapitzlist"/>
        <w:numPr>
          <w:ilvl w:val="0"/>
          <w:numId w:val="165"/>
        </w:numPr>
        <w:ind w:left="426"/>
        <w:rPr>
          <w:rFonts w:eastAsia="Times New Roman" w:cs="Times New Roman"/>
          <w:lang w:eastAsia="pl-PL"/>
        </w:rPr>
      </w:pPr>
      <w:r w:rsidRPr="00523FD5">
        <w:t>cyfryzację systemu świadectw efektywności energetycznej</w:t>
      </w:r>
      <w:r w:rsidRPr="00523FD5">
        <w:rPr>
          <w:rFonts w:eastAsia="Times New Roman" w:cs="Times New Roman"/>
          <w:lang w:eastAsia="pl-PL"/>
        </w:rPr>
        <w:t>. </w:t>
      </w:r>
    </w:p>
    <w:p w14:paraId="73BC3817" w14:textId="77777777" w:rsidR="00A31859" w:rsidRPr="00077D7F" w:rsidRDefault="00A31859" w:rsidP="00A31859">
      <w:pPr>
        <w:spacing w:after="0" w:line="240" w:lineRule="auto"/>
        <w:ind w:left="720"/>
        <w:jc w:val="left"/>
        <w:textAlignment w:val="baseline"/>
        <w:rPr>
          <w:rFonts w:ascii="Times New Roman" w:eastAsia="Times New Roman" w:hAnsi="Times New Roman" w:cs="Times New Roman"/>
          <w:sz w:val="24"/>
          <w:szCs w:val="24"/>
          <w:lang w:eastAsia="pl-PL"/>
        </w:rPr>
      </w:pPr>
      <w:r w:rsidRPr="00077D7F">
        <w:rPr>
          <w:rFonts w:ascii="Aptos" w:eastAsia="Times New Roman" w:hAnsi="Aptos" w:cs="Times New Roman"/>
          <w:sz w:val="24"/>
          <w:szCs w:val="24"/>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077D7F" w14:paraId="5F755BE6" w14:textId="77777777" w:rsidTr="00523FD5">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6C0C47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ascii="Times New Roman" w:eastAsia="Times New Roman" w:hAnsi="Times New Roman" w:cs="Times New Roman"/>
                <w:noProof/>
                <w:sz w:val="24"/>
                <w:szCs w:val="24"/>
                <w:lang w:eastAsia="pl-PL"/>
              </w:rPr>
              <w:drawing>
                <wp:inline distT="0" distB="0" distL="0" distR="0" wp14:anchorId="1DEF2BC1" wp14:editId="7B6E5810">
                  <wp:extent cx="622300" cy="622300"/>
                  <wp:effectExtent l="0" t="0" r="6350" b="6350"/>
                  <wp:docPr id="2042917507" name="Obraz 1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077D7F">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C3ECC3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smallCaps/>
                <w:color w:val="000000"/>
                <w:sz w:val="18"/>
                <w:szCs w:val="18"/>
                <w:lang w:eastAsia="pl-PL"/>
              </w:rPr>
              <w:t>PODMIOT WIODĄCY</w:t>
            </w:r>
            <w:r w:rsidRPr="00077D7F">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02E68C1"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b/>
                <w:bCs/>
                <w:color w:val="000000"/>
                <w:sz w:val="18"/>
                <w:szCs w:val="18"/>
                <w:lang w:eastAsia="pl-PL"/>
              </w:rPr>
              <w:t>PODMIOTY WSPÓŁPRACUJĄCE</w:t>
            </w:r>
            <w:r w:rsidRPr="00077D7F">
              <w:rPr>
                <w:rFonts w:eastAsia="Times New Roman" w:cs="Times New Roman"/>
                <w:color w:val="000000"/>
                <w:sz w:val="18"/>
                <w:szCs w:val="18"/>
                <w:lang w:eastAsia="pl-PL"/>
              </w:rPr>
              <w:t> </w:t>
            </w:r>
          </w:p>
        </w:tc>
      </w:tr>
      <w:tr w:rsidR="003B6773" w:rsidRPr="000C727B" w14:paraId="167108C8" w14:textId="77777777" w:rsidTr="00523FD5">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45371B4" w14:textId="77777777" w:rsidR="00A31859" w:rsidRPr="00077D7F" w:rsidRDefault="00A31859">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03DD67E" w14:textId="77777777" w:rsidR="00A31859" w:rsidRPr="00077D7F"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F5A59EB" w14:textId="6BBD41F0" w:rsidR="00A31859" w:rsidRPr="000C727B" w:rsidRDefault="00A31859">
            <w:pPr>
              <w:spacing w:after="0" w:line="240" w:lineRule="auto"/>
              <w:textAlignment w:val="baseline"/>
              <w:rPr>
                <w:rFonts w:ascii="Times New Roman" w:eastAsia="Times New Roman" w:hAnsi="Times New Roman" w:cs="Times New Roman"/>
                <w:sz w:val="24"/>
                <w:szCs w:val="24"/>
                <w:lang w:eastAsia="pl-PL"/>
              </w:rPr>
            </w:pPr>
            <w:r w:rsidRPr="00077D7F">
              <w:rPr>
                <w:rFonts w:eastAsia="Times New Roman" w:cs="Times New Roman"/>
                <w:color w:val="808080"/>
                <w:sz w:val="18"/>
                <w:szCs w:val="18"/>
                <w:lang w:eastAsia="pl-PL"/>
              </w:rPr>
              <w:t>Prezes URE</w:t>
            </w:r>
            <w:r w:rsidR="003E2DE5">
              <w:rPr>
                <w:rFonts w:eastAsia="Times New Roman" w:cs="Times New Roman"/>
                <w:color w:val="808080"/>
                <w:sz w:val="18"/>
                <w:szCs w:val="18"/>
                <w:lang w:eastAsia="pl-PL"/>
              </w:rPr>
              <w:t xml:space="preserve"> </w:t>
            </w:r>
          </w:p>
          <w:p w14:paraId="2838646A" w14:textId="77777777" w:rsidR="00A31859" w:rsidRPr="000C727B" w:rsidRDefault="00A31859">
            <w:pPr>
              <w:spacing w:after="0" w:line="240" w:lineRule="auto"/>
              <w:textAlignment w:val="baseline"/>
              <w:rPr>
                <w:rFonts w:ascii="Times New Roman" w:eastAsia="Times New Roman" w:hAnsi="Times New Roman" w:cs="Times New Roman"/>
                <w:sz w:val="24"/>
                <w:szCs w:val="24"/>
                <w:lang w:eastAsia="pl-PL"/>
              </w:rPr>
            </w:pPr>
            <w:r w:rsidRPr="000C727B">
              <w:rPr>
                <w:rFonts w:eastAsia="Times New Roman" w:cs="Times New Roman"/>
                <w:color w:val="808080"/>
                <w:sz w:val="18"/>
                <w:szCs w:val="18"/>
                <w:lang w:eastAsia="pl-PL"/>
              </w:rPr>
              <w:t> </w:t>
            </w:r>
          </w:p>
        </w:tc>
      </w:tr>
    </w:tbl>
    <w:p w14:paraId="467A4CF7" w14:textId="744CC0D1" w:rsidR="0078378C" w:rsidRDefault="0078378C" w:rsidP="00DC5106">
      <w:pPr>
        <w:spacing w:line="257" w:lineRule="auto"/>
      </w:pPr>
      <w:r>
        <w:br w:type="page"/>
      </w:r>
    </w:p>
    <w:p w14:paraId="3371E072" w14:textId="77777777" w:rsidR="0078378C" w:rsidRPr="009D414E" w:rsidRDefault="0078378C" w:rsidP="006D0C65">
      <w:pPr>
        <w:sectPr w:rsidR="0078378C" w:rsidRPr="009D414E" w:rsidSect="00CE5AEF">
          <w:headerReference w:type="even" r:id="rId109"/>
          <w:headerReference w:type="default" r:id="rId110"/>
          <w:headerReference w:type="first" r:id="rId111"/>
          <w:pgSz w:w="11906" w:h="16838"/>
          <w:pgMar w:top="1417" w:right="1417" w:bottom="1417" w:left="1417" w:header="708" w:footer="708" w:gutter="0"/>
          <w:cols w:space="708"/>
          <w:titlePg/>
          <w:docGrid w:linePitch="360"/>
        </w:sectPr>
      </w:pPr>
    </w:p>
    <w:p w14:paraId="582DB8C1" w14:textId="5D180948" w:rsidR="006D0C65" w:rsidRPr="009D414E" w:rsidRDefault="00103429" w:rsidP="006D0C65">
      <w:pPr>
        <w:tabs>
          <w:tab w:val="left" w:pos="1365"/>
        </w:tabs>
      </w:pPr>
      <w:r w:rsidRPr="009D414E">
        <w:rPr>
          <w:noProof/>
          <w:lang w:eastAsia="pl-PL"/>
        </w:rPr>
        <w:lastRenderedPageBreak/>
        <mc:AlternateContent>
          <mc:Choice Requires="wps">
            <w:drawing>
              <wp:anchor distT="0" distB="0" distL="114300" distR="114300" simplePos="0" relativeHeight="251436544" behindDoc="0" locked="0" layoutInCell="1" allowOverlap="1" wp14:anchorId="2C02CA48" wp14:editId="4039FCEC">
                <wp:simplePos x="0" y="0"/>
                <wp:positionH relativeFrom="page">
                  <wp:posOffset>272415</wp:posOffset>
                </wp:positionH>
                <wp:positionV relativeFrom="page">
                  <wp:posOffset>467995</wp:posOffset>
                </wp:positionV>
                <wp:extent cx="7020000" cy="1814400"/>
                <wp:effectExtent l="0" t="0" r="9525" b="0"/>
                <wp:wrapNone/>
                <wp:docPr id="58442218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0000" cy="18144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3A21F7" w14:textId="77777777" w:rsidR="00C36C5C" w:rsidRPr="00936E90" w:rsidRDefault="00C36C5C" w:rsidP="00936E90">
                            <w:pPr>
                              <w:spacing w:after="0"/>
                              <w:ind w:left="851"/>
                              <w:jc w:val="left"/>
                              <w:rPr>
                                <w:rFonts w:ascii="Bahnschrift" w:hAnsi="Bahnschrift"/>
                                <w:b/>
                                <w:bCs/>
                                <w:color w:val="FFFFFF" w:themeColor="light1"/>
                                <w:kern w:val="24"/>
                                <w:sz w:val="64"/>
                                <w:szCs w:val="64"/>
                              </w:rPr>
                            </w:pPr>
                            <w:r w:rsidRPr="00936E90">
                              <w:rPr>
                                <w:rFonts w:ascii="Bahnschrift" w:hAnsi="Bahnschrift"/>
                                <w:color w:val="FFFFFF" w:themeColor="light1"/>
                                <w:kern w:val="24"/>
                                <w:sz w:val="56"/>
                                <w:szCs w:val="56"/>
                              </w:rPr>
                              <w:t xml:space="preserve">Wymiar 3. </w:t>
                            </w:r>
                            <w:r w:rsidRPr="00936E90">
                              <w:rPr>
                                <w:rFonts w:ascii="Bahnschrift" w:hAnsi="Bahnschrift"/>
                                <w:color w:val="FFFFFF" w:themeColor="light1"/>
                                <w:kern w:val="24"/>
                                <w:sz w:val="72"/>
                                <w:szCs w:val="72"/>
                              </w:rPr>
                              <w:br/>
                            </w:r>
                            <w:r w:rsidRPr="00936E90">
                              <w:rPr>
                                <w:rFonts w:ascii="Bahnschrift" w:hAnsi="Bahnschrift"/>
                                <w:b/>
                                <w:bCs/>
                                <w:color w:val="FFFFFF" w:themeColor="light1"/>
                                <w:kern w:val="24"/>
                                <w:sz w:val="64"/>
                                <w:szCs w:val="64"/>
                              </w:rPr>
                              <w:t>Bezpieczeństwo energetyczne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02CA48" id="Prostokąt 3" o:spid="_x0000_s1137" style="position:absolute;left:0;text-align:left;margin-left:21.45pt;margin-top:36.85pt;width:552.75pt;height:142.85pt;z-index:25143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" fillcolor="#c00000" stroked="f" strokeweight="1pt">
                <v:textbox>
                  <w:txbxContent>
                    <w:p w14:paraId="053A21F7" w14:textId="77777777" w:rsidR="00C36C5C" w:rsidRPr="00936E90" w:rsidRDefault="00C36C5C" w:rsidP="00936E90">
                      <w:pPr>
                        <w:spacing w:after="0"/>
                        <w:ind w:left="851"/>
                        <w:jc w:val="left"/>
                        <w:rPr>
                          <w:rFonts w:ascii="Bahnschrift" w:hAnsi="Bahnschrift"/>
                          <w:b/>
                          <w:bCs/>
                          <w:color w:val="FFFFFF" w:themeColor="light1"/>
                          <w:kern w:val="24"/>
                          <w:sz w:val="64"/>
                          <w:szCs w:val="64"/>
                        </w:rPr>
                      </w:pPr>
                      <w:r w:rsidRPr="00936E90">
                        <w:rPr>
                          <w:rFonts w:ascii="Bahnschrift" w:hAnsi="Bahnschrift"/>
                          <w:color w:val="FFFFFF" w:themeColor="light1"/>
                          <w:kern w:val="24"/>
                          <w:sz w:val="56"/>
                          <w:szCs w:val="56"/>
                        </w:rPr>
                        <w:t xml:space="preserve">Wymiar 3. </w:t>
                      </w:r>
                      <w:r w:rsidRPr="00936E90">
                        <w:rPr>
                          <w:rFonts w:ascii="Bahnschrift" w:hAnsi="Bahnschrift"/>
                          <w:color w:val="FFFFFF" w:themeColor="light1"/>
                          <w:kern w:val="24"/>
                          <w:sz w:val="72"/>
                          <w:szCs w:val="72"/>
                        </w:rPr>
                        <w:br/>
                      </w:r>
                      <w:r w:rsidRPr="00936E90">
                        <w:rPr>
                          <w:rFonts w:ascii="Bahnschrift" w:hAnsi="Bahnschrift"/>
                          <w:b/>
                          <w:bCs/>
                          <w:color w:val="FFFFFF" w:themeColor="light1"/>
                          <w:kern w:val="24"/>
                          <w:sz w:val="64"/>
                          <w:szCs w:val="64"/>
                        </w:rPr>
                        <w:t>Bezpieczeństwo energetyczne</w:t>
                      </w:r>
                    </w:p>
                  </w:txbxContent>
                </v:textbox>
                <w10:wrap anchorx="page" anchory="page"/>
              </v:rect>
            </w:pict>
          </mc:Fallback>
        </mc:AlternateContent>
      </w:r>
    </w:p>
    <w:p w14:paraId="7D57384B" w14:textId="3EB135AB" w:rsidR="00536B8F" w:rsidRPr="00536B8F" w:rsidRDefault="00536B8F" w:rsidP="00A905F3">
      <w:pPr>
        <w:pStyle w:val="Nagwek2"/>
        <w:rPr>
          <w:color w:val="FFFFFF" w:themeColor="background1"/>
        </w:rPr>
      </w:pPr>
      <w:bookmarkStart w:id="1315" w:name="_Toc195897405"/>
      <w:bookmarkStart w:id="1316" w:name="_Toc205203235"/>
      <w:r w:rsidRPr="009D414E">
        <w:t>Bezpieczeństwo energetyczne</w:t>
      </w:r>
      <w:bookmarkEnd w:id="1315"/>
      <w:bookmarkEnd w:id="1316"/>
    </w:p>
    <w:p w14:paraId="56646D28" w14:textId="5D5D3DC8" w:rsidR="00FC190C" w:rsidRDefault="00FC190C"/>
    <w:p w14:paraId="78AC6238" w14:textId="71A26206" w:rsidR="006B664F" w:rsidRDefault="006B664F"/>
    <w:p w14:paraId="619AD025" w14:textId="77777777" w:rsidR="00103429" w:rsidRDefault="00103429"/>
    <w:p w14:paraId="237FBBBF" w14:textId="02A5232C" w:rsidR="00346ECA" w:rsidRPr="008A5AE2" w:rsidRDefault="00346ECA" w:rsidP="00D523F3">
      <w:pPr>
        <w:pStyle w:val="Nagwek6"/>
        <w:rPr>
          <w:rFonts w:ascii="Times New Roman" w:hAnsi="Times New Roman"/>
          <w:i/>
          <w:iCs/>
          <w:color w:val="595959"/>
          <w:lang w:eastAsia="pl-PL"/>
        </w:rPr>
      </w:pPr>
      <w:bookmarkStart w:id="1317" w:name="_Toc195865970"/>
      <w:bookmarkStart w:id="1318" w:name="_Ref195890058"/>
      <w:bookmarkStart w:id="1319" w:name="_Ref195890182"/>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116</w:t>
      </w:r>
      <w:r w:rsidRPr="00FB68C2">
        <w:rPr>
          <w:rStyle w:val="Nagwek6Znak"/>
          <w:b/>
        </w:rPr>
        <w:fldChar w:fldCharType="end"/>
      </w:r>
      <w:r w:rsidRPr="00FB68C2">
        <w:rPr>
          <w:rStyle w:val="Nagwek6Znak"/>
          <w:b/>
        </w:rPr>
        <w:t xml:space="preserve">. </w:t>
      </w:r>
      <w:r w:rsidRPr="008A5AE2">
        <w:rPr>
          <w:lang w:eastAsia="pl-PL"/>
        </w:rPr>
        <w:t>Opracowanie i wdrażanie Krajowego programu poszukiwań surowców krytycznych</w:t>
      </w:r>
      <w:bookmarkEnd w:id="1317"/>
      <w:bookmarkEnd w:id="1318"/>
      <w:bookmarkEnd w:id="1319"/>
      <w:r w:rsidRPr="008A5AE2">
        <w:rPr>
          <w:i/>
          <w:iCs/>
          <w:lang w:eastAsia="pl-PL"/>
        </w:rPr>
        <w:t> </w:t>
      </w:r>
    </w:p>
    <w:p w14:paraId="76525F4E" w14:textId="45B415C7" w:rsidR="00346ECA" w:rsidRPr="00901FEA" w:rsidRDefault="00346ECA" w:rsidP="00735F4B">
      <w:pPr>
        <w:rPr>
          <w:rFonts w:ascii="Times New Roman" w:hAnsi="Times New Roman"/>
        </w:rPr>
      </w:pPr>
      <w:r w:rsidRPr="00735F4B">
        <w:t>Działanie polega na weryfikacji możliwości pozyskiwania surowców krytycznych i</w:t>
      </w:r>
      <w:r w:rsidRPr="00735F4B">
        <w:rPr>
          <w:rFonts w:ascii="Arial" w:hAnsi="Arial"/>
        </w:rPr>
        <w:t> </w:t>
      </w:r>
      <w:r w:rsidRPr="00735F4B">
        <w:t>strategicznych niezbędnych do prowadzenia transformacji energetycznej z zasobów krajowych. Dotyczy to m.in. litu, niklu, kobaltu i grafitu, czy innych metali z grupy platynowców. Opracowanie dokumentu wynika z</w:t>
      </w:r>
      <w:r w:rsidR="0029236E">
        <w:t> </w:t>
      </w:r>
      <w:r w:rsidRPr="00735F4B">
        <w:t>tzw.</w:t>
      </w:r>
      <w:r w:rsidR="0029236E">
        <w:t> </w:t>
      </w:r>
      <w:r w:rsidRPr="00735F4B">
        <w:t xml:space="preserve">rozporządzenia UE dot. surowców krytycznych – </w:t>
      </w:r>
      <w:r w:rsidRPr="00901FEA">
        <w:rPr>
          <w:i/>
        </w:rPr>
        <w:t xml:space="preserve">Critical Raw </w:t>
      </w:r>
      <w:r w:rsidRPr="008A5AE2">
        <w:rPr>
          <w:rFonts w:eastAsia="Times New Roman" w:cs="Times New Roman"/>
          <w:i/>
          <w:iCs/>
          <w:kern w:val="0"/>
          <w:szCs w:val="20"/>
          <w:lang w:eastAsia="pl-PL"/>
          <w14:ligatures w14:val="none"/>
        </w:rPr>
        <w:t>Material</w:t>
      </w:r>
      <w:r w:rsidR="00425199">
        <w:rPr>
          <w:rFonts w:eastAsia="Times New Roman" w:cs="Times New Roman"/>
          <w:i/>
          <w:iCs/>
          <w:kern w:val="0"/>
          <w:szCs w:val="20"/>
          <w:lang w:eastAsia="pl-PL"/>
          <w14:ligatures w14:val="none"/>
        </w:rPr>
        <w:t>s</w:t>
      </w:r>
      <w:r w:rsidRPr="00901FEA">
        <w:rPr>
          <w:i/>
        </w:rPr>
        <w:t xml:space="preserve"> Act</w:t>
      </w:r>
      <w:r w:rsidRPr="00901FEA">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4F4D0907" w14:textId="77777777" w:rsidTr="00A3130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11F3A22"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1FE0D1F9" wp14:editId="0EE3F728">
                  <wp:extent cx="621030" cy="621030"/>
                  <wp:effectExtent l="0" t="0" r="7620" b="7620"/>
                  <wp:docPr id="388673634" name="Obraz 3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605FB80"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E8E2C7A"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49DF2F1D" w14:textId="77777777" w:rsidTr="00A3130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9604109"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CABDAE6"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F82D62A" w14:textId="77777777" w:rsidR="00346ECA" w:rsidRDefault="00346ECA">
            <w:pPr>
              <w:spacing w:after="0" w:line="240" w:lineRule="auto"/>
              <w:textAlignment w:val="baseline"/>
              <w:rPr>
                <w:rFonts w:eastAsia="Times New Roman" w:cs="Times New Roman"/>
                <w:color w:val="808080"/>
                <w:kern w:val="0"/>
                <w:sz w:val="18"/>
                <w:szCs w:val="18"/>
                <w:lang w:eastAsia="pl-PL"/>
                <w14:ligatures w14:val="none"/>
              </w:rPr>
            </w:pPr>
            <w:r w:rsidRPr="008A5AE2">
              <w:rPr>
                <w:rFonts w:eastAsia="Times New Roman" w:cs="Times New Roman"/>
                <w:color w:val="808080"/>
                <w:kern w:val="0"/>
                <w:sz w:val="18"/>
                <w:szCs w:val="18"/>
                <w:lang w:eastAsia="pl-PL"/>
                <w14:ligatures w14:val="none"/>
              </w:rPr>
              <w:t xml:space="preserve"> minister wł. ds. </w:t>
            </w:r>
            <w:r>
              <w:rPr>
                <w:rFonts w:eastAsia="Times New Roman" w:cs="Times New Roman"/>
                <w:color w:val="808080"/>
                <w:kern w:val="0"/>
                <w:sz w:val="18"/>
                <w:szCs w:val="18"/>
                <w:lang w:eastAsia="pl-PL"/>
                <w14:ligatures w14:val="none"/>
              </w:rPr>
              <w:t>energii</w:t>
            </w:r>
          </w:p>
          <w:p w14:paraId="47F98138" w14:textId="77777777" w:rsidR="00346ECA" w:rsidRPr="00F13E3F" w:rsidRDefault="008179CE" w:rsidP="008309D3">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Państwowy Instytut Geologiczny – Państwowy Instytut Badawczy</w:t>
            </w:r>
          </w:p>
        </w:tc>
      </w:tr>
    </w:tbl>
    <w:p w14:paraId="121F4959" w14:textId="77777777" w:rsidR="00346ECA" w:rsidRDefault="00346ECA" w:rsidP="00346ECA">
      <w:pPr>
        <w:spacing w:line="240" w:lineRule="auto"/>
        <w:textAlignment w:val="baseline"/>
        <w:rPr>
          <w:rFonts w:eastAsia="Times New Roman" w:cs="Times New Roman"/>
          <w:kern w:val="0"/>
          <w:szCs w:val="20"/>
          <w:lang w:eastAsia="pl-PL"/>
          <w14:ligatures w14:val="none"/>
        </w:rPr>
      </w:pPr>
      <w:r w:rsidRPr="008A5AE2">
        <w:rPr>
          <w:rFonts w:eastAsia="Times New Roman" w:cs="Times New Roman"/>
          <w:kern w:val="0"/>
          <w:szCs w:val="20"/>
          <w:lang w:eastAsia="pl-PL"/>
          <w14:ligatures w14:val="none"/>
        </w:rPr>
        <w:t> </w:t>
      </w:r>
    </w:p>
    <w:p w14:paraId="554D9EB1" w14:textId="07725970" w:rsidR="00346ECA" w:rsidRPr="008A5AE2" w:rsidRDefault="00346ECA" w:rsidP="00D523F3">
      <w:pPr>
        <w:pStyle w:val="Nagwek6"/>
        <w:rPr>
          <w:rFonts w:ascii="Times New Roman" w:hAnsi="Times New Roman"/>
          <w:i/>
          <w:iCs/>
          <w:color w:val="595959"/>
          <w:lang w:eastAsia="pl-PL"/>
        </w:rPr>
      </w:pPr>
      <w:bookmarkStart w:id="1320" w:name="_Toc195865971"/>
      <w:bookmarkStart w:id="1321" w:name="_Ref195890076"/>
      <w:bookmarkStart w:id="1322" w:name="_Ref195890164"/>
      <w:bookmarkStart w:id="1323" w:name="_Ref195891280"/>
      <w:bookmarkStart w:id="1324" w:name="_Ref195892841"/>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117</w:t>
      </w:r>
      <w:r w:rsidRPr="00FB68C2">
        <w:rPr>
          <w:rStyle w:val="Nagwek6Znak"/>
          <w:b/>
        </w:rPr>
        <w:fldChar w:fldCharType="end"/>
      </w:r>
      <w:r w:rsidRPr="00FB68C2">
        <w:rPr>
          <w:rStyle w:val="Nagwek6Znak"/>
          <w:b/>
        </w:rPr>
        <w:t xml:space="preserve">. </w:t>
      </w:r>
      <w:r w:rsidRPr="008A5AE2">
        <w:rPr>
          <w:lang w:eastAsia="pl-PL"/>
        </w:rPr>
        <w:t>Efektywna gospodarka surowcami ważnymi dla krajowej i unijnej gospodarki</w:t>
      </w:r>
      <w:bookmarkEnd w:id="1320"/>
      <w:bookmarkEnd w:id="1321"/>
      <w:bookmarkEnd w:id="1322"/>
      <w:bookmarkEnd w:id="1323"/>
      <w:bookmarkEnd w:id="1324"/>
      <w:r w:rsidRPr="008A5AE2">
        <w:rPr>
          <w:i/>
          <w:iCs/>
          <w:lang w:eastAsia="pl-PL"/>
        </w:rPr>
        <w:t> </w:t>
      </w:r>
    </w:p>
    <w:p w14:paraId="1DCDD175" w14:textId="03EFD26E" w:rsidR="00346ECA" w:rsidRPr="00735F4B" w:rsidRDefault="00346ECA" w:rsidP="00735F4B">
      <w:pPr>
        <w:rPr>
          <w:rFonts w:ascii="Times New Roman" w:hAnsi="Times New Roman"/>
        </w:rPr>
      </w:pPr>
      <w:r w:rsidRPr="00735F4B">
        <w:t xml:space="preserve">Sprawna i efektywna realizacja </w:t>
      </w:r>
      <w:r w:rsidRPr="00735F4B">
        <w:rPr>
          <w:i/>
        </w:rPr>
        <w:t>Polityki Surowcowej Państwa 2050</w:t>
      </w:r>
      <w:r w:rsidRPr="00735F4B">
        <w:t>, która ma na celu zapewnienie bezpieczeństwa surowcowego kraju poprzez m.in. zapewnienie dostępu do surowców ważnych dla krajowej i unijnej gospodarki (m.in. surowców strategicznych i krytycznych), poszukiwanie, rozpoznawanie oraz dokumentowanie złóż kopalin, wspieranie rozwoju gospodarki o obiegu zamkniętym oraz rozwój współpracy międzynarodowej w zakresie geologii i surowców mineralnych.</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5F6A96CE" w14:textId="77777777" w:rsidTr="00A3130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BE93138"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5A8D67C3" wp14:editId="7DD28073">
                  <wp:extent cx="621030" cy="621030"/>
                  <wp:effectExtent l="0" t="0" r="7620" b="7620"/>
                  <wp:docPr id="112" name="Obraz 3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C1228A1" w14:textId="77777777" w:rsidR="00346ECA" w:rsidRPr="008A5AE2" w:rsidRDefault="00346ECA" w:rsidP="00735F4B">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FAD88EC" w14:textId="77777777" w:rsidR="00346ECA" w:rsidRPr="008A5AE2" w:rsidRDefault="00346ECA" w:rsidP="00735F4B">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1203F8E6" w14:textId="77777777" w:rsidTr="00A3130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7284B35"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FD9F915" w14:textId="77777777" w:rsidR="00346ECA" w:rsidRPr="008A5AE2" w:rsidRDefault="00346ECA" w:rsidP="00735F4B">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środowiska </w:t>
            </w:r>
          </w:p>
          <w:p w14:paraId="683589BF" w14:textId="77777777" w:rsidR="00346ECA" w:rsidRPr="008A5AE2" w:rsidRDefault="00346ECA" w:rsidP="00735F4B">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p w14:paraId="68F24C9C" w14:textId="77777777" w:rsidR="00346ECA" w:rsidRPr="008A5AE2" w:rsidRDefault="00346ECA" w:rsidP="00735F4B">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271EFEA" w14:textId="77777777" w:rsidR="00346ECA" w:rsidRPr="008A5AE2" w:rsidRDefault="00346ECA" w:rsidP="00735F4B">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klimatu </w:t>
            </w:r>
          </w:p>
          <w:p w14:paraId="580DA56B" w14:textId="77777777" w:rsidR="00346ECA" w:rsidRPr="008309D3" w:rsidRDefault="00346ECA" w:rsidP="00735F4B">
            <w:pPr>
              <w:spacing w:after="0" w:line="240" w:lineRule="auto"/>
              <w:jc w:val="left"/>
              <w:textAlignment w:val="baseline"/>
              <w:rPr>
                <w:rFonts w:ascii="Times New Roman" w:hAnsi="Times New Roman"/>
                <w:kern w:val="0"/>
                <w14:ligatures w14:val="none"/>
              </w:rPr>
            </w:pPr>
            <w:r w:rsidRPr="008A5AE2">
              <w:rPr>
                <w:rFonts w:eastAsia="Times New Roman" w:cs="Times New Roman"/>
                <w:color w:val="808080"/>
                <w:kern w:val="0"/>
                <w:sz w:val="18"/>
                <w:szCs w:val="18"/>
                <w:lang w:eastAsia="pl-PL"/>
                <w14:ligatures w14:val="none"/>
              </w:rPr>
              <w:t>minister wł. ds. gospodarki surowcami energetycznymi </w:t>
            </w:r>
          </w:p>
          <w:p w14:paraId="73C32237" w14:textId="4F26E370" w:rsidR="008179CE" w:rsidRPr="001F1270" w:rsidRDefault="008179CE" w:rsidP="001F1270">
            <w:pPr>
              <w:spacing w:after="0" w:line="240" w:lineRule="auto"/>
              <w:jc w:val="left"/>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Państwowy Instytut Geologiczny – Państwowy Instytut Badawczy</w:t>
            </w:r>
          </w:p>
          <w:p w14:paraId="1E8FE9AB" w14:textId="77777777" w:rsidR="00346ECA" w:rsidRPr="008A5AE2" w:rsidRDefault="00346ECA" w:rsidP="001F1270">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3D7056BD" w14:textId="3A0BA088" w:rsidR="00346ECA" w:rsidRPr="008A5AE2" w:rsidRDefault="00346ECA" w:rsidP="00D523F3">
      <w:pPr>
        <w:pStyle w:val="Nagwek6"/>
        <w:rPr>
          <w:lang w:eastAsia="pl-PL"/>
        </w:rPr>
      </w:pPr>
      <w:bookmarkStart w:id="1325" w:name="_Toc195865972"/>
      <w:bookmarkStart w:id="1326" w:name="_Ref195890082"/>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118</w:t>
      </w:r>
      <w:r w:rsidRPr="00FB68C2">
        <w:rPr>
          <w:rStyle w:val="Nagwek6Znak"/>
          <w:b/>
        </w:rPr>
        <w:fldChar w:fldCharType="end"/>
      </w:r>
      <w:r w:rsidRPr="00FB68C2">
        <w:rPr>
          <w:rStyle w:val="Nagwek6Znak"/>
          <w:b/>
        </w:rPr>
        <w:t xml:space="preserve">. </w:t>
      </w:r>
      <w:r w:rsidRPr="008A5AE2">
        <w:rPr>
          <w:lang w:eastAsia="pl-PL"/>
        </w:rPr>
        <w:t>Aktualizacja Polityki Surowcowej Państwa</w:t>
      </w:r>
      <w:bookmarkEnd w:id="1325"/>
      <w:bookmarkEnd w:id="1326"/>
      <w:r w:rsidRPr="008A5AE2">
        <w:rPr>
          <w:lang w:eastAsia="pl-PL"/>
        </w:rPr>
        <w:t> </w:t>
      </w:r>
    </w:p>
    <w:p w14:paraId="69D59179" w14:textId="29FF8C01" w:rsidR="00346ECA" w:rsidRPr="003B6773" w:rsidRDefault="00346ECA" w:rsidP="00742AC7">
      <w:r w:rsidRPr="003B6773">
        <w:t>Działanie polega na aktualizacji dokumentu Polityki Surowcowej Państwa, którego głównym celem jest zapewnienie bezpieczeństwa surowcowego państwa, poprzez zabezpieczenie potrzeb bieżących i</w:t>
      </w:r>
      <w:r w:rsidR="0029236E">
        <w:t> </w:t>
      </w:r>
      <w:r w:rsidRPr="003B6773">
        <w:t>przyszłych oraz stałe poszerzanie bazy zasobowej kopalin do produkcji surowców (w tym surowców energetycznych i surowców krytycznych).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14"/>
        <w:gridCol w:w="3870"/>
        <w:gridCol w:w="3960"/>
      </w:tblGrid>
      <w:tr w:rsidR="003B6773" w:rsidRPr="008A5AE2" w14:paraId="09B4B56A" w14:textId="77777777" w:rsidTr="00A3130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13AB9BB" w14:textId="77777777" w:rsidR="00346ECA" w:rsidRPr="008A5AE2" w:rsidRDefault="00346ECA">
            <w:pPr>
              <w:spacing w:after="0" w:line="240" w:lineRule="auto"/>
              <w:textAlignment w:val="baseline"/>
              <w:rPr>
                <w:rFonts w:eastAsia="Times New Roman" w:cs="Times New Roman"/>
                <w:kern w:val="0"/>
                <w:szCs w:val="20"/>
                <w:lang w:eastAsia="pl-PL"/>
                <w14:ligatures w14:val="none"/>
              </w:rPr>
            </w:pPr>
            <w:r w:rsidRPr="008A5AE2">
              <w:rPr>
                <w:rFonts w:eastAsia="Times New Roman" w:cs="Times New Roman"/>
                <w:noProof/>
                <w:kern w:val="0"/>
                <w:szCs w:val="20"/>
                <w:lang w:eastAsia="pl-PL"/>
                <w14:ligatures w14:val="none"/>
              </w:rPr>
              <w:drawing>
                <wp:inline distT="0" distB="0" distL="0" distR="0" wp14:anchorId="0F96A91A" wp14:editId="21E1FE86">
                  <wp:extent cx="621030" cy="621030"/>
                  <wp:effectExtent l="0" t="0" r="7620" b="7620"/>
                  <wp:docPr id="89" name="Obraz 3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kern w:val="0"/>
                <w:szCs w:val="20"/>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4F40E8F" w14:textId="77777777" w:rsidR="00346ECA" w:rsidRPr="00832571" w:rsidRDefault="00346ECA" w:rsidP="00901FEA">
            <w:pPr>
              <w:spacing w:after="0" w:line="240" w:lineRule="auto"/>
              <w:jc w:val="left"/>
              <w:textAlignment w:val="baseline"/>
              <w:rPr>
                <w:rFonts w:eastAsia="Times New Roman" w:cs="Times New Roman"/>
                <w:b/>
                <w:kern w:val="0"/>
                <w:szCs w:val="20"/>
                <w:lang w:eastAsia="pl-PL"/>
                <w14:ligatures w14:val="none"/>
              </w:rPr>
            </w:pPr>
            <w:r w:rsidRPr="00832571">
              <w:rPr>
                <w:rFonts w:eastAsia="Times New Roman" w:cs="Times New Roman"/>
                <w:b/>
                <w:kern w:val="0"/>
                <w:szCs w:val="20"/>
                <w:lang w:eastAsia="pl-PL"/>
                <w14:ligatures w14:val="none"/>
              </w:rPr>
              <w:t>PODMIOT WIODĄCY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1DF2C56" w14:textId="77777777" w:rsidR="00346ECA" w:rsidRPr="00832571" w:rsidRDefault="00346ECA" w:rsidP="00901FEA">
            <w:pPr>
              <w:spacing w:after="0" w:line="240" w:lineRule="auto"/>
              <w:jc w:val="left"/>
              <w:textAlignment w:val="baseline"/>
              <w:rPr>
                <w:rFonts w:eastAsia="Times New Roman" w:cs="Times New Roman"/>
                <w:b/>
                <w:kern w:val="0"/>
                <w:szCs w:val="20"/>
                <w:lang w:eastAsia="pl-PL"/>
                <w14:ligatures w14:val="none"/>
              </w:rPr>
            </w:pPr>
            <w:r w:rsidRPr="00832571">
              <w:rPr>
                <w:rFonts w:eastAsia="Times New Roman" w:cs="Times New Roman"/>
                <w:b/>
                <w:kern w:val="0"/>
                <w:szCs w:val="20"/>
                <w:lang w:eastAsia="pl-PL"/>
                <w14:ligatures w14:val="none"/>
              </w:rPr>
              <w:t>PODMIOTY WSPÓŁPRACUJĄCE </w:t>
            </w:r>
          </w:p>
        </w:tc>
      </w:tr>
      <w:tr w:rsidR="003B6773" w:rsidRPr="008A5AE2" w14:paraId="5749EB08" w14:textId="77777777" w:rsidTr="00A3130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4A052A3"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58F1AB8"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środowiska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E00E714" w14:textId="77777777" w:rsidR="00346ECA" w:rsidRDefault="00346ECA" w:rsidP="00901FEA">
            <w:pPr>
              <w:spacing w:after="0" w:line="240" w:lineRule="auto"/>
              <w:jc w:val="left"/>
              <w:textAlignment w:val="baseline"/>
              <w:rPr>
                <w:rFonts w:eastAsia="Times New Roman" w:cs="Times New Roman"/>
                <w:color w:val="808080"/>
                <w:kern w:val="0"/>
                <w:sz w:val="18"/>
                <w:szCs w:val="18"/>
                <w:lang w:eastAsia="pl-PL"/>
                <w14:ligatures w14:val="none"/>
              </w:rPr>
            </w:pPr>
            <w:r w:rsidRPr="008A5AE2">
              <w:rPr>
                <w:rFonts w:eastAsia="Times New Roman" w:cs="Times New Roman"/>
                <w:color w:val="808080"/>
                <w:kern w:val="0"/>
                <w:sz w:val="18"/>
                <w:szCs w:val="18"/>
                <w:lang w:eastAsia="pl-PL"/>
                <w14:ligatures w14:val="none"/>
              </w:rPr>
              <w:t xml:space="preserve"> minister wł. ds. </w:t>
            </w:r>
            <w:r>
              <w:rPr>
                <w:rFonts w:eastAsia="Times New Roman" w:cs="Times New Roman"/>
                <w:color w:val="808080"/>
                <w:kern w:val="0"/>
                <w:sz w:val="18"/>
                <w:szCs w:val="18"/>
                <w:lang w:eastAsia="pl-PL"/>
                <w14:ligatures w14:val="none"/>
              </w:rPr>
              <w:t>energii</w:t>
            </w:r>
          </w:p>
          <w:p w14:paraId="23ADA2C3"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 </w:t>
            </w:r>
            <w:r w:rsidRPr="0007178B">
              <w:rPr>
                <w:rFonts w:eastAsia="Times New Roman" w:cs="Times New Roman"/>
                <w:color w:val="808080"/>
                <w:kern w:val="0"/>
                <w:sz w:val="18"/>
                <w:szCs w:val="18"/>
                <w:lang w:eastAsia="pl-PL"/>
                <w14:ligatures w14:val="none"/>
              </w:rPr>
              <w:t>minister wł. ds. gospodarki surowcami energetycznymi</w:t>
            </w:r>
          </w:p>
        </w:tc>
      </w:tr>
    </w:tbl>
    <w:p w14:paraId="49CA63BA" w14:textId="77777777" w:rsidR="00346ECA" w:rsidRPr="008A5AE2" w:rsidRDefault="00346ECA" w:rsidP="00346ECA">
      <w:pPr>
        <w:spacing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 </w:t>
      </w:r>
    </w:p>
    <w:p w14:paraId="7460BDE5" w14:textId="6000BADC" w:rsidR="00346ECA" w:rsidRPr="008A5AE2" w:rsidRDefault="00346ECA" w:rsidP="00D523F3">
      <w:pPr>
        <w:pStyle w:val="Nagwek6"/>
        <w:rPr>
          <w:rFonts w:ascii="Times New Roman" w:hAnsi="Times New Roman"/>
          <w:i/>
          <w:iCs/>
          <w:color w:val="595959"/>
          <w:lang w:eastAsia="pl-PL"/>
        </w:rPr>
      </w:pPr>
      <w:bookmarkStart w:id="1327" w:name="_Toc195865973"/>
      <w:bookmarkStart w:id="1328" w:name="_Ref195891656"/>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119</w:t>
      </w:r>
      <w:r w:rsidRPr="00FB68C2">
        <w:rPr>
          <w:rStyle w:val="Nagwek6Znak"/>
          <w:b/>
        </w:rPr>
        <w:fldChar w:fldCharType="end"/>
      </w:r>
      <w:r w:rsidRPr="00FB68C2">
        <w:rPr>
          <w:rStyle w:val="Nagwek6Znak"/>
          <w:b/>
        </w:rPr>
        <w:t>.</w:t>
      </w:r>
      <w:r w:rsidRPr="008A5AE2">
        <w:rPr>
          <w:lang w:eastAsia="pl-PL"/>
        </w:rPr>
        <w:t xml:space="preserve"> Cykliczna aktualizacja planu działań zapobiegawczych oraz planu na wypadek sytuacji nadzwyczajnej oraz monitoring realizacji zadań wpisanych w planie działań zapobiegawczych</w:t>
      </w:r>
      <w:bookmarkEnd w:id="1327"/>
      <w:bookmarkEnd w:id="1328"/>
      <w:r w:rsidRPr="008A5AE2">
        <w:rPr>
          <w:i/>
          <w:iCs/>
          <w:lang w:eastAsia="pl-PL"/>
        </w:rPr>
        <w:t> </w:t>
      </w:r>
    </w:p>
    <w:p w14:paraId="3E61E68A" w14:textId="77777777" w:rsidR="00346ECA" w:rsidRPr="000F6DBF" w:rsidRDefault="00346ECA" w:rsidP="000F6DBF">
      <w:pPr>
        <w:rPr>
          <w:rFonts w:ascii="Times New Roman" w:hAnsi="Times New Roman"/>
        </w:rPr>
      </w:pPr>
      <w:r w:rsidRPr="000F6DBF">
        <w:t>Działanie polegające na monitoringu postępów w realizacji kluczowych inwestycji zwiększających bezpieczeństwo dostaw gazu ziemnego do krajowych odbiorców wskazanych w planie działań zapobiegawczych oraz na cyklicznej aktualizacji dokumentów: planu działań zapobiegawczych oraz planu na wypadek sytuacji nadzwyczajnej.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1B4A0DC7" w14:textId="77777777" w:rsidTr="00A3130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CD608C9"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75EE175E" wp14:editId="4A03764C">
                  <wp:extent cx="621030" cy="621030"/>
                  <wp:effectExtent l="0" t="0" r="7620" b="7620"/>
                  <wp:docPr id="1197513870" name="Obraz 3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A1BD9E4"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982D59F"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715E29E6" w14:textId="77777777" w:rsidTr="00A3130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2FF5D0B"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9A128FE"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p w14:paraId="56AE6261"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B01065D"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447A502B" w14:textId="77777777" w:rsidR="00346ECA" w:rsidRDefault="00346ECA" w:rsidP="00346ECA">
      <w:pPr>
        <w:spacing w:line="240" w:lineRule="auto"/>
        <w:textAlignment w:val="baseline"/>
        <w:rPr>
          <w:rFonts w:eastAsia="Times New Roman" w:cs="Times New Roman"/>
          <w:kern w:val="0"/>
          <w:szCs w:val="20"/>
          <w:lang w:eastAsia="pl-PL"/>
          <w14:ligatures w14:val="none"/>
        </w:rPr>
      </w:pPr>
    </w:p>
    <w:p w14:paraId="236265F4" w14:textId="325CF187" w:rsidR="00346ECA" w:rsidRPr="008A5AE2" w:rsidRDefault="00346ECA" w:rsidP="00D523F3">
      <w:pPr>
        <w:pStyle w:val="Nagwek6"/>
        <w:rPr>
          <w:rFonts w:ascii="Times New Roman" w:hAnsi="Times New Roman"/>
          <w:i/>
          <w:iCs/>
          <w:color w:val="595959"/>
          <w:lang w:eastAsia="pl-PL"/>
        </w:rPr>
      </w:pPr>
      <w:bookmarkStart w:id="1329" w:name="_Toc195865974"/>
      <w:bookmarkStart w:id="1330" w:name="_Ref195887973"/>
      <w:bookmarkStart w:id="1331" w:name="_Ref195891224"/>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120</w:t>
      </w:r>
      <w:r w:rsidRPr="00FB68C2">
        <w:rPr>
          <w:rStyle w:val="Nagwek6Znak"/>
          <w:b/>
        </w:rPr>
        <w:fldChar w:fldCharType="end"/>
      </w:r>
      <w:r w:rsidRPr="00FB68C2">
        <w:rPr>
          <w:rStyle w:val="Nagwek6Znak"/>
          <w:b/>
        </w:rPr>
        <w:t xml:space="preserve">. </w:t>
      </w:r>
      <w:r w:rsidRPr="008A5AE2">
        <w:rPr>
          <w:lang w:eastAsia="pl-PL"/>
        </w:rPr>
        <w:t>Utrzymanie sprawnych połączeń międzysystemowych i terminalu LNG w</w:t>
      </w:r>
      <w:r w:rsidR="0029236E">
        <w:t> </w:t>
      </w:r>
      <w:r w:rsidRPr="008A5AE2">
        <w:rPr>
          <w:lang w:eastAsia="pl-PL"/>
        </w:rPr>
        <w:t>Świnoujściu</w:t>
      </w:r>
      <w:bookmarkEnd w:id="1329"/>
      <w:bookmarkEnd w:id="1330"/>
      <w:bookmarkEnd w:id="1331"/>
      <w:r w:rsidRPr="008A5AE2">
        <w:rPr>
          <w:i/>
          <w:iCs/>
          <w:lang w:eastAsia="pl-PL"/>
        </w:rPr>
        <w:t> </w:t>
      </w:r>
    </w:p>
    <w:p w14:paraId="10EDFD70" w14:textId="77777777" w:rsidR="00346ECA" w:rsidRPr="000F6DBF" w:rsidRDefault="00346ECA" w:rsidP="000F6DBF">
      <w:pPr>
        <w:rPr>
          <w:rFonts w:ascii="Times New Roman" w:hAnsi="Times New Roman"/>
        </w:rPr>
      </w:pPr>
      <w:r w:rsidRPr="000F6DBF">
        <w:t>Działanie dotyczy podejmowania kompleksowych działań służących zapewnieniu pełnej i stałej funkcjonalności oraz sprawności wszystkich istniejących połączeń transgranicznych oraz terminalu regazyfikacyjnego LNG w Świnoujściu, zapewniających łącznie bezpieczeństwo dostaw gazu ziemnego do krajowych odbiorców oraz możliwość eksportu nadwyżek gazu ziemnego, wzmacniających również bezpieczeństwo dostaw w ujęciu regionalnym. Działanie polega także na zapewnieniu odpowiedniej ochrony fizycznej oraz z zakresu cyberbezpieczeństwa.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12B5E027" w14:textId="77777777" w:rsidTr="00A3130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5206338"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01DE12E9" wp14:editId="3F882B31">
                  <wp:extent cx="621030" cy="621030"/>
                  <wp:effectExtent l="0" t="0" r="7620" b="7620"/>
                  <wp:docPr id="891357689" name="Obraz 3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68B114C"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0233BB1"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62322BD5" w14:textId="77777777" w:rsidTr="00A3130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664EC8A"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8D36910"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p w14:paraId="7172591C"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AD18041"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39C86BA3" w14:textId="27112204" w:rsidR="00346ECA" w:rsidRPr="008A5AE2" w:rsidRDefault="00346ECA" w:rsidP="00D523F3">
      <w:pPr>
        <w:pStyle w:val="Nagwek6"/>
        <w:rPr>
          <w:rFonts w:ascii="Times New Roman" w:eastAsia="Times New Roman" w:hAnsi="Times New Roman" w:cs="Times New Roman"/>
          <w:i/>
          <w:iCs/>
          <w:color w:val="595959"/>
          <w:kern w:val="0"/>
          <w:lang w:eastAsia="pl-PL"/>
          <w14:ligatures w14:val="none"/>
        </w:rPr>
      </w:pPr>
      <w:bookmarkStart w:id="1332" w:name="_Toc195865975"/>
      <w:bookmarkStart w:id="1333" w:name="_Ref195891206"/>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121</w:t>
      </w:r>
      <w:r w:rsidRPr="00FB68C2">
        <w:rPr>
          <w:rStyle w:val="Nagwek6Znak"/>
          <w:b/>
        </w:rPr>
        <w:fldChar w:fldCharType="end"/>
      </w:r>
      <w:r w:rsidRPr="00FB68C2">
        <w:rPr>
          <w:rStyle w:val="Nagwek6Znak"/>
          <w:b/>
        </w:rPr>
        <w:t xml:space="preserve">. </w:t>
      </w:r>
      <w:r w:rsidRPr="008A5AE2">
        <w:rPr>
          <w:rFonts w:eastAsia="Times New Roman" w:cs="Times New Roman"/>
          <w:bCs/>
          <w:color w:val="000000"/>
          <w:kern w:val="0"/>
          <w:lang w:eastAsia="pl-PL"/>
          <w14:ligatures w14:val="none"/>
        </w:rPr>
        <w:t>Budowa terminalu FSRU w Zatoce Gdańskiej</w:t>
      </w:r>
      <w:bookmarkEnd w:id="1332"/>
      <w:bookmarkEnd w:id="1333"/>
      <w:r w:rsidRPr="008A5AE2">
        <w:rPr>
          <w:rFonts w:eastAsia="Times New Roman" w:cs="Times New Roman"/>
          <w:i/>
          <w:iCs/>
          <w:color w:val="000000"/>
          <w:kern w:val="0"/>
          <w:lang w:eastAsia="pl-PL"/>
          <w14:ligatures w14:val="none"/>
        </w:rPr>
        <w:t> </w:t>
      </w:r>
    </w:p>
    <w:p w14:paraId="58D61D36" w14:textId="4E729D4C" w:rsidR="00346ECA" w:rsidRPr="00F76036" w:rsidRDefault="00346ECA" w:rsidP="000F6DBF">
      <w:pPr>
        <w:rPr>
          <w:rFonts w:ascii="Times New Roman" w:hAnsi="Times New Roman"/>
        </w:rPr>
      </w:pPr>
      <w:r w:rsidRPr="000F6DBF">
        <w:t xml:space="preserve">Celem jest stworzenie infrastruktury, która umożliwi odbiór dostarczanego drogą morską skroplonego gazu ziemnego (LNG), jego regazyfikację oraz wprowadzenie do Krajowego Systemu Przesyłowego gazu. Program zakłada umiejscowienie w Zatoce Gdańskiej pływającej jednostki FSRU (ang. </w:t>
      </w:r>
      <w:r w:rsidRPr="00735F4B">
        <w:rPr>
          <w:i/>
          <w:iCs/>
        </w:rPr>
        <w:t>Floating Storage Regasification Unit</w:t>
      </w:r>
      <w:r w:rsidRPr="000F6DBF">
        <w:t>), czyli zacumowanego na stałe statku, zdolnego do wyładunku, procesowego składowania i</w:t>
      </w:r>
      <w:r w:rsidRPr="000F6DBF">
        <w:rPr>
          <w:rFonts w:ascii="Arial" w:hAnsi="Arial"/>
        </w:rPr>
        <w:t> </w:t>
      </w:r>
      <w:r w:rsidRPr="000F6DBF">
        <w:t>regazyfikacji LNG, a także do świadczenia usług dodatkowych. Terminal FSRU będzie przystosowany do odbioru co najmniej 6,1 mld m</w:t>
      </w:r>
      <w:r w:rsidRPr="000F6DBF">
        <w:rPr>
          <w:sz w:val="16"/>
          <w:vertAlign w:val="superscript"/>
        </w:rPr>
        <w:t>3</w:t>
      </w:r>
      <w:r w:rsidRPr="000F6DBF">
        <w:t xml:space="preserve"> gazu ziemnego rocznie. Rozruch technologiczny i</w:t>
      </w:r>
      <w:r w:rsidR="0029236E">
        <w:t> </w:t>
      </w:r>
      <w:r w:rsidRPr="000F6DBF">
        <w:t>uruchomienie gdańskiego terminala planowane są na przełomie 2027 i 2028 r. Inwestycja prowadzona jest przy wsparciu i wykorzystaniu funduszy Unii Europejskiej</w:t>
      </w:r>
      <w:r w:rsidRPr="00F76036">
        <w:t>. Komisja Europejska w ramach instrumentu „Łącząc Europę” przyznała projektowi LNG Gdańsk dofinansowanie na prace przygotowawcze. Komisja Europejska uwzględniła również gazociągi lądowe planowane do realizacji w ramach Programu FSRU w</w:t>
      </w:r>
      <w:r w:rsidR="0029236E">
        <w:t> </w:t>
      </w:r>
      <w:r w:rsidRPr="00F76036">
        <w:t xml:space="preserve">części pożyczkowej Krajowego Planu Odbudowy i Zwiększania Odporności (KPO) w rozdziale REPowerEU dotyczącym rozwoju infrastruktury niezbędnej do zaspokojenia najpilniejszych potrzeb związanych z bezpieczeństwem dostaw. Program FSRU podzielony jest na trzy główne projekty składowe: </w:t>
      </w:r>
      <w:r w:rsidR="00B74121">
        <w:rPr>
          <w:lang w:eastAsia="pl-PL"/>
        </w:rPr>
        <w:t>j</w:t>
      </w:r>
      <w:r w:rsidRPr="008A5AE2">
        <w:rPr>
          <w:lang w:eastAsia="pl-PL"/>
        </w:rPr>
        <w:t>ednostka</w:t>
      </w:r>
      <w:r w:rsidRPr="00F76036">
        <w:t xml:space="preserve"> FSRU, </w:t>
      </w:r>
      <w:r w:rsidR="00B74121">
        <w:rPr>
          <w:lang w:eastAsia="pl-PL"/>
        </w:rPr>
        <w:t>o</w:t>
      </w:r>
      <w:r w:rsidRPr="008A5AE2">
        <w:rPr>
          <w:lang w:eastAsia="pl-PL"/>
        </w:rPr>
        <w:t>ffshore</w:t>
      </w:r>
      <w:r w:rsidRPr="00F76036">
        <w:t xml:space="preserve"> </w:t>
      </w:r>
      <w:r w:rsidRPr="008A5AE2">
        <w:rPr>
          <w:lang w:eastAsia="pl-PL"/>
        </w:rPr>
        <w:t>i</w:t>
      </w:r>
      <w:r w:rsidRPr="008A5AE2">
        <w:rPr>
          <w:rFonts w:ascii="Arial" w:hAnsi="Arial" w:cs="Arial"/>
          <w:lang w:eastAsia="pl-PL"/>
        </w:rPr>
        <w:t> </w:t>
      </w:r>
      <w:r w:rsidR="00B74121">
        <w:rPr>
          <w:rFonts w:ascii="Arial" w:hAnsi="Arial" w:cs="Arial"/>
          <w:lang w:eastAsia="pl-PL"/>
        </w:rPr>
        <w:t>o</w:t>
      </w:r>
      <w:r w:rsidRPr="008A5AE2">
        <w:rPr>
          <w:lang w:eastAsia="pl-PL"/>
        </w:rPr>
        <w:t>nshore</w:t>
      </w:r>
      <w:r w:rsidRPr="00F76036">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60"/>
        <w:gridCol w:w="3870"/>
        <w:gridCol w:w="3960"/>
      </w:tblGrid>
      <w:tr w:rsidR="00F76036" w:rsidRPr="008A5AE2" w14:paraId="01EB3FBB" w14:textId="77777777">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4DF3BFDF" w14:textId="77777777" w:rsidR="00F76036" w:rsidRPr="008A5AE2" w:rsidRDefault="00F76036">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 </w:t>
            </w:r>
            <w:r w:rsidRPr="008A5AE2">
              <w:rPr>
                <w:rFonts w:ascii="Times New Roman" w:eastAsia="Times New Roman" w:hAnsi="Times New Roman" w:cs="Times New Roman"/>
                <w:noProof/>
                <w:kern w:val="0"/>
                <w:lang w:eastAsia="pl-PL"/>
                <w14:ligatures w14:val="none"/>
              </w:rPr>
              <w:drawing>
                <wp:inline distT="0" distB="0" distL="0" distR="0" wp14:anchorId="52ACB3A0" wp14:editId="4673EA53">
                  <wp:extent cx="621030" cy="621030"/>
                  <wp:effectExtent l="0" t="0" r="7620" b="7620"/>
                  <wp:docPr id="399648587"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B14A8C1"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29AA652"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F76036" w:rsidRPr="008A5AE2" w14:paraId="45CC88E6"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8F8954B" w14:textId="77777777" w:rsidR="00F76036" w:rsidRPr="008A5AE2" w:rsidRDefault="00F76036">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3843D1A" w14:textId="6766AE8C"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1FF9A3B" w14:textId="12F783F6"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p>
        </w:tc>
      </w:tr>
    </w:tbl>
    <w:p w14:paraId="1B1C594F" w14:textId="7D86E4EB" w:rsidR="00346ECA" w:rsidRDefault="00346ECA" w:rsidP="00346ECA">
      <w:pPr>
        <w:spacing w:line="240" w:lineRule="auto"/>
        <w:textAlignment w:val="baseline"/>
        <w:rPr>
          <w:rFonts w:eastAsia="Times New Roman" w:cs="Times New Roman"/>
          <w:kern w:val="0"/>
          <w:szCs w:val="20"/>
          <w:lang w:eastAsia="pl-PL"/>
          <w14:ligatures w14:val="none"/>
        </w:rPr>
      </w:pPr>
    </w:p>
    <w:p w14:paraId="299AE698" w14:textId="31A68DBF" w:rsidR="00346ECA" w:rsidRPr="00D53D10" w:rsidRDefault="00346ECA" w:rsidP="00D523F3">
      <w:pPr>
        <w:pStyle w:val="Nagwek6"/>
        <w:rPr>
          <w:rFonts w:ascii="Lato" w:hAnsi="Lato"/>
          <w:sz w:val="20"/>
          <w:szCs w:val="20"/>
          <w:lang w:eastAsia="pl-PL"/>
        </w:rPr>
      </w:pPr>
      <w:bookmarkStart w:id="1334" w:name="_Toc195865976"/>
      <w:bookmarkStart w:id="1335" w:name="_Ref195887988"/>
      <w:bookmarkStart w:id="1336" w:name="_Ref195891413"/>
      <w:bookmarkStart w:id="1337" w:name="_Ref195891611"/>
      <w:bookmarkStart w:id="1338" w:name="_Ref195892556"/>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122</w:t>
      </w:r>
      <w:r w:rsidRPr="00FB68C2">
        <w:rPr>
          <w:rStyle w:val="Nagwek6Znak"/>
          <w:b/>
        </w:rPr>
        <w:fldChar w:fldCharType="end"/>
      </w:r>
      <w:r w:rsidRPr="00FB68C2">
        <w:rPr>
          <w:rStyle w:val="Nagwek6Znak"/>
          <w:b/>
        </w:rPr>
        <w:t xml:space="preserve">. </w:t>
      </w:r>
      <w:r w:rsidRPr="008A5AE2">
        <w:rPr>
          <w:lang w:eastAsia="pl-PL"/>
        </w:rPr>
        <w:t>Zwiększanie pojemności i mocy odbioru systemu magazynowania paliw gazowych</w:t>
      </w:r>
      <w:bookmarkEnd w:id="1334"/>
      <w:bookmarkEnd w:id="1335"/>
      <w:bookmarkEnd w:id="1336"/>
      <w:bookmarkEnd w:id="1337"/>
      <w:bookmarkEnd w:id="1338"/>
      <w:r w:rsidRPr="008A5AE2">
        <w:rPr>
          <w:i/>
          <w:iCs/>
          <w:lang w:eastAsia="pl-PL"/>
        </w:rPr>
        <w:t> </w:t>
      </w:r>
    </w:p>
    <w:p w14:paraId="368D2638" w14:textId="6439C2F3" w:rsidR="00346ECA" w:rsidRDefault="00346ECA" w:rsidP="000F6DBF">
      <w:r w:rsidRPr="000F6DBF">
        <w:t>Działanie polega na zrealizowaniu inwestycji infrastrukturalnych skutkujących zwiększeniem pojemności czynnych systemu magazynowania paliw gazowych oraz zwiększeniu maksymalnej mocy odbioru z</w:t>
      </w:r>
      <w:r w:rsidR="0029236E">
        <w:t> </w:t>
      </w:r>
      <w:r w:rsidRPr="000F6DBF">
        <w:t>instalacji magazynowych, co łącznie wpłynie na stabilność funkcjonowania systemu w szczególności w</w:t>
      </w:r>
      <w:r w:rsidR="0029236E">
        <w:t> </w:t>
      </w:r>
      <w:r w:rsidRPr="000F6DBF">
        <w:t>sezonie zimowym oraz zapewni fundament dla właściwego dalszego rozwoju rynku gazu i prowadzenia działalności handlowej w tym sektorze.</w:t>
      </w:r>
      <w:r w:rsidR="003E2DE5">
        <w:rPr>
          <w:rFonts w:eastAsia="Times New Roman" w:cs="Times New Roman"/>
          <w:kern w:val="0"/>
          <w:szCs w:val="20"/>
          <w:lang w:eastAsia="pl-PL"/>
          <w14:ligatures w14:val="none"/>
        </w:rPr>
        <w:t xml:space="preserve"> </w:t>
      </w:r>
      <w:r w:rsidRPr="000F6DBF">
        <w:t>Elastyczny system magazynowania może także odegrać pozytywną rolę w rozwoju rynku OZE, dzięki możliwości składowania biometanu w instalacjach magazynowych. </w:t>
      </w:r>
    </w:p>
    <w:p w14:paraId="16F53088" w14:textId="77777777" w:rsidR="00F76036" w:rsidRDefault="00F76036" w:rsidP="000F6DBF"/>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60"/>
        <w:gridCol w:w="3870"/>
        <w:gridCol w:w="3960"/>
      </w:tblGrid>
      <w:tr w:rsidR="00F76036" w:rsidRPr="008A5AE2" w14:paraId="5C428F5C" w14:textId="77777777">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1761DF68" w14:textId="77777777" w:rsidR="00F76036" w:rsidRPr="008A5AE2" w:rsidRDefault="00F76036">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 </w:t>
            </w:r>
            <w:r w:rsidRPr="008A5AE2">
              <w:rPr>
                <w:rFonts w:ascii="Times New Roman" w:eastAsia="Times New Roman" w:hAnsi="Times New Roman" w:cs="Times New Roman"/>
                <w:noProof/>
                <w:kern w:val="0"/>
                <w:lang w:eastAsia="pl-PL"/>
                <w14:ligatures w14:val="none"/>
              </w:rPr>
              <w:drawing>
                <wp:inline distT="0" distB="0" distL="0" distR="0" wp14:anchorId="1F9AE7BF" wp14:editId="14B95192">
                  <wp:extent cx="621030" cy="621030"/>
                  <wp:effectExtent l="0" t="0" r="7620" b="7620"/>
                  <wp:docPr id="487078823"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0C45EFE"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87CF152"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F76036" w:rsidRPr="008A5AE2" w14:paraId="4581CCCE"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0829B96" w14:textId="77777777" w:rsidR="00F76036" w:rsidRPr="008A5AE2" w:rsidRDefault="00F76036">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D9770D5"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0E94B0D" w14:textId="77777777" w:rsidR="00F76036" w:rsidRPr="008A5AE2" w:rsidRDefault="00F76036" w:rsidP="00F76036">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klimatu</w:t>
            </w:r>
            <w:r>
              <w:rPr>
                <w:rFonts w:eastAsia="Times New Roman" w:cs="Times New Roman"/>
                <w:color w:val="808080"/>
                <w:kern w:val="0"/>
                <w:sz w:val="18"/>
                <w:szCs w:val="18"/>
                <w:lang w:eastAsia="pl-PL"/>
                <w14:ligatures w14:val="none"/>
              </w:rPr>
              <w:t xml:space="preserve"> </w:t>
            </w:r>
          </w:p>
          <w:p w14:paraId="25D05CB8" w14:textId="1199ED00" w:rsidR="00F76036" w:rsidRPr="008A5AE2" w:rsidRDefault="00F76036" w:rsidP="00F76036">
            <w:pPr>
              <w:spacing w:after="0" w:line="240" w:lineRule="auto"/>
              <w:jc w:val="left"/>
              <w:textAlignment w:val="baseline"/>
              <w:rPr>
                <w:rFonts w:ascii="Times New Roman" w:eastAsia="Times New Roman" w:hAnsi="Times New Roman" w:cs="Times New Roman"/>
                <w:kern w:val="0"/>
                <w:lang w:eastAsia="pl-PL"/>
                <w14:ligatures w14:val="none"/>
              </w:rPr>
            </w:pPr>
          </w:p>
        </w:tc>
      </w:tr>
    </w:tbl>
    <w:p w14:paraId="78F44DA0" w14:textId="4F875ED2" w:rsidR="00346ECA" w:rsidRPr="008A5AE2" w:rsidRDefault="00346ECA" w:rsidP="00D523F3">
      <w:pPr>
        <w:pStyle w:val="Nagwek6"/>
        <w:rPr>
          <w:rFonts w:ascii="Times New Roman" w:hAnsi="Times New Roman"/>
          <w:i/>
          <w:iCs/>
          <w:color w:val="595959"/>
          <w:lang w:eastAsia="pl-PL"/>
        </w:rPr>
      </w:pPr>
      <w:bookmarkStart w:id="1339" w:name="_Toc195865977"/>
      <w:bookmarkStart w:id="1340" w:name="_Ref195891622"/>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123</w:t>
      </w:r>
      <w:r w:rsidRPr="00FB68C2">
        <w:rPr>
          <w:rStyle w:val="Nagwek6Znak"/>
          <w:b/>
        </w:rPr>
        <w:fldChar w:fldCharType="end"/>
      </w:r>
      <w:r w:rsidRPr="00FB68C2">
        <w:rPr>
          <w:rStyle w:val="Nagwek6Znak"/>
          <w:b/>
        </w:rPr>
        <w:t xml:space="preserve">. </w:t>
      </w:r>
      <w:r w:rsidRPr="008A5AE2">
        <w:rPr>
          <w:lang w:eastAsia="pl-PL"/>
        </w:rPr>
        <w:t>Rozbudowa i modernizacja systemu gazowego przesyłowego i</w:t>
      </w:r>
      <w:r w:rsidRPr="008A5AE2">
        <w:rPr>
          <w:rFonts w:ascii="Arial" w:hAnsi="Arial" w:cs="Arial"/>
          <w:lang w:eastAsia="pl-PL"/>
        </w:rPr>
        <w:t> </w:t>
      </w:r>
      <w:r w:rsidRPr="008A5AE2">
        <w:rPr>
          <w:lang w:eastAsia="pl-PL"/>
        </w:rPr>
        <w:t>dystrybucyjnego zgodnie z przyj</w:t>
      </w:r>
      <w:r w:rsidRPr="008A5AE2">
        <w:rPr>
          <w:rFonts w:cs="Bahnschrift"/>
          <w:lang w:eastAsia="pl-PL"/>
        </w:rPr>
        <w:t>ę</w:t>
      </w:r>
      <w:r w:rsidRPr="008A5AE2">
        <w:rPr>
          <w:lang w:eastAsia="pl-PL"/>
        </w:rPr>
        <w:t>tymi planami rozwoju oraz ich aktualizacjami</w:t>
      </w:r>
      <w:bookmarkEnd w:id="1339"/>
      <w:bookmarkEnd w:id="1340"/>
      <w:r w:rsidRPr="008A5AE2">
        <w:rPr>
          <w:i/>
          <w:iCs/>
          <w:lang w:eastAsia="pl-PL"/>
        </w:rPr>
        <w:t> </w:t>
      </w:r>
    </w:p>
    <w:p w14:paraId="4F52FD38" w14:textId="77EFDD57" w:rsidR="00346ECA" w:rsidRPr="000F6DBF" w:rsidRDefault="00346ECA" w:rsidP="000F6DBF">
      <w:pPr>
        <w:rPr>
          <w:rFonts w:ascii="Times New Roman" w:hAnsi="Times New Roman"/>
        </w:rPr>
      </w:pPr>
      <w:r w:rsidRPr="000F6DBF">
        <w:t>Działanie ma na celu zapewnienie prawidłowego rozwoju systemu gazowego, w sposób uzgodniony z</w:t>
      </w:r>
      <w:r w:rsidR="00B74121">
        <w:rPr>
          <w:lang w:eastAsia="pl-PL"/>
        </w:rPr>
        <w:t> </w:t>
      </w:r>
      <w:r w:rsidRPr="000F6DBF">
        <w:t>uczestnikami rynku i spełniający ich oczekiwania. Realizacja działania zapewni poczucie funkcjonowania na stabilnym rynku, charakteryzującym się przewidywalnością w zakresie rozwoju infrastruktury służącej do transportu paliw gazowych, co ułatwi podejmowanie decyzji dotyczących zasadności wykorzystania gazu ziemnego jako paliwa przejściowego wśród obecnych i przyszłych odbiorców paliw gazowych. Rozbudowa bądź modernizacja systemu gazowego powinna być realizowana z uwzględnieniem planów przyłączenia i odbioru paliwa gazowego z instalacji produkcji biometanu.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60"/>
        <w:gridCol w:w="3870"/>
        <w:gridCol w:w="3960"/>
      </w:tblGrid>
      <w:tr w:rsidR="00F76036" w:rsidRPr="008A5AE2" w14:paraId="64519371" w14:textId="77777777">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0C4044AD" w14:textId="77777777" w:rsidR="00F76036" w:rsidRPr="008A5AE2" w:rsidRDefault="00F76036">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 </w:t>
            </w:r>
            <w:r w:rsidRPr="008A5AE2">
              <w:rPr>
                <w:rFonts w:ascii="Times New Roman" w:eastAsia="Times New Roman" w:hAnsi="Times New Roman" w:cs="Times New Roman"/>
                <w:noProof/>
                <w:kern w:val="0"/>
                <w:lang w:eastAsia="pl-PL"/>
                <w14:ligatures w14:val="none"/>
              </w:rPr>
              <w:drawing>
                <wp:inline distT="0" distB="0" distL="0" distR="0" wp14:anchorId="4291EBFE" wp14:editId="73174045">
                  <wp:extent cx="621030" cy="621030"/>
                  <wp:effectExtent l="0" t="0" r="7620" b="7620"/>
                  <wp:docPr id="158436602"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89769FB"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3C98074"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F76036" w:rsidRPr="008A5AE2" w14:paraId="6CA9A0FD"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89243D3" w14:textId="77777777" w:rsidR="00F76036" w:rsidRPr="008A5AE2" w:rsidRDefault="00F76036">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E40AD1A" w14:textId="77777777" w:rsidR="00F76036" w:rsidRPr="008A5AE2" w:rsidRDefault="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0AD9D96" w14:textId="77777777" w:rsidR="00F76036" w:rsidRPr="008A5AE2" w:rsidRDefault="00F76036" w:rsidP="00F76036">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klimatu</w:t>
            </w:r>
            <w:r>
              <w:rPr>
                <w:rFonts w:eastAsia="Times New Roman" w:cs="Times New Roman"/>
                <w:color w:val="808080"/>
                <w:kern w:val="0"/>
                <w:sz w:val="18"/>
                <w:szCs w:val="18"/>
                <w:lang w:eastAsia="pl-PL"/>
                <w14:ligatures w14:val="none"/>
              </w:rPr>
              <w:t xml:space="preserve"> </w:t>
            </w:r>
          </w:p>
          <w:p w14:paraId="623D81CE" w14:textId="5F836772" w:rsidR="00F76036" w:rsidRPr="008A5AE2" w:rsidRDefault="00F76036" w:rsidP="00F76036">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Prezes URE </w:t>
            </w:r>
          </w:p>
        </w:tc>
      </w:tr>
    </w:tbl>
    <w:p w14:paraId="3DC91E31" w14:textId="77777777" w:rsidR="00346ECA" w:rsidRDefault="00346ECA" w:rsidP="00346ECA">
      <w:pPr>
        <w:spacing w:line="240" w:lineRule="auto"/>
        <w:textAlignment w:val="baseline"/>
        <w:rPr>
          <w:rFonts w:eastAsia="Times New Roman" w:cs="Times New Roman"/>
          <w:kern w:val="0"/>
          <w:szCs w:val="20"/>
          <w:lang w:eastAsia="pl-PL"/>
          <w14:ligatures w14:val="none"/>
        </w:rPr>
      </w:pPr>
      <w:r w:rsidRPr="008A5AE2">
        <w:rPr>
          <w:rFonts w:eastAsia="Times New Roman" w:cs="Times New Roman"/>
          <w:kern w:val="0"/>
          <w:szCs w:val="20"/>
          <w:lang w:eastAsia="pl-PL"/>
          <w14:ligatures w14:val="none"/>
        </w:rPr>
        <w:t> </w:t>
      </w:r>
    </w:p>
    <w:p w14:paraId="3BBDBAAC" w14:textId="6CA588D0" w:rsidR="00346ECA" w:rsidRPr="003A1F87" w:rsidRDefault="00346ECA" w:rsidP="00D523F3">
      <w:pPr>
        <w:pStyle w:val="Nagwek6"/>
        <w:rPr>
          <w:lang w:eastAsia="pl-PL"/>
        </w:rPr>
      </w:pPr>
      <w:bookmarkStart w:id="1341" w:name="_Toc195865978"/>
      <w:bookmarkStart w:id="1342" w:name="_Ref195892570"/>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124</w:t>
      </w:r>
      <w:r w:rsidRPr="00FB68C2">
        <w:rPr>
          <w:rStyle w:val="Nagwek6Znak"/>
          <w:b/>
        </w:rPr>
        <w:fldChar w:fldCharType="end"/>
      </w:r>
      <w:r w:rsidRPr="00FB68C2">
        <w:rPr>
          <w:rStyle w:val="Nagwek6Znak"/>
          <w:b/>
        </w:rPr>
        <w:t xml:space="preserve">. </w:t>
      </w:r>
      <w:r w:rsidRPr="003A1F87">
        <w:rPr>
          <w:lang w:eastAsia="pl-PL"/>
        </w:rPr>
        <w:t>Wsparcie dla realizacji Nordycko-Bałtyckiego Korytarza Wodorowego oraz</w:t>
      </w:r>
      <w:r w:rsidR="0029236E">
        <w:rPr>
          <w:lang w:eastAsia="pl-PL"/>
        </w:rPr>
        <w:t> </w:t>
      </w:r>
      <w:r w:rsidRPr="003A1F87">
        <w:rPr>
          <w:lang w:eastAsia="pl-PL"/>
        </w:rPr>
        <w:t>innej infrastruktury do przesyłu wodoru o charakterze transgranicznym</w:t>
      </w:r>
      <w:bookmarkEnd w:id="1341"/>
      <w:bookmarkEnd w:id="1342"/>
    </w:p>
    <w:p w14:paraId="78AF3F6F" w14:textId="3B237245" w:rsidR="00346ECA" w:rsidRPr="00901FEA" w:rsidRDefault="00346ECA" w:rsidP="000F6DBF">
      <w:pPr>
        <w:spacing w:after="240"/>
        <w:rPr>
          <w:rFonts w:ascii="Times New Roman" w:hAnsi="Times New Roman"/>
        </w:rPr>
      </w:pPr>
      <w:r w:rsidRPr="000F6DBF">
        <w:t>Polska będzie wspierać projekt polegający na budowie korytarza przesyłu wodoru przebiegającego przez kraje nordyckie i basen Morza Bałtyckiego na szczeblu rządowym. Wsparcie powinno polegać na wsparciu rządowym (politycznym) projektów realizujących polskie strategie w obszarze wodoru i energii, na forach UE i międzynarodowych, w tym podejmowanie niezbędnych rozmów z przedstawicielami rządów państw zaangażowanych w realizację projektów o strategicznym dla dekarbonizacji znaczeniu dla Polski. Wsparcie powinno polegać tez na zapewnieniu poparcia rządowego dla polskich projektów lub projektów międzynarodowych, w których uczestniczą polscy przedsiębiorcy, które to projekty realizują polskie cele klimatyczne i polityki w obszarze wodoru i energii, w ubieganiu się o</w:t>
      </w:r>
      <w:r w:rsidR="003E2DE5">
        <w:rPr>
          <w:rFonts w:eastAsia="Times New Roman" w:cs="Times New Roman"/>
          <w:kern w:val="0"/>
          <w:szCs w:val="20"/>
          <w:lang w:eastAsia="pl-PL"/>
          <w14:ligatures w14:val="none"/>
        </w:rPr>
        <w:t xml:space="preserve"> </w:t>
      </w:r>
      <w:r w:rsidRPr="000F6DBF">
        <w:t>dofinansowanie na ich realizację ze środków UE i środków zagranicznych</w:t>
      </w:r>
      <w:r w:rsidRPr="00F76036">
        <w:t xml:space="preserve">. Projekt korytarza wodorowego będzie uwzględniał możliwość dystrybucji wodoru z północy na południe Polski, ze względu na projektowany rozkład podaży-popytu energii przy wzroście projektowanych mocy (zwłaszcza </w:t>
      </w:r>
      <w:r w:rsidR="00B74121">
        <w:rPr>
          <w:lang w:eastAsia="pl-PL"/>
        </w:rPr>
        <w:t>morskich i lądowych elektrowni wiatrowych oraz elektrowni jądrowej</w:t>
      </w:r>
      <w:r w:rsidRPr="00901FEA">
        <w:t>) na północy Polski.</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60"/>
        <w:gridCol w:w="3870"/>
        <w:gridCol w:w="3960"/>
      </w:tblGrid>
      <w:tr w:rsidR="003B6773" w:rsidRPr="008A5AE2" w14:paraId="56B84CDE" w14:textId="77777777" w:rsidTr="00B74121">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6217530"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 </w:t>
            </w:r>
            <w:r w:rsidRPr="008A5AE2">
              <w:rPr>
                <w:rFonts w:ascii="Times New Roman" w:eastAsia="Times New Roman" w:hAnsi="Times New Roman" w:cs="Times New Roman"/>
                <w:noProof/>
                <w:kern w:val="0"/>
                <w:lang w:eastAsia="pl-PL"/>
                <w14:ligatures w14:val="none"/>
              </w:rPr>
              <w:drawing>
                <wp:inline distT="0" distB="0" distL="0" distR="0" wp14:anchorId="7321F712" wp14:editId="7910650C">
                  <wp:extent cx="621030" cy="621030"/>
                  <wp:effectExtent l="0" t="0" r="7620" b="7620"/>
                  <wp:docPr id="545181212" name="Obraz 2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C99B9FB"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080C2A7"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046E1047"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769D66F"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2544ED8"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7618B4F"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p w14:paraId="242A438C" w14:textId="77777777" w:rsidR="00346ECA" w:rsidRPr="008A5AE2"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0D733309" w14:textId="26F2A085" w:rsidR="00346ECA" w:rsidRPr="003A1F87" w:rsidRDefault="00346ECA" w:rsidP="00D523F3">
      <w:pPr>
        <w:pStyle w:val="Nagwek6"/>
        <w:rPr>
          <w:lang w:eastAsia="pl-PL"/>
        </w:rPr>
      </w:pPr>
      <w:bookmarkStart w:id="1343" w:name="_Toc195865979"/>
      <w:bookmarkStart w:id="1344" w:name="_Ref195892593"/>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125</w:t>
      </w:r>
      <w:r w:rsidRPr="00FB68C2">
        <w:rPr>
          <w:rStyle w:val="Nagwek6Znak"/>
          <w:b/>
        </w:rPr>
        <w:fldChar w:fldCharType="end"/>
      </w:r>
      <w:r w:rsidRPr="00FB68C2">
        <w:rPr>
          <w:rStyle w:val="Nagwek6Znak"/>
          <w:b/>
        </w:rPr>
        <w:t xml:space="preserve">. </w:t>
      </w:r>
      <w:r w:rsidRPr="003A1F87">
        <w:rPr>
          <w:lang w:eastAsia="pl-PL"/>
        </w:rPr>
        <w:t>Analiza potencjału wielkoskalowego magazynowania wodoru w</w:t>
      </w:r>
      <w:r w:rsidRPr="003A1F87">
        <w:rPr>
          <w:rFonts w:ascii="Arial" w:hAnsi="Arial" w:cs="Arial"/>
          <w:lang w:eastAsia="pl-PL"/>
        </w:rPr>
        <w:t> </w:t>
      </w:r>
      <w:r w:rsidRPr="003A1F87">
        <w:rPr>
          <w:lang w:eastAsia="pl-PL"/>
        </w:rPr>
        <w:t>kawernach solnych</w:t>
      </w:r>
      <w:bookmarkEnd w:id="1343"/>
      <w:bookmarkEnd w:id="1344"/>
      <w:r w:rsidRPr="003A1F87">
        <w:rPr>
          <w:lang w:eastAsia="pl-PL"/>
        </w:rPr>
        <w:t xml:space="preserve"> </w:t>
      </w:r>
    </w:p>
    <w:p w14:paraId="17799F70" w14:textId="37726BA0" w:rsidR="00346ECA" w:rsidRPr="000F6DBF" w:rsidRDefault="00346ECA" w:rsidP="000F6DBF">
      <w:r w:rsidRPr="00901FEA">
        <w:t xml:space="preserve">Działanie ma na celu szczegółowe zbadanie i ocenę potencjału technicznego oraz </w:t>
      </w:r>
      <w:r w:rsidR="00327D12" w:rsidRPr="00901FEA">
        <w:t>ekonomicznego</w:t>
      </w:r>
      <w:r w:rsidR="00327D12">
        <w:t xml:space="preserve"> magazynowania</w:t>
      </w:r>
      <w:r w:rsidRPr="00901FEA">
        <w:t xml:space="preserve"> wodoru w kawernach solnych na terenie Polski. Naturalne właściwości kawern solnych, takie jak ich szczelność, duża objętość oraz możliwość utrzymania wysokiego ciśnienia, czynią je</w:t>
      </w:r>
      <w:r w:rsidR="0029236E">
        <w:t> </w:t>
      </w:r>
      <w:r w:rsidRPr="00901FEA">
        <w:t xml:space="preserve">atrakcyjnymi obiektami do długoterminowego przechowywania energii w postaci wodoru. Jednakże obecny stan wiedzy na temat </w:t>
      </w:r>
      <w:r w:rsidRPr="000F6DBF">
        <w:t>możliwości wykorzystania tego rodzaju magazynów energii na terenie kraju pozostaje ograniczony.</w:t>
      </w:r>
    </w:p>
    <w:p w14:paraId="2FE643E3" w14:textId="3B97A135" w:rsidR="00346ECA" w:rsidRPr="000F6DBF" w:rsidRDefault="00346ECA" w:rsidP="000F6DBF">
      <w:pPr>
        <w:spacing w:after="240"/>
        <w:rPr>
          <w:rFonts w:ascii="Times New Roman" w:hAnsi="Times New Roman"/>
        </w:rPr>
      </w:pPr>
      <w:r w:rsidRPr="000F6DBF">
        <w:t>Działanie obejmuje prace badawcze, w tym w tym wykorzystanie dotychczasowej wiedzy w zakresie możliwości wykorzystania struktur geologicznych w Polsce do magazynowania wodoru w kawernach solnych oraz dodatkowe badania geologiczne. Potrzebne jest określenie lokalizacji i możliwej do uzyskania pojemności kawern, oraz określenie możliwości wykorzystania w kontekście planowanych korytarzy wodorowych, sieci wodorowych oraz innej infrastruktury, w tym portowej umożliwiającej import wodoru lub amoniaku. Analiza powinna uwzględniać przeznaczenie kawern do magazynowania wodoru zarówno na potrzeby polskie jak i na potrzeby Europejskie. Konieczne jest ustalenie możliwości wykorzystania polskich kawern do magazynowania wodoru na potrzeby transformacyjne zarówno Polski jak i Europy. Kawerny solne powinny wpisywać się w tworzący się ekosystem wodorowy oraz uwzględniać warunki techniczne konieczne do bezpiecznego magazynowania wodoru, potencjalnie bariery technicznych, środowiskowe i regulacyjne. Analiza powinna także oszacować ekonomiczną opłacalność inwestycji.</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6A8CC63B" w14:textId="77777777" w:rsidTr="00B74121">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2FC717C9"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050172C7" wp14:editId="239CE1AF">
                  <wp:extent cx="621030" cy="621030"/>
                  <wp:effectExtent l="0" t="0" r="7620" b="7620"/>
                  <wp:docPr id="2046193437" name="Obraz 2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3E835F7"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E6B0431"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64331B95"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59DBE25"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F945CD1"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9B9B3C9"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środowiska </w:t>
            </w:r>
          </w:p>
        </w:tc>
      </w:tr>
    </w:tbl>
    <w:p w14:paraId="17B5FCD2" w14:textId="55B0CD87" w:rsidR="00346ECA" w:rsidRPr="008A5AE2" w:rsidRDefault="00346ECA" w:rsidP="00D523F3">
      <w:pPr>
        <w:pStyle w:val="Nagwek6"/>
        <w:rPr>
          <w:rFonts w:ascii="Times New Roman" w:hAnsi="Times New Roman"/>
          <w:i/>
          <w:iCs/>
          <w:color w:val="595959"/>
          <w:lang w:eastAsia="pl-PL"/>
        </w:rPr>
      </w:pPr>
      <w:bookmarkStart w:id="1345" w:name="_Toc195865980"/>
      <w:bookmarkStart w:id="1346" w:name="_Ref195892775"/>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126</w:t>
      </w:r>
      <w:r w:rsidRPr="00FB68C2">
        <w:rPr>
          <w:rStyle w:val="Nagwek6Znak"/>
          <w:b/>
        </w:rPr>
        <w:fldChar w:fldCharType="end"/>
      </w:r>
      <w:r w:rsidRPr="00FB68C2">
        <w:rPr>
          <w:rStyle w:val="Nagwek6Znak"/>
          <w:b/>
        </w:rPr>
        <w:t xml:space="preserve">. </w:t>
      </w:r>
      <w:r w:rsidRPr="008A5AE2">
        <w:rPr>
          <w:lang w:eastAsia="pl-PL"/>
        </w:rPr>
        <w:t>Zapewnienie sprawnie funkcjonującej logistyki dostaw paliw, wspieranie rozwoju infrastruktury przeładunkowej, przesyłowej i magazynowej oraz działań zmierzających do przedłużenia systemu Europejskiej Sieci Rurociągów Paliwowych (CEPS – Central Europe Pipeline System) do Polski</w:t>
      </w:r>
      <w:bookmarkEnd w:id="1345"/>
      <w:bookmarkEnd w:id="1346"/>
      <w:r w:rsidRPr="008A5AE2">
        <w:rPr>
          <w:i/>
          <w:iCs/>
          <w:lang w:eastAsia="pl-PL"/>
        </w:rPr>
        <w:t> </w:t>
      </w:r>
    </w:p>
    <w:p w14:paraId="3BB0C806" w14:textId="77777777" w:rsidR="00346ECA" w:rsidRDefault="00346ECA" w:rsidP="000F6DBF">
      <w:pPr>
        <w:spacing w:after="240"/>
      </w:pPr>
      <w:r w:rsidRPr="000F6DBF">
        <w:t>Działanie polega na wspieraniu inwestycji w ramach: utrzymania sprawnego zaplecza logistycznego z</w:t>
      </w:r>
      <w:r w:rsidRPr="000F6DBF">
        <w:rPr>
          <w:rFonts w:ascii="Arial" w:hAnsi="Arial"/>
        </w:rPr>
        <w:t> </w:t>
      </w:r>
      <w:r w:rsidRPr="000F6DBF">
        <w:t>systemami państw sąsiadujących (Niemcy, Czechy, Słowacja, Ukraina, Litwa) oraz morskimi terminalami paliwowymi; zapewnienie funkcjonowania oraz rozwój zdolności przeładunkowych morskich terminali paliwowych (również w zakresie LPG) w Szczecinie, Świnoujściu, Gdańsku oraz Gdyni, włącznie z bazą wydawczą w Dębogórzu; rozbudowę pojemności baz paliw tj. budowę nowych zbiorników na paliwa w</w:t>
      </w:r>
      <w:r w:rsidRPr="000F6DBF">
        <w:rPr>
          <w:rFonts w:ascii="Arial" w:hAnsi="Arial"/>
        </w:rPr>
        <w:t> </w:t>
      </w:r>
      <w:r w:rsidRPr="000F6DBF">
        <w:t>bazach magazynowych, przedłużenie systemu rurociągów paliwowych CEPS do Polski. </w:t>
      </w:r>
    </w:p>
    <w:p w14:paraId="696CFEE8" w14:textId="77777777" w:rsidR="003C312A" w:rsidRDefault="003C312A" w:rsidP="000F6DBF">
      <w:pPr>
        <w:spacing w:after="240"/>
      </w:pPr>
    </w:p>
    <w:p w14:paraId="4F04D2C0" w14:textId="77777777" w:rsidR="003C312A" w:rsidRPr="000F6DBF" w:rsidRDefault="003C312A" w:rsidP="000F6DBF">
      <w:pPr>
        <w:spacing w:after="240"/>
        <w:rPr>
          <w:rFonts w:ascii="Times New Roman" w:hAnsi="Times New Roman"/>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4E60C0C9" w14:textId="77777777" w:rsidTr="00B741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7F66FD1"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548AC28D" wp14:editId="6A567C1A">
                  <wp:extent cx="621030" cy="621030"/>
                  <wp:effectExtent l="0" t="0" r="7620" b="7620"/>
                  <wp:docPr id="601005494" name="Obraz 2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42C4C0B"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26DEE6F"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650B5AAE"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0D0BC28"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2CF32E9"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p w14:paraId="31E0C92C"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7925D20"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2187F02D" w14:textId="488827F0" w:rsidR="00346ECA" w:rsidRPr="000F6DBF" w:rsidRDefault="00346ECA" w:rsidP="00D523F3">
      <w:pPr>
        <w:pStyle w:val="Nagwek6"/>
      </w:pPr>
      <w:bookmarkStart w:id="1347" w:name="_Toc195865981"/>
      <w:bookmarkStart w:id="1348" w:name="_Ref195892691"/>
      <w:bookmarkStart w:id="1349" w:name="_Ref195892792"/>
      <w:bookmarkStart w:id="1350" w:name="_Ref195892920"/>
      <w:r w:rsidRPr="00B74121">
        <w:rPr>
          <w:rStyle w:val="Nagwek6Znak"/>
          <w:b/>
        </w:rPr>
        <w:t xml:space="preserve">Działanie </w:t>
      </w:r>
      <w:r w:rsidRPr="00B74121">
        <w:rPr>
          <w:rStyle w:val="Nagwek6Znak"/>
          <w:b/>
        </w:rPr>
        <w:fldChar w:fldCharType="begin"/>
      </w:r>
      <w:r w:rsidRPr="00B74121">
        <w:rPr>
          <w:rStyle w:val="Nagwek6Znak"/>
          <w:b/>
        </w:rPr>
        <w:instrText xml:space="preserve"> SEQ Działanie \* ARABIC </w:instrText>
      </w:r>
      <w:r w:rsidRPr="00B74121">
        <w:rPr>
          <w:rStyle w:val="Nagwek6Znak"/>
          <w:b/>
        </w:rPr>
        <w:fldChar w:fldCharType="separate"/>
      </w:r>
      <w:r w:rsidR="00871DD5">
        <w:rPr>
          <w:rStyle w:val="Nagwek6Znak"/>
          <w:b/>
          <w:noProof/>
        </w:rPr>
        <w:t>127</w:t>
      </w:r>
      <w:r w:rsidRPr="00B74121">
        <w:rPr>
          <w:rStyle w:val="Nagwek6Znak"/>
          <w:b/>
        </w:rPr>
        <w:fldChar w:fldCharType="end"/>
      </w:r>
      <w:r w:rsidRPr="00B74121">
        <w:rPr>
          <w:rStyle w:val="Nagwek6Znak"/>
          <w:b/>
        </w:rPr>
        <w:t xml:space="preserve">. </w:t>
      </w:r>
      <w:r w:rsidRPr="000F6DBF">
        <w:rPr>
          <w:rStyle w:val="Nagwek6Znak"/>
          <w:b/>
        </w:rPr>
        <w:t>Monitorowanie</w:t>
      </w:r>
      <w:r w:rsidRPr="00B74121">
        <w:t xml:space="preserve"> potrzeb magazynowych w zakresie ropy naftowej i paliw ciekłych</w:t>
      </w:r>
      <w:bookmarkEnd w:id="1347"/>
      <w:bookmarkEnd w:id="1348"/>
      <w:bookmarkEnd w:id="1349"/>
      <w:bookmarkEnd w:id="1350"/>
      <w:r w:rsidRPr="000F6DBF">
        <w:t> </w:t>
      </w:r>
    </w:p>
    <w:p w14:paraId="7715A677" w14:textId="77777777" w:rsidR="00346ECA" w:rsidRPr="008A5AE2" w:rsidRDefault="00346ECA" w:rsidP="000F6DBF">
      <w:pPr>
        <w:spacing w:after="240"/>
        <w:rPr>
          <w:rFonts w:ascii="Times New Roman" w:eastAsia="Times New Roman" w:hAnsi="Times New Roman" w:cs="Times New Roman"/>
          <w:kern w:val="0"/>
          <w:lang w:eastAsia="pl-PL"/>
          <w14:ligatures w14:val="none"/>
        </w:rPr>
      </w:pPr>
      <w:r w:rsidRPr="000F6DBF">
        <w:t>Działanie jest realizowane na podstawie opracowywanej przez Rządową Agencję Rezerw Strategicznych prognozy krajowego zapotrzebowania na pojemności magazynowe dla zapasów interwencyjnych i</w:t>
      </w:r>
      <w:r w:rsidRPr="000F6DBF">
        <w:rPr>
          <w:rFonts w:ascii="Arial" w:hAnsi="Arial"/>
        </w:rPr>
        <w:t> </w:t>
      </w:r>
      <w:r w:rsidRPr="000F6DBF">
        <w:t>handlowych paliw i ropy naftowej na okres 10 lat, która jest aktualizowana cyklicznie co 2 lata. Celem</w:t>
      </w:r>
      <w:r w:rsidRPr="000F6DBF">
        <w:rPr>
          <w:rFonts w:ascii="Arial" w:hAnsi="Arial"/>
        </w:rPr>
        <w:t> </w:t>
      </w:r>
      <w:r w:rsidRPr="000F6DBF">
        <w:t>działania jest zapewnienie odpowiednich podstaw dla decyzji inwestorskich, co jest niezwykle istotne dla zapewnienia właściwego prognozowania potrzeb sektora rafineryjnego</w:t>
      </w:r>
      <w:r w:rsidRPr="008A5AE2">
        <w:rPr>
          <w:rFonts w:eastAsia="Times New Roman" w:cs="Times New Roman"/>
          <w:kern w:val="0"/>
          <w:szCs w:val="20"/>
          <w:lang w:eastAsia="pl-PL"/>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13ED79D7" w14:textId="77777777" w:rsidTr="00B741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4A0254F"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12E3EC55" wp14:editId="4CEE2828">
                  <wp:extent cx="621030" cy="621030"/>
                  <wp:effectExtent l="0" t="0" r="7620" b="7620"/>
                  <wp:docPr id="100" name="Obraz 2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EC407C3"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16AA94C"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2850262E"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867ED8C"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610CF6D" w14:textId="77777777" w:rsidR="00346ECA" w:rsidRPr="008A5AE2" w:rsidRDefault="00346ECA" w:rsidP="00B74121">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gospodarki surowcami energetycznymi </w:t>
            </w:r>
          </w:p>
          <w:p w14:paraId="2DF271F3"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90A3997" w14:textId="77777777" w:rsidR="00346ECA" w:rsidRPr="008A5AE2" w:rsidRDefault="00346ECA" w:rsidP="000F6DBF">
            <w:pPr>
              <w:spacing w:after="0" w:line="240" w:lineRule="auto"/>
              <w:jc w:val="left"/>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0ADFE185" w14:textId="076F0146" w:rsidR="00346ECA" w:rsidRPr="000F6DBF" w:rsidRDefault="00346ECA" w:rsidP="00D523F3">
      <w:pPr>
        <w:pStyle w:val="Nagwek6"/>
        <w:rPr>
          <w:rFonts w:ascii="Times New Roman" w:hAnsi="Times New Roman"/>
          <w:color w:val="auto"/>
          <w:kern w:val="0"/>
          <w14:ligatures w14:val="none"/>
        </w:rPr>
      </w:pPr>
      <w:bookmarkStart w:id="1351" w:name="_Toc195865982"/>
      <w:bookmarkStart w:id="1352" w:name="_Ref195892701"/>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128</w:t>
      </w:r>
      <w:r w:rsidRPr="00FB68C2">
        <w:rPr>
          <w:rStyle w:val="Nagwek6Znak"/>
          <w:b/>
        </w:rPr>
        <w:fldChar w:fldCharType="end"/>
      </w:r>
      <w:r w:rsidRPr="00FB68C2">
        <w:rPr>
          <w:rStyle w:val="Nagwek6Znak"/>
          <w:b/>
        </w:rPr>
        <w:t xml:space="preserve">. </w:t>
      </w:r>
      <w:r w:rsidRPr="008A5AE2">
        <w:rPr>
          <w:lang w:eastAsia="pl-PL"/>
        </w:rPr>
        <w:t>Wsparcie inwestycji mających na celu dywersyfikację oraz zwiększenie dostaw ropy naftowej, w tym m.in. zwiększenie możliwości przeładunkowych Naftoportu, budowę II nitki rurociągu „Pomorskiego”</w:t>
      </w:r>
      <w:bookmarkEnd w:id="1351"/>
      <w:bookmarkEnd w:id="1352"/>
      <w:r w:rsidRPr="008A5AE2">
        <w:rPr>
          <w:i/>
          <w:iCs/>
          <w:lang w:eastAsia="pl-PL"/>
        </w:rPr>
        <w:t> </w:t>
      </w:r>
    </w:p>
    <w:p w14:paraId="49DB7053" w14:textId="77777777" w:rsidR="00346ECA" w:rsidRPr="000F6DBF" w:rsidRDefault="00346ECA" w:rsidP="000F6DBF">
      <w:pPr>
        <w:spacing w:after="240"/>
      </w:pPr>
      <w:r w:rsidRPr="008A5AE2">
        <w:rPr>
          <w:rFonts w:eastAsia="Times New Roman" w:cs="Times New Roman"/>
          <w:kern w:val="0"/>
          <w:szCs w:val="20"/>
          <w:lang w:eastAsia="pl-PL"/>
          <w14:ligatures w14:val="none"/>
        </w:rPr>
        <w:t xml:space="preserve">Działanie mające na celu zapewnienia nieprzerwanych dostaw ropy naftowej będzie realizowane przez: </w:t>
      </w:r>
      <w:r w:rsidRPr="000F6DBF">
        <w:t>zapewnienie funkcjonowania oraz rozwój zdolności przeładunkowych Naftoportu w Gdańsku a także zapewnienie odpowiednio rozwiniętej i sprawnej infrastruktury przesyłowej wewnątrz kraju, w tym jej rozbudowę poprzez budowę II nitki rurociągu Pomorskiego.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057552C8" w14:textId="77777777" w:rsidTr="00B741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2710529"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678777F8" wp14:editId="53126572">
                  <wp:extent cx="621030" cy="621030"/>
                  <wp:effectExtent l="0" t="0" r="7620" b="7620"/>
                  <wp:docPr id="101" name="Obraz 2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4DFA3AD"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296FD04"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77C01588"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0F56B59"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223DAA5" w14:textId="77777777" w:rsidR="00346ECA" w:rsidRPr="008A5AE2" w:rsidRDefault="00346ECA" w:rsidP="004B47E8">
            <w:pPr>
              <w:spacing w:after="0" w:line="240" w:lineRule="auto"/>
              <w:jc w:val="left"/>
              <w:textAlignment w:val="baseline"/>
              <w:rPr>
                <w:rFonts w:ascii="Times New Roman" w:eastAsia="Times New Roman" w:hAnsi="Times New Roman" w:cs="Times New Roman"/>
                <w:kern w:val="0"/>
                <w:lang w:eastAsia="pl-PL"/>
                <w14:ligatures w14:val="none"/>
              </w:rPr>
            </w:pPr>
            <w:bookmarkStart w:id="1353" w:name="_Ref195893545"/>
            <w:r w:rsidRPr="008A5AE2">
              <w:rPr>
                <w:rFonts w:eastAsia="Times New Roman" w:cs="Times New Roman"/>
                <w:color w:val="808080"/>
                <w:kern w:val="0"/>
                <w:sz w:val="18"/>
                <w:szCs w:val="18"/>
                <w:lang w:eastAsia="pl-PL"/>
                <w14:ligatures w14:val="none"/>
              </w:rPr>
              <w:t>minister wł. ds. gospodarki surowcami energetycznymi</w:t>
            </w:r>
            <w:bookmarkEnd w:id="1353"/>
            <w:r w:rsidRPr="008A5AE2">
              <w:rPr>
                <w:rFonts w:eastAsia="Times New Roman" w:cs="Times New Roman"/>
                <w:color w:val="808080"/>
                <w:kern w:val="0"/>
                <w:sz w:val="18"/>
                <w:szCs w:val="18"/>
                <w:lang w:eastAsia="pl-PL"/>
                <w14:ligatures w14:val="none"/>
              </w:rPr>
              <w:t> </w:t>
            </w:r>
          </w:p>
          <w:p w14:paraId="1487D751"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A5C0888"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w:t>
            </w:r>
          </w:p>
        </w:tc>
      </w:tr>
    </w:tbl>
    <w:p w14:paraId="68610A6C" w14:textId="7A783135" w:rsidR="00346ECA" w:rsidRPr="00E03858" w:rsidRDefault="00346ECA" w:rsidP="000F6DBF">
      <w:pPr>
        <w:pStyle w:val="Nagwek6"/>
        <w:rPr>
          <w:lang w:eastAsia="pl-PL"/>
        </w:rPr>
      </w:pPr>
      <w:bookmarkStart w:id="1354" w:name="_Toc195865983"/>
      <w:bookmarkStart w:id="1355" w:name="_Ref195893562"/>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129</w:t>
      </w:r>
      <w:r w:rsidRPr="00FB68C2">
        <w:rPr>
          <w:rStyle w:val="Nagwek6Znak"/>
          <w:b/>
        </w:rPr>
        <w:fldChar w:fldCharType="end"/>
      </w:r>
      <w:r w:rsidRPr="00FB68C2">
        <w:rPr>
          <w:rStyle w:val="Nagwek6Znak"/>
          <w:b/>
        </w:rPr>
        <w:t xml:space="preserve">. </w:t>
      </w:r>
      <w:r w:rsidRPr="00E03858">
        <w:rPr>
          <w:lang w:eastAsia="pl-PL"/>
        </w:rPr>
        <w:t>Zapobieganie i zarządzanie ograniczeniami dostaw energii elektrycznej</w:t>
      </w:r>
      <w:bookmarkEnd w:id="1354"/>
      <w:bookmarkEnd w:id="1355"/>
      <w:r w:rsidRPr="00E03858">
        <w:rPr>
          <w:lang w:eastAsia="pl-PL"/>
        </w:rPr>
        <w:t> </w:t>
      </w:r>
    </w:p>
    <w:p w14:paraId="6DD9AE98" w14:textId="4DE2185C" w:rsidR="00346ECA" w:rsidRPr="000F6DBF" w:rsidRDefault="00346ECA" w:rsidP="000F6DBF">
      <w:pPr>
        <w:spacing w:after="240"/>
        <w:rPr>
          <w:rFonts w:ascii="Bahnschrift" w:hAnsi="Bahnschrift"/>
          <w:b/>
          <w:color w:val="000000"/>
          <w:sz w:val="22"/>
        </w:rPr>
      </w:pPr>
      <w:r w:rsidRPr="000F6DBF">
        <w:t>Działanie polega na opracowaniu i aktualizacji krajowych aktów prawnych lub stosowaniu aktów UE odnoszących się do zakłóceń dostaw energii elektrycznej, poprzez przygotowanie przepisów prawnych, dokumentów, planów i procedur zapobiegających, mitygujących lub pozwalających na sprawne zarządzanie w wypadku wystąpienia sytuacji skutkującej ograniczeniami dostaw energii elektrycznej do odbiorców lub sytuacji zaistnienia kryzysu elektroenergetycznego. Dodatkowo działania te będą wsparte poprzez opracowywanie sprawozdania z wyników monitorowania bezpieczeństwa dostaw energii elektrycznej.</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E03858" w14:paraId="3C8B9272" w14:textId="77777777" w:rsidTr="00B741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30BE37F" w14:textId="77777777" w:rsidR="00346ECA" w:rsidRPr="00E03858" w:rsidRDefault="00346ECA">
            <w:pPr>
              <w:spacing w:after="0" w:line="240" w:lineRule="auto"/>
              <w:textAlignment w:val="baseline"/>
              <w:rPr>
                <w:rFonts w:ascii="Times New Roman" w:eastAsia="Times New Roman" w:hAnsi="Times New Roman" w:cs="Times New Roman"/>
                <w:kern w:val="0"/>
                <w:lang w:eastAsia="pl-PL"/>
                <w14:ligatures w14:val="none"/>
              </w:rPr>
            </w:pPr>
            <w:r w:rsidRPr="00E03858">
              <w:rPr>
                <w:rFonts w:ascii="Times New Roman" w:eastAsia="Times New Roman" w:hAnsi="Times New Roman" w:cs="Times New Roman"/>
                <w:noProof/>
                <w:kern w:val="0"/>
                <w:lang w:eastAsia="pl-PL"/>
                <w14:ligatures w14:val="none"/>
              </w:rPr>
              <w:drawing>
                <wp:inline distT="0" distB="0" distL="0" distR="0" wp14:anchorId="03CAA607" wp14:editId="10500555">
                  <wp:extent cx="622300" cy="622300"/>
                  <wp:effectExtent l="0" t="0" r="6350" b="6350"/>
                  <wp:docPr id="122" name="Obraz 4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E03858">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A2356BB" w14:textId="77777777" w:rsidR="00346ECA" w:rsidRPr="00E03858" w:rsidRDefault="00346ECA">
            <w:pPr>
              <w:spacing w:after="0" w:line="240" w:lineRule="auto"/>
              <w:textAlignment w:val="baseline"/>
              <w:rPr>
                <w:rFonts w:ascii="Times New Roman" w:eastAsia="Times New Roman" w:hAnsi="Times New Roman" w:cs="Times New Roman"/>
                <w:kern w:val="0"/>
                <w:lang w:eastAsia="pl-PL"/>
                <w14:ligatures w14:val="none"/>
              </w:rPr>
            </w:pPr>
            <w:r w:rsidRPr="00E03858">
              <w:rPr>
                <w:rFonts w:eastAsia="Times New Roman" w:cs="Times New Roman"/>
                <w:b/>
                <w:bCs/>
                <w:smallCaps/>
                <w:color w:val="000000"/>
                <w:kern w:val="0"/>
                <w:sz w:val="18"/>
                <w:szCs w:val="18"/>
                <w:lang w:eastAsia="pl-PL"/>
                <w14:ligatures w14:val="none"/>
              </w:rPr>
              <w:t>PODMIOT WIODĄCY</w:t>
            </w:r>
            <w:r w:rsidRPr="00E03858">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8C30460" w14:textId="77777777" w:rsidR="00346ECA" w:rsidRPr="00E03858" w:rsidRDefault="00346ECA">
            <w:pPr>
              <w:spacing w:after="0" w:line="240" w:lineRule="auto"/>
              <w:textAlignment w:val="baseline"/>
              <w:rPr>
                <w:rFonts w:ascii="Times New Roman" w:eastAsia="Times New Roman" w:hAnsi="Times New Roman" w:cs="Times New Roman"/>
                <w:kern w:val="0"/>
                <w:lang w:eastAsia="pl-PL"/>
                <w14:ligatures w14:val="none"/>
              </w:rPr>
            </w:pPr>
            <w:r w:rsidRPr="00E03858">
              <w:rPr>
                <w:rFonts w:eastAsia="Times New Roman" w:cs="Times New Roman"/>
                <w:b/>
                <w:bCs/>
                <w:color w:val="000000"/>
                <w:kern w:val="0"/>
                <w:sz w:val="18"/>
                <w:szCs w:val="18"/>
                <w:lang w:eastAsia="pl-PL"/>
                <w14:ligatures w14:val="none"/>
              </w:rPr>
              <w:t>PODMIOTY WSPÓŁPRACUJĄCE</w:t>
            </w:r>
            <w:r w:rsidRPr="00E03858">
              <w:rPr>
                <w:rFonts w:eastAsia="Times New Roman" w:cs="Times New Roman"/>
                <w:color w:val="000000"/>
                <w:kern w:val="0"/>
                <w:sz w:val="18"/>
                <w:szCs w:val="18"/>
                <w:lang w:eastAsia="pl-PL"/>
                <w14:ligatures w14:val="none"/>
              </w:rPr>
              <w:t> </w:t>
            </w:r>
          </w:p>
        </w:tc>
      </w:tr>
      <w:tr w:rsidR="003B6773" w:rsidRPr="00E03858" w14:paraId="67055406"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17DE266" w14:textId="77777777" w:rsidR="00346ECA" w:rsidRPr="00E03858"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5634BBA" w14:textId="77777777" w:rsidR="00346ECA" w:rsidRPr="00E03858" w:rsidRDefault="00346ECA">
            <w:pPr>
              <w:spacing w:after="0" w:line="240" w:lineRule="auto"/>
              <w:textAlignment w:val="baseline"/>
              <w:rPr>
                <w:rFonts w:ascii="Times New Roman" w:eastAsia="Times New Roman" w:hAnsi="Times New Roman" w:cs="Times New Roman"/>
                <w:kern w:val="0"/>
                <w:lang w:eastAsia="pl-PL"/>
                <w14:ligatures w14:val="none"/>
              </w:rPr>
            </w:pPr>
            <w:r w:rsidRPr="00E03858">
              <w:rPr>
                <w:rFonts w:eastAsia="Times New Roman" w:cs="Times New Roman"/>
                <w:color w:val="808080"/>
                <w:kern w:val="0"/>
                <w:sz w:val="18"/>
                <w:szCs w:val="18"/>
                <w:lang w:eastAsia="pl-PL"/>
                <w14:ligatures w14:val="none"/>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D5D1542" w14:textId="77777777" w:rsidR="00346ECA" w:rsidRPr="00E03858" w:rsidRDefault="00346ECA">
            <w:pPr>
              <w:spacing w:after="0" w:line="240" w:lineRule="auto"/>
              <w:textAlignment w:val="baseline"/>
              <w:rPr>
                <w:rFonts w:ascii="Times New Roman" w:eastAsia="Times New Roman" w:hAnsi="Times New Roman" w:cs="Times New Roman"/>
                <w:kern w:val="0"/>
                <w:lang w:eastAsia="pl-PL"/>
                <w14:ligatures w14:val="none"/>
              </w:rPr>
            </w:pPr>
          </w:p>
        </w:tc>
      </w:tr>
    </w:tbl>
    <w:p w14:paraId="7B5FBBB6" w14:textId="38EA1710" w:rsidR="00346ECA" w:rsidRPr="006C2F1F" w:rsidRDefault="00346ECA" w:rsidP="00D523F3">
      <w:pPr>
        <w:pStyle w:val="Nagwek6"/>
        <w:rPr>
          <w:rFonts w:ascii="Times New Roman" w:eastAsia="Times New Roman" w:hAnsi="Times New Roman" w:cs="Times New Roman"/>
          <w:i/>
          <w:iCs/>
          <w:color w:val="595959"/>
          <w:kern w:val="0"/>
          <w:lang w:eastAsia="pl-PL"/>
          <w14:ligatures w14:val="none"/>
        </w:rPr>
      </w:pPr>
      <w:bookmarkStart w:id="1356" w:name="_Toc195865984"/>
      <w:bookmarkStart w:id="1357" w:name="_Ref195892445"/>
      <w:bookmarkStart w:id="1358" w:name="_Ref195892481"/>
      <w:bookmarkStart w:id="1359" w:name="_Ref198304667"/>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130</w:t>
      </w:r>
      <w:r w:rsidRPr="00FB68C2">
        <w:rPr>
          <w:rStyle w:val="Nagwek6Znak"/>
          <w:b/>
        </w:rPr>
        <w:fldChar w:fldCharType="end"/>
      </w:r>
      <w:r w:rsidRPr="00FB68C2">
        <w:rPr>
          <w:rStyle w:val="Nagwek6Znak"/>
          <w:b/>
        </w:rPr>
        <w:t xml:space="preserve">. </w:t>
      </w:r>
      <w:r w:rsidRPr="006C2F1F">
        <w:rPr>
          <w:rFonts w:eastAsia="Times New Roman" w:cs="Times New Roman"/>
          <w:bCs/>
          <w:color w:val="000000"/>
          <w:kern w:val="0"/>
          <w:lang w:eastAsia="pl-PL"/>
          <w14:ligatures w14:val="none"/>
        </w:rPr>
        <w:t>Instrument finansowy – Rynek mocy</w:t>
      </w:r>
      <w:bookmarkEnd w:id="1356"/>
      <w:bookmarkEnd w:id="1357"/>
      <w:bookmarkEnd w:id="1358"/>
      <w:bookmarkEnd w:id="1359"/>
      <w:r w:rsidRPr="006C2F1F">
        <w:rPr>
          <w:rFonts w:eastAsia="Times New Roman" w:cs="Times New Roman"/>
          <w:i/>
          <w:iCs/>
          <w:color w:val="000000"/>
          <w:kern w:val="0"/>
          <w:lang w:eastAsia="pl-PL"/>
          <w14:ligatures w14:val="none"/>
        </w:rPr>
        <w:t> </w:t>
      </w:r>
    </w:p>
    <w:p w14:paraId="22B1407C" w14:textId="066AA14F" w:rsidR="00346ECA" w:rsidRPr="000F6DBF" w:rsidRDefault="00346ECA" w:rsidP="000F6DBF">
      <w:pPr>
        <w:spacing w:after="240"/>
        <w:rPr>
          <w:rFonts w:ascii="Times New Roman" w:hAnsi="Times New Roman"/>
        </w:rPr>
      </w:pPr>
      <w:r w:rsidRPr="000F6DBF">
        <w:t>Działanie mające na celu zapewnienie bezpieczeństwa energetycznego Polski, a także ciągłości dostaw energii elektrycznej do wszystkich odbiorców. Polega ono na zapewnieniu możliwości uzyskania – w</w:t>
      </w:r>
      <w:r w:rsidRPr="000F6DBF">
        <w:rPr>
          <w:rFonts w:ascii="Arial" w:hAnsi="Arial"/>
        </w:rPr>
        <w:t> </w:t>
      </w:r>
      <w:r w:rsidRPr="000F6DBF">
        <w:t>konkurencyjnych aukcjach – kontraktów przez dostawców mocy w zamian za zapewnienie dostępności mocy i dostarczanie energii elektrycznej w sytuacji zagrożenia bezpieczeństwa systemu energetycznego. Jest odrębnym segmentem dwutowarowego rynku energii elektrycznej (obok rynku energii).</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6C2F1F" w14:paraId="1E522EB3" w14:textId="77777777" w:rsidTr="00B74121">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503A932" w14:textId="77777777" w:rsidR="00346ECA" w:rsidRPr="006C2F1F" w:rsidRDefault="00346ECA">
            <w:pPr>
              <w:spacing w:after="0" w:line="240" w:lineRule="auto"/>
              <w:textAlignment w:val="baseline"/>
              <w:rPr>
                <w:rFonts w:ascii="Times New Roman" w:eastAsia="Times New Roman" w:hAnsi="Times New Roman" w:cs="Times New Roman"/>
                <w:kern w:val="0"/>
                <w:lang w:eastAsia="pl-PL"/>
                <w14:ligatures w14:val="none"/>
              </w:rPr>
            </w:pPr>
            <w:r w:rsidRPr="006C2F1F">
              <w:rPr>
                <w:rFonts w:ascii="Times New Roman" w:eastAsia="Times New Roman" w:hAnsi="Times New Roman" w:cs="Times New Roman"/>
                <w:noProof/>
                <w:kern w:val="0"/>
                <w:lang w:eastAsia="pl-PL"/>
                <w14:ligatures w14:val="none"/>
              </w:rPr>
              <w:drawing>
                <wp:inline distT="0" distB="0" distL="0" distR="0" wp14:anchorId="68E9367D" wp14:editId="55DC447B">
                  <wp:extent cx="622300" cy="622300"/>
                  <wp:effectExtent l="0" t="0" r="6350" b="6350"/>
                  <wp:docPr id="106" name="Obraz 3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6C2F1F">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87E95F6" w14:textId="77777777" w:rsidR="00346ECA" w:rsidRPr="006C2F1F" w:rsidRDefault="00346ECA">
            <w:pPr>
              <w:spacing w:after="0" w:line="240" w:lineRule="auto"/>
              <w:textAlignment w:val="baseline"/>
              <w:rPr>
                <w:rFonts w:ascii="Times New Roman" w:eastAsia="Times New Roman" w:hAnsi="Times New Roman" w:cs="Times New Roman"/>
                <w:kern w:val="0"/>
                <w:lang w:eastAsia="pl-PL"/>
                <w14:ligatures w14:val="none"/>
              </w:rPr>
            </w:pPr>
            <w:r w:rsidRPr="006C2F1F">
              <w:rPr>
                <w:rFonts w:eastAsia="Times New Roman" w:cs="Times New Roman"/>
                <w:b/>
                <w:bCs/>
                <w:smallCaps/>
                <w:color w:val="000000"/>
                <w:kern w:val="0"/>
                <w:sz w:val="18"/>
                <w:szCs w:val="18"/>
                <w:lang w:eastAsia="pl-PL"/>
                <w14:ligatures w14:val="none"/>
              </w:rPr>
              <w:t>PODMIOT WIODĄCY</w:t>
            </w:r>
            <w:r w:rsidRPr="006C2F1F">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B4C046A" w14:textId="77777777" w:rsidR="00346ECA" w:rsidRPr="006C2F1F" w:rsidRDefault="00346ECA">
            <w:pPr>
              <w:spacing w:after="0" w:line="240" w:lineRule="auto"/>
              <w:textAlignment w:val="baseline"/>
              <w:rPr>
                <w:rFonts w:ascii="Times New Roman" w:eastAsia="Times New Roman" w:hAnsi="Times New Roman" w:cs="Times New Roman"/>
                <w:kern w:val="0"/>
                <w:lang w:eastAsia="pl-PL"/>
                <w14:ligatures w14:val="none"/>
              </w:rPr>
            </w:pPr>
            <w:r w:rsidRPr="006C2F1F">
              <w:rPr>
                <w:rFonts w:eastAsia="Times New Roman" w:cs="Times New Roman"/>
                <w:b/>
                <w:bCs/>
                <w:color w:val="000000"/>
                <w:kern w:val="0"/>
                <w:sz w:val="18"/>
                <w:szCs w:val="18"/>
                <w:lang w:eastAsia="pl-PL"/>
                <w14:ligatures w14:val="none"/>
              </w:rPr>
              <w:t>PODMIOTY WSPÓŁPRACUJĄCE</w:t>
            </w:r>
            <w:r w:rsidRPr="006C2F1F">
              <w:rPr>
                <w:rFonts w:eastAsia="Times New Roman" w:cs="Times New Roman"/>
                <w:color w:val="000000"/>
                <w:kern w:val="0"/>
                <w:sz w:val="18"/>
                <w:szCs w:val="18"/>
                <w:lang w:eastAsia="pl-PL"/>
                <w14:ligatures w14:val="none"/>
              </w:rPr>
              <w:t> </w:t>
            </w:r>
          </w:p>
        </w:tc>
      </w:tr>
      <w:tr w:rsidR="003B6773" w:rsidRPr="006C2F1F" w14:paraId="07A85376" w14:textId="77777777" w:rsidTr="00B74121">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1D65AD9" w14:textId="77777777" w:rsidR="00346ECA" w:rsidRPr="006C2F1F"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7681E29" w14:textId="355B869F" w:rsidR="00346ECA" w:rsidRPr="006C2F1F" w:rsidRDefault="00346ECA">
            <w:pPr>
              <w:spacing w:after="0" w:line="240" w:lineRule="auto"/>
              <w:textAlignment w:val="baseline"/>
              <w:rPr>
                <w:rFonts w:ascii="Times New Roman" w:eastAsia="Times New Roman" w:hAnsi="Times New Roman" w:cs="Times New Roman"/>
                <w:kern w:val="0"/>
                <w:lang w:eastAsia="pl-PL"/>
                <w14:ligatures w14:val="none"/>
              </w:rPr>
            </w:pPr>
            <w:r w:rsidRPr="006C2F1F">
              <w:rPr>
                <w:rFonts w:eastAsia="Times New Roman" w:cs="Times New Roman"/>
                <w:color w:val="808080"/>
                <w:kern w:val="0"/>
                <w:sz w:val="18"/>
                <w:szCs w:val="18"/>
                <w:lang w:eastAsia="pl-PL"/>
                <w14:ligatures w14:val="none"/>
              </w:rPr>
              <w:t xml:space="preserve">minister wł. </w:t>
            </w:r>
            <w:r w:rsidR="004D5900">
              <w:rPr>
                <w:rFonts w:eastAsia="Times New Roman" w:cs="Times New Roman"/>
                <w:color w:val="808080"/>
                <w:kern w:val="0"/>
                <w:sz w:val="18"/>
                <w:szCs w:val="18"/>
                <w:lang w:eastAsia="pl-PL"/>
                <w14:ligatures w14:val="none"/>
              </w:rPr>
              <w:t xml:space="preserve">ds. </w:t>
            </w:r>
            <w:r w:rsidRPr="006C2F1F">
              <w:rPr>
                <w:rFonts w:eastAsia="Times New Roman" w:cs="Times New Roman"/>
                <w:color w:val="808080"/>
                <w:kern w:val="0"/>
                <w:sz w:val="18"/>
                <w:szCs w:val="18"/>
                <w:lang w:eastAsia="pl-PL"/>
                <w14:ligatures w14:val="none"/>
              </w:rPr>
              <w:t>energii </w:t>
            </w:r>
          </w:p>
          <w:p w14:paraId="6059D0E0" w14:textId="77777777" w:rsidR="00346ECA" w:rsidRPr="006C2F1F" w:rsidRDefault="00346ECA">
            <w:pPr>
              <w:spacing w:after="0" w:line="240" w:lineRule="auto"/>
              <w:textAlignment w:val="baseline"/>
              <w:rPr>
                <w:rFonts w:ascii="Times New Roman" w:eastAsia="Times New Roman" w:hAnsi="Times New Roman" w:cs="Times New Roman"/>
                <w:kern w:val="0"/>
                <w:lang w:eastAsia="pl-PL"/>
                <w14:ligatures w14:val="none"/>
              </w:rPr>
            </w:pPr>
            <w:r w:rsidRPr="006C2F1F">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0AF143D" w14:textId="77777777" w:rsidR="00346ECA" w:rsidRPr="006C2F1F" w:rsidRDefault="00346ECA">
            <w:pPr>
              <w:spacing w:after="0" w:line="240" w:lineRule="auto"/>
              <w:textAlignment w:val="baseline"/>
              <w:rPr>
                <w:rFonts w:ascii="Times New Roman" w:eastAsia="Times New Roman" w:hAnsi="Times New Roman" w:cs="Times New Roman"/>
                <w:kern w:val="0"/>
                <w:lang w:eastAsia="pl-PL"/>
                <w14:ligatures w14:val="none"/>
              </w:rPr>
            </w:pPr>
            <w:r w:rsidRPr="006C2F1F">
              <w:rPr>
                <w:rFonts w:eastAsia="Times New Roman" w:cs="Times New Roman"/>
                <w:color w:val="808080"/>
                <w:kern w:val="0"/>
                <w:sz w:val="18"/>
                <w:szCs w:val="18"/>
                <w:lang w:eastAsia="pl-PL"/>
                <w14:ligatures w14:val="none"/>
              </w:rPr>
              <w:t> </w:t>
            </w:r>
          </w:p>
        </w:tc>
      </w:tr>
    </w:tbl>
    <w:p w14:paraId="5F968D8A" w14:textId="0C347A31" w:rsidR="00346ECA" w:rsidRPr="000F6DBF" w:rsidRDefault="00346ECA" w:rsidP="000F6DBF">
      <w:pPr>
        <w:rPr>
          <w:rFonts w:ascii="Times New Roman" w:hAnsi="Times New Roman"/>
        </w:rPr>
      </w:pPr>
      <w:r w:rsidRPr="000F6DBF">
        <w:t> </w:t>
      </w:r>
    </w:p>
    <w:p w14:paraId="2DC0BF66" w14:textId="5F33B7F9" w:rsidR="00346ECA" w:rsidRPr="007811A4" w:rsidRDefault="00346ECA" w:rsidP="000F6DBF">
      <w:pPr>
        <w:pStyle w:val="Nagwek6"/>
        <w:rPr>
          <w:rFonts w:ascii="Times New Roman" w:hAnsi="Times New Roman"/>
          <w:i/>
          <w:iCs/>
          <w:color w:val="595959"/>
          <w:lang w:eastAsia="pl-PL"/>
        </w:rPr>
      </w:pPr>
      <w:bookmarkStart w:id="1360" w:name="_Toc195865985"/>
      <w:bookmarkStart w:id="1361" w:name="_Ref195887616"/>
      <w:bookmarkStart w:id="1362" w:name="_Ref195893804"/>
      <w:bookmarkStart w:id="1363" w:name="_Ref195893853"/>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131</w:t>
      </w:r>
      <w:r w:rsidRPr="00FB68C2">
        <w:rPr>
          <w:rStyle w:val="Nagwek6Znak"/>
          <w:b/>
        </w:rPr>
        <w:fldChar w:fldCharType="end"/>
      </w:r>
      <w:r w:rsidRPr="00FB68C2">
        <w:rPr>
          <w:rStyle w:val="Nagwek6Znak"/>
          <w:b/>
        </w:rPr>
        <w:t xml:space="preserve">. </w:t>
      </w:r>
      <w:r w:rsidRPr="007811A4">
        <w:rPr>
          <w:lang w:eastAsia="pl-PL"/>
        </w:rPr>
        <w:t>Modernizacja i rozbudowa linii przesyłowych wewnątrz KSE w celu umożliwienia zwiększania przepływów transgranicznych</w:t>
      </w:r>
      <w:bookmarkEnd w:id="1360"/>
      <w:bookmarkEnd w:id="1361"/>
      <w:bookmarkEnd w:id="1362"/>
      <w:bookmarkEnd w:id="1363"/>
      <w:r w:rsidRPr="007811A4">
        <w:rPr>
          <w:i/>
          <w:iCs/>
          <w:lang w:eastAsia="pl-PL"/>
        </w:rPr>
        <w:t> </w:t>
      </w:r>
    </w:p>
    <w:p w14:paraId="567B84D8" w14:textId="0105C2C5" w:rsidR="00346ECA" w:rsidRPr="000D4363" w:rsidRDefault="00346ECA" w:rsidP="000D4363">
      <w:pPr>
        <w:spacing w:after="240"/>
        <w:rPr>
          <w:rFonts w:ascii="Times New Roman" w:hAnsi="Times New Roman"/>
        </w:rPr>
      </w:pPr>
      <w:r w:rsidRPr="000D4363">
        <w:t xml:space="preserve">Obejmuje działania na rzecz modernizacji i rozbudowy sieci wspierającej zwiększanie przepływów transgranicznych w ramach realizacji inwestycji zawartych w </w:t>
      </w:r>
      <w:r w:rsidR="00716933" w:rsidRPr="007C07E5">
        <w:rPr>
          <w:rFonts w:eastAsia="Times New Roman" w:cs="Times New Roman"/>
          <w:i/>
          <w:iCs/>
          <w:kern w:val="0"/>
          <w:szCs w:val="20"/>
          <w:lang w:eastAsia="pl-PL"/>
          <w14:ligatures w14:val="none"/>
        </w:rPr>
        <w:t>P</w:t>
      </w:r>
      <w:r w:rsidRPr="007C07E5">
        <w:rPr>
          <w:rFonts w:eastAsia="Times New Roman" w:cs="Times New Roman"/>
          <w:i/>
          <w:iCs/>
          <w:kern w:val="0"/>
          <w:szCs w:val="20"/>
          <w:lang w:eastAsia="pl-PL"/>
          <w14:ligatures w14:val="none"/>
        </w:rPr>
        <w:t>lanie</w:t>
      </w:r>
      <w:r w:rsidRPr="007C07E5">
        <w:rPr>
          <w:i/>
          <w:iCs/>
        </w:rPr>
        <w:t xml:space="preserve"> działania</w:t>
      </w:r>
      <w:r w:rsidRPr="000D4363">
        <w:t xml:space="preserve"> opracowanym na podstawie rozporządzenia UE 2019/943, a także bieżące zwiększanie zdolności przesyłowych przez OSPe w</w:t>
      </w:r>
      <w:r w:rsidRPr="000D4363">
        <w:rPr>
          <w:rFonts w:ascii="Arial" w:hAnsi="Arial"/>
        </w:rPr>
        <w:t> </w:t>
      </w:r>
      <w:r w:rsidRPr="000D4363">
        <w:t xml:space="preserve">ramach realizacji trajektorii liniowych zawartych w tymże </w:t>
      </w:r>
      <w:r w:rsidR="00716933">
        <w:rPr>
          <w:rFonts w:eastAsia="Times New Roman" w:cs="Times New Roman"/>
          <w:kern w:val="0"/>
          <w:szCs w:val="20"/>
          <w:lang w:eastAsia="pl-PL"/>
          <w14:ligatures w14:val="none"/>
        </w:rPr>
        <w:t>P</w:t>
      </w:r>
      <w:r w:rsidRPr="007811A4">
        <w:rPr>
          <w:rFonts w:eastAsia="Times New Roman" w:cs="Times New Roman"/>
          <w:kern w:val="0"/>
          <w:szCs w:val="20"/>
          <w:lang w:eastAsia="pl-PL"/>
          <w14:ligatures w14:val="none"/>
        </w:rPr>
        <w:t>lanie</w:t>
      </w:r>
      <w:r w:rsidRPr="000D4363">
        <w:t>. Związane jest z tym między innymi ulepszanie aktualnej infrastruktury przesyłowej, wdrażanie zaawansowanych technologii monitorowania i</w:t>
      </w:r>
      <w:r w:rsidRPr="000D4363">
        <w:rPr>
          <w:rFonts w:ascii="Arial" w:hAnsi="Arial"/>
        </w:rPr>
        <w:t> </w:t>
      </w:r>
      <w:r w:rsidRPr="000D4363">
        <w:t>zarządzania siecią oraz tworzenie nowych połączeń międzynarodowych.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385FFA7D" w14:textId="77777777" w:rsidTr="008301E3">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5BA435AC"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7E3C122C" wp14:editId="61922CFA">
                  <wp:extent cx="622300" cy="622300"/>
                  <wp:effectExtent l="0" t="0" r="6350" b="6350"/>
                  <wp:docPr id="1250390861" name="Obraz 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5ABF435"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0C45E3B"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0087F07B"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5196D64"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77A2FA1" w14:textId="6C7FDEBD" w:rsidR="00814357" w:rsidRDefault="00814357" w:rsidP="00814357">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 xml:space="preserve">OSP </w:t>
            </w:r>
          </w:p>
          <w:p w14:paraId="4B868951" w14:textId="6581FCD7" w:rsidR="00346ECA" w:rsidRPr="007811A4" w:rsidRDefault="00814357" w:rsidP="00901FEA">
            <w:pPr>
              <w:spacing w:after="0" w:line="240" w:lineRule="auto"/>
              <w:jc w:val="left"/>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Pełnomocnik </w:t>
            </w:r>
            <w:r w:rsidRPr="007811A4">
              <w:rPr>
                <w:rFonts w:eastAsia="Times New Roman" w:cs="Times New Roman"/>
                <w:color w:val="808080"/>
                <w:kern w:val="0"/>
                <w:sz w:val="18"/>
                <w:szCs w:val="18"/>
                <w:lang w:eastAsia="pl-PL"/>
                <w14:ligatures w14:val="none"/>
              </w:rPr>
              <w:t>do spraw Strategicznej Infrastruktury Energetycznej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E78969C" w14:textId="0090F798" w:rsidR="00346ECA" w:rsidRDefault="00814357">
            <w:pPr>
              <w:spacing w:after="0" w:line="240" w:lineRule="auto"/>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minister wł. ds. energii </w:t>
            </w:r>
          </w:p>
          <w:p w14:paraId="034EC92A" w14:textId="4492859F" w:rsidR="00346ECA" w:rsidRPr="007811A4" w:rsidRDefault="003E2DE5" w:rsidP="000D4363">
            <w:pPr>
              <w:spacing w:after="0" w:line="240" w:lineRule="auto"/>
              <w:jc w:val="left"/>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 xml:space="preserve"> </w:t>
            </w:r>
          </w:p>
        </w:tc>
      </w:tr>
    </w:tbl>
    <w:p w14:paraId="7A215634" w14:textId="7396A30D" w:rsidR="00346ECA" w:rsidRPr="007811A4" w:rsidRDefault="00346ECA" w:rsidP="00D523F3">
      <w:pPr>
        <w:pStyle w:val="Nagwek6"/>
        <w:rPr>
          <w:lang w:eastAsia="pl-PL"/>
        </w:rPr>
      </w:pPr>
      <w:bookmarkStart w:id="1364" w:name="_Toc195865986"/>
      <w:bookmarkStart w:id="1365" w:name="_Ref195887631"/>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132</w:t>
      </w:r>
      <w:r w:rsidRPr="00FB68C2">
        <w:rPr>
          <w:rStyle w:val="Nagwek6Znak"/>
          <w:b/>
        </w:rPr>
        <w:fldChar w:fldCharType="end"/>
      </w:r>
      <w:r w:rsidRPr="00FB68C2">
        <w:rPr>
          <w:rStyle w:val="Nagwek6Znak"/>
          <w:b/>
        </w:rPr>
        <w:t xml:space="preserve">. </w:t>
      </w:r>
      <w:r w:rsidRPr="007811A4">
        <w:rPr>
          <w:lang w:eastAsia="pl-PL"/>
        </w:rPr>
        <w:t>Optymalizacja sposobu alokowania dostępnych transgranicznych zdolności przesyłowych</w:t>
      </w:r>
      <w:bookmarkEnd w:id="1364"/>
      <w:bookmarkEnd w:id="1365"/>
      <w:r w:rsidRPr="007811A4">
        <w:rPr>
          <w:lang w:eastAsia="pl-PL"/>
        </w:rPr>
        <w:t> </w:t>
      </w:r>
    </w:p>
    <w:p w14:paraId="6BF51094" w14:textId="25E98CB2" w:rsidR="00346ECA" w:rsidRPr="00901FEA" w:rsidRDefault="00346ECA" w:rsidP="00901FEA">
      <w:pPr>
        <w:spacing w:after="240"/>
      </w:pPr>
      <w:r w:rsidRPr="00901FEA">
        <w:t xml:space="preserve">Działanie to związane jest ze zwiększeniem dostępności obecnych połączeń transgranicznych </w:t>
      </w:r>
      <w:r w:rsidR="00BA0586">
        <w:rPr>
          <w:rFonts w:eastAsia="Times New Roman" w:cs="Times New Roman"/>
          <w:kern w:val="0"/>
          <w:szCs w:val="20"/>
          <w:lang w:eastAsia="pl-PL"/>
          <w14:ligatures w14:val="none"/>
        </w:rPr>
        <w:t>dla handlu międzyobszarowego</w:t>
      </w:r>
      <w:r w:rsidR="00E62847">
        <w:rPr>
          <w:rFonts w:eastAsia="Times New Roman" w:cs="Times New Roman"/>
          <w:kern w:val="0"/>
          <w:szCs w:val="20"/>
          <w:lang w:eastAsia="pl-PL"/>
          <w14:ligatures w14:val="none"/>
        </w:rPr>
        <w:t xml:space="preserve"> </w:t>
      </w:r>
      <w:r w:rsidRPr="007811A4">
        <w:rPr>
          <w:rFonts w:eastAsia="Times New Roman" w:cs="Times New Roman"/>
          <w:kern w:val="0"/>
          <w:szCs w:val="20"/>
          <w:lang w:eastAsia="pl-PL"/>
          <w14:ligatures w14:val="none"/>
        </w:rPr>
        <w:t>z</w:t>
      </w:r>
      <w:r w:rsidR="008301E3">
        <w:rPr>
          <w:lang w:eastAsia="pl-PL"/>
        </w:rPr>
        <w:t> </w:t>
      </w:r>
      <w:r w:rsidRPr="00901FEA">
        <w:t xml:space="preserve">wykorzystaniem optymalizacji alokowania dostępnych transgranicznych zdolności przesyłowych, m.in. dzięki </w:t>
      </w:r>
      <w:r w:rsidR="00BA0586">
        <w:rPr>
          <w:rFonts w:eastAsia="Times New Roman" w:cs="Times New Roman"/>
          <w:kern w:val="0"/>
          <w:szCs w:val="20"/>
          <w:lang w:eastAsia="pl-PL"/>
          <w14:ligatures w14:val="none"/>
        </w:rPr>
        <w:t>stosowaniu</w:t>
      </w:r>
      <w:r w:rsidRPr="00901FEA">
        <w:t xml:space="preserve"> metody FBA (ang. </w:t>
      </w:r>
      <w:r w:rsidRPr="00901FEA">
        <w:rPr>
          <w:i/>
        </w:rPr>
        <w:t>flow–based approach</w:t>
      </w:r>
      <w:r w:rsidRPr="00901FEA">
        <w:t>) – monitorowanie stosowania metody na rynku dnia następnego oraz działania na rzecz wprowadzenia na rynku dnia bieżącego.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6C7FA28F" w14:textId="77777777" w:rsidTr="008301E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3389E8FD"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3FD44A90" wp14:editId="4E3D44B0">
                  <wp:extent cx="622300" cy="622300"/>
                  <wp:effectExtent l="0" t="0" r="6350" b="6350"/>
                  <wp:docPr id="1085290354" name="Obraz 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CBC090D"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4B41B13"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3F94084E"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78C2F0C"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AB585F2" w14:textId="441CEBF2" w:rsidR="00346ECA" w:rsidRDefault="00814357" w:rsidP="00901FEA">
            <w:pPr>
              <w:spacing w:after="0" w:line="240" w:lineRule="auto"/>
              <w:jc w:val="left"/>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OSP</w:t>
            </w:r>
          </w:p>
          <w:p w14:paraId="57F5DD2A" w14:textId="5A9588A1" w:rsidR="00346ECA" w:rsidRPr="007811A4" w:rsidRDefault="00814357" w:rsidP="00901FEA">
            <w:pPr>
              <w:spacing w:after="0" w:line="240" w:lineRule="auto"/>
              <w:jc w:val="left"/>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Prezes URE</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E326D33" w14:textId="6CF92703" w:rsidR="00346ECA" w:rsidRPr="007811A4" w:rsidRDefault="00814357" w:rsidP="00901FE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color w:val="808080"/>
                <w:kern w:val="0"/>
                <w:sz w:val="18"/>
                <w:szCs w:val="18"/>
                <w:lang w:eastAsia="pl-PL"/>
                <w14:ligatures w14:val="none"/>
              </w:rPr>
              <w:t>minister wł. ds. energii </w:t>
            </w:r>
          </w:p>
        </w:tc>
      </w:tr>
    </w:tbl>
    <w:p w14:paraId="2D0F7CD1" w14:textId="77777777" w:rsidR="00346ECA" w:rsidRPr="007811A4" w:rsidRDefault="00346ECA" w:rsidP="00346ECA">
      <w:pPr>
        <w:spacing w:after="120" w:line="240" w:lineRule="auto"/>
        <w:textAlignment w:val="baseline"/>
        <w:rPr>
          <w:rFonts w:ascii="Bahnschrift" w:eastAsia="Times New Roman" w:hAnsi="Bahnschrift" w:cs="Times New Roman"/>
          <w:b/>
          <w:bCs/>
          <w:color w:val="000000"/>
          <w:kern w:val="0"/>
          <w:sz w:val="22"/>
          <w:lang w:eastAsia="pl-PL"/>
          <w14:ligatures w14:val="none"/>
        </w:rPr>
      </w:pPr>
    </w:p>
    <w:p w14:paraId="463427A8" w14:textId="4484CBDB" w:rsidR="00346ECA" w:rsidRPr="007811A4" w:rsidRDefault="00346ECA" w:rsidP="00D523F3">
      <w:pPr>
        <w:pStyle w:val="Nagwek6"/>
        <w:rPr>
          <w:rFonts w:ascii="Times New Roman" w:hAnsi="Times New Roman"/>
          <w:i/>
          <w:iCs/>
          <w:color w:val="595959"/>
          <w:lang w:eastAsia="pl-PL"/>
        </w:rPr>
      </w:pPr>
      <w:bookmarkStart w:id="1366" w:name="_Toc195865987"/>
      <w:bookmarkStart w:id="1367" w:name="_Ref195887655"/>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133</w:t>
      </w:r>
      <w:r w:rsidRPr="00FB68C2">
        <w:rPr>
          <w:rStyle w:val="Nagwek6Znak"/>
          <w:b/>
        </w:rPr>
        <w:fldChar w:fldCharType="end"/>
      </w:r>
      <w:r w:rsidRPr="00FB68C2">
        <w:rPr>
          <w:rStyle w:val="Nagwek6Znak"/>
          <w:b/>
        </w:rPr>
        <w:t xml:space="preserve">. </w:t>
      </w:r>
      <w:r w:rsidRPr="007811A4">
        <w:rPr>
          <w:lang w:eastAsia="pl-PL"/>
        </w:rPr>
        <w:t>Działania w ramach współpracy regionalnej grupy BEMIP dotyczącej wdrożenia projektów związanych z synchronizacją systemów elektroenergetycznych krajów bałtyckich z systemem Europy kontynentalnej</w:t>
      </w:r>
      <w:bookmarkEnd w:id="1366"/>
      <w:bookmarkEnd w:id="1367"/>
      <w:r w:rsidRPr="007811A4">
        <w:rPr>
          <w:i/>
          <w:iCs/>
          <w:lang w:eastAsia="pl-PL"/>
        </w:rPr>
        <w:t> </w:t>
      </w:r>
    </w:p>
    <w:p w14:paraId="59E227AE" w14:textId="169E88B8" w:rsidR="00346ECA" w:rsidRPr="00901FEA" w:rsidRDefault="00346ECA" w:rsidP="00901FEA">
      <w:pPr>
        <w:spacing w:after="240"/>
        <w:rPr>
          <w:rFonts w:ascii="Times New Roman" w:hAnsi="Times New Roman"/>
        </w:rPr>
      </w:pPr>
      <w:r w:rsidRPr="00901FEA">
        <w:t xml:space="preserve">Obejmuje aktywny udział Polski we współpracy regionalnej w ramach grupy BEMIP (ang. </w:t>
      </w:r>
      <w:r w:rsidRPr="00901FEA">
        <w:rPr>
          <w:i/>
        </w:rPr>
        <w:t>Baltic Energy Market Interconnection Plan</w:t>
      </w:r>
      <w:r w:rsidRPr="00901FEA">
        <w:t xml:space="preserve">, obejmuje kraje bałtyckie i nadbałtyckie, bez Rosji), na różnych szczeblach, </w:t>
      </w:r>
      <w:r w:rsidR="007D07EA">
        <w:t>w</w:t>
      </w:r>
      <w:r w:rsidR="00307911">
        <w:t> </w:t>
      </w:r>
      <w:r w:rsidR="007D07EA">
        <w:t xml:space="preserve">odniesieniu do </w:t>
      </w:r>
      <w:r w:rsidRPr="00901FEA">
        <w:t xml:space="preserve">synchronizacji systemów elektroenergetycznych </w:t>
      </w:r>
      <w:r w:rsidR="00BA0586">
        <w:rPr>
          <w:rFonts w:eastAsia="Times New Roman" w:cs="Times New Roman"/>
          <w:kern w:val="0"/>
          <w:szCs w:val="20"/>
          <w:lang w:eastAsia="pl-PL"/>
          <w14:ligatures w14:val="none"/>
        </w:rPr>
        <w:t xml:space="preserve">(dokonano 9 lutego 2025 r.) </w:t>
      </w:r>
      <w:r w:rsidRPr="00901FEA">
        <w:t>oraz</w:t>
      </w:r>
      <w:r w:rsidR="00517313">
        <w:t xml:space="preserve"> </w:t>
      </w:r>
      <w:r w:rsidR="00517313">
        <w:lastRenderedPageBreak/>
        <w:t>w</w:t>
      </w:r>
      <w:r w:rsidR="00E30E7D">
        <w:t> </w:t>
      </w:r>
      <w:r w:rsidR="00517313">
        <w:t>celu</w:t>
      </w:r>
      <w:r w:rsidRPr="00901FEA">
        <w:t xml:space="preserve"> monitorowani</w:t>
      </w:r>
      <w:r w:rsidR="00517313">
        <w:t>a</w:t>
      </w:r>
      <w:r w:rsidRPr="00901FEA">
        <w:t xml:space="preserve"> </w:t>
      </w:r>
      <w:r w:rsidR="00BA0586">
        <w:rPr>
          <w:rFonts w:eastAsia="Times New Roman" w:cs="Times New Roman"/>
          <w:kern w:val="0"/>
          <w:szCs w:val="20"/>
          <w:lang w:eastAsia="pl-PL"/>
          <w14:ligatures w14:val="none"/>
        </w:rPr>
        <w:t>bezpiecznej pracy</w:t>
      </w:r>
      <w:r w:rsidRPr="007811A4">
        <w:rPr>
          <w:rFonts w:eastAsia="Times New Roman" w:cs="Times New Roman"/>
          <w:kern w:val="0"/>
          <w:szCs w:val="20"/>
          <w:lang w:eastAsia="pl-PL"/>
          <w14:ligatures w14:val="none"/>
        </w:rPr>
        <w:t xml:space="preserve"> </w:t>
      </w:r>
      <w:r w:rsidRPr="00901FEA">
        <w:t>i wspierani</w:t>
      </w:r>
      <w:r w:rsidR="00517313">
        <w:t>a</w:t>
      </w:r>
      <w:r w:rsidRPr="00901FEA">
        <w:t xml:space="preserve"> procesów inwestycyjnych prowadzonych przez OSPe.</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11FD5493" w14:textId="77777777" w:rsidTr="008301E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54191B45"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1F80EDA1" wp14:editId="3028FD3A">
                  <wp:extent cx="622300" cy="622300"/>
                  <wp:effectExtent l="0" t="0" r="6350" b="6350"/>
                  <wp:docPr id="83609665" name="Obraz 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23816D5"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CD0D162"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358D352B"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EA2592E"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36E1ABE" w14:textId="77777777" w:rsidR="00346ECA" w:rsidRDefault="00346ECA">
            <w:pPr>
              <w:spacing w:after="0" w:line="240" w:lineRule="auto"/>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minister wł. ds. energii </w:t>
            </w:r>
          </w:p>
          <w:p w14:paraId="75440204" w14:textId="03887944" w:rsidR="00346ECA" w:rsidRPr="007811A4" w:rsidRDefault="00C95421" w:rsidP="000D4363">
            <w:pPr>
              <w:spacing w:after="0" w:line="240" w:lineRule="auto"/>
              <w:jc w:val="left"/>
              <w:textAlignment w:val="baseline"/>
              <w:rPr>
                <w:rFonts w:ascii="Times New Roman" w:eastAsia="Times New Roman" w:hAnsi="Times New Roman" w:cs="Times New Roman"/>
                <w:kern w:val="0"/>
                <w:lang w:eastAsia="pl-PL"/>
                <w14:ligatures w14:val="none"/>
              </w:rPr>
            </w:pPr>
            <w:r w:rsidRPr="00C95421">
              <w:rPr>
                <w:rFonts w:eastAsia="Times New Roman" w:cs="Times New Roman"/>
                <w:color w:val="808080"/>
                <w:kern w:val="0"/>
                <w:sz w:val="18"/>
                <w:szCs w:val="18"/>
                <w:lang w:eastAsia="pl-PL"/>
                <w14:ligatures w14:val="none"/>
              </w:rPr>
              <w:t>Pełnomocnik Rządu do spraw Strategicznej Infrastruktury Energetycznej</w:t>
            </w:r>
            <w:r w:rsidRPr="00F1783C">
              <w:rPr>
                <w:rFonts w:eastAsia="Times New Roman" w:cs="Times New Roman"/>
                <w:color w:val="000000" w:themeColor="text1"/>
                <w:kern w:val="0"/>
                <w:szCs w:val="20"/>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F72579E" w14:textId="77777777" w:rsidR="00346ECA" w:rsidRDefault="00346ECA">
            <w:pPr>
              <w:spacing w:after="0" w:line="240" w:lineRule="auto"/>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Prezes URE </w:t>
            </w:r>
          </w:p>
          <w:p w14:paraId="4D0E3828" w14:textId="77777777" w:rsidR="00346ECA" w:rsidRPr="007811A4" w:rsidRDefault="00105498" w:rsidP="00901FEA">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OSP</w:t>
            </w:r>
          </w:p>
        </w:tc>
      </w:tr>
    </w:tbl>
    <w:p w14:paraId="21E12378" w14:textId="4BA619AC" w:rsidR="00346ECA" w:rsidRPr="008C1AC6" w:rsidRDefault="00346ECA" w:rsidP="00D523F3">
      <w:pPr>
        <w:pStyle w:val="Nagwek6"/>
        <w:rPr>
          <w:rFonts w:ascii="Lato" w:hAnsi="Lato"/>
          <w:color w:val="auto"/>
          <w:kern w:val="0"/>
          <w14:ligatures w14:val="none"/>
        </w:rPr>
      </w:pPr>
      <w:bookmarkStart w:id="1368" w:name="_Toc195865988"/>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134</w:t>
      </w:r>
      <w:r w:rsidRPr="00FB68C2">
        <w:rPr>
          <w:rStyle w:val="Nagwek6Znak"/>
          <w:b/>
        </w:rPr>
        <w:fldChar w:fldCharType="end"/>
      </w:r>
      <w:r w:rsidRPr="00FB68C2">
        <w:rPr>
          <w:rStyle w:val="Nagwek6Znak"/>
          <w:b/>
        </w:rPr>
        <w:t xml:space="preserve">. </w:t>
      </w:r>
      <w:r w:rsidRPr="007811A4">
        <w:rPr>
          <w:lang w:eastAsia="pl-PL"/>
        </w:rPr>
        <w:t>Działania w zakresie integracji rynku energii elektrycznej i</w:t>
      </w:r>
      <w:r w:rsidRPr="007811A4">
        <w:rPr>
          <w:rFonts w:ascii="Arial" w:hAnsi="Arial" w:cs="Arial"/>
          <w:lang w:eastAsia="pl-PL"/>
        </w:rPr>
        <w:t> </w:t>
      </w:r>
      <w:r w:rsidRPr="007811A4">
        <w:rPr>
          <w:lang w:eastAsia="pl-PL"/>
        </w:rPr>
        <w:t>elektroenergetycznego systemu przesy</w:t>
      </w:r>
      <w:r w:rsidRPr="007811A4">
        <w:rPr>
          <w:rFonts w:cs="Bahnschrift"/>
          <w:lang w:eastAsia="pl-PL"/>
        </w:rPr>
        <w:t>ł</w:t>
      </w:r>
      <w:r w:rsidRPr="007811A4">
        <w:rPr>
          <w:lang w:eastAsia="pl-PL"/>
        </w:rPr>
        <w:t>owego Ukrainy z rynkiem energii UE</w:t>
      </w:r>
      <w:bookmarkEnd w:id="1368"/>
      <w:r w:rsidRPr="007811A4">
        <w:rPr>
          <w:i/>
          <w:iCs/>
          <w:lang w:eastAsia="pl-PL"/>
        </w:rPr>
        <w:t> </w:t>
      </w:r>
    </w:p>
    <w:p w14:paraId="551A726F" w14:textId="0851C5B8" w:rsidR="00346ECA" w:rsidRPr="008C1AC6" w:rsidRDefault="00346ECA" w:rsidP="008C1AC6">
      <w:pPr>
        <w:spacing w:after="240"/>
        <w:rPr>
          <w:rFonts w:ascii="Times New Roman" w:hAnsi="Times New Roman"/>
        </w:rPr>
      </w:pPr>
      <w:r w:rsidRPr="008C1AC6">
        <w:t>Obejmuje wspieranie procesu politycznego dialogu z Ukrainą oraz wsparcie na poziomie administracji i</w:t>
      </w:r>
      <w:r w:rsidR="008301E3">
        <w:rPr>
          <w:lang w:eastAsia="pl-PL"/>
        </w:rPr>
        <w:t> </w:t>
      </w:r>
      <w:r w:rsidRPr="008C1AC6">
        <w:t>OSPe w celu dalszej integracji systemu i rynku energii energetycznej Ukrainy z UE.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7AE37104" w14:textId="77777777" w:rsidTr="008301E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2A4DCDF"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2F875557" wp14:editId="75E1B814">
                  <wp:extent cx="622300" cy="622300"/>
                  <wp:effectExtent l="0" t="0" r="6350" b="6350"/>
                  <wp:docPr id="626442792" name="Obraz 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9BA3AF7"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874FB8F"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16F94918"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2739F04"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3D1CC89" w14:textId="77777777" w:rsidR="00346ECA" w:rsidRDefault="00346ECA">
            <w:pPr>
              <w:spacing w:after="0" w:line="240" w:lineRule="auto"/>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minister wł. ds. energii </w:t>
            </w:r>
          </w:p>
          <w:p w14:paraId="28A819F9" w14:textId="25A0D177" w:rsidR="00346ECA" w:rsidRPr="007811A4" w:rsidRDefault="00C95421" w:rsidP="00771708">
            <w:pPr>
              <w:spacing w:after="0" w:line="240" w:lineRule="auto"/>
              <w:jc w:val="left"/>
              <w:textAlignment w:val="baseline"/>
              <w:rPr>
                <w:rFonts w:ascii="Times New Roman" w:eastAsia="Times New Roman" w:hAnsi="Times New Roman" w:cs="Times New Roman"/>
                <w:kern w:val="0"/>
                <w:lang w:eastAsia="pl-PL"/>
                <w14:ligatures w14:val="none"/>
              </w:rPr>
            </w:pPr>
            <w:r w:rsidRPr="00C95421">
              <w:rPr>
                <w:rFonts w:eastAsia="Times New Roman" w:cs="Times New Roman"/>
                <w:color w:val="808080"/>
                <w:kern w:val="0"/>
                <w:sz w:val="18"/>
                <w:szCs w:val="18"/>
                <w:lang w:eastAsia="pl-PL"/>
                <w14:ligatures w14:val="none"/>
              </w:rPr>
              <w:t>Pełnomocnik Rządu do spraw Strategicznej Infrastruktury Energetycznej</w:t>
            </w:r>
            <w:r w:rsidRPr="00F1783C">
              <w:rPr>
                <w:rFonts w:eastAsia="Times New Roman" w:cs="Times New Roman"/>
                <w:color w:val="000000" w:themeColor="text1"/>
                <w:kern w:val="0"/>
                <w:szCs w:val="20"/>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53F91DCE"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color w:val="808080"/>
                <w:kern w:val="0"/>
                <w:sz w:val="18"/>
                <w:szCs w:val="18"/>
                <w:lang w:eastAsia="pl-PL"/>
                <w14:ligatures w14:val="none"/>
              </w:rPr>
              <w:t> </w:t>
            </w:r>
            <w:r w:rsidR="00105498">
              <w:rPr>
                <w:rFonts w:eastAsia="Times New Roman" w:cs="Times New Roman"/>
                <w:color w:val="808080"/>
                <w:kern w:val="0"/>
                <w:sz w:val="18"/>
                <w:szCs w:val="18"/>
                <w:lang w:eastAsia="pl-PL"/>
                <w14:ligatures w14:val="none"/>
              </w:rPr>
              <w:t>OSP</w:t>
            </w:r>
          </w:p>
        </w:tc>
      </w:tr>
    </w:tbl>
    <w:p w14:paraId="6B53C9E1" w14:textId="754BF34B" w:rsidR="00346ECA" w:rsidRPr="00901FEA" w:rsidRDefault="00346ECA" w:rsidP="00D523F3">
      <w:pPr>
        <w:pStyle w:val="Nagwek6"/>
        <w:rPr>
          <w:rFonts w:ascii="Times New Roman" w:hAnsi="Times New Roman"/>
          <w:color w:val="auto"/>
          <w:kern w:val="0"/>
          <w14:ligatures w14:val="none"/>
        </w:rPr>
      </w:pPr>
      <w:bookmarkStart w:id="1369" w:name="_Toc195865989"/>
      <w:bookmarkStart w:id="1370" w:name="_Ref195887674"/>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135</w:t>
      </w:r>
      <w:r w:rsidRPr="00FB68C2">
        <w:rPr>
          <w:rStyle w:val="Nagwek6Znak"/>
          <w:b/>
        </w:rPr>
        <w:fldChar w:fldCharType="end"/>
      </w:r>
      <w:r w:rsidRPr="00FB68C2">
        <w:rPr>
          <w:rStyle w:val="Nagwek6Znak"/>
          <w:b/>
        </w:rPr>
        <w:t xml:space="preserve">. </w:t>
      </w:r>
      <w:r w:rsidRPr="007811A4">
        <w:rPr>
          <w:lang w:eastAsia="pl-PL"/>
        </w:rPr>
        <w:t>Monitorowanie wykorzystania przez OSPe przychodów wynikających z</w:t>
      </w:r>
      <w:r w:rsidR="008301E3">
        <w:rPr>
          <w:lang w:eastAsia="pl-PL"/>
        </w:rPr>
        <w:t> </w:t>
      </w:r>
      <w:r w:rsidRPr="007811A4">
        <w:rPr>
          <w:lang w:eastAsia="pl-PL"/>
        </w:rPr>
        <w:t>alokacji zdolności przesyłowych połączeń wzajemnych</w:t>
      </w:r>
      <w:bookmarkEnd w:id="1369"/>
      <w:bookmarkEnd w:id="1370"/>
      <w:r w:rsidRPr="007811A4">
        <w:rPr>
          <w:i/>
          <w:iCs/>
          <w:lang w:eastAsia="pl-PL"/>
        </w:rPr>
        <w:t> </w:t>
      </w:r>
    </w:p>
    <w:p w14:paraId="0874B00F" w14:textId="77777777" w:rsidR="00346ECA" w:rsidRPr="00901FEA" w:rsidRDefault="00346ECA" w:rsidP="00901FEA">
      <w:pPr>
        <w:rPr>
          <w:rFonts w:ascii="Times New Roman" w:hAnsi="Times New Roman"/>
        </w:rPr>
      </w:pPr>
      <w:r w:rsidRPr="00901FEA">
        <w:t xml:space="preserve">Działania obejmujące publikacje danych dot. sposobu wykorzystania przychodów z ograniczeń sieciowych i z alokacji zdolności przesyłowych, w tym wykorzystania </w:t>
      </w:r>
      <w:r w:rsidRPr="00901FEA">
        <w:rPr>
          <w:i/>
        </w:rPr>
        <w:t>congestion rent</w:t>
      </w:r>
      <w:r w:rsidRPr="00901FEA">
        <w:t>. Przychody te są przeznaczone na finansowanie zagwarantowania rzeczywistej dostępności przydzielonych zdolności przesyłowych oraz inwestycji sieciowych w utrzymanie lub zwiększania zdolności przesyłowych połączeń wzajemnych.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3D88E2EE" w14:textId="77777777" w:rsidTr="008301E3">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F92D18A"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6F5FD06C" wp14:editId="49CBB47F">
                  <wp:extent cx="622300" cy="622300"/>
                  <wp:effectExtent l="0" t="0" r="6350" b="6350"/>
                  <wp:docPr id="1379779955" name="Obraz 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E7D8DC6"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1B4BB78" w14:textId="77777777" w:rsidR="00346ECA" w:rsidRPr="007811A4" w:rsidRDefault="00346ECA"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21B45DE8"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7769383"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B28D0D6" w14:textId="4B1DCDF5" w:rsidR="006E35E7" w:rsidRDefault="006E35E7">
            <w:pPr>
              <w:spacing w:after="0" w:line="240" w:lineRule="auto"/>
              <w:textAlignment w:val="baseline"/>
              <w:rPr>
                <w:rFonts w:eastAsia="Times New Roman" w:cs="Times New Roman"/>
                <w:color w:val="808080"/>
                <w:kern w:val="0"/>
                <w:sz w:val="18"/>
                <w:szCs w:val="18"/>
                <w:lang w:eastAsia="pl-PL"/>
                <w14:ligatures w14:val="none"/>
              </w:rPr>
            </w:pPr>
            <w:r>
              <w:rPr>
                <w:rFonts w:eastAsia="Times New Roman" w:cs="Times New Roman"/>
                <w:color w:val="808080"/>
                <w:kern w:val="0"/>
                <w:sz w:val="18"/>
                <w:szCs w:val="18"/>
                <w:lang w:eastAsia="pl-PL"/>
                <w14:ligatures w14:val="none"/>
              </w:rPr>
              <w:t>Prezes URE</w:t>
            </w:r>
          </w:p>
          <w:p w14:paraId="0EE7F1EC" w14:textId="77777777" w:rsidR="00346ECA" w:rsidRDefault="00346ECA" w:rsidP="00307911">
            <w:pPr>
              <w:spacing w:after="0" w:line="240" w:lineRule="auto"/>
              <w:jc w:val="left"/>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Pełnomocnik Rządu do spraw Strategicznej Infrastruktury Energetycznej </w:t>
            </w:r>
          </w:p>
          <w:p w14:paraId="2B05D445" w14:textId="59161FCF" w:rsidR="00346ECA" w:rsidRPr="007811A4" w:rsidRDefault="00346ECA" w:rsidP="00901FEA">
            <w:pPr>
              <w:spacing w:after="0" w:line="240" w:lineRule="auto"/>
              <w:textAlignment w:val="baseline"/>
              <w:rPr>
                <w:rFonts w:ascii="Times New Roman" w:eastAsia="Times New Roman" w:hAnsi="Times New Roman" w:cs="Times New Roman"/>
                <w:kern w:val="0"/>
                <w:lang w:eastAsia="pl-PL"/>
                <w14:ligatures w14:val="none"/>
              </w:rPr>
            </w:pP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9AD2014" w14:textId="16D543B8" w:rsidR="00346ECA" w:rsidRPr="007811A4" w:rsidRDefault="00ED1169" w:rsidP="00901FEA">
            <w:pPr>
              <w:spacing w:after="0" w:line="240" w:lineRule="auto"/>
              <w:jc w:val="left"/>
              <w:textAlignment w:val="baseline"/>
              <w:rPr>
                <w:rFonts w:ascii="Times New Roman" w:eastAsia="Times New Roman" w:hAnsi="Times New Roman" w:cs="Times New Roman"/>
                <w:kern w:val="0"/>
                <w:lang w:eastAsia="pl-PL"/>
                <w14:ligatures w14:val="none"/>
              </w:rPr>
            </w:pPr>
            <w:r w:rsidRPr="00ED1169">
              <w:rPr>
                <w:rFonts w:eastAsia="Times New Roman" w:cs="Times New Roman"/>
                <w:color w:val="808080"/>
                <w:kern w:val="0"/>
                <w:sz w:val="18"/>
                <w:szCs w:val="18"/>
                <w:lang w:eastAsia="pl-PL"/>
                <w14:ligatures w14:val="none"/>
              </w:rPr>
              <w:t>Minister</w:t>
            </w:r>
            <w:r>
              <w:rPr>
                <w:rFonts w:eastAsia="Times New Roman" w:cs="Times New Roman"/>
                <w:color w:val="808080"/>
                <w:kern w:val="0"/>
                <w:sz w:val="18"/>
                <w:szCs w:val="18"/>
                <w:lang w:eastAsia="pl-PL"/>
                <w14:ligatures w14:val="none"/>
              </w:rPr>
              <w:t xml:space="preserve"> wł. ds. energii</w:t>
            </w:r>
          </w:p>
        </w:tc>
      </w:tr>
    </w:tbl>
    <w:p w14:paraId="1F83616E" w14:textId="75EEEE71" w:rsidR="00346ECA" w:rsidRPr="007811A4" w:rsidRDefault="00346ECA" w:rsidP="00D523F3">
      <w:pPr>
        <w:pStyle w:val="Nagwek6"/>
        <w:rPr>
          <w:rFonts w:ascii="Times New Roman" w:hAnsi="Times New Roman"/>
          <w:i/>
          <w:iCs/>
          <w:color w:val="595959"/>
          <w:lang w:eastAsia="pl-PL"/>
        </w:rPr>
      </w:pPr>
      <w:bookmarkStart w:id="1371" w:name="_Toc195865990"/>
      <w:bookmarkStart w:id="1372" w:name="_Ref195887684"/>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136</w:t>
      </w:r>
      <w:r w:rsidRPr="00FB68C2">
        <w:rPr>
          <w:rStyle w:val="Nagwek6Znak"/>
          <w:b/>
        </w:rPr>
        <w:fldChar w:fldCharType="end"/>
      </w:r>
      <w:r w:rsidRPr="00FB68C2">
        <w:rPr>
          <w:rStyle w:val="Nagwek6Znak"/>
          <w:b/>
        </w:rPr>
        <w:t xml:space="preserve">. </w:t>
      </w:r>
      <w:r w:rsidRPr="007811A4">
        <w:rPr>
          <w:lang w:eastAsia="pl-PL"/>
        </w:rPr>
        <w:t>Monitorowanie realizacji projektów PCI w obszarze elektroenergetycznym i</w:t>
      </w:r>
      <w:r w:rsidRPr="007811A4">
        <w:rPr>
          <w:rFonts w:ascii="Arial" w:hAnsi="Arial" w:cs="Arial"/>
          <w:lang w:eastAsia="pl-PL"/>
        </w:rPr>
        <w:t> </w:t>
      </w:r>
      <w:r w:rsidRPr="007811A4">
        <w:rPr>
          <w:lang w:eastAsia="pl-PL"/>
        </w:rPr>
        <w:t>pozyskanie wsparcia dla strategicznych projekt</w:t>
      </w:r>
      <w:r w:rsidRPr="007811A4">
        <w:rPr>
          <w:rFonts w:cs="Bahnschrift"/>
          <w:lang w:eastAsia="pl-PL"/>
        </w:rPr>
        <w:t>ó</w:t>
      </w:r>
      <w:r w:rsidRPr="007811A4">
        <w:rPr>
          <w:lang w:eastAsia="pl-PL"/>
        </w:rPr>
        <w:t>w przez wprowadzanie ich na kolejne listy PCI</w:t>
      </w:r>
      <w:bookmarkEnd w:id="1371"/>
      <w:bookmarkEnd w:id="1372"/>
      <w:r w:rsidRPr="007811A4">
        <w:rPr>
          <w:i/>
          <w:iCs/>
          <w:lang w:eastAsia="pl-PL"/>
        </w:rPr>
        <w:t> </w:t>
      </w:r>
    </w:p>
    <w:p w14:paraId="0E3D6BC4" w14:textId="2754A90B" w:rsidR="00346ECA" w:rsidRPr="00FC34F4" w:rsidRDefault="00346ECA" w:rsidP="0058157F">
      <w:pPr>
        <w:rPr>
          <w:rFonts w:ascii="Times New Roman" w:hAnsi="Times New Roman"/>
          <w:kern w:val="0"/>
          <w14:ligatures w14:val="none"/>
        </w:rPr>
      </w:pPr>
      <w:r w:rsidRPr="0058157F">
        <w:t>Działanie dotyczy monitorowania na poziomie krajowym realizacji projektów znajdujących się na liście PCI oraz wsparcia projektów kandydujących na kolejne listy PCI mających znaczenie strategiczne i</w:t>
      </w:r>
      <w:r w:rsidR="008301E3">
        <w:rPr>
          <w:lang w:eastAsia="pl-PL"/>
        </w:rPr>
        <w:t> </w:t>
      </w:r>
      <w:r w:rsidRPr="0058157F">
        <w:t>zgodnych z polityką państwa. Projekty PCI to kluczowe projekty dotyczące infrastruktury, które mają na celu dokończenie budowy europejskiego wewnętrznego rynku energii i pomoc w osiągnięciu unijnych celów polityki energetycznej i klimatycznej poprzez możliwość skorzystania z udogodnień prawnych i</w:t>
      </w:r>
      <w:r w:rsidR="008301E3">
        <w:rPr>
          <w:lang w:eastAsia="pl-PL"/>
        </w:rPr>
        <w:t> </w:t>
      </w:r>
      <w:r w:rsidRPr="0058157F">
        <w:t>wsparcia finansowego.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017353D2" w14:textId="77777777" w:rsidTr="003C312A">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655BF785"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26D85051" wp14:editId="538E07A5">
                  <wp:extent cx="622300" cy="622300"/>
                  <wp:effectExtent l="0" t="0" r="6350" b="6350"/>
                  <wp:docPr id="1017810880" name="Obraz 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433A7CC"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1CB907F7"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2CA9E06F"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0633E89"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65A96CA" w14:textId="24152F1C" w:rsidR="00105498" w:rsidRPr="007811A4" w:rsidRDefault="0059717E" w:rsidP="00105498">
            <w:pPr>
              <w:spacing w:after="0" w:line="240" w:lineRule="auto"/>
              <w:textAlignment w:val="baseline"/>
              <w:rPr>
                <w:rFonts w:ascii="Times New Roman" w:eastAsia="Times New Roman" w:hAnsi="Times New Roman" w:cs="Times New Roman"/>
                <w:kern w:val="0"/>
                <w:lang w:eastAsia="pl-PL"/>
                <w14:ligatures w14:val="none"/>
              </w:rPr>
            </w:pPr>
            <w:r>
              <w:rPr>
                <w:color w:val="808080"/>
                <w:sz w:val="18"/>
              </w:rPr>
              <w:t xml:space="preserve">minister wł. ds. </w:t>
            </w:r>
            <w:r w:rsidR="00105498">
              <w:rPr>
                <w:rFonts w:eastAsia="Times New Roman" w:cs="Times New Roman"/>
                <w:color w:val="808080"/>
                <w:kern w:val="0"/>
                <w:sz w:val="18"/>
                <w:szCs w:val="18"/>
                <w:lang w:eastAsia="pl-PL"/>
                <w14:ligatures w14:val="none"/>
              </w:rPr>
              <w:t>energii</w:t>
            </w:r>
          </w:p>
          <w:p w14:paraId="3A62DDCB" w14:textId="77777777" w:rsidR="00346ECA" w:rsidRPr="0059717E" w:rsidRDefault="00346ECA" w:rsidP="00FF5495">
            <w:pPr>
              <w:spacing w:after="0" w:line="240" w:lineRule="auto"/>
              <w:jc w:val="left"/>
              <w:textAlignment w:val="baseline"/>
              <w:rPr>
                <w:color w:val="808080"/>
                <w:kern w:val="0"/>
                <w:sz w:val="18"/>
                <w14:ligatures w14:val="none"/>
              </w:rPr>
            </w:pPr>
            <w:r w:rsidRPr="007811A4">
              <w:rPr>
                <w:rFonts w:eastAsia="Times New Roman" w:cs="Times New Roman"/>
                <w:color w:val="808080"/>
                <w:kern w:val="0"/>
                <w:sz w:val="18"/>
                <w:szCs w:val="18"/>
                <w:lang w:eastAsia="pl-PL"/>
                <w14:ligatures w14:val="none"/>
              </w:rPr>
              <w:t>Pełnomocnik Rządu do spraw Strategicznej Infrastruktury Energetycznej </w:t>
            </w:r>
          </w:p>
          <w:p w14:paraId="7DE399BF"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color w:val="808080"/>
                <w:kern w:val="0"/>
                <w:sz w:val="18"/>
                <w:szCs w:val="18"/>
                <w:lang w:eastAsia="pl-PL"/>
                <w14:ligatures w14:val="none"/>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51DBC16" w14:textId="77777777" w:rsidR="00346ECA" w:rsidRDefault="00346ECA">
            <w:pPr>
              <w:spacing w:after="0" w:line="240" w:lineRule="auto"/>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Prezes URE </w:t>
            </w:r>
          </w:p>
          <w:p w14:paraId="1F8E2EE6" w14:textId="32960F7B" w:rsidR="00346ECA" w:rsidRPr="007811A4" w:rsidRDefault="00447DEB">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OSP</w:t>
            </w:r>
          </w:p>
        </w:tc>
      </w:tr>
    </w:tbl>
    <w:p w14:paraId="6D1DD507" w14:textId="7C808816" w:rsidR="00346ECA" w:rsidRPr="007811A4" w:rsidRDefault="00346ECA" w:rsidP="00D523F3">
      <w:pPr>
        <w:pStyle w:val="Nagwek6"/>
        <w:rPr>
          <w:rFonts w:ascii="Times New Roman" w:hAnsi="Times New Roman"/>
          <w:i/>
          <w:iCs/>
          <w:color w:val="595959"/>
          <w:lang w:eastAsia="pl-PL"/>
        </w:rPr>
      </w:pPr>
      <w:bookmarkStart w:id="1373" w:name="_Toc195865991"/>
      <w:bookmarkStart w:id="1374" w:name="_Ref195892502"/>
      <w:bookmarkStart w:id="1375" w:name="_Ref195893375"/>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137</w:t>
      </w:r>
      <w:r w:rsidRPr="00FB68C2">
        <w:rPr>
          <w:rStyle w:val="Nagwek6Znak"/>
          <w:b/>
        </w:rPr>
        <w:fldChar w:fldCharType="end"/>
      </w:r>
      <w:r w:rsidRPr="00FB68C2">
        <w:rPr>
          <w:rStyle w:val="Nagwek6Znak"/>
          <w:b/>
        </w:rPr>
        <w:t xml:space="preserve">. </w:t>
      </w:r>
      <w:r w:rsidRPr="007811A4">
        <w:rPr>
          <w:lang w:eastAsia="pl-PL"/>
        </w:rPr>
        <w:t>Działania w zakresie integracji oraz poprawy funkcjonowania rynku energii elektrycznej</w:t>
      </w:r>
      <w:bookmarkEnd w:id="1373"/>
      <w:bookmarkEnd w:id="1374"/>
      <w:bookmarkEnd w:id="1375"/>
      <w:r w:rsidRPr="007811A4">
        <w:rPr>
          <w:i/>
          <w:iCs/>
          <w:lang w:eastAsia="pl-PL"/>
        </w:rPr>
        <w:t> </w:t>
      </w:r>
    </w:p>
    <w:p w14:paraId="2C825F23" w14:textId="64B37141" w:rsidR="00346ECA" w:rsidRPr="0059717E" w:rsidRDefault="00346ECA" w:rsidP="0059717E">
      <w:pPr>
        <w:rPr>
          <w:rFonts w:ascii="Times New Roman" w:hAnsi="Times New Roman"/>
        </w:rPr>
      </w:pPr>
      <w:r w:rsidRPr="0059717E">
        <w:t>Działania związane z skoordynowanym wdrażaniem przez operatorów systemów wytycznych, zasad i</w:t>
      </w:r>
      <w:r w:rsidR="008301E3">
        <w:rPr>
          <w:lang w:eastAsia="pl-PL"/>
        </w:rPr>
        <w:t> </w:t>
      </w:r>
      <w:r w:rsidRPr="0059717E">
        <w:t>metodologii jako aktów prawa UE dotyczących technicznych aspektów integracji systemów energetycznych oraz ich bezpiecznego funkcjonowania. Wprowadzenia na poziomie prawodawstwa krajowego rozwiązań służących tym celom.</w:t>
      </w:r>
      <w:r w:rsidR="003E2DE5">
        <w:rPr>
          <w:rFonts w:eastAsia="Times New Roman" w:cs="Times New Roman"/>
          <w:kern w:val="0"/>
          <w:szCs w:val="20"/>
          <w:lang w:eastAsia="pl-PL"/>
          <w14:ligatures w14:val="none"/>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7811A4" w14:paraId="63D3B3AD" w14:textId="77777777" w:rsidTr="008301E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0888348"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ascii="Times New Roman" w:eastAsia="Times New Roman" w:hAnsi="Times New Roman" w:cs="Times New Roman"/>
                <w:noProof/>
                <w:kern w:val="0"/>
                <w:lang w:eastAsia="pl-PL"/>
                <w14:ligatures w14:val="none"/>
              </w:rPr>
              <w:drawing>
                <wp:inline distT="0" distB="0" distL="0" distR="0" wp14:anchorId="0AC82514" wp14:editId="3B432577">
                  <wp:extent cx="622300" cy="622300"/>
                  <wp:effectExtent l="0" t="0" r="6350" b="6350"/>
                  <wp:docPr id="1091031792"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7811A4">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0211229"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smallCaps/>
                <w:color w:val="000000"/>
                <w:kern w:val="0"/>
                <w:sz w:val="18"/>
                <w:szCs w:val="18"/>
                <w:lang w:eastAsia="pl-PL"/>
                <w14:ligatures w14:val="none"/>
              </w:rPr>
              <w:t>PODMIOT WIODĄCY</w:t>
            </w:r>
            <w:r w:rsidRPr="007811A4">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FC280CA"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b/>
                <w:bCs/>
                <w:color w:val="000000"/>
                <w:kern w:val="0"/>
                <w:sz w:val="18"/>
                <w:szCs w:val="18"/>
                <w:lang w:eastAsia="pl-PL"/>
                <w14:ligatures w14:val="none"/>
              </w:rPr>
              <w:t>PODMIOTY WSPÓŁPRACUJĄCE</w:t>
            </w:r>
            <w:r w:rsidRPr="007811A4">
              <w:rPr>
                <w:rFonts w:eastAsia="Times New Roman" w:cs="Times New Roman"/>
                <w:color w:val="000000"/>
                <w:kern w:val="0"/>
                <w:sz w:val="18"/>
                <w:szCs w:val="18"/>
                <w:lang w:eastAsia="pl-PL"/>
                <w14:ligatures w14:val="none"/>
              </w:rPr>
              <w:t> </w:t>
            </w:r>
          </w:p>
        </w:tc>
      </w:tr>
      <w:tr w:rsidR="003B6773" w:rsidRPr="007811A4" w14:paraId="30E038DF"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BA0DC13" w14:textId="77777777" w:rsidR="00346ECA" w:rsidRPr="007811A4"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45CE8BB" w14:textId="77777777" w:rsidR="00346ECA" w:rsidRDefault="00346ECA">
            <w:pPr>
              <w:spacing w:after="0" w:line="240" w:lineRule="auto"/>
              <w:textAlignment w:val="baseline"/>
              <w:rPr>
                <w:rFonts w:eastAsia="Times New Roman" w:cs="Times New Roman"/>
                <w:color w:val="808080"/>
                <w:kern w:val="0"/>
                <w:sz w:val="18"/>
                <w:szCs w:val="18"/>
                <w:lang w:eastAsia="pl-PL"/>
                <w14:ligatures w14:val="none"/>
              </w:rPr>
            </w:pPr>
            <w:r w:rsidRPr="007811A4">
              <w:rPr>
                <w:rFonts w:eastAsia="Times New Roman" w:cs="Times New Roman"/>
                <w:color w:val="808080"/>
                <w:kern w:val="0"/>
                <w:sz w:val="18"/>
                <w:szCs w:val="18"/>
                <w:lang w:eastAsia="pl-PL"/>
                <w14:ligatures w14:val="none"/>
              </w:rPr>
              <w:t>minister wł. ds. energii</w:t>
            </w:r>
            <w:r w:rsidR="003E2DE5">
              <w:rPr>
                <w:rFonts w:eastAsia="Times New Roman" w:cs="Times New Roman"/>
                <w:color w:val="808080"/>
                <w:kern w:val="0"/>
                <w:sz w:val="18"/>
                <w:szCs w:val="18"/>
                <w:lang w:eastAsia="pl-PL"/>
                <w14:ligatures w14:val="none"/>
              </w:rPr>
              <w:t xml:space="preserve"> </w:t>
            </w:r>
          </w:p>
          <w:p w14:paraId="752791C7" w14:textId="34C19865" w:rsidR="00346ECA" w:rsidRPr="007811A4" w:rsidRDefault="006D7F45">
            <w:pPr>
              <w:spacing w:after="0" w:line="240" w:lineRule="auto"/>
              <w:textAlignment w:val="baseline"/>
              <w:rPr>
                <w:rFonts w:ascii="Times New Roman" w:eastAsia="Times New Roman" w:hAnsi="Times New Roman" w:cs="Times New Roman"/>
                <w:kern w:val="0"/>
                <w:lang w:eastAsia="pl-PL"/>
                <w14:ligatures w14:val="none"/>
              </w:rPr>
            </w:pPr>
            <w:r>
              <w:rPr>
                <w:rFonts w:eastAsia="Times New Roman" w:cs="Times New Roman"/>
                <w:color w:val="808080"/>
                <w:kern w:val="0"/>
                <w:sz w:val="18"/>
                <w:szCs w:val="18"/>
                <w:lang w:eastAsia="pl-PL"/>
                <w14:ligatures w14:val="none"/>
              </w:rPr>
              <w:t>Prezes URE</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24EE70B"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color w:val="808080"/>
                <w:kern w:val="0"/>
                <w:sz w:val="18"/>
                <w:szCs w:val="18"/>
                <w:lang w:eastAsia="pl-PL"/>
                <w14:ligatures w14:val="none"/>
              </w:rPr>
              <w:t>OSD </w:t>
            </w:r>
          </w:p>
          <w:p w14:paraId="1802721B" w14:textId="77777777" w:rsidR="00346ECA" w:rsidRPr="007811A4" w:rsidRDefault="00346ECA">
            <w:pPr>
              <w:spacing w:after="0" w:line="240" w:lineRule="auto"/>
              <w:textAlignment w:val="baseline"/>
              <w:rPr>
                <w:rFonts w:ascii="Times New Roman" w:eastAsia="Times New Roman" w:hAnsi="Times New Roman" w:cs="Times New Roman"/>
                <w:kern w:val="0"/>
                <w:lang w:eastAsia="pl-PL"/>
                <w14:ligatures w14:val="none"/>
              </w:rPr>
            </w:pPr>
            <w:r w:rsidRPr="007811A4">
              <w:rPr>
                <w:rFonts w:eastAsia="Times New Roman" w:cs="Times New Roman"/>
                <w:color w:val="808080"/>
                <w:kern w:val="0"/>
                <w:sz w:val="18"/>
                <w:szCs w:val="18"/>
                <w:lang w:eastAsia="pl-PL"/>
                <w14:ligatures w14:val="none"/>
              </w:rPr>
              <w:t>OSP </w:t>
            </w:r>
          </w:p>
        </w:tc>
      </w:tr>
    </w:tbl>
    <w:p w14:paraId="07FCE574" w14:textId="73D26A66" w:rsidR="00346ECA" w:rsidRPr="008A5AE2" w:rsidRDefault="00346ECA" w:rsidP="00D523F3">
      <w:pPr>
        <w:pStyle w:val="Nagwek6"/>
        <w:rPr>
          <w:rFonts w:ascii="Times New Roman" w:hAnsi="Times New Roman"/>
          <w:i/>
          <w:iCs/>
          <w:color w:val="595959"/>
          <w:lang w:eastAsia="pl-PL"/>
        </w:rPr>
      </w:pPr>
      <w:bookmarkStart w:id="1376" w:name="_Toc195865992"/>
      <w:bookmarkStart w:id="1377" w:name="_Ref195887704"/>
      <w:bookmarkStart w:id="1378" w:name="_Ref195887925"/>
      <w:bookmarkStart w:id="1379" w:name="_Ref195893678"/>
      <w:bookmarkStart w:id="1380" w:name="_Ref195893599"/>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138</w:t>
      </w:r>
      <w:r w:rsidRPr="00FB68C2">
        <w:rPr>
          <w:rStyle w:val="Nagwek6Znak"/>
          <w:b/>
        </w:rPr>
        <w:fldChar w:fldCharType="end"/>
      </w:r>
      <w:r w:rsidRPr="00FB68C2">
        <w:rPr>
          <w:rStyle w:val="Nagwek6Znak"/>
          <w:b/>
        </w:rPr>
        <w:t xml:space="preserve">. </w:t>
      </w:r>
      <w:r w:rsidRPr="008A5AE2">
        <w:rPr>
          <w:lang w:eastAsia="pl-PL"/>
        </w:rPr>
        <w:t>Wzmacnianie cyberbezpieczeństwa w sektorze energii</w:t>
      </w:r>
      <w:bookmarkEnd w:id="1376"/>
      <w:bookmarkEnd w:id="1377"/>
      <w:bookmarkEnd w:id="1378"/>
      <w:bookmarkEnd w:id="1379"/>
      <w:bookmarkEnd w:id="1380"/>
      <w:r w:rsidRPr="008A5AE2">
        <w:rPr>
          <w:i/>
          <w:iCs/>
          <w:lang w:eastAsia="pl-PL"/>
        </w:rPr>
        <w:t> </w:t>
      </w:r>
    </w:p>
    <w:p w14:paraId="0BFB3C34" w14:textId="0FC1FD53" w:rsidR="00346ECA" w:rsidRPr="00D11A4F" w:rsidRDefault="00346ECA" w:rsidP="000171F3">
      <w:pPr>
        <w:rPr>
          <w:rFonts w:ascii="Times New Roman" w:hAnsi="Times New Roman"/>
        </w:rPr>
      </w:pPr>
      <w:r w:rsidRPr="00901FEA">
        <w:t xml:space="preserve">Działanie polega na rozwoju sektorowego zespołu cyberbezpieczeństwa dla sektora energii </w:t>
      </w:r>
      <w:r w:rsidR="004126C6">
        <w:t xml:space="preserve">– </w:t>
      </w:r>
      <w:r w:rsidRPr="00901FEA">
        <w:t>CSIRT Energia</w:t>
      </w:r>
      <w:r w:rsidR="004126C6" w:rsidRPr="00901FEA">
        <w:t xml:space="preserve"> </w:t>
      </w:r>
      <w:r w:rsidRPr="00901FEA">
        <w:t>(</w:t>
      </w:r>
      <w:r w:rsidR="00AB17F8" w:rsidRPr="00AB17F8">
        <w:t xml:space="preserve">Zespół Reagowania na Incydenty Bezpieczeństwa Komputerowego </w:t>
      </w:r>
      <w:r w:rsidR="003E6D39">
        <w:t xml:space="preserve">w </w:t>
      </w:r>
      <w:r w:rsidR="00726A59">
        <w:t>sektorze energii</w:t>
      </w:r>
      <w:r w:rsidR="0066434F">
        <w:t>,</w:t>
      </w:r>
      <w:r w:rsidR="00AB17F8">
        <w:t xml:space="preserve"> od</w:t>
      </w:r>
      <w:r w:rsidR="00E30E7D">
        <w:t> </w:t>
      </w:r>
      <w:r w:rsidR="00726A59">
        <w:t>ang.</w:t>
      </w:r>
      <w:r w:rsidR="00E30E7D">
        <w:t> </w:t>
      </w:r>
      <w:r w:rsidR="00545483" w:rsidRPr="00545483">
        <w:rPr>
          <w:i/>
          <w:iCs/>
        </w:rPr>
        <w:t>Computer Security Incident Response Team</w:t>
      </w:r>
      <w:r w:rsidRPr="00901FEA">
        <w:t>). Zespół ten będzie utworzony w strukturze Ministerstwa Klimatu i Środowiska. Do jego zadań należeć będzie m.in. przyjmowanie zgłoszeń o</w:t>
      </w:r>
      <w:r w:rsidR="00E30E7D">
        <w:t> </w:t>
      </w:r>
      <w:r w:rsidRPr="00901FEA">
        <w:t xml:space="preserve">incydentach poważnych oraz wsparcie w obsłudze tych incydentów, wspieranie operatorów usług kluczowych w wykonywaniu obowiązków określonych w ustawie o krajowym systemie cyberbezpieczeństwa, analizowanie incydentów </w:t>
      </w:r>
      <w:r w:rsidRPr="000171F3">
        <w:t>poważnych, wyszukiwanie powiązań pomiędzy incydentami oraz opracowywanie wniosków z obsługi incydentu, a także współpraca z właściwym CSIRT poziomu krajowego w zakresie koordynowania obsługi incydentów poważnych.</w:t>
      </w:r>
      <w:r w:rsidR="00BA7A83">
        <w:rPr>
          <w:lang w:eastAsia="pl-PL"/>
        </w:rPr>
        <w:t xml:space="preserve"> K</w:t>
      </w:r>
      <w:r w:rsidR="00BA7A83" w:rsidRPr="1D1393D4">
        <w:rPr>
          <w:rStyle w:val="normaltextrun"/>
          <w:rFonts w:eastAsiaTheme="majorEastAsia"/>
        </w:rPr>
        <w:t>atalog zadań CSIRT Energia zostanie rozszerzony po wejściu w życie projektu ustawy o zmianie ustawy o krajowym systemie cyberbezpieczeństwa, która implementuje do polskiego prawa dyrektywę NIS2.</w:t>
      </w:r>
    </w:p>
    <w:p w14:paraId="40415F0C" w14:textId="642744D0" w:rsidR="00346ECA" w:rsidRPr="000171F3" w:rsidRDefault="00346ECA" w:rsidP="000171F3">
      <w:pPr>
        <w:rPr>
          <w:rFonts w:ascii="Times New Roman" w:hAnsi="Times New Roman"/>
        </w:rPr>
      </w:pPr>
      <w:r w:rsidRPr="00D11A4F">
        <w:t xml:space="preserve">Co więcej, w celu wzmocnienia cyberbezpieczeństwa w sektorze energii ważna jest skuteczna implementacja horyzontalnych przepisów wynikających z dyrektywy NIS2 implementowanej do prawa polskiego poprzez nowelizację </w:t>
      </w:r>
      <w:r w:rsidRPr="000171F3">
        <w:t>ustawy o krajowym systemie cyberbezpieczeństwie oraz dyrektywy CER dotyczącej odporności podmiotów krytycznych.</w:t>
      </w:r>
      <w:r w:rsidR="003E2DE5">
        <w:rPr>
          <w:rFonts w:eastAsia="Times New Roman" w:cs="Times New Roman"/>
          <w:kern w:val="0"/>
          <w:szCs w:val="20"/>
          <w:lang w:eastAsia="pl-PL"/>
          <w14:ligatures w14:val="none"/>
        </w:rPr>
        <w:t xml:space="preserve"> </w:t>
      </w:r>
      <w:r w:rsidRPr="000171F3">
        <w:t>Zgodność z dyrektywą NIS2 będzie wymagała rozszerzenia zakresu i ilości podsektorów w sektorze energii o m.in. wodór czy operatorów punktów ładowania. </w:t>
      </w:r>
    </w:p>
    <w:p w14:paraId="26E82621" w14:textId="77E6E2A5" w:rsidR="00346ECA" w:rsidRPr="00D11A4F" w:rsidRDefault="00346ECA" w:rsidP="00D11A4F">
      <w:pPr>
        <w:rPr>
          <w:rFonts w:ascii="Times New Roman" w:hAnsi="Times New Roman"/>
        </w:rPr>
      </w:pPr>
      <w:r w:rsidRPr="00D11A4F">
        <w:t>Ponadto, odpowiednie wdrożenie przepisów sektorowych, w tym kodeksu sieci NCCS</w:t>
      </w:r>
      <w:r w:rsidR="00E61A27">
        <w:rPr>
          <w:rStyle w:val="Odwoanieprzypisudolnego"/>
        </w:rPr>
        <w:footnoteReference w:id="143"/>
      </w:r>
      <w:r w:rsidRPr="00D11A4F">
        <w:t xml:space="preserve"> i realizacja zadań organu właściwego ds. NCCS przez ministra właściwego ds. energii będzie również wzmacniać cyberbezpieczeństwo sektora energii. </w:t>
      </w:r>
    </w:p>
    <w:p w14:paraId="330B8081" w14:textId="19EB8F24" w:rsidR="00346ECA" w:rsidRPr="00D11A4F" w:rsidRDefault="00346ECA" w:rsidP="000171F3">
      <w:pPr>
        <w:rPr>
          <w:rFonts w:ascii="Times New Roman" w:hAnsi="Times New Roman"/>
        </w:rPr>
      </w:pPr>
      <w:r w:rsidRPr="00D11A4F">
        <w:t xml:space="preserve">Niezwykle ważne jest też systematyczne działanie na rzecz cyberbezpieczeństwa, wdrażanych </w:t>
      </w:r>
      <w:r w:rsidRPr="000171F3">
        <w:t>w</w:t>
      </w:r>
      <w:r w:rsidR="008301E3">
        <w:rPr>
          <w:lang w:eastAsia="pl-PL"/>
        </w:rPr>
        <w:t> </w:t>
      </w:r>
      <w:r w:rsidRPr="000171F3">
        <w:t>systemach teleinformatycznych, komponentów używanych w sektorze energii. Organ właściwy i</w:t>
      </w:r>
      <w:r w:rsidR="008301E3">
        <w:rPr>
          <w:lang w:eastAsia="pl-PL"/>
        </w:rPr>
        <w:t> </w:t>
      </w:r>
      <w:r w:rsidRPr="000171F3">
        <w:t>sektorowy zespół cyberbezpieczeństwa powinny, we współpracy z innymi podmiotami krajowego systemu cyberbezpieczeństwa, wypracować rekomendacje mające na celu wzmocnienie cyberbezpieczeństwa</w:t>
      </w:r>
      <w:r w:rsidRPr="00D11A4F">
        <w:t>, w tym np. co do wymogów cyberbezpieczeństwa jakie powinny spełniać urządzenia i oprogramowanie stosowane w nowoczesnych systemach sektora energii. W szczególności dotyczyłoby to nowych urządzeń ICT/OT, które mają stać się częścią instalacji technologicznych stosowanych w sektorze. </w:t>
      </w:r>
    </w:p>
    <w:p w14:paraId="5B4D9766" w14:textId="77777777" w:rsidR="00346ECA" w:rsidRPr="008A5AE2" w:rsidRDefault="00346ECA" w:rsidP="00D11A4F">
      <w:pPr>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W tym kontekście należy zwrócić uwagę na nowe technologie typu smart, nowe typy źródeł energii oraz bezpieczne zastosowanie technologii wykorzystujących algorytmy sztucznej inteligencji.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6EAF99BD" w14:textId="77777777" w:rsidTr="00685840">
        <w:trPr>
          <w:trHeight w:val="300"/>
        </w:trPr>
        <w:tc>
          <w:tcPr>
            <w:tcW w:w="1097" w:type="dxa"/>
            <w:vMerge w:val="restart"/>
            <w:tcBorders>
              <w:top w:val="dashed" w:sz="12" w:space="0" w:color="FFFFFF"/>
              <w:left w:val="dashed" w:sz="12" w:space="0" w:color="FFFFFF"/>
              <w:bottom w:val="dashed" w:sz="12" w:space="0" w:color="FFFFFF"/>
              <w:right w:val="dashed" w:sz="12" w:space="0" w:color="FFFFFF"/>
            </w:tcBorders>
            <w:hideMark/>
          </w:tcPr>
          <w:p w14:paraId="448EF835"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1A011EB9" wp14:editId="3804668A">
                  <wp:extent cx="621030" cy="621030"/>
                  <wp:effectExtent l="0" t="0" r="7620" b="7620"/>
                  <wp:docPr id="113" name="Obraz 3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BD4D60E"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F24B7E4"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6110D4CE"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1A9E7DC"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E30DB08"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34FA244"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cyfryzacji </w:t>
            </w:r>
          </w:p>
        </w:tc>
      </w:tr>
    </w:tbl>
    <w:p w14:paraId="5DC0D553" w14:textId="77777777" w:rsidR="00346ECA" w:rsidRPr="008A5AE2" w:rsidRDefault="00346ECA" w:rsidP="00346ECA">
      <w:pPr>
        <w:spacing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kern w:val="0"/>
          <w:szCs w:val="20"/>
          <w:lang w:eastAsia="pl-PL"/>
          <w14:ligatures w14:val="none"/>
        </w:rPr>
        <w:t> </w:t>
      </w:r>
    </w:p>
    <w:p w14:paraId="49C4BFF9" w14:textId="62062B56" w:rsidR="00346ECA" w:rsidRPr="00D53D10" w:rsidRDefault="00346ECA" w:rsidP="00D523F3">
      <w:pPr>
        <w:pStyle w:val="Nagwek6"/>
        <w:rPr>
          <w:lang w:eastAsia="pl-PL"/>
        </w:rPr>
      </w:pPr>
      <w:bookmarkStart w:id="1381" w:name="_Toc195865993"/>
      <w:bookmarkStart w:id="1382" w:name="_Ref195891109"/>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139</w:t>
      </w:r>
      <w:r w:rsidRPr="00FB68C2">
        <w:rPr>
          <w:rStyle w:val="Nagwek6Znak"/>
          <w:b/>
        </w:rPr>
        <w:fldChar w:fldCharType="end"/>
      </w:r>
      <w:r w:rsidRPr="00FB68C2">
        <w:rPr>
          <w:rStyle w:val="Nagwek6Znak"/>
          <w:b/>
        </w:rPr>
        <w:t xml:space="preserve">. </w:t>
      </w:r>
      <w:r w:rsidRPr="00D53D10">
        <w:rPr>
          <w:lang w:eastAsia="pl-PL"/>
        </w:rPr>
        <w:t>Wzmacnianie cyberbezpieczeństwa w sektorze gospodarowania odpadami</w:t>
      </w:r>
      <w:bookmarkEnd w:id="1381"/>
      <w:bookmarkEnd w:id="1382"/>
      <w:r w:rsidRPr="00D53D10">
        <w:rPr>
          <w:lang w:eastAsia="pl-PL"/>
        </w:rPr>
        <w:t> </w:t>
      </w:r>
    </w:p>
    <w:p w14:paraId="1C057FBD" w14:textId="0AB095B9" w:rsidR="00346ECA" w:rsidRDefault="00346ECA" w:rsidP="00901FEA">
      <w:r w:rsidRPr="00901FEA">
        <w:rPr>
          <w:rStyle w:val="normaltextrun"/>
        </w:rPr>
        <w:t>Dyrektywa NIS2 wprowadza nowe sektory, w których konieczne będzie podjęcie działań mających na</w:t>
      </w:r>
      <w:r w:rsidR="00E30E7D">
        <w:rPr>
          <w:rStyle w:val="normaltextrun"/>
        </w:rPr>
        <w:t> </w:t>
      </w:r>
      <w:r w:rsidRPr="00901FEA">
        <w:rPr>
          <w:rStyle w:val="normaltextrun"/>
        </w:rPr>
        <w:t>celu zwiększenie ich poziomu cyberbezpieczeństwa. Jednym z takich sektorów jest gospodarowanie odpadami. Dyrektywa NIS2 jest wdrażana do polskiego prawa w ramach projektu ustawy o zmianie ustawy o krajowym systemie cyberbezpieczeństwa, zgodnie z którą organem właściwym ds.</w:t>
      </w:r>
      <w:r w:rsidR="00E30E7D">
        <w:rPr>
          <w:rStyle w:val="normaltextrun"/>
        </w:rPr>
        <w:t> </w:t>
      </w:r>
      <w:r w:rsidRPr="00901FEA">
        <w:rPr>
          <w:rStyle w:val="normaltextrun"/>
        </w:rPr>
        <w:t>cyberbezpieczeństwa dla sektora gospodarowania odpadami jest minister właściwy do spraw klimatu, czyli obecnie Minister Klimatu i Środowiska. Z racji tego, po wejściu w życie ustawy wdrażającej dyrektywę NIS2, konieczne będzie podjęcie szeregu działań mających na celu zbudowanie odpowiedniego poziomu cyberbezpieczeństwa tego sektora. Mowa tu chociażby o identyfikacji podmiotów z sektora gospodarowania odpadami, ustanowieniu komórki realizującej zadania organu właściwego ds. cyberbezpieczeństwa dla tego sektora czy wdrożeniu odpowiednich mechanizmów nadzorczych oraz budowaniu świadomości sytuacyjnej.</w:t>
      </w:r>
      <w:r w:rsidR="003E2DE5">
        <w:rPr>
          <w:rStyle w:val="normaltextrun"/>
          <w:rFonts w:eastAsiaTheme="majorEastAsia"/>
          <w:szCs w:val="20"/>
        </w:rPr>
        <w:t xml:space="preserve"> </w:t>
      </w:r>
    </w:p>
    <w:p w14:paraId="1A0225B1" w14:textId="5FFB5287" w:rsidR="00346ECA" w:rsidRDefault="00346ECA" w:rsidP="00901FEA">
      <w:r w:rsidRPr="00901FEA">
        <w:rPr>
          <w:rStyle w:val="normaltextrun"/>
        </w:rPr>
        <w:t>Działanie będzie polegało także na rozwoju CSIRT sektorowego dla sektora gospodarowania odpadami. CSIRT sektorowy będzie utworzony w strukturze Ministerstwa Klimatu i Środowiska. Do jego zadań należeć będzie m.in. przyjmowanie wczesnych ostrzeżeń, zgłoszeń o incydentach, sprawozdań okresowych i sprawozdań końcowych, przyjmowanie zgłoszeń o potencjalnych zagrożeniach dla cyberbezpieczeństwa, reagowanie na incydenty, gromadzenie informacji o podatnościach i cyberzagrożeniach, współpraca z podmiotem kluczowym i podmiotem ważnym w zakresie wymiany dobrych praktyk, organizacja i uczestniczenie w ćwiczeniach, wspieranie inicjatyw szkoleniowych czy współpraca z CSIRT poziomu krajowego i CSIRT sektorowymi. Działania te będą tożsame dla CSIRT sektorowego dla sektora energii.</w:t>
      </w:r>
      <w:r w:rsidR="003E2DE5">
        <w:rPr>
          <w:rStyle w:val="normaltextrun"/>
          <w:rFonts w:eastAsiaTheme="majorEastAsia"/>
          <w:szCs w:val="20"/>
        </w:rPr>
        <w:t xml:space="preserve"> </w:t>
      </w:r>
    </w:p>
    <w:p w14:paraId="695BA962" w14:textId="43103E0D" w:rsidR="00346ECA" w:rsidRDefault="00346ECA" w:rsidP="00901FEA">
      <w:pPr>
        <w:spacing w:after="240"/>
      </w:pPr>
      <w:r w:rsidRPr="003B6773">
        <w:rPr>
          <w:rStyle w:val="normaltextrun"/>
          <w:rFonts w:eastAsiaTheme="majorEastAsia"/>
        </w:rPr>
        <w:t>Należy pamiętać, że działania te będą mogły zostać wdrożone po wejściu w życie projektu ustawy o zmianie ustawy o krajowym systemie cyberbezpieczeństwa, która implementuje do polskiego prawa dyrektywę NIS2.</w:t>
      </w:r>
      <w:r w:rsidR="00974007">
        <w:rPr>
          <w:rStyle w:val="normaltextrun"/>
          <w:rFonts w:eastAsiaTheme="majorEastAsia"/>
          <w:szCs w:val="20"/>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8A5AE2" w14:paraId="1CECD56F" w14:textId="77777777" w:rsidTr="008301E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C7DF7F4"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ascii="Times New Roman" w:eastAsia="Times New Roman" w:hAnsi="Times New Roman" w:cs="Times New Roman"/>
                <w:noProof/>
                <w:kern w:val="0"/>
                <w:lang w:eastAsia="pl-PL"/>
                <w14:ligatures w14:val="none"/>
              </w:rPr>
              <w:drawing>
                <wp:inline distT="0" distB="0" distL="0" distR="0" wp14:anchorId="1BDE92FA" wp14:editId="44B9484D">
                  <wp:extent cx="621030" cy="621030"/>
                  <wp:effectExtent l="0" t="0" r="7620" b="7620"/>
                  <wp:docPr id="1273786610" name="Obraz 3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8A5AE2">
              <w:rPr>
                <w:rFonts w:eastAsia="Times New Roman" w:cs="Times New Roman"/>
                <w:color w:val="FFFFFF"/>
                <w:kern w:val="0"/>
                <w:sz w:val="18"/>
                <w:szCs w:val="18"/>
                <w:lang w:eastAsia="pl-PL"/>
                <w14:ligatures w14:val="none"/>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79E464D"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smallCaps/>
                <w:color w:val="000000"/>
                <w:kern w:val="0"/>
                <w:sz w:val="18"/>
                <w:szCs w:val="18"/>
                <w:lang w:eastAsia="pl-PL"/>
                <w14:ligatures w14:val="none"/>
              </w:rPr>
              <w:t>PODMIOT WIODĄCY</w:t>
            </w:r>
            <w:r w:rsidRPr="008A5AE2">
              <w:rPr>
                <w:rFonts w:eastAsia="Times New Roman" w:cs="Times New Roman"/>
                <w:color w:val="000000"/>
                <w:kern w:val="0"/>
                <w:sz w:val="18"/>
                <w:szCs w:val="18"/>
                <w:lang w:eastAsia="pl-PL"/>
                <w14:ligatures w14:val="none"/>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DFBB8C9"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b/>
                <w:bCs/>
                <w:color w:val="000000"/>
                <w:kern w:val="0"/>
                <w:sz w:val="18"/>
                <w:szCs w:val="18"/>
                <w:lang w:eastAsia="pl-PL"/>
                <w14:ligatures w14:val="none"/>
              </w:rPr>
              <w:t>PODMIOTY WSPÓŁPRACUJĄCE</w:t>
            </w:r>
            <w:r w:rsidRPr="008A5AE2">
              <w:rPr>
                <w:rFonts w:eastAsia="Times New Roman" w:cs="Times New Roman"/>
                <w:color w:val="000000"/>
                <w:kern w:val="0"/>
                <w:sz w:val="18"/>
                <w:szCs w:val="18"/>
                <w:lang w:eastAsia="pl-PL"/>
                <w14:ligatures w14:val="none"/>
              </w:rPr>
              <w:t> </w:t>
            </w:r>
          </w:p>
        </w:tc>
      </w:tr>
      <w:tr w:rsidR="003B6773" w:rsidRPr="008A5AE2" w14:paraId="4386A7D1" w14:textId="77777777" w:rsidTr="008301E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4C4B1B4" w14:textId="77777777" w:rsidR="00346ECA" w:rsidRPr="008A5AE2" w:rsidRDefault="00346ECA">
            <w:pPr>
              <w:spacing w:after="0" w:line="240" w:lineRule="auto"/>
              <w:rPr>
                <w:rFonts w:ascii="Times New Roman" w:eastAsia="Times New Roman" w:hAnsi="Times New Roman" w:cs="Times New Roman"/>
                <w:kern w:val="0"/>
                <w:lang w:eastAsia="pl-PL"/>
                <w14:ligatures w14:val="none"/>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8E230F0" w14:textId="209AFB2D"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 xml:space="preserve">minister wł. ds. </w:t>
            </w:r>
            <w:r w:rsidR="00BA7A83">
              <w:rPr>
                <w:rFonts w:eastAsia="Times New Roman" w:cs="Times New Roman"/>
                <w:color w:val="808080"/>
                <w:kern w:val="0"/>
                <w:sz w:val="18"/>
                <w:szCs w:val="18"/>
                <w:lang w:eastAsia="pl-PL"/>
                <w14:ligatures w14:val="none"/>
              </w:rPr>
              <w:t>klimatu</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87C4C44" w14:textId="77777777" w:rsidR="00346ECA" w:rsidRPr="008A5AE2" w:rsidRDefault="00346ECA">
            <w:pPr>
              <w:spacing w:after="0" w:line="240" w:lineRule="auto"/>
              <w:textAlignment w:val="baseline"/>
              <w:rPr>
                <w:rFonts w:ascii="Times New Roman" w:eastAsia="Times New Roman" w:hAnsi="Times New Roman" w:cs="Times New Roman"/>
                <w:kern w:val="0"/>
                <w:lang w:eastAsia="pl-PL"/>
                <w14:ligatures w14:val="none"/>
              </w:rPr>
            </w:pPr>
            <w:r w:rsidRPr="008A5AE2">
              <w:rPr>
                <w:rFonts w:eastAsia="Times New Roman" w:cs="Times New Roman"/>
                <w:color w:val="808080"/>
                <w:kern w:val="0"/>
                <w:sz w:val="18"/>
                <w:szCs w:val="18"/>
                <w:lang w:eastAsia="pl-PL"/>
                <w14:ligatures w14:val="none"/>
              </w:rPr>
              <w:t>minister wł. ds. cyfryzacji </w:t>
            </w:r>
          </w:p>
        </w:tc>
      </w:tr>
    </w:tbl>
    <w:p w14:paraId="5EB5D475" w14:textId="77777777" w:rsidR="00FC190C" w:rsidRDefault="00FC190C"/>
    <w:p w14:paraId="005E1B66" w14:textId="77777777" w:rsidR="00FC190C" w:rsidRDefault="00FC190C">
      <w:pPr>
        <w:sectPr w:rsidR="00FC190C" w:rsidSect="00CE5AEF">
          <w:headerReference w:type="even" r:id="rId112"/>
          <w:headerReference w:type="default" r:id="rId113"/>
          <w:headerReference w:type="first" r:id="rId114"/>
          <w:type w:val="continuous"/>
          <w:pgSz w:w="11906" w:h="16838"/>
          <w:pgMar w:top="1417" w:right="1417" w:bottom="1417" w:left="1417" w:header="708" w:footer="708" w:gutter="0"/>
          <w:cols w:space="708"/>
          <w:titlePg/>
          <w:docGrid w:linePitch="360"/>
        </w:sectPr>
      </w:pPr>
    </w:p>
    <w:bookmarkStart w:id="1383" w:name="_Hlk159937002"/>
    <w:bookmarkStart w:id="1384" w:name="_Toc159598358"/>
    <w:bookmarkStart w:id="1385" w:name="_Toc195897406"/>
    <w:bookmarkStart w:id="1386" w:name="_Toc205203236"/>
    <w:p w14:paraId="3E3EEC68" w14:textId="193034C5" w:rsidR="00FC190C" w:rsidRPr="006B664F" w:rsidRDefault="00FB0534" w:rsidP="00A905F3">
      <w:pPr>
        <w:pStyle w:val="Nagwek2"/>
      </w:pPr>
      <w:r>
        <w:rPr>
          <w:noProof/>
          <w:lang w:eastAsia="pl-PL"/>
        </w:rPr>
        <w:lastRenderedPageBreak/>
        <mc:AlternateContent>
          <mc:Choice Requires="wps">
            <w:drawing>
              <wp:anchor distT="0" distB="0" distL="114300" distR="114300" simplePos="0" relativeHeight="251440640" behindDoc="0" locked="0" layoutInCell="1" allowOverlap="1" wp14:anchorId="2C94CF08" wp14:editId="28BEA128">
                <wp:simplePos x="0" y="0"/>
                <wp:positionH relativeFrom="page">
                  <wp:posOffset>288290</wp:posOffset>
                </wp:positionH>
                <wp:positionV relativeFrom="page">
                  <wp:posOffset>467995</wp:posOffset>
                </wp:positionV>
                <wp:extent cx="7020000" cy="2577600"/>
                <wp:effectExtent l="0" t="0" r="9525" b="0"/>
                <wp:wrapNone/>
                <wp:docPr id="622610497"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0000" cy="2577600"/>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B840FC" w14:textId="52E32F37" w:rsidR="00C36C5C" w:rsidRPr="00936E90" w:rsidRDefault="00C36C5C" w:rsidP="00936E90">
                            <w:pPr>
                              <w:spacing w:after="0"/>
                              <w:ind w:left="851"/>
                              <w:jc w:val="left"/>
                              <w:rPr>
                                <w:rFonts w:ascii="Bahnschrift" w:hAnsi="Bahnschrift"/>
                                <w:color w:val="FFFFFF" w:themeColor="light1"/>
                                <w:kern w:val="24"/>
                                <w:sz w:val="64"/>
                                <w:szCs w:val="64"/>
                              </w:rPr>
                            </w:pPr>
                            <w:r w:rsidRPr="00936E90">
                              <w:rPr>
                                <w:rFonts w:ascii="Bahnschrift" w:hAnsi="Bahnschrift"/>
                                <w:color w:val="FFFFFF" w:themeColor="light1"/>
                                <w:kern w:val="24"/>
                                <w:sz w:val="56"/>
                                <w:szCs w:val="56"/>
                              </w:rPr>
                              <w:t xml:space="preserve">Wymiar 4. </w:t>
                            </w:r>
                            <w:r w:rsidRPr="00936E90">
                              <w:rPr>
                                <w:rFonts w:ascii="Bahnschrift" w:hAnsi="Bahnschrift"/>
                                <w:color w:val="FFFFFF" w:themeColor="light1"/>
                                <w:kern w:val="24"/>
                                <w:sz w:val="72"/>
                                <w:szCs w:val="72"/>
                              </w:rPr>
                              <w:br/>
                            </w:r>
                            <w:r w:rsidRPr="00936E90">
                              <w:rPr>
                                <w:rFonts w:ascii="Bahnschrift" w:hAnsi="Bahnschrift"/>
                                <w:b/>
                                <w:bCs/>
                                <w:color w:val="FFFFFF" w:themeColor="light1"/>
                                <w:kern w:val="24"/>
                                <w:sz w:val="64"/>
                                <w:szCs w:val="64"/>
                              </w:rPr>
                              <w:t>Wewnątrzunijny rynek energii i społeczne aspekty transformacji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94CF08" id="Prostokąt 2" o:spid="_x0000_s1138" style="position:absolute;left:0;text-align:left;margin-left:22.7pt;margin-top:36.85pt;width:552.75pt;height:202.95pt;z-index:2514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" fillcolor="#ffc000" stroked="f" strokeweight="1pt">
                <v:textbox>
                  <w:txbxContent>
                    <w:p w14:paraId="2EB840FC" w14:textId="52E32F37" w:rsidR="00C36C5C" w:rsidRPr="00936E90" w:rsidRDefault="00C36C5C" w:rsidP="00936E90">
                      <w:pPr>
                        <w:spacing w:after="0"/>
                        <w:ind w:left="851"/>
                        <w:jc w:val="left"/>
                        <w:rPr>
                          <w:rFonts w:ascii="Bahnschrift" w:hAnsi="Bahnschrift"/>
                          <w:color w:val="FFFFFF" w:themeColor="light1"/>
                          <w:kern w:val="24"/>
                          <w:sz w:val="64"/>
                          <w:szCs w:val="64"/>
                        </w:rPr>
                      </w:pPr>
                      <w:r w:rsidRPr="00936E90">
                        <w:rPr>
                          <w:rFonts w:ascii="Bahnschrift" w:hAnsi="Bahnschrift"/>
                          <w:color w:val="FFFFFF" w:themeColor="light1"/>
                          <w:kern w:val="24"/>
                          <w:sz w:val="56"/>
                          <w:szCs w:val="56"/>
                        </w:rPr>
                        <w:t xml:space="preserve">Wymiar 4. </w:t>
                      </w:r>
                      <w:r w:rsidRPr="00936E90">
                        <w:rPr>
                          <w:rFonts w:ascii="Bahnschrift" w:hAnsi="Bahnschrift"/>
                          <w:color w:val="FFFFFF" w:themeColor="light1"/>
                          <w:kern w:val="24"/>
                          <w:sz w:val="72"/>
                          <w:szCs w:val="72"/>
                        </w:rPr>
                        <w:br/>
                      </w:r>
                      <w:r w:rsidRPr="00936E90">
                        <w:rPr>
                          <w:rFonts w:ascii="Bahnschrift" w:hAnsi="Bahnschrift"/>
                          <w:b/>
                          <w:bCs/>
                          <w:color w:val="FFFFFF" w:themeColor="light1"/>
                          <w:kern w:val="24"/>
                          <w:sz w:val="64"/>
                          <w:szCs w:val="64"/>
                        </w:rPr>
                        <w:t>Wewnątrzunijny rynek energii i społeczne aspekty transformacji</w:t>
                      </w:r>
                    </w:p>
                  </w:txbxContent>
                </v:textbox>
                <w10:wrap anchorx="page" anchory="page"/>
              </v:rect>
            </w:pict>
          </mc:Fallback>
        </mc:AlternateContent>
      </w:r>
      <w:r w:rsidR="0057223B" w:rsidRPr="006B664F">
        <w:t>We</w:t>
      </w:r>
      <w:r w:rsidR="009F667D" w:rsidRPr="006B664F">
        <w:t xml:space="preserve">wnątrzunijny rynek energii i społeczne aspekty </w:t>
      </w:r>
      <w:bookmarkEnd w:id="1383"/>
      <w:r w:rsidR="009F667D" w:rsidRPr="006B664F">
        <w:t>transformacji</w:t>
      </w:r>
      <w:bookmarkEnd w:id="1384"/>
      <w:bookmarkEnd w:id="1385"/>
      <w:bookmarkEnd w:id="1386"/>
    </w:p>
    <w:p w14:paraId="060FC05E" w14:textId="11538853" w:rsidR="00FC190C" w:rsidRPr="006B664F" w:rsidRDefault="00FC190C"/>
    <w:p w14:paraId="0A2EC48A" w14:textId="7737226A" w:rsidR="00FC190C" w:rsidRDefault="00FC190C"/>
    <w:p w14:paraId="2B475CA8" w14:textId="73EA1C95" w:rsidR="00FC190C" w:rsidRDefault="00FC190C"/>
    <w:p w14:paraId="693D790C" w14:textId="028B22A4" w:rsidR="00FC190C" w:rsidRDefault="00FC190C"/>
    <w:p w14:paraId="60D841C2" w14:textId="0DE0B990" w:rsidR="00902ABB" w:rsidRPr="004D6F82" w:rsidRDefault="00902ABB" w:rsidP="00D523F3">
      <w:pPr>
        <w:pStyle w:val="Nagwek6"/>
        <w:rPr>
          <w:rFonts w:ascii="Times New Roman" w:eastAsia="Times New Roman" w:hAnsi="Times New Roman" w:cs="Times New Roman"/>
          <w:i/>
          <w:iCs/>
          <w:color w:val="595959"/>
          <w:sz w:val="24"/>
          <w:szCs w:val="24"/>
          <w:lang w:eastAsia="pl-PL"/>
        </w:rPr>
      </w:pPr>
      <w:bookmarkStart w:id="1387" w:name="_Toc195865994"/>
      <w:bookmarkStart w:id="1388" w:name="_Ref195888225"/>
      <w:bookmarkStart w:id="1389" w:name="_Ref195892831"/>
      <w:bookmarkStart w:id="1390" w:name="_Hlk195628372"/>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140</w:t>
      </w:r>
      <w:r w:rsidRPr="00FB68C2">
        <w:rPr>
          <w:rStyle w:val="Nagwek6Znak"/>
          <w:b/>
        </w:rPr>
        <w:fldChar w:fldCharType="end"/>
      </w:r>
      <w:r w:rsidRPr="00FB68C2">
        <w:rPr>
          <w:rStyle w:val="Nagwek6Znak"/>
          <w:b/>
        </w:rPr>
        <w:t xml:space="preserve">. </w:t>
      </w:r>
      <w:r w:rsidRPr="004D6F82">
        <w:rPr>
          <w:rFonts w:eastAsia="Times New Roman" w:cs="Times New Roman"/>
          <w:bCs/>
          <w:color w:val="000000"/>
          <w:lang w:eastAsia="pl-PL"/>
        </w:rPr>
        <w:t>Upowszechnienie umów z ceną dynamiczną</w:t>
      </w:r>
      <w:bookmarkEnd w:id="1387"/>
      <w:bookmarkEnd w:id="1388"/>
      <w:bookmarkEnd w:id="1389"/>
      <w:r w:rsidRPr="004D6F82">
        <w:rPr>
          <w:rFonts w:eastAsia="Times New Roman" w:cs="Times New Roman"/>
          <w:i/>
          <w:iCs/>
          <w:color w:val="000000"/>
          <w:lang w:eastAsia="pl-PL"/>
        </w:rPr>
        <w:t> </w:t>
      </w:r>
    </w:p>
    <w:p w14:paraId="635FAB55" w14:textId="443EC703" w:rsidR="00902ABB" w:rsidRPr="004D6F82" w:rsidRDefault="00902ABB" w:rsidP="006E2054">
      <w:pPr>
        <w:rPr>
          <w:rFonts w:ascii="Times New Roman" w:hAnsi="Times New Roman"/>
          <w:sz w:val="24"/>
          <w:szCs w:val="24"/>
          <w:lang w:eastAsia="pl-PL"/>
        </w:rPr>
      </w:pPr>
      <w:r w:rsidRPr="004D6F82">
        <w:rPr>
          <w:lang w:eastAsia="pl-PL"/>
        </w:rPr>
        <w:t>Rozwój nowoczesnego, elastycznego i efektywnego systemu energetycznego wymaga aktywnego zaangażowania odbiorców końcowych. Upowszechnienie umów z ceną dynamiczną pozwala na dostosowanie zużycia energii do rzeczywistych warunków rynkowych, co w dłuższej perspektywie przyczynia się do zwiększenia efektywności energetycznej oraz ograniczenia kosztów systemowych. </w:t>
      </w:r>
    </w:p>
    <w:p w14:paraId="683CBF62" w14:textId="77777777" w:rsidR="00902ABB" w:rsidRPr="004D6F82" w:rsidRDefault="00902ABB" w:rsidP="007B501E">
      <w:pPr>
        <w:rPr>
          <w:rFonts w:ascii="Times New Roman" w:eastAsia="Times New Roman" w:hAnsi="Times New Roman" w:cs="Times New Roman"/>
          <w:sz w:val="24"/>
          <w:szCs w:val="24"/>
          <w:lang w:eastAsia="pl-PL"/>
        </w:rPr>
      </w:pPr>
      <w:r w:rsidRPr="004D6F82">
        <w:rPr>
          <w:rFonts w:eastAsia="Times New Roman" w:cs="Times New Roman"/>
          <w:lang w:eastAsia="pl-PL"/>
        </w:rPr>
        <w:t>Z punktu widzenia transformacji energetycznej oraz gospodarki, wdrożenie umów z ceną dynamiczną w ujęciu strategicznym przynosi szereg korzyści: </w:t>
      </w:r>
    </w:p>
    <w:p w14:paraId="7D86F4D4" w14:textId="77777777" w:rsidR="00902ABB" w:rsidRPr="004D6F82" w:rsidRDefault="00902ABB" w:rsidP="000625AC">
      <w:pPr>
        <w:pStyle w:val="Akapitzlist"/>
        <w:numPr>
          <w:ilvl w:val="0"/>
          <w:numId w:val="100"/>
        </w:numPr>
        <w:ind w:left="426"/>
        <w:rPr>
          <w:rFonts w:eastAsia="Times New Roman" w:cs="Times New Roman"/>
          <w:lang w:eastAsia="pl-PL"/>
        </w:rPr>
      </w:pPr>
      <w:r w:rsidRPr="004D6F82">
        <w:rPr>
          <w:rFonts w:eastAsia="Times New Roman" w:cs="Times New Roman"/>
          <w:lang w:eastAsia="pl-PL"/>
        </w:rPr>
        <w:t>zmniejszenie potrzeby kosztownych dopłat do programów wsparcia dla magazynów energii (elektrycznych i cieplnych) oraz systemów zarządzania energią (BEMS), ponieważ ich opłacalność będzie wynikała z mechanizmów rynkowych, </w:t>
      </w:r>
    </w:p>
    <w:p w14:paraId="3D6B6E3D" w14:textId="64B57911" w:rsidR="00902ABB" w:rsidRPr="004D6F82" w:rsidRDefault="00902ABB" w:rsidP="000625AC">
      <w:pPr>
        <w:pStyle w:val="Akapitzlist"/>
        <w:numPr>
          <w:ilvl w:val="0"/>
          <w:numId w:val="100"/>
        </w:numPr>
        <w:ind w:left="426"/>
        <w:rPr>
          <w:rFonts w:eastAsia="Times New Roman" w:cs="Times New Roman"/>
          <w:lang w:eastAsia="pl-PL"/>
        </w:rPr>
      </w:pPr>
      <w:r w:rsidRPr="004D6F82">
        <w:rPr>
          <w:rFonts w:eastAsia="Times New Roman" w:cs="Times New Roman"/>
          <w:lang w:eastAsia="pl-PL"/>
        </w:rPr>
        <w:t>zwiększenie opłacalności nowych mocy wiatrowych i fotowoltaicznych, co sprzyja inwestycjom w</w:t>
      </w:r>
      <w:r w:rsidR="00E30E7D">
        <w:rPr>
          <w:rFonts w:eastAsia="Times New Roman" w:cs="Times New Roman"/>
          <w:lang w:eastAsia="pl-PL"/>
        </w:rPr>
        <w:t> </w:t>
      </w:r>
      <w:r w:rsidRPr="004D6F82">
        <w:rPr>
          <w:rFonts w:eastAsia="Times New Roman" w:cs="Times New Roman"/>
          <w:lang w:eastAsia="pl-PL"/>
        </w:rPr>
        <w:t>te</w:t>
      </w:r>
      <w:r w:rsidR="00E30E7D">
        <w:rPr>
          <w:rFonts w:eastAsia="Times New Roman" w:cs="Times New Roman"/>
          <w:lang w:eastAsia="pl-PL"/>
        </w:rPr>
        <w:t> </w:t>
      </w:r>
      <w:r w:rsidRPr="004D6F82">
        <w:rPr>
          <w:rFonts w:eastAsia="Times New Roman" w:cs="Times New Roman"/>
          <w:lang w:eastAsia="pl-PL"/>
        </w:rPr>
        <w:t>źródła, </w:t>
      </w:r>
    </w:p>
    <w:p w14:paraId="5D70F280" w14:textId="77777777" w:rsidR="00902ABB" w:rsidRPr="004D6F82" w:rsidRDefault="00902ABB" w:rsidP="000625AC">
      <w:pPr>
        <w:pStyle w:val="Akapitzlist"/>
        <w:numPr>
          <w:ilvl w:val="0"/>
          <w:numId w:val="100"/>
        </w:numPr>
        <w:ind w:left="426"/>
        <w:rPr>
          <w:rFonts w:eastAsia="Times New Roman" w:cs="Times New Roman"/>
          <w:lang w:eastAsia="pl-PL"/>
        </w:rPr>
      </w:pPr>
      <w:r w:rsidRPr="004D6F82">
        <w:rPr>
          <w:rFonts w:eastAsia="Times New Roman" w:cs="Times New Roman"/>
          <w:lang w:eastAsia="pl-PL"/>
        </w:rPr>
        <w:t>rozwój rynku samochodów elektrycznych (ładowanych w tanich godzinach) oraz infrastruktury towarzyszącej, w tym ładowarek i rozwiązań vehicle-to-grid (V2G), </w:t>
      </w:r>
    </w:p>
    <w:p w14:paraId="5113F842" w14:textId="20F265E2" w:rsidR="00902ABB" w:rsidRPr="004D6F82" w:rsidRDefault="00902ABB" w:rsidP="000625AC">
      <w:pPr>
        <w:pStyle w:val="Akapitzlist"/>
        <w:numPr>
          <w:ilvl w:val="0"/>
          <w:numId w:val="100"/>
        </w:numPr>
        <w:ind w:left="426"/>
        <w:rPr>
          <w:rFonts w:eastAsia="Times New Roman" w:cs="Times New Roman"/>
          <w:lang w:eastAsia="pl-PL"/>
        </w:rPr>
      </w:pPr>
      <w:r w:rsidRPr="004D6F82">
        <w:rPr>
          <w:rFonts w:eastAsia="Times New Roman" w:cs="Times New Roman"/>
          <w:lang w:eastAsia="pl-PL"/>
        </w:rPr>
        <w:t>zwiększenie elastyczności systemu elektroenergetycznego po stronie popytu (oraz podaży w</w:t>
      </w:r>
      <w:r w:rsidR="00E30E7D">
        <w:rPr>
          <w:rFonts w:eastAsia="Times New Roman" w:cs="Times New Roman"/>
          <w:lang w:eastAsia="pl-PL"/>
        </w:rPr>
        <w:t> </w:t>
      </w:r>
      <w:r w:rsidRPr="004D6F82">
        <w:rPr>
          <w:rFonts w:eastAsia="Times New Roman" w:cs="Times New Roman"/>
          <w:lang w:eastAsia="pl-PL"/>
        </w:rPr>
        <w:t>przypadku fleksumentów i użytkowników V2G), co ograniczy potrzebę kosztownej rozbudowy sieci i umożliwi integrację większej liczby źródeł OZE o niskich kosztach krańcowych, prowadząc do spadku hurtowych cen energii, </w:t>
      </w:r>
    </w:p>
    <w:p w14:paraId="0627DB10" w14:textId="77777777" w:rsidR="00902ABB" w:rsidRPr="004D6F82" w:rsidRDefault="00902ABB" w:rsidP="000625AC">
      <w:pPr>
        <w:pStyle w:val="Akapitzlist"/>
        <w:numPr>
          <w:ilvl w:val="0"/>
          <w:numId w:val="100"/>
        </w:numPr>
        <w:ind w:left="426"/>
        <w:rPr>
          <w:rFonts w:eastAsia="Times New Roman" w:cs="Times New Roman"/>
          <w:lang w:eastAsia="pl-PL"/>
        </w:rPr>
      </w:pPr>
      <w:r w:rsidRPr="004D6F82">
        <w:rPr>
          <w:rFonts w:eastAsia="Times New Roman" w:cs="Times New Roman"/>
          <w:lang w:eastAsia="pl-PL"/>
        </w:rPr>
        <w:t>obniżenie rachunków gospodarstw domowych, przy świadomym zarządzaniu własnym zużyciem tej energii, </w:t>
      </w:r>
    </w:p>
    <w:p w14:paraId="420BBB8C" w14:textId="25623754" w:rsidR="00902ABB" w:rsidRPr="004D6F82" w:rsidRDefault="00902ABB" w:rsidP="000625AC">
      <w:pPr>
        <w:pStyle w:val="Akapitzlist"/>
        <w:numPr>
          <w:ilvl w:val="0"/>
          <w:numId w:val="97"/>
        </w:numPr>
        <w:spacing w:before="100" w:beforeAutospacing="1" w:after="100" w:afterAutospacing="1" w:line="240" w:lineRule="auto"/>
        <w:ind w:left="426"/>
        <w:textAlignment w:val="baseline"/>
        <w:rPr>
          <w:rFonts w:eastAsia="Times New Roman" w:cs="Times New Roman"/>
          <w:lang w:eastAsia="pl-PL"/>
        </w:rPr>
      </w:pPr>
      <w:r w:rsidRPr="004D6F82">
        <w:rPr>
          <w:rFonts w:eastAsia="Times New Roman" w:cs="Times New Roman"/>
          <w:lang w:eastAsia="pl-PL"/>
        </w:rPr>
        <w:t>aktywizację odbiorców końcowych.</w:t>
      </w:r>
      <w:r w:rsidR="003E2DE5">
        <w:rPr>
          <w:rFonts w:eastAsia="Times New Roman" w:cs="Times New Roman"/>
          <w:lang w:eastAsia="pl-PL"/>
        </w:rPr>
        <w:t xml:space="preserve"> </w:t>
      </w:r>
    </w:p>
    <w:p w14:paraId="5726AF51" w14:textId="77777777" w:rsidR="00902ABB" w:rsidRPr="004D6F82" w:rsidRDefault="00902ABB" w:rsidP="006E2054">
      <w:pPr>
        <w:rPr>
          <w:rFonts w:ascii="Times New Roman" w:hAnsi="Times New Roman"/>
          <w:sz w:val="24"/>
          <w:szCs w:val="24"/>
          <w:lang w:eastAsia="pl-PL"/>
        </w:rPr>
      </w:pPr>
      <w:r w:rsidRPr="004D6F82">
        <w:rPr>
          <w:lang w:eastAsia="pl-PL"/>
        </w:rPr>
        <w:t>Wprowadzenie umów z ceną dynamiczną na szeroką skalę wymaga odpowiednich przygotowań – zarówno regulacyjnych, technologicznych, jak i społecznych. Dlatego niezbędne jest opracowanie kompleksowego planu ich upowszechnienia. Uwzględniając liczne korzyści dla gospodarki, jak wskazano powyżej, plan powinien doprowadzić do sytuacji, w której umowy z ceną dynamiczną będą bardziej powszechnie używane na rynku energii. Plan ten powinien zakładać model, który będzie jednocześnie prosty, atrakcyjny finansowo i bezpieczny dla użytkowników. </w:t>
      </w:r>
    </w:p>
    <w:p w14:paraId="02209EE1" w14:textId="77777777" w:rsidR="00902ABB" w:rsidRPr="00FC34F4" w:rsidRDefault="00902ABB" w:rsidP="006E2054">
      <w:pPr>
        <w:rPr>
          <w:rFonts w:ascii="Times New Roman" w:hAnsi="Times New Roman"/>
          <w:sz w:val="24"/>
        </w:rPr>
      </w:pPr>
      <w:r w:rsidRPr="004D6F82">
        <w:rPr>
          <w:lang w:eastAsia="pl-PL"/>
        </w:rPr>
        <w:t>Plan powinien zawierać elementy motywujące do aktywnego zarządzania zużyciem energii poprzez transparentność cen i możliwość uzyskania przez odbiorców aktywnie uczestniczących w rynku energii elektrycznej realnych oszczędności w porównaniu do korzystania z umów z ceną stałą. Ponadto w planie powinny zostać ujęte zintegrowane działania edukacyjno-informacyjne przedstawiające odbiorcom korzyści z aktywizacji na rynku energii, jednocześnie edukując o charakterystyce i zasadach funkcjonowania umów z ceną dynamiczną. Plan powinien zakładać również rozwój nowoczesnych narzędzi analitycznych oraz prostotę obsługi dla odbiorców końcowych. Dzięki temu umowy z ceną dynamiczną mogą w przyszłości stać się skutecznym mechanizmem optymalizacji rynku energii i poprawy jego stabilności.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069ED3DD" w14:textId="77777777">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E729D9B" w14:textId="094037B0" w:rsidR="006E2054" w:rsidRPr="004D6F82" w:rsidRDefault="006E2054">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lastRenderedPageBreak/>
              <w:drawing>
                <wp:inline distT="0" distB="0" distL="0" distR="0" wp14:anchorId="19E326E3" wp14:editId="3A578950">
                  <wp:extent cx="622300" cy="622300"/>
                  <wp:effectExtent l="0" t="0" r="6350" b="6350"/>
                  <wp:docPr id="2147401044"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E1510B6" w14:textId="77777777" w:rsidR="006E2054" w:rsidRPr="004D6F82" w:rsidRDefault="006E2054">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92EE1F2" w14:textId="77777777" w:rsidR="006E2054" w:rsidRPr="004D6F82" w:rsidRDefault="006E2054">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52802A49" w14:textId="77777777">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6327BB0" w14:textId="77777777" w:rsidR="006E2054" w:rsidRPr="004D6F82" w:rsidRDefault="006E2054">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9BFBD78" w14:textId="612963B8" w:rsidR="006E2054" w:rsidRPr="004D6F82" w:rsidRDefault="006E2054">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w:t>
            </w:r>
            <w:r w:rsidR="00974007">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BD476B7" w14:textId="78D026A1" w:rsidR="006E2054" w:rsidRPr="004D6F82" w:rsidRDefault="006E2054">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Prezes URE</w:t>
            </w:r>
          </w:p>
          <w:p w14:paraId="60DB2751" w14:textId="77777777" w:rsidR="006E2054" w:rsidRPr="004D6F82" w:rsidRDefault="006E2054">
            <w:pPr>
              <w:spacing w:after="0" w:line="240" w:lineRule="auto"/>
              <w:textAlignment w:val="baseline"/>
              <w:rPr>
                <w:rFonts w:ascii="Times New Roman" w:eastAsia="Times New Roman" w:hAnsi="Times New Roman" w:cs="Times New Roman"/>
                <w:sz w:val="24"/>
                <w:szCs w:val="24"/>
                <w:lang w:eastAsia="pl-PL"/>
              </w:rPr>
            </w:pPr>
          </w:p>
        </w:tc>
      </w:tr>
    </w:tbl>
    <w:p w14:paraId="3E19159E" w14:textId="77777777" w:rsidR="006E2054" w:rsidRDefault="006E2054" w:rsidP="006E2054">
      <w:pPr>
        <w:rPr>
          <w:szCs w:val="24"/>
          <w:lang w:eastAsia="pl-PL"/>
        </w:rPr>
      </w:pPr>
    </w:p>
    <w:p w14:paraId="2278CAD2" w14:textId="442CAC45" w:rsidR="00902ABB" w:rsidRPr="004D6F82" w:rsidRDefault="00902ABB" w:rsidP="00D523F3">
      <w:pPr>
        <w:pStyle w:val="Nagwek6"/>
        <w:rPr>
          <w:rFonts w:ascii="Times New Roman" w:hAnsi="Times New Roman"/>
          <w:i/>
          <w:iCs/>
          <w:color w:val="595959"/>
          <w:sz w:val="24"/>
          <w:szCs w:val="24"/>
          <w:lang w:eastAsia="pl-PL"/>
        </w:rPr>
      </w:pPr>
      <w:bookmarkStart w:id="1391" w:name="_Toc195865995"/>
      <w:bookmarkStart w:id="1392" w:name="_Ref195881216"/>
      <w:bookmarkStart w:id="1393" w:name="_Ref195888233"/>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141</w:t>
      </w:r>
      <w:r w:rsidRPr="00FB68C2">
        <w:rPr>
          <w:rStyle w:val="Nagwek6Znak"/>
          <w:b/>
        </w:rPr>
        <w:fldChar w:fldCharType="end"/>
      </w:r>
      <w:r w:rsidRPr="00FB68C2">
        <w:rPr>
          <w:rStyle w:val="Nagwek6Znak"/>
          <w:b/>
        </w:rPr>
        <w:t xml:space="preserve">. </w:t>
      </w:r>
      <w:r w:rsidRPr="004D6F82">
        <w:rPr>
          <w:lang w:eastAsia="pl-PL"/>
        </w:rPr>
        <w:t>Krajowy Punkt Kontaktowy do spraw odnawialnych źródeł energii</w:t>
      </w:r>
      <w:bookmarkEnd w:id="1391"/>
      <w:bookmarkEnd w:id="1392"/>
      <w:bookmarkEnd w:id="1393"/>
    </w:p>
    <w:p w14:paraId="0F098FCB" w14:textId="0E3B4760" w:rsidR="00902ABB" w:rsidRDefault="00902ABB" w:rsidP="00D11A4F">
      <w:pPr>
        <w:spacing w:after="80"/>
        <w:rPr>
          <w:rFonts w:ascii="Times New Roman" w:eastAsia="Times New Roman" w:hAnsi="Times New Roman" w:cs="Times New Roman"/>
          <w:sz w:val="24"/>
          <w:szCs w:val="24"/>
          <w:lang w:eastAsia="pl-PL"/>
        </w:rPr>
      </w:pPr>
      <w:r w:rsidRPr="00BB38A3">
        <w:rPr>
          <w:rFonts w:eastAsia="Times New Roman" w:cs="Times New Roman"/>
          <w:lang w:eastAsia="pl-PL"/>
        </w:rPr>
        <w:t>Działanie polega na stworzeniu punktu</w:t>
      </w:r>
      <w:r>
        <w:rPr>
          <w:rFonts w:eastAsia="Times New Roman" w:cs="Times New Roman"/>
          <w:lang w:eastAsia="pl-PL"/>
        </w:rPr>
        <w:t xml:space="preserve"> w postaci strony internetowej</w:t>
      </w:r>
      <w:r w:rsidRPr="00BB38A3">
        <w:rPr>
          <w:rFonts w:eastAsia="Times New Roman" w:cs="Times New Roman"/>
          <w:lang w:eastAsia="pl-PL"/>
        </w:rPr>
        <w:t>, w którym wnioskodawca będzie mógł znaleźć informacje na temat tego, jakie procedury administracyjne są konieczne w przypadku danego projektu OZE oraz w jaki sposób</w:t>
      </w:r>
      <w:r>
        <w:rPr>
          <w:rFonts w:eastAsia="Times New Roman" w:cs="Times New Roman"/>
          <w:lang w:eastAsia="pl-PL"/>
        </w:rPr>
        <w:t xml:space="preserve"> </w:t>
      </w:r>
      <w:r w:rsidRPr="00BB38A3">
        <w:rPr>
          <w:rFonts w:eastAsia="Times New Roman" w:cs="Times New Roman"/>
          <w:lang w:eastAsia="pl-PL"/>
        </w:rPr>
        <w:t>należy je przeprowadzić.</w:t>
      </w:r>
      <w:r w:rsidR="003E2DE5">
        <w:rPr>
          <w:rFonts w:eastAsia="Times New Roman" w:cs="Times New Roman"/>
          <w:lang w:eastAsia="pl-PL"/>
        </w:rPr>
        <w:t xml:space="preserve"> </w:t>
      </w:r>
      <w:r w:rsidRPr="00BB38A3">
        <w:rPr>
          <w:rFonts w:eastAsia="Times New Roman" w:cs="Times New Roman"/>
          <w:lang w:eastAsia="pl-PL"/>
        </w:rPr>
        <w:t>Krajowy Punkt Kontaktowy OZE (KPK</w:t>
      </w:r>
      <w:r w:rsidR="00E30E7D">
        <w:rPr>
          <w:rFonts w:eastAsia="Times New Roman" w:cs="Times New Roman"/>
          <w:lang w:eastAsia="pl-PL"/>
        </w:rPr>
        <w:t> </w:t>
      </w:r>
      <w:r w:rsidRPr="00BB38A3">
        <w:rPr>
          <w:rFonts w:eastAsia="Times New Roman" w:cs="Times New Roman"/>
          <w:lang w:eastAsia="pl-PL"/>
        </w:rPr>
        <w:t>OZE) ma przede wszystkim na celu ułatwienie dostępu do informacji na temat procesów inwestycyjnych oraz odciążenie organów administracji publicznej, które udzielają merytorycznych odpowiedzi w tym zakresie. Treści na stronie KPK OZE będą szczególnie przydatne dla osób lub podmiotów, które chcą zostać: </w:t>
      </w:r>
    </w:p>
    <w:p w14:paraId="7CDE0661" w14:textId="77777777" w:rsidR="00902ABB" w:rsidRPr="00BB38A3" w:rsidRDefault="00902ABB" w:rsidP="000625AC">
      <w:pPr>
        <w:pStyle w:val="Akapitzlist"/>
        <w:numPr>
          <w:ilvl w:val="0"/>
          <w:numId w:val="97"/>
        </w:numPr>
        <w:ind w:left="426"/>
        <w:rPr>
          <w:rFonts w:ascii="Times New Roman" w:eastAsia="Times New Roman" w:hAnsi="Times New Roman" w:cs="Times New Roman"/>
          <w:sz w:val="24"/>
          <w:szCs w:val="24"/>
          <w:lang w:eastAsia="pl-PL"/>
        </w:rPr>
      </w:pPr>
      <w:r w:rsidRPr="00BB38A3">
        <w:rPr>
          <w:rFonts w:eastAsia="Times New Roman" w:cs="Times New Roman"/>
          <w:lang w:eastAsia="pl-PL"/>
        </w:rPr>
        <w:t>prosumentami energii odnawialnej lub </w:t>
      </w:r>
    </w:p>
    <w:p w14:paraId="6CA7BACF" w14:textId="77777777" w:rsidR="00902ABB" w:rsidRPr="00BB38A3" w:rsidRDefault="00902ABB" w:rsidP="000625AC">
      <w:pPr>
        <w:pStyle w:val="Akapitzlist"/>
        <w:numPr>
          <w:ilvl w:val="0"/>
          <w:numId w:val="97"/>
        </w:numPr>
        <w:ind w:left="426"/>
        <w:rPr>
          <w:rFonts w:ascii="Times New Roman" w:eastAsia="Times New Roman" w:hAnsi="Times New Roman" w:cs="Times New Roman"/>
          <w:sz w:val="24"/>
          <w:szCs w:val="24"/>
          <w:lang w:eastAsia="pl-PL"/>
        </w:rPr>
      </w:pPr>
      <w:r w:rsidRPr="00BB38A3">
        <w:rPr>
          <w:rFonts w:eastAsia="Times New Roman" w:cs="Times New Roman"/>
          <w:lang w:eastAsia="pl-PL"/>
        </w:rPr>
        <w:t>wytwórcami energii z OZE. </w:t>
      </w:r>
    </w:p>
    <w:p w14:paraId="79B695E6" w14:textId="132DF12A" w:rsidR="00902ABB" w:rsidRPr="00BB38A3" w:rsidRDefault="00902ABB" w:rsidP="006E2054">
      <w:pPr>
        <w:rPr>
          <w:rFonts w:ascii="Times New Roman" w:hAnsi="Times New Roman"/>
          <w:sz w:val="24"/>
          <w:szCs w:val="24"/>
          <w:lang w:eastAsia="pl-PL"/>
        </w:rPr>
      </w:pPr>
      <w:r w:rsidRPr="00BB38A3">
        <w:rPr>
          <w:lang w:eastAsia="pl-PL"/>
        </w:rPr>
        <w:t>Dodatkowym aspektem KPK OZE jest jego walor edukacyjny. Portal docelowo będzie także źródłem wiedzy dotyczącej funkcjonowania technologii odnawialnych źródeł energii oraz procedur związanych z</w:t>
      </w:r>
      <w:r w:rsidR="00E30E7D">
        <w:rPr>
          <w:lang w:eastAsia="pl-PL"/>
        </w:rPr>
        <w:t> </w:t>
      </w:r>
      <w:r w:rsidRPr="00BB38A3">
        <w:rPr>
          <w:lang w:eastAsia="pl-PL"/>
        </w:rPr>
        <w:t>realizacją projektów OZE. </w:t>
      </w:r>
    </w:p>
    <w:p w14:paraId="6CA19EC0" w14:textId="1FEEA608" w:rsidR="00902ABB" w:rsidRPr="00BB38A3" w:rsidRDefault="00902ABB" w:rsidP="00D11A4F">
      <w:pPr>
        <w:spacing w:after="80"/>
        <w:rPr>
          <w:rFonts w:ascii="Times New Roman" w:hAnsi="Times New Roman"/>
          <w:sz w:val="24"/>
          <w:szCs w:val="24"/>
          <w:lang w:eastAsia="pl-PL"/>
        </w:rPr>
      </w:pPr>
      <w:r w:rsidRPr="00BB38A3">
        <w:rPr>
          <w:lang w:eastAsia="pl-PL"/>
        </w:rPr>
        <w:t>KPK OZE jest pierwszym punktem kontaktowym, w którym można uzyskać informacje na temat procedur administracyjnych wymaganych w przypadku realizacji projektów OZE oraz sposobu ich przeprowadzenia np</w:t>
      </w:r>
      <w:r w:rsidR="001B5A88">
        <w:rPr>
          <w:lang w:eastAsia="pl-PL"/>
        </w:rPr>
        <w:t>.</w:t>
      </w:r>
      <w:r w:rsidRPr="00BB38A3">
        <w:rPr>
          <w:lang w:eastAsia="pl-PL"/>
        </w:rPr>
        <w:t>: </w:t>
      </w:r>
    </w:p>
    <w:p w14:paraId="0F5411E1"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warunków, które należy spełnić, aby przystąpić do danego postępowania, </w:t>
      </w:r>
    </w:p>
    <w:p w14:paraId="273EAE65"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sposobów załatwienia sprawy (listownie lub elektronicznie), </w:t>
      </w:r>
    </w:p>
    <w:p w14:paraId="2AB52160"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terminu załatwienia sprawy, </w:t>
      </w:r>
    </w:p>
    <w:p w14:paraId="01CE1AB3"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organów właściwych do realizacji sprawy, </w:t>
      </w:r>
    </w:p>
    <w:p w14:paraId="5AE2E8B1"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chronologicznych opisów czynności, które musi wykonać wnioskodawca, </w:t>
      </w:r>
    </w:p>
    <w:p w14:paraId="4E05B9D3"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opisów czynności wykonywanych przez organ wydający rozstrzygnięcie, </w:t>
      </w:r>
    </w:p>
    <w:p w14:paraId="4CB6B73B"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kosztów postępowania, </w:t>
      </w:r>
    </w:p>
    <w:p w14:paraId="18A03BA3" w14:textId="77777777" w:rsidR="00902ABB" w:rsidRPr="00BB38A3"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czasu trwania postępowania, </w:t>
      </w:r>
    </w:p>
    <w:p w14:paraId="561C9097" w14:textId="77777777" w:rsidR="00902ABB" w:rsidRDefault="00902ABB" w:rsidP="000625AC">
      <w:pPr>
        <w:pStyle w:val="Akapitzlist"/>
        <w:numPr>
          <w:ilvl w:val="0"/>
          <w:numId w:val="101"/>
        </w:numPr>
        <w:ind w:left="426"/>
        <w:rPr>
          <w:rFonts w:eastAsia="Times New Roman" w:cs="Times New Roman"/>
          <w:lang w:eastAsia="pl-PL"/>
        </w:rPr>
      </w:pPr>
      <w:r w:rsidRPr="00BB38A3">
        <w:rPr>
          <w:rFonts w:eastAsia="Times New Roman" w:cs="Times New Roman"/>
          <w:lang w:eastAsia="pl-PL"/>
        </w:rPr>
        <w:t>możliwości odwołania się od rozstrzygnięcia. </w:t>
      </w:r>
    </w:p>
    <w:p w14:paraId="20E3C96C" w14:textId="77777777" w:rsidR="00902ABB" w:rsidRPr="00BB38A3" w:rsidRDefault="00902ABB" w:rsidP="00902ABB">
      <w:pPr>
        <w:pStyle w:val="Akapitzlist"/>
        <w:spacing w:after="0" w:line="240" w:lineRule="auto"/>
        <w:textAlignment w:val="baseline"/>
        <w:rPr>
          <w:rFonts w:eastAsia="Times New Roman" w:cs="Times New Roman"/>
          <w:lang w:eastAsia="pl-PL"/>
        </w:rPr>
      </w:pPr>
    </w:p>
    <w:p w14:paraId="5DB30288" w14:textId="77777777" w:rsidR="00902ABB" w:rsidRPr="00BB38A3" w:rsidRDefault="00902ABB" w:rsidP="007B501E">
      <w:pPr>
        <w:rPr>
          <w:rFonts w:ascii="Times New Roman" w:eastAsia="Times New Roman" w:hAnsi="Times New Roman" w:cs="Times New Roman"/>
          <w:sz w:val="24"/>
          <w:szCs w:val="24"/>
          <w:lang w:eastAsia="pl-PL"/>
        </w:rPr>
      </w:pPr>
      <w:r w:rsidRPr="00BB38A3">
        <w:rPr>
          <w:rFonts w:eastAsia="Times New Roman" w:cs="Times New Roman"/>
          <w:lang w:eastAsia="pl-PL"/>
        </w:rPr>
        <w:t>KPK OZE będzie posiadał m.in. także bardzo ważne narzędzie do wykorzystania przez wszystkich użytkowników - specjalnie przygotowany formularz kontaktowy, dzięki któremu będzie można skierować konkretne zapytanie dotyczące procesu inwestycyjnego. Specjaliści będą udzielać bezpośrednich odpowiedzi, a w przypadku bardziej szczegółowych kwestii, które wykraczają poza zakres KPK OZE, pytania zostaną przekierowane do odpowiedniego organu merytorycznego. </w:t>
      </w:r>
    </w:p>
    <w:p w14:paraId="3775147E" w14:textId="77777777" w:rsidR="00902ABB" w:rsidRDefault="00902ABB" w:rsidP="00D11A4F">
      <w:pPr>
        <w:spacing w:after="240"/>
        <w:rPr>
          <w:rFonts w:eastAsia="Times New Roman" w:cs="Times New Roman"/>
          <w:lang w:eastAsia="pl-PL"/>
        </w:rPr>
      </w:pPr>
      <w:r w:rsidRPr="00BB38A3">
        <w:rPr>
          <w:rFonts w:eastAsia="Times New Roman" w:cs="Times New Roman"/>
          <w:lang w:eastAsia="pl-PL"/>
        </w:rPr>
        <w:t>Na stronie KPK OZE znajdą się również ogólne informacje w zakresie funkcjonowania technologii odnawialnych źródeł energii. Pozwoli to wszystkim zainteresowanym znaleźć w jednym miejscu informacje nie tylko o procedurach administracyjnych, ale także w szerszym zakresie związanym z OZE.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70DBB100" w14:textId="77777777" w:rsidTr="006E2054">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19FEDA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2CDBD505" wp14:editId="0887DD96">
                  <wp:extent cx="622300" cy="622300"/>
                  <wp:effectExtent l="0" t="0" r="6350" b="6350"/>
                  <wp:docPr id="1344465241"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F6C1AC0"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14AE262" w14:textId="1133249E"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2020DEF7" w14:textId="77777777" w:rsidTr="006E2054">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7224051"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80A2BE2" w14:textId="0BE3725F"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5C0EA6">
              <w:rPr>
                <w:color w:val="808080"/>
                <w:sz w:val="18"/>
              </w:rPr>
              <w:t xml:space="preserve">minister wł. ds. </w:t>
            </w:r>
            <w:r w:rsidR="442023FE" w:rsidRPr="6894F958">
              <w:rPr>
                <w:rFonts w:eastAsia="Times New Roman" w:cs="Times New Roman"/>
                <w:color w:val="808080" w:themeColor="background1" w:themeShade="80"/>
                <w:sz w:val="18"/>
                <w:szCs w:val="18"/>
                <w:lang w:eastAsia="pl-PL"/>
              </w:rPr>
              <w:t>klimatu</w:t>
            </w:r>
            <w:r w:rsidR="00974007">
              <w:rPr>
                <w:rFonts w:eastAsia="Times New Roman" w:cs="Times New Roman"/>
                <w:color w:val="808080" w:themeColor="background1" w:themeShade="80"/>
                <w:sz w:val="18"/>
                <w:szCs w:val="18"/>
                <w:lang w:eastAsia="pl-PL"/>
              </w:rPr>
              <w:t xml:space="preserve"> </w:t>
            </w:r>
            <w:r w:rsidR="00974007" w:rsidRPr="00CD4286">
              <w:rPr>
                <w:color w:val="808080" w:themeColor="background1" w:themeShade="80"/>
                <w:sz w:val="18"/>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9424960" w14:textId="164F9752"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 xml:space="preserve">minister wł. ds. </w:t>
            </w:r>
            <w:r w:rsidR="00A70020">
              <w:rPr>
                <w:rFonts w:eastAsia="Times New Roman" w:cs="Times New Roman"/>
                <w:color w:val="808080"/>
                <w:sz w:val="18"/>
                <w:szCs w:val="18"/>
                <w:lang w:eastAsia="pl-PL"/>
              </w:rPr>
              <w:t>energii</w:t>
            </w:r>
          </w:p>
          <w:p w14:paraId="7F05E4A1"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p>
        </w:tc>
      </w:tr>
    </w:tbl>
    <w:p w14:paraId="2816618E" w14:textId="77777777" w:rsidR="00902ABB" w:rsidRPr="004D6F82" w:rsidRDefault="00902ABB" w:rsidP="00902ABB">
      <w:pPr>
        <w:spacing w:line="240" w:lineRule="auto"/>
        <w:textAlignment w:val="baseline"/>
        <w:rPr>
          <w:rFonts w:ascii="Times New Roman" w:eastAsia="Times New Roman" w:hAnsi="Times New Roman" w:cs="Times New Roman"/>
          <w:sz w:val="24"/>
          <w:szCs w:val="24"/>
          <w:lang w:eastAsia="pl-PL"/>
        </w:rPr>
      </w:pPr>
    </w:p>
    <w:p w14:paraId="7DA9446C" w14:textId="51798988" w:rsidR="00902ABB" w:rsidRPr="004D6F82" w:rsidRDefault="00902ABB" w:rsidP="00D523F3">
      <w:pPr>
        <w:pStyle w:val="Nagwek6"/>
        <w:rPr>
          <w:rFonts w:ascii="Times New Roman" w:hAnsi="Times New Roman"/>
          <w:i/>
          <w:iCs/>
          <w:color w:val="595959"/>
          <w:sz w:val="24"/>
          <w:szCs w:val="24"/>
          <w:lang w:eastAsia="pl-PL"/>
        </w:rPr>
      </w:pPr>
      <w:bookmarkStart w:id="1394" w:name="_Toc195865996"/>
      <w:bookmarkStart w:id="1395" w:name="_Ref195881227"/>
      <w:bookmarkStart w:id="1396" w:name="_Ref195894858"/>
      <w:bookmarkEnd w:id="1390"/>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142</w:t>
      </w:r>
      <w:r w:rsidRPr="00FB68C2">
        <w:rPr>
          <w:rStyle w:val="Nagwek6Znak"/>
          <w:b/>
        </w:rPr>
        <w:fldChar w:fldCharType="end"/>
      </w:r>
      <w:r w:rsidRPr="00FB68C2">
        <w:rPr>
          <w:rStyle w:val="Nagwek6Znak"/>
          <w:b/>
        </w:rPr>
        <w:t xml:space="preserve">. </w:t>
      </w:r>
      <w:r w:rsidRPr="004D6F82">
        <w:rPr>
          <w:lang w:eastAsia="pl-PL"/>
        </w:rPr>
        <w:t>Digitalizacja i standaryzacja procesów inwestycyjnych dla transformacji energetyczno-klimatycznej</w:t>
      </w:r>
      <w:bookmarkEnd w:id="1394"/>
      <w:bookmarkEnd w:id="1395"/>
      <w:bookmarkEnd w:id="1396"/>
      <w:r w:rsidRPr="004D6F82">
        <w:rPr>
          <w:i/>
          <w:iCs/>
          <w:lang w:eastAsia="pl-PL"/>
        </w:rPr>
        <w:t> </w:t>
      </w:r>
    </w:p>
    <w:p w14:paraId="61B2DA25" w14:textId="1E6ACF59" w:rsidR="00902ABB" w:rsidRPr="004D6F82" w:rsidRDefault="00902ABB" w:rsidP="007B501E">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Transformacja energetyczna obejmuje nie tylko rozwój odnawialnych źródeł energii (OZE), ale także modernizację ciepłownictwa, termomodernizację budynków, zmiany w transporcie, przemyśle i rolnictwie oraz dostosowanie miast do zmian klimatycznych. Aby przyspieszyć i usprawnić ten proces, konieczne jest wdrożenie cyfrowych narzędzi, standaryzacja dokumentacji i utworzenie systemowego wsparcia dla inwestorów. Kluczowe działania obejmują digitalizację procesów administracyjnych, jednolite procedury i dokumentację, krajowy punkt kontaktowy CWTE (patrz Działanie </w:t>
      </w:r>
      <w:r w:rsidR="00AD065B">
        <w:rPr>
          <w:rFonts w:eastAsia="Times New Roman" w:cs="Times New Roman"/>
          <w:lang w:eastAsia="pl-PL"/>
        </w:rPr>
        <w:t>141</w:t>
      </w:r>
      <w:r w:rsidRPr="004D6F82">
        <w:rPr>
          <w:rFonts w:eastAsia="Times New Roman" w:cs="Times New Roman"/>
          <w:lang w:eastAsia="pl-PL"/>
        </w:rPr>
        <w:t>) oraz system monitorowania inwestycji.</w:t>
      </w:r>
      <w:r w:rsidR="003E2DE5">
        <w:rPr>
          <w:rFonts w:eastAsia="Times New Roman" w:cs="Times New Roman"/>
          <w:lang w:eastAsia="pl-PL"/>
        </w:rPr>
        <w:t xml:space="preserve"> </w:t>
      </w:r>
    </w:p>
    <w:p w14:paraId="2567A179" w14:textId="5F09D736" w:rsidR="00902ABB" w:rsidRPr="00834636" w:rsidRDefault="00902ABB" w:rsidP="000625AC">
      <w:pPr>
        <w:pStyle w:val="Akapitzlist"/>
        <w:numPr>
          <w:ilvl w:val="1"/>
          <w:numId w:val="132"/>
        </w:numPr>
        <w:ind w:left="426"/>
        <w:rPr>
          <w:rFonts w:ascii="Times New Roman" w:hAnsi="Times New Roman"/>
          <w:b/>
          <w:sz w:val="24"/>
          <w:szCs w:val="24"/>
          <w:lang w:eastAsia="pl-PL"/>
        </w:rPr>
      </w:pPr>
      <w:r w:rsidRPr="00834636">
        <w:rPr>
          <w:rFonts w:eastAsia="Times New Roman" w:cs="Times New Roman"/>
          <w:b/>
          <w:bCs/>
          <w:lang w:eastAsia="pl-PL"/>
        </w:rPr>
        <w:t>Digitalizacja procesów inwestycyjnych</w:t>
      </w:r>
      <w:r w:rsidRPr="00834636">
        <w:rPr>
          <w:b/>
          <w:lang w:eastAsia="pl-PL"/>
        </w:rPr>
        <w:t> </w:t>
      </w:r>
    </w:p>
    <w:p w14:paraId="13AA653E" w14:textId="54E5A775" w:rsidR="00902ABB" w:rsidRPr="004D6F82" w:rsidRDefault="00902ABB" w:rsidP="009D6EE3">
      <w:pPr>
        <w:ind w:left="426"/>
        <w:rPr>
          <w:rFonts w:ascii="Times New Roman" w:hAnsi="Times New Roman"/>
          <w:sz w:val="24"/>
          <w:szCs w:val="24"/>
          <w:lang w:eastAsia="pl-PL"/>
        </w:rPr>
      </w:pPr>
      <w:r w:rsidRPr="004D6F82">
        <w:rPr>
          <w:lang w:eastAsia="pl-PL"/>
        </w:rPr>
        <w:t>Należy zaprojektować i wdrożyć centralną platformę procesów inwestycyjnych, która umożliwi obsługę najistotniejszych procesów inwestycyjnych w transformacji energetycznej. Powinna ona obejmować e-rejestr inwestycji, cyfrowy obieg dokumentów, automatyzację uzyskiwania pozwoleń oraz zintegrowaną komunikację między inwestorami, administracją i wykonawcami. Cyfryzacja</w:t>
      </w:r>
      <w:r w:rsidR="00E30E7D">
        <w:rPr>
          <w:lang w:eastAsia="pl-PL"/>
        </w:rPr>
        <w:t> </w:t>
      </w:r>
      <w:r w:rsidRPr="004D6F82">
        <w:rPr>
          <w:lang w:eastAsia="pl-PL"/>
        </w:rPr>
        <w:t>pozwoli skrócić czas realizacji inwestycji, zwiększyć transparentność oraz ułatwić koordynację projektów. W celu zapewnienia racjonalności oraz optymalnego prowadzenia inwestycji wskazane byłoby również stworzenie platformy informacyjnej o dostępnych terenach inwestycyjnych. Dzięki takim działaniom inwestorzy mogliby łatwiej realizować inwestycje oraz lokalizować je w miejscach bardziej optymalnych, np. bliżej infrastruktury przyłączeniowej energetyki. Digitalizacja procesów inwestycyjnych powinna być prowadzona ze szczególną uwagą w</w:t>
      </w:r>
      <w:r w:rsidR="00E30E7D">
        <w:rPr>
          <w:lang w:eastAsia="pl-PL"/>
        </w:rPr>
        <w:t> </w:t>
      </w:r>
      <w:r w:rsidRPr="004D6F82">
        <w:rPr>
          <w:lang w:eastAsia="pl-PL"/>
        </w:rPr>
        <w:t>zakresie przepisów ochrony danych osobowych RODO.</w:t>
      </w:r>
      <w:r w:rsidR="003E2DE5">
        <w:rPr>
          <w:rFonts w:eastAsia="Times New Roman" w:cs="Times New Roman"/>
          <w:lang w:eastAsia="pl-PL"/>
        </w:rPr>
        <w:t xml:space="preserve"> </w:t>
      </w:r>
    </w:p>
    <w:p w14:paraId="0AFABD8A" w14:textId="4F282EF8" w:rsidR="00902ABB" w:rsidRPr="00834636" w:rsidRDefault="00902ABB" w:rsidP="000625AC">
      <w:pPr>
        <w:pStyle w:val="Akapitzlist"/>
        <w:numPr>
          <w:ilvl w:val="1"/>
          <w:numId w:val="132"/>
        </w:numPr>
        <w:ind w:left="426"/>
        <w:rPr>
          <w:rFonts w:ascii="Times New Roman" w:hAnsi="Times New Roman"/>
          <w:b/>
          <w:bCs/>
          <w:sz w:val="24"/>
          <w:szCs w:val="24"/>
          <w:lang w:eastAsia="pl-PL"/>
        </w:rPr>
      </w:pPr>
      <w:r w:rsidRPr="00834636">
        <w:rPr>
          <w:b/>
          <w:bCs/>
          <w:lang w:eastAsia="pl-PL"/>
        </w:rPr>
        <w:t>Standaryzacja dokumentacji i procedur </w:t>
      </w:r>
    </w:p>
    <w:p w14:paraId="50460B95" w14:textId="42B9A56F" w:rsidR="00902ABB" w:rsidRPr="004D6F82" w:rsidRDefault="00902ABB" w:rsidP="009D6EE3">
      <w:pPr>
        <w:ind w:left="426"/>
        <w:rPr>
          <w:rFonts w:ascii="Times New Roman" w:hAnsi="Times New Roman"/>
          <w:sz w:val="24"/>
          <w:szCs w:val="24"/>
          <w:lang w:eastAsia="pl-PL"/>
        </w:rPr>
      </w:pPr>
      <w:r w:rsidRPr="004D6F82">
        <w:rPr>
          <w:lang w:eastAsia="pl-PL"/>
        </w:rPr>
        <w:t>Aby usprawnić inwestycje, należy wdrożyć zunifikowane wzory umów i procedur administracyjnych dla projektów OZE, termomodernizacji budynków, zeroemisyjnego transportu, niskoemisyjnego ciepłownictwa oraz przemysłu i rolnictwa. Ujednolicenie dokumentacji ograniczy biurokrację, przyspieszy procesy decyzyjne i zmniejszy ryzyko sporów prawnych.</w:t>
      </w:r>
      <w:r w:rsidR="003E2DE5">
        <w:rPr>
          <w:rFonts w:eastAsia="Times New Roman" w:cs="Times New Roman"/>
          <w:lang w:eastAsia="pl-PL"/>
        </w:rPr>
        <w:t xml:space="preserve"> </w:t>
      </w:r>
    </w:p>
    <w:p w14:paraId="2A3732AA" w14:textId="539ECB9D" w:rsidR="00902ABB" w:rsidRPr="00834636" w:rsidRDefault="00902ABB" w:rsidP="000625AC">
      <w:pPr>
        <w:pStyle w:val="Akapitzlist"/>
        <w:numPr>
          <w:ilvl w:val="1"/>
          <w:numId w:val="132"/>
        </w:numPr>
        <w:ind w:left="426"/>
        <w:rPr>
          <w:rFonts w:ascii="Times New Roman" w:hAnsi="Times New Roman"/>
          <w:b/>
          <w:bCs/>
          <w:sz w:val="24"/>
          <w:szCs w:val="24"/>
          <w:lang w:eastAsia="pl-PL"/>
        </w:rPr>
      </w:pPr>
      <w:r w:rsidRPr="00834636">
        <w:rPr>
          <w:b/>
          <w:bCs/>
          <w:lang w:eastAsia="pl-PL"/>
        </w:rPr>
        <w:t>Centrum Wsparcia Transformacji Energetycznej (CWTE)</w:t>
      </w:r>
      <w:r w:rsidR="003E2DE5">
        <w:rPr>
          <w:rFonts w:eastAsia="Times New Roman" w:cs="Times New Roman"/>
          <w:b/>
          <w:bCs/>
          <w:lang w:eastAsia="pl-PL"/>
        </w:rPr>
        <w:t xml:space="preserve"> </w:t>
      </w:r>
    </w:p>
    <w:p w14:paraId="229F6DF0" w14:textId="39C99E0A" w:rsidR="00902ABB" w:rsidRPr="004D6F82" w:rsidRDefault="00902ABB" w:rsidP="009D6EE3">
      <w:pPr>
        <w:ind w:left="426"/>
        <w:rPr>
          <w:rFonts w:ascii="Times New Roman" w:hAnsi="Times New Roman"/>
          <w:sz w:val="24"/>
          <w:szCs w:val="24"/>
          <w:lang w:eastAsia="pl-PL"/>
        </w:rPr>
      </w:pPr>
      <w:r w:rsidRPr="004D6F82">
        <w:rPr>
          <w:lang w:eastAsia="pl-PL"/>
        </w:rPr>
        <w:t xml:space="preserve">Kluczowym elementem koordynacji transformacji powinno być utworzenie ogólnokrajowego CWTE. Będzie on zapewniać informacje o procedurach administracyjnych, technologiach, dostępnych funduszach i partnerach inwestycyjnych. CWTE powinien mieć strukturę obejmującą dwie linie wsparcia: ogólną, obejmującą doradztwo administracyjne oraz ekspercką, z wyspecjalizowanymi doradcami w zakresie energetyki, transportu, ciepłownictwa, budownictwa, przemysłu i rolnictwa. Szczegóły uruchomiania CWTE podano w </w:t>
      </w:r>
      <w:r w:rsidR="001510D5" w:rsidRPr="001510D5">
        <w:fldChar w:fldCharType="begin"/>
      </w:r>
      <w:r w:rsidR="001510D5" w:rsidRPr="001510D5">
        <w:instrText xml:space="preserve"> REF _Ref195868738 \h </w:instrText>
      </w:r>
      <w:r w:rsidR="001510D5">
        <w:instrText xml:space="preserve"> \* MERGEFORMAT </w:instrText>
      </w:r>
      <w:r w:rsidR="001510D5" w:rsidRPr="001510D5">
        <w:fldChar w:fldCharType="separate"/>
      </w:r>
      <w:r w:rsidR="00871DD5" w:rsidRPr="00871DD5">
        <w:t xml:space="preserve">Działanie </w:t>
      </w:r>
      <w:r w:rsidR="00871DD5">
        <w:rPr>
          <w:rStyle w:val="Nagwek6Znak"/>
          <w:b w:val="0"/>
          <w:noProof/>
        </w:rPr>
        <w:t>143</w:t>
      </w:r>
      <w:r w:rsidR="001510D5" w:rsidRPr="001510D5">
        <w:fldChar w:fldCharType="end"/>
      </w:r>
      <w:r w:rsidRPr="004D6F82">
        <w:rPr>
          <w:lang w:eastAsia="pl-PL"/>
        </w:rPr>
        <w:t>. CWTE powinien być zintegrowany z</w:t>
      </w:r>
      <w:r w:rsidR="00E30E7D">
        <w:rPr>
          <w:lang w:eastAsia="pl-PL"/>
        </w:rPr>
        <w:t> </w:t>
      </w:r>
      <w:r w:rsidRPr="004D6F82">
        <w:rPr>
          <w:lang w:eastAsia="pl-PL"/>
        </w:rPr>
        <w:t>działaniami podanymi w punkcie 1 i 2 powyżej. </w:t>
      </w:r>
    </w:p>
    <w:p w14:paraId="59496348" w14:textId="39F49AB9" w:rsidR="00902ABB" w:rsidRPr="009D6EE3" w:rsidRDefault="00902ABB" w:rsidP="000625AC">
      <w:pPr>
        <w:pStyle w:val="Akapitzlist"/>
        <w:numPr>
          <w:ilvl w:val="1"/>
          <w:numId w:val="132"/>
        </w:numPr>
        <w:ind w:left="426"/>
        <w:rPr>
          <w:rFonts w:ascii="Times New Roman" w:hAnsi="Times New Roman"/>
          <w:b/>
          <w:sz w:val="24"/>
        </w:rPr>
      </w:pPr>
      <w:r w:rsidRPr="00834636">
        <w:rPr>
          <w:b/>
          <w:bCs/>
          <w:lang w:eastAsia="pl-PL"/>
        </w:rPr>
        <w:t>Monitorowanie i raportowanie inwestycji</w:t>
      </w:r>
      <w:r w:rsidRPr="009D6EE3">
        <w:rPr>
          <w:b/>
        </w:rPr>
        <w:t> </w:t>
      </w:r>
    </w:p>
    <w:p w14:paraId="6F72ABDA" w14:textId="44A6E203" w:rsidR="00902ABB" w:rsidRPr="004D6F82" w:rsidRDefault="00902ABB" w:rsidP="009D6EE3">
      <w:pPr>
        <w:ind w:left="426"/>
        <w:rPr>
          <w:rFonts w:ascii="Times New Roman" w:hAnsi="Times New Roman"/>
          <w:sz w:val="24"/>
          <w:szCs w:val="24"/>
          <w:lang w:eastAsia="pl-PL"/>
        </w:rPr>
      </w:pPr>
      <w:r w:rsidRPr="004D6F82">
        <w:rPr>
          <w:lang w:eastAsia="pl-PL"/>
        </w:rPr>
        <w:t>Aby skutecznie zarządzać transformacją, należy wdrożyć cyfrowy system monitorowania inwestycji, który będzie śledził ich postęp, harmonogramy i efekty. System ten powinien agregować dane o</w:t>
      </w:r>
      <w:r w:rsidR="00E30E7D">
        <w:rPr>
          <w:lang w:eastAsia="pl-PL"/>
        </w:rPr>
        <w:t> </w:t>
      </w:r>
      <w:r w:rsidRPr="004D6F82">
        <w:rPr>
          <w:lang w:eastAsia="pl-PL"/>
        </w:rPr>
        <w:t>realizowanych projektach, analizować ryzyka i wskazywać potencjalne opóźnienia. Dzięki temu</w:t>
      </w:r>
      <w:r w:rsidR="00834636">
        <w:rPr>
          <w:lang w:eastAsia="pl-PL"/>
        </w:rPr>
        <w:t xml:space="preserve"> </w:t>
      </w:r>
      <w:r w:rsidRPr="004D6F82">
        <w:rPr>
          <w:lang w:eastAsia="pl-PL"/>
        </w:rPr>
        <w:t>inwestycje będą realizowane sprawniej, a ich efektywność wzrośnie. </w:t>
      </w:r>
    </w:p>
    <w:p w14:paraId="1D37BD36" w14:textId="51396B33" w:rsidR="00902ABB" w:rsidRPr="00FC34F4" w:rsidRDefault="00902ABB" w:rsidP="009D6EE3">
      <w:pPr>
        <w:rPr>
          <w:rFonts w:ascii="Times New Roman" w:hAnsi="Times New Roman"/>
          <w:sz w:val="24"/>
        </w:rPr>
      </w:pPr>
      <w:r w:rsidRPr="004D6F82">
        <w:rPr>
          <w:lang w:eastAsia="pl-PL"/>
        </w:rPr>
        <w:t>Podjęcie tych działań pozwoli na skuteczne zarządzanie procesem transformacji, eliminację barier administracyjnych oraz przyspieszenie wdrażania nowych technologii. Digitalizacja, standaryzacja i</w:t>
      </w:r>
      <w:r w:rsidR="00E30E7D">
        <w:rPr>
          <w:lang w:eastAsia="pl-PL"/>
        </w:rPr>
        <w:t> </w:t>
      </w:r>
      <w:r w:rsidRPr="004D6F82">
        <w:rPr>
          <w:lang w:eastAsia="pl-PL"/>
        </w:rPr>
        <w:t>skuteczna koordynacja to kluczowe elementy sprawnej i efektywnej transformacji energetyczno-klimatycznej w Polsce. </w:t>
      </w:r>
    </w:p>
    <w:p w14:paraId="48FB1241" w14:textId="77777777" w:rsidR="00834636" w:rsidRDefault="00834636" w:rsidP="00834636">
      <w:pPr>
        <w:rPr>
          <w:lang w:eastAsia="pl-PL"/>
        </w:rPr>
      </w:pPr>
    </w:p>
    <w:p w14:paraId="02610210" w14:textId="77777777" w:rsidR="00834636" w:rsidRPr="004D6F82" w:rsidRDefault="00834636" w:rsidP="00902ABB">
      <w:pPr>
        <w:spacing w:before="240" w:after="0" w:line="240" w:lineRule="auto"/>
        <w:textAlignment w:val="baseline"/>
        <w:rPr>
          <w:rFonts w:ascii="Times New Roman" w:eastAsia="Times New Roman" w:hAnsi="Times New Roman" w:cs="Times New Roman"/>
          <w:sz w:val="24"/>
          <w:szCs w:val="24"/>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71CD94F8" w14:textId="77777777" w:rsidTr="00834636">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E62938F"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lastRenderedPageBreak/>
              <w:drawing>
                <wp:inline distT="0" distB="0" distL="0" distR="0" wp14:anchorId="5F4C82E1" wp14:editId="1545E535">
                  <wp:extent cx="621030" cy="621030"/>
                  <wp:effectExtent l="0" t="0" r="7620" b="7620"/>
                  <wp:docPr id="1309695249" name="Obraz 2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6C3D813"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424525F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15E6393D" w14:textId="77777777" w:rsidTr="0083463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6D8E90C"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A717468"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D8BAE24"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cyfryzacji </w:t>
            </w:r>
          </w:p>
          <w:p w14:paraId="22A49EBB"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w:t>
            </w:r>
          </w:p>
          <w:p w14:paraId="206A24F5" w14:textId="77777777" w:rsidR="00902ABB" w:rsidRPr="004D6F82" w:rsidRDefault="00902ABB" w:rsidP="009D6EE3">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klimatu </w:t>
            </w:r>
          </w:p>
          <w:p w14:paraId="23188740" w14:textId="77777777" w:rsidR="00902ABB" w:rsidRPr="004D6F82" w:rsidRDefault="00902ABB" w:rsidP="009D6EE3">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surowcami energetycznymi </w:t>
            </w:r>
          </w:p>
          <w:p w14:paraId="7F095739" w14:textId="0B33C4B5" w:rsidR="00902ABB" w:rsidRPr="004D6F82" w:rsidRDefault="00902ABB" w:rsidP="009D6EE3">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budownictwa, planowania i</w:t>
            </w:r>
            <w:r w:rsidR="00E30E7D">
              <w:t> </w:t>
            </w:r>
            <w:r w:rsidRPr="004D6F82">
              <w:rPr>
                <w:rFonts w:eastAsia="Times New Roman" w:cs="Times New Roman"/>
                <w:color w:val="808080"/>
                <w:sz w:val="18"/>
                <w:szCs w:val="18"/>
                <w:lang w:eastAsia="pl-PL"/>
              </w:rPr>
              <w:t>zagospodarowania przestrzennego oraz mieszkalnictwa</w:t>
            </w:r>
            <w:r w:rsidR="00974007">
              <w:rPr>
                <w:rFonts w:eastAsia="Times New Roman" w:cs="Times New Roman"/>
                <w:color w:val="808080"/>
                <w:sz w:val="18"/>
                <w:szCs w:val="18"/>
                <w:lang w:eastAsia="pl-PL"/>
              </w:rPr>
              <w:t xml:space="preserve">  </w:t>
            </w:r>
          </w:p>
          <w:p w14:paraId="24640FA8" w14:textId="77777777" w:rsidR="00902ABB" w:rsidRPr="004D6F82" w:rsidRDefault="00902ABB" w:rsidP="009D6EE3">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rolnictwa </w:t>
            </w:r>
          </w:p>
          <w:p w14:paraId="7DCEC8B5" w14:textId="6BFBF22E" w:rsidR="00902ABB" w:rsidRPr="004D6F82" w:rsidRDefault="00902ABB" w:rsidP="009D6EE3">
            <w:pPr>
              <w:spacing w:after="0" w:line="240" w:lineRule="auto"/>
              <w:jc w:val="left"/>
              <w:textAlignment w:val="baseline"/>
              <w:rPr>
                <w:rFonts w:ascii="Times New Roman" w:eastAsia="Times New Roman" w:hAnsi="Times New Roman" w:cs="Times New Roman"/>
                <w:sz w:val="24"/>
                <w:szCs w:val="24"/>
                <w:lang w:eastAsia="pl-PL"/>
              </w:rPr>
            </w:pPr>
            <w:bookmarkStart w:id="1397" w:name="_Ref195888246"/>
            <w:r w:rsidRPr="004D6F82">
              <w:rPr>
                <w:rFonts w:eastAsia="Times New Roman" w:cs="Times New Roman"/>
                <w:color w:val="808080"/>
                <w:sz w:val="18"/>
                <w:szCs w:val="18"/>
                <w:lang w:eastAsia="pl-PL"/>
              </w:rPr>
              <w:t>minister wł. ds. transportu</w:t>
            </w:r>
            <w:bookmarkEnd w:id="1397"/>
            <w:r w:rsidRPr="004D6F82">
              <w:rPr>
                <w:rFonts w:eastAsia="Times New Roman" w:cs="Times New Roman"/>
                <w:color w:val="808080"/>
                <w:sz w:val="18"/>
                <w:szCs w:val="18"/>
                <w:lang w:eastAsia="pl-PL"/>
              </w:rPr>
              <w:t> </w:t>
            </w:r>
          </w:p>
          <w:p w14:paraId="00F6C4BD"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 </w:t>
            </w:r>
          </w:p>
        </w:tc>
      </w:tr>
    </w:tbl>
    <w:p w14:paraId="3C2EA3F1" w14:textId="02D4082A" w:rsidR="00902ABB" w:rsidRPr="004D6F82" w:rsidRDefault="00902ABB" w:rsidP="00D523F3">
      <w:pPr>
        <w:pStyle w:val="Nagwek6"/>
        <w:rPr>
          <w:rFonts w:ascii="Times New Roman" w:hAnsi="Times New Roman"/>
          <w:i/>
          <w:iCs/>
          <w:color w:val="595959"/>
          <w:sz w:val="24"/>
          <w:szCs w:val="24"/>
          <w:lang w:eastAsia="pl-PL"/>
        </w:rPr>
      </w:pPr>
      <w:bookmarkStart w:id="1398" w:name="_Ref195868738"/>
      <w:bookmarkStart w:id="1399" w:name="_Toc195865997"/>
      <w:bookmarkStart w:id="1400" w:name="_Ref195881229"/>
      <w:bookmarkStart w:id="1401" w:name="_Ref195885458"/>
      <w:bookmarkStart w:id="1402" w:name="_Ref195886377"/>
      <w:bookmarkStart w:id="1403" w:name="_Ref195888269"/>
      <w:bookmarkStart w:id="1404" w:name="_Ref195894900"/>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143</w:t>
      </w:r>
      <w:r w:rsidRPr="00FB68C2">
        <w:rPr>
          <w:rStyle w:val="Nagwek6Znak"/>
          <w:b/>
        </w:rPr>
        <w:fldChar w:fldCharType="end"/>
      </w:r>
      <w:bookmarkEnd w:id="1398"/>
      <w:r w:rsidRPr="00FB68C2">
        <w:rPr>
          <w:rStyle w:val="Nagwek6Znak"/>
          <w:b/>
        </w:rPr>
        <w:t xml:space="preserve">. </w:t>
      </w:r>
      <w:r w:rsidRPr="004D6F82">
        <w:rPr>
          <w:lang w:eastAsia="pl-PL"/>
        </w:rPr>
        <w:t>Stworzenie Centrum Wsparcia Transformacji Energetycznej (CWTE)</w:t>
      </w:r>
      <w:bookmarkEnd w:id="1399"/>
      <w:bookmarkEnd w:id="1400"/>
      <w:bookmarkEnd w:id="1401"/>
      <w:bookmarkEnd w:id="1402"/>
      <w:bookmarkEnd w:id="1403"/>
      <w:bookmarkEnd w:id="1404"/>
      <w:r w:rsidR="003E2DE5">
        <w:rPr>
          <w:lang w:eastAsia="pl-PL"/>
        </w:rPr>
        <w:t xml:space="preserve"> </w:t>
      </w:r>
    </w:p>
    <w:p w14:paraId="64541E2A" w14:textId="0AC50F78" w:rsidR="00902ABB" w:rsidRPr="004D6F82" w:rsidRDefault="00902ABB" w:rsidP="00834636">
      <w:pPr>
        <w:rPr>
          <w:rFonts w:ascii="Times New Roman" w:hAnsi="Times New Roman"/>
          <w:sz w:val="24"/>
          <w:szCs w:val="24"/>
          <w:lang w:eastAsia="pl-PL"/>
        </w:rPr>
      </w:pPr>
      <w:r w:rsidRPr="004D6F82">
        <w:rPr>
          <w:lang w:eastAsia="pl-PL"/>
        </w:rPr>
        <w:t xml:space="preserve">Działanie polega na stworzeniu Centrum Wsparcia Transformacji Energetycznej (CWTE), w którym każdy podmiot biorący udział w procesie transformacji będzie mógł zasięgnąć odpowiedniej wiedzy, będzie mógł znaleźć informacje na temat tego, jakie procedury administracyjne są konieczne </w:t>
      </w:r>
      <w:r w:rsidR="0017379A">
        <w:rPr>
          <w:lang w:eastAsia="pl-PL"/>
        </w:rPr>
        <w:t>dla prowadzonych projektów transformacji energetyczno-klimatycznej</w:t>
      </w:r>
      <w:r w:rsidR="005037B2">
        <w:rPr>
          <w:lang w:eastAsia="pl-PL"/>
        </w:rPr>
        <w:t xml:space="preserve">, </w:t>
      </w:r>
      <w:r w:rsidR="0017379A">
        <w:rPr>
          <w:lang w:eastAsia="pl-PL"/>
        </w:rPr>
        <w:t xml:space="preserve">w tym </w:t>
      </w:r>
      <w:r w:rsidR="005037B2">
        <w:rPr>
          <w:lang w:eastAsia="pl-PL"/>
        </w:rPr>
        <w:t>dla projektów</w:t>
      </w:r>
      <w:r w:rsidRPr="004D6F82">
        <w:rPr>
          <w:lang w:eastAsia="pl-PL"/>
        </w:rPr>
        <w:t xml:space="preserve"> OZE oraz w jaki sposób należy je przeprowadzić. CWTE ma być wyposażony w wiedzę z następujących dziedzin: </w:t>
      </w:r>
    </w:p>
    <w:p w14:paraId="0A16300A" w14:textId="67295654" w:rsidR="00902ABB" w:rsidRPr="004D6F82" w:rsidRDefault="00902ABB" w:rsidP="000625AC">
      <w:pPr>
        <w:pStyle w:val="Akapitzlist"/>
        <w:numPr>
          <w:ilvl w:val="0"/>
          <w:numId w:val="102"/>
        </w:numPr>
        <w:ind w:left="426"/>
        <w:rPr>
          <w:rFonts w:eastAsia="Times New Roman" w:cs="Times New Roman"/>
          <w:lang w:eastAsia="pl-PL"/>
        </w:rPr>
      </w:pPr>
      <w:r w:rsidRPr="004D6F82">
        <w:rPr>
          <w:rFonts w:eastAsia="Times New Roman" w:cs="Times New Roman"/>
          <w:lang w:eastAsia="pl-PL"/>
        </w:rPr>
        <w:t>Procedury administracyjne i prawne w zakresie transformacji</w:t>
      </w:r>
      <w:r w:rsidR="007342E1">
        <w:rPr>
          <w:rFonts w:eastAsia="Times New Roman" w:cs="Times New Roman"/>
          <w:lang w:eastAsia="pl-PL"/>
        </w:rPr>
        <w:t>;</w:t>
      </w:r>
    </w:p>
    <w:p w14:paraId="103DB000" w14:textId="37E1C1E9" w:rsidR="00902ABB" w:rsidRPr="004D6F82" w:rsidRDefault="00902ABB" w:rsidP="000625AC">
      <w:pPr>
        <w:pStyle w:val="Akapitzlist"/>
        <w:numPr>
          <w:ilvl w:val="0"/>
          <w:numId w:val="102"/>
        </w:numPr>
        <w:ind w:left="426"/>
        <w:rPr>
          <w:rFonts w:eastAsia="Times New Roman" w:cs="Times New Roman"/>
          <w:lang w:eastAsia="pl-PL"/>
        </w:rPr>
      </w:pPr>
      <w:r w:rsidRPr="004D6F82">
        <w:rPr>
          <w:rFonts w:eastAsia="Times New Roman" w:cs="Times New Roman"/>
          <w:lang w:eastAsia="pl-PL"/>
        </w:rPr>
        <w:t>Opracowane modele technologiczne możliwe do implementacji w różnych warunkach</w:t>
      </w:r>
      <w:r w:rsidR="007342E1">
        <w:rPr>
          <w:rFonts w:eastAsia="Times New Roman" w:cs="Times New Roman"/>
          <w:lang w:eastAsia="pl-PL"/>
        </w:rPr>
        <w:t>;</w:t>
      </w:r>
      <w:r w:rsidRPr="004D6F82">
        <w:rPr>
          <w:rFonts w:eastAsia="Times New Roman" w:cs="Times New Roman"/>
          <w:lang w:eastAsia="pl-PL"/>
        </w:rPr>
        <w:t> </w:t>
      </w:r>
    </w:p>
    <w:p w14:paraId="2995A49A" w14:textId="6AD8E8F9" w:rsidR="00902ABB" w:rsidRPr="004D6F82" w:rsidRDefault="00902ABB" w:rsidP="000625AC">
      <w:pPr>
        <w:pStyle w:val="Akapitzlist"/>
        <w:numPr>
          <w:ilvl w:val="0"/>
          <w:numId w:val="102"/>
        </w:numPr>
        <w:ind w:left="426"/>
        <w:rPr>
          <w:rFonts w:eastAsia="Times New Roman" w:cs="Times New Roman"/>
          <w:lang w:eastAsia="pl-PL"/>
        </w:rPr>
      </w:pPr>
      <w:r w:rsidRPr="004D6F82">
        <w:rPr>
          <w:rFonts w:eastAsia="Times New Roman" w:cs="Times New Roman"/>
          <w:lang w:eastAsia="pl-PL"/>
        </w:rPr>
        <w:t>Dostępne programy finansowe i modele wsparcia</w:t>
      </w:r>
      <w:r w:rsidR="007342E1">
        <w:rPr>
          <w:rFonts w:eastAsia="Times New Roman" w:cs="Times New Roman"/>
          <w:lang w:eastAsia="pl-PL"/>
        </w:rPr>
        <w:t>;</w:t>
      </w:r>
      <w:r w:rsidRPr="004D6F82">
        <w:rPr>
          <w:rFonts w:eastAsia="Times New Roman" w:cs="Times New Roman"/>
          <w:lang w:eastAsia="pl-PL"/>
        </w:rPr>
        <w:t> </w:t>
      </w:r>
    </w:p>
    <w:p w14:paraId="6CD86F0D" w14:textId="1E6E96CA" w:rsidR="00902ABB" w:rsidRPr="004D6F82" w:rsidRDefault="00902ABB" w:rsidP="000625AC">
      <w:pPr>
        <w:pStyle w:val="Akapitzlist"/>
        <w:numPr>
          <w:ilvl w:val="0"/>
          <w:numId w:val="102"/>
        </w:numPr>
        <w:ind w:left="426"/>
        <w:rPr>
          <w:rFonts w:eastAsia="Times New Roman" w:cs="Times New Roman"/>
          <w:lang w:eastAsia="pl-PL"/>
        </w:rPr>
      </w:pPr>
      <w:r w:rsidRPr="004D6F82">
        <w:rPr>
          <w:rFonts w:eastAsia="Times New Roman" w:cs="Times New Roman"/>
          <w:lang w:eastAsia="pl-PL"/>
        </w:rPr>
        <w:t>Listę odpowiednich partnerów mogących realizować projekty i procedury związane z transformacją w zakresie technologicznym, prawnym i finansowym</w:t>
      </w:r>
      <w:r w:rsidR="007342E1">
        <w:rPr>
          <w:rFonts w:eastAsia="Times New Roman" w:cs="Times New Roman"/>
          <w:lang w:eastAsia="pl-PL"/>
        </w:rPr>
        <w:t>;</w:t>
      </w:r>
      <w:r w:rsidRPr="004D6F82">
        <w:rPr>
          <w:rFonts w:eastAsia="Times New Roman" w:cs="Times New Roman"/>
          <w:lang w:eastAsia="pl-PL"/>
        </w:rPr>
        <w:t> </w:t>
      </w:r>
    </w:p>
    <w:p w14:paraId="46292E06" w14:textId="77777777" w:rsidR="00902ABB" w:rsidRPr="004D6F82" w:rsidRDefault="00902ABB" w:rsidP="000625AC">
      <w:pPr>
        <w:pStyle w:val="Akapitzlist"/>
        <w:numPr>
          <w:ilvl w:val="0"/>
          <w:numId w:val="102"/>
        </w:numPr>
        <w:ind w:left="426"/>
        <w:rPr>
          <w:rFonts w:eastAsia="Times New Roman" w:cs="Times New Roman"/>
          <w:lang w:eastAsia="pl-PL"/>
        </w:rPr>
      </w:pPr>
      <w:r w:rsidRPr="004D6F82">
        <w:rPr>
          <w:rFonts w:eastAsia="Times New Roman" w:cs="Times New Roman"/>
          <w:lang w:eastAsia="pl-PL"/>
        </w:rPr>
        <w:t>Aktualny stan realizacji projektów transformacji oraz informacje o nowych planowanych projektach we wszystkich powiatach w Polsce. </w:t>
      </w:r>
    </w:p>
    <w:p w14:paraId="34D77007" w14:textId="7C23A781" w:rsidR="00902ABB" w:rsidRPr="004D6F82" w:rsidRDefault="00902ABB" w:rsidP="00834636">
      <w:pPr>
        <w:rPr>
          <w:rFonts w:ascii="Times New Roman" w:hAnsi="Times New Roman"/>
          <w:sz w:val="24"/>
          <w:szCs w:val="24"/>
          <w:lang w:eastAsia="pl-PL"/>
        </w:rPr>
      </w:pPr>
      <w:r w:rsidRPr="004D6F82">
        <w:rPr>
          <w:lang w:eastAsia="pl-PL"/>
        </w:rPr>
        <w:t>Prezentowana wiedza powinna być poparta analizami finansowymi i technicznymi, które są</w:t>
      </w:r>
      <w:r w:rsidR="00E30E7D">
        <w:rPr>
          <w:lang w:eastAsia="pl-PL"/>
        </w:rPr>
        <w:t> </w:t>
      </w:r>
      <w:r w:rsidRPr="004D6F82">
        <w:rPr>
          <w:lang w:eastAsia="pl-PL"/>
        </w:rPr>
        <w:t>uzasadnieniem dla prezentowanej przez CWTE wiedzy. </w:t>
      </w:r>
    </w:p>
    <w:p w14:paraId="47F179D6" w14:textId="77777777"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Sprawnie zorganizowany CWTE jest głównym elementem prowadzenia procesu transformacji energetyczno-klimatycznej. Każdy podmiot realizujący projekty w zakresie transformacji klimatyczno-energetycznej może konsultować swój projekt w zakresie jego zasadności i dobrego synchronizowania projektu z innymi projektami. </w:t>
      </w:r>
    </w:p>
    <w:p w14:paraId="15DBD08D" w14:textId="1F7EF16D"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W podstawowej kompetencji CWTE jest centrum informacyjnym i wsparciem dla wszystkich podmiotów, które realizują transformację energetyczno-klimatyczną, w szczególności jednostki samorządu terytorialnego, spółdzielnie mieszkaniowe, dostawcy urządzeń, inwestorzy, jednostki finansujące i inni. CWTE posiada pełną wiedzę w zakresie całego procesu. Potrafi przedstawić każdemu podmiotowi pełną </w:t>
      </w:r>
      <w:r w:rsidRPr="099B00AA">
        <w:rPr>
          <w:rFonts w:eastAsia="Times New Roman" w:cs="Times New Roman"/>
          <w:lang w:eastAsia="pl-PL"/>
        </w:rPr>
        <w:t>wiedz</w:t>
      </w:r>
      <w:r w:rsidR="16AC8E10" w:rsidRPr="099B00AA">
        <w:rPr>
          <w:rFonts w:eastAsia="Times New Roman" w:cs="Times New Roman"/>
          <w:lang w:eastAsia="pl-PL"/>
        </w:rPr>
        <w:t>ę</w:t>
      </w:r>
      <w:r w:rsidRPr="004D6F82">
        <w:rPr>
          <w:rFonts w:eastAsia="Times New Roman" w:cs="Times New Roman"/>
          <w:lang w:eastAsia="pl-PL"/>
        </w:rPr>
        <w:t xml:space="preserve"> i wsparcie zarówno w zakresie ogólnym jak i szczegółowym, jak proces transformacji powinien wyglądać w każdej dziedzinie procesu tj.: w zakresie elektroenergetyki, ciepłownictwa, transportu, transformacji budownictwa, rolnictwa i przemysłu. </w:t>
      </w:r>
    </w:p>
    <w:p w14:paraId="2CDC617A" w14:textId="1459036B"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Struktura CWTE powinna być tak zorganizowana, aby posiadać przynajmniej dwie linie wsparcia: pierwsza </w:t>
      </w:r>
      <w:r w:rsidR="001510D5">
        <w:rPr>
          <w:lang w:eastAsia="pl-PL"/>
        </w:rPr>
        <w:t>–</w:t>
      </w:r>
      <w:r w:rsidRPr="004D6F82">
        <w:rPr>
          <w:rFonts w:eastAsia="Times New Roman" w:cs="Times New Roman"/>
          <w:lang w:eastAsia="pl-PL"/>
        </w:rPr>
        <w:t xml:space="preserve"> odpowiedzialna za ogólną wiedzę, a druga – posiadająca specjalistów dziedzinowych. Dodatkowo CWTE powinno posiadać dedykowany personel do poszczególnych powiatów w Polsce, tak by dobrze znać lokalne uwarunkowania. </w:t>
      </w:r>
    </w:p>
    <w:p w14:paraId="1D945E43" w14:textId="77777777"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CWTE powinno być wyposażone w odpowiednie systemy wsparcia, w szczególności w symulator systemu energetycznego, który na poziomie lokalnym mógłby być narzędziem planistycznym transformacji energetycznej. </w:t>
      </w:r>
    </w:p>
    <w:p w14:paraId="5FF0FB1E" w14:textId="4A1D9D71"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Dodatkowo CWTE stworzy i będzie utrzymywał dedykowane bazy danych obsługujące procesy inwestycyjne, oraz inwentaryzację budowanych i planowanych instalacji OZE. Wszystkie bazy będą </w:t>
      </w:r>
      <w:r w:rsidR="00C006E8">
        <w:rPr>
          <w:rFonts w:eastAsia="Times New Roman" w:cs="Times New Roman"/>
          <w:lang w:eastAsia="pl-PL"/>
        </w:rPr>
        <w:t>ogólno</w:t>
      </w:r>
      <w:r w:rsidRPr="004D6F82">
        <w:rPr>
          <w:rFonts w:eastAsia="Times New Roman" w:cs="Times New Roman"/>
          <w:lang w:eastAsia="pl-PL"/>
        </w:rPr>
        <w:t>dostępne.</w:t>
      </w:r>
      <w:r w:rsidR="003E2DE5">
        <w:rPr>
          <w:rFonts w:eastAsia="Times New Roman" w:cs="Times New Roman"/>
          <w:lang w:eastAsia="pl-PL"/>
        </w:rPr>
        <w:t xml:space="preserve"> </w:t>
      </w:r>
    </w:p>
    <w:p w14:paraId="3ADE9261" w14:textId="77777777"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lastRenderedPageBreak/>
        <w:t>Wszystkie podstawowe usługi przedstawione powyżej CWTE będzie świadczyć bezpłatnie jako usługę publiczną. CWTE będzie też świadczyło usługi odpłatne, wspierając inwestycje komercyjne w zakresie realizacji procesów inwestycyjnych. Przykładowo, przedsiębiorstwo energetyki cieplnej (PEC) planujące elektryfikację systemu ciepłowniczego, inwestor farmy wiatrowej lub spółdzielnia planująca termomodernizację mogą skontaktować się z CWTE, które pomoże przygotować plan inwestycji. Następnie CWTE będzie stanowiło „jedno okienko” dla inwestora, pośrednicząc w pozyskaniu pozwoleń, dofinansowania, weryfikacji jakości prac i innych działaniach, o których wsparcie wystąpi inwestor. Działania te będą dodatkowym źródłem przychodów CWTE, uzupełniającym fundusze publiczne.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73F5A18B" w14:textId="77777777" w:rsidTr="00834636">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07A25CF9"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3576D236" wp14:editId="2A6B1EAF">
                  <wp:extent cx="622300" cy="622300"/>
                  <wp:effectExtent l="0" t="0" r="6350" b="6350"/>
                  <wp:docPr id="1786048191" name="Obraz 15"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AD565BD"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7AD0715"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4094256E" w14:textId="77777777" w:rsidTr="0083463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143476F"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D184390" w14:textId="6D2DE1B2"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6E4EE24"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klimatu </w:t>
            </w:r>
          </w:p>
          <w:p w14:paraId="37909440" w14:textId="14386E3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finansów publicznych</w:t>
            </w:r>
            <w:r w:rsidR="003E2DE5">
              <w:rPr>
                <w:rFonts w:eastAsia="Times New Roman" w:cs="Times New Roman"/>
                <w:color w:val="808080"/>
                <w:sz w:val="18"/>
                <w:szCs w:val="18"/>
                <w:lang w:eastAsia="pl-PL"/>
              </w:rPr>
              <w:t xml:space="preserve"> </w:t>
            </w:r>
          </w:p>
        </w:tc>
      </w:tr>
    </w:tbl>
    <w:p w14:paraId="7D10C3C8" w14:textId="3E607F56" w:rsidR="00902ABB" w:rsidRPr="004D6F82" w:rsidRDefault="00902ABB" w:rsidP="00D523F3">
      <w:pPr>
        <w:pStyle w:val="Nagwek6"/>
        <w:rPr>
          <w:rFonts w:ascii="Times New Roman" w:hAnsi="Times New Roman"/>
          <w:i/>
          <w:iCs/>
          <w:color w:val="595959"/>
          <w:sz w:val="24"/>
          <w:szCs w:val="24"/>
          <w:lang w:eastAsia="pl-PL"/>
        </w:rPr>
      </w:pPr>
      <w:bookmarkStart w:id="1405" w:name="_Toc195865998"/>
      <w:bookmarkStart w:id="1406" w:name="_Ref195881232"/>
      <w:bookmarkStart w:id="1407" w:name="_Ref195886380"/>
      <w:bookmarkStart w:id="1408" w:name="_Ref195894828"/>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144</w:t>
      </w:r>
      <w:r w:rsidRPr="00FB68C2">
        <w:rPr>
          <w:rStyle w:val="Nagwek6Znak"/>
          <w:b/>
        </w:rPr>
        <w:fldChar w:fldCharType="end"/>
      </w:r>
      <w:r w:rsidRPr="00FB68C2">
        <w:rPr>
          <w:rStyle w:val="Nagwek6Znak"/>
          <w:b/>
        </w:rPr>
        <w:t xml:space="preserve">. </w:t>
      </w:r>
      <w:r w:rsidRPr="004D6F82">
        <w:rPr>
          <w:lang w:eastAsia="pl-PL"/>
        </w:rPr>
        <w:t>Symulator Systemu Energetycznego dla Samorządu</w:t>
      </w:r>
      <w:bookmarkEnd w:id="1405"/>
      <w:bookmarkEnd w:id="1406"/>
      <w:bookmarkEnd w:id="1407"/>
      <w:bookmarkEnd w:id="1408"/>
      <w:r w:rsidRPr="004D6F82">
        <w:rPr>
          <w:i/>
          <w:iCs/>
          <w:lang w:eastAsia="pl-PL"/>
        </w:rPr>
        <w:t> </w:t>
      </w:r>
    </w:p>
    <w:p w14:paraId="0733C2AD" w14:textId="53E8F3E5"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Transformacja energetyczno-klimatyczna miast i gmin wymaga skutecznego narzędzia analitycznego, które pozwoli samorządom planować modernizację systemów energetycznych w sposób optymalny ekonomicznie i technologicznie. Państwo powinno stworzyć i wdrożyć </w:t>
      </w:r>
      <w:r w:rsidRPr="004D6F82">
        <w:rPr>
          <w:rFonts w:eastAsia="Times New Roman" w:cs="Times New Roman"/>
          <w:b/>
          <w:bCs/>
          <w:lang w:eastAsia="pl-PL"/>
        </w:rPr>
        <w:t>Symulator Systemu Energetycznego Miast i Gmin</w:t>
      </w:r>
      <w:r w:rsidRPr="004D6F82">
        <w:rPr>
          <w:rFonts w:eastAsia="Times New Roman" w:cs="Times New Roman"/>
          <w:lang w:eastAsia="pl-PL"/>
        </w:rPr>
        <w:t>, który umożliwi modelowanie różnych scenariuszy dekarbonizacji, analizę kosztów inwestycji oraz określenie najbardziej efektywnych zintegrowanych działań w zakresie energetyki, ciepłownictwa, transportu i infrastruktury budynkowej.</w:t>
      </w:r>
      <w:r w:rsidR="003E2DE5">
        <w:rPr>
          <w:rFonts w:eastAsia="Times New Roman" w:cs="Times New Roman"/>
          <w:lang w:eastAsia="pl-PL"/>
        </w:rPr>
        <w:t xml:space="preserve"> </w:t>
      </w:r>
    </w:p>
    <w:p w14:paraId="67C0136E" w14:textId="272B0D1D"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System powinien pełnić kluczową rolę w planowaniu działań i pomagać miastom oraz gminom ustalać </w:t>
      </w:r>
      <w:r w:rsidRPr="004D6F82">
        <w:rPr>
          <w:rFonts w:eastAsia="Times New Roman" w:cs="Times New Roman"/>
          <w:b/>
          <w:bCs/>
          <w:lang w:eastAsia="pl-PL"/>
        </w:rPr>
        <w:t>optymalną kolejność transformacji</w:t>
      </w:r>
      <w:r w:rsidRPr="004D6F82">
        <w:rPr>
          <w:rFonts w:eastAsia="Times New Roman" w:cs="Times New Roman"/>
          <w:lang w:eastAsia="pl-PL"/>
        </w:rPr>
        <w:t>, uwzględniając zarówno aspekty technologiczne, jak i finansowe. Na</w:t>
      </w:r>
      <w:r w:rsidR="00E30E7D">
        <w:rPr>
          <w:rFonts w:eastAsia="Times New Roman" w:cs="Times New Roman"/>
          <w:lang w:eastAsia="pl-PL"/>
        </w:rPr>
        <w:t> </w:t>
      </w:r>
      <w:r w:rsidRPr="004D6F82">
        <w:rPr>
          <w:rFonts w:eastAsia="Times New Roman" w:cs="Times New Roman"/>
          <w:lang w:eastAsia="pl-PL"/>
        </w:rPr>
        <w:t>podstawie rzeczywistych danych powinien wskazywać, które elementy modernizacji należy wdrażać w pierwszej kolejności, aby osiągnąć największy efekt kosztowy i energetyczny. Samorządy będą mogły analizować różne warianty transformacji, na przykład czy w pierwszym etapie skupić się na</w:t>
      </w:r>
      <w:r w:rsidR="00E30E7D">
        <w:rPr>
          <w:rFonts w:eastAsia="Times New Roman" w:cs="Times New Roman"/>
          <w:lang w:eastAsia="pl-PL"/>
        </w:rPr>
        <w:t> </w:t>
      </w:r>
      <w:r w:rsidRPr="004D6F82">
        <w:rPr>
          <w:rFonts w:eastAsia="Times New Roman" w:cs="Times New Roman"/>
          <w:lang w:eastAsia="pl-PL"/>
        </w:rPr>
        <w:t>termomodernizacji budynków, modernizacji ciepłownictwa czy inwestycjach w odnawialne źródła energii. System powinien analizować, jakie technologie najlepiej sprawdzą się w danej lokalizacji, uwzględniając lokalne zasoby, charakterystykę zabudowy oraz potrzeby mieszkańców i przedsiębiorstw. </w:t>
      </w:r>
    </w:p>
    <w:p w14:paraId="4EB63FB9" w14:textId="39A2CCF4"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Symulator powinien uwzględniać aspekt finansowy i wskazywać najbardziej opłacalne modele realizacji inwestycji, uwzględniając dostępne programy wsparcia, możliwości finansowania dłużnego oraz modele zarządzania taryfami. Dzięki temu miasta i gminy będą mogły dostosować swoje plany inwestycyjne do</w:t>
      </w:r>
      <w:r w:rsidR="00E30E7D">
        <w:rPr>
          <w:rFonts w:eastAsia="Times New Roman" w:cs="Times New Roman"/>
          <w:lang w:eastAsia="pl-PL"/>
        </w:rPr>
        <w:t> </w:t>
      </w:r>
      <w:r w:rsidRPr="004D6F82">
        <w:rPr>
          <w:rFonts w:eastAsia="Times New Roman" w:cs="Times New Roman"/>
          <w:lang w:eastAsia="pl-PL"/>
        </w:rPr>
        <w:t>realnych możliwości budżetowych i dostępnych źródeł finansowania. </w:t>
      </w:r>
    </w:p>
    <w:p w14:paraId="40B7711A" w14:textId="5C0E1551" w:rsidR="00902ABB" w:rsidRPr="004D6F82" w:rsidRDefault="00902ABB" w:rsidP="00BB0319">
      <w:pPr>
        <w:rPr>
          <w:rFonts w:ascii="Times New Roman" w:hAnsi="Times New Roman"/>
          <w:sz w:val="24"/>
          <w:szCs w:val="24"/>
          <w:lang w:eastAsia="pl-PL"/>
        </w:rPr>
      </w:pPr>
      <w:r w:rsidRPr="004D6F82">
        <w:rPr>
          <w:lang w:eastAsia="pl-PL"/>
        </w:rPr>
        <w:t>Aby narzędzie mogło działać skutecznie, konieczne jest jego włączenie do strategii krajowej, zapewnienie dostępu o ile to będzie możliwe do aktualnych danych oraz koordynacja wdrożenia na poziomie krajowym. System powinien o ile to będzie możliwe być zintegrowany z istniejącymi bazami danych i</w:t>
      </w:r>
      <w:r w:rsidR="00E30E7D">
        <w:rPr>
          <w:lang w:eastAsia="pl-PL"/>
        </w:rPr>
        <w:t> </w:t>
      </w:r>
      <w:r w:rsidRPr="004D6F82">
        <w:rPr>
          <w:lang w:eastAsia="pl-PL"/>
        </w:rPr>
        <w:t>rejestrami dotyczącymi infrastruktury miejskiej i gminnej, sieci energetycznych oraz zużycia energii, a</w:t>
      </w:r>
      <w:r w:rsidR="00E30E7D">
        <w:rPr>
          <w:lang w:eastAsia="pl-PL"/>
        </w:rPr>
        <w:t> </w:t>
      </w:r>
      <w:r w:rsidRPr="004D6F82">
        <w:rPr>
          <w:lang w:eastAsia="pl-PL"/>
        </w:rPr>
        <w:t>także dostosowany do różnych uwarunkowań lokalnych. Musi również zostać zintegrowany z</w:t>
      </w:r>
      <w:r w:rsidRPr="004D6F82">
        <w:rPr>
          <w:b/>
          <w:bCs/>
          <w:lang w:eastAsia="pl-PL"/>
        </w:rPr>
        <w:t xml:space="preserve"> Centrum Wsparcia Transformacji Energetycznej (CWTE)</w:t>
      </w:r>
      <w:r w:rsidRPr="004D6F82">
        <w:rPr>
          <w:lang w:eastAsia="pl-PL"/>
        </w:rPr>
        <w:t>, który będzie pełnił funkcję centrum doradczego i</w:t>
      </w:r>
      <w:r w:rsidR="00BB0319">
        <w:rPr>
          <w:lang w:eastAsia="pl-PL"/>
        </w:rPr>
        <w:t> </w:t>
      </w:r>
      <w:r w:rsidRPr="004D6F82">
        <w:rPr>
          <w:lang w:eastAsia="pl-PL"/>
        </w:rPr>
        <w:t>koordynacyjnego. Integracja z CWTE pozwoli na bieżącą synchronizację danych, dostęp do analiz eksperckich oraz lepsze skoordynowanie działań na poziomie lokalnym i krajowym. Wszystkie prace implementacyjne powinny być prowadzona ze szczególną uwagą w zakresie przepisów ochrony danych osobowych RODO.</w:t>
      </w:r>
      <w:r w:rsidR="00974007">
        <w:rPr>
          <w:rFonts w:eastAsia="Times New Roman" w:cs="Times New Roman"/>
          <w:lang w:eastAsia="pl-PL"/>
        </w:rPr>
        <w:t xml:space="preserve">  </w:t>
      </w:r>
    </w:p>
    <w:p w14:paraId="587AC491" w14:textId="62D1A2B1" w:rsidR="00902ABB" w:rsidRDefault="00902ABB" w:rsidP="001510D5">
      <w:pPr>
        <w:rPr>
          <w:lang w:eastAsia="pl-PL"/>
        </w:rPr>
      </w:pPr>
      <w:r w:rsidRPr="004D6F82">
        <w:rPr>
          <w:rFonts w:eastAsia="Times New Roman" w:cs="Times New Roman"/>
          <w:lang w:eastAsia="pl-PL"/>
        </w:rPr>
        <w:t>Samorządy powinny być zachęcane do korzystania z symulatora poprzez powiązanie jego wyników z</w:t>
      </w:r>
      <w:r w:rsidR="00BB0319">
        <w:rPr>
          <w:rFonts w:eastAsia="Times New Roman" w:cs="Times New Roman"/>
          <w:lang w:eastAsia="pl-PL"/>
        </w:rPr>
        <w:t> </w:t>
      </w:r>
      <w:r w:rsidRPr="004D6F82">
        <w:rPr>
          <w:rFonts w:eastAsia="Times New Roman" w:cs="Times New Roman"/>
          <w:lang w:eastAsia="pl-PL"/>
        </w:rPr>
        <w:t>procesem przyznawania środków publicznych na inwestycje w modernizację energetyczną i</w:t>
      </w:r>
      <w:r w:rsidR="00BB0319">
        <w:rPr>
          <w:rFonts w:eastAsia="Times New Roman" w:cs="Times New Roman"/>
          <w:lang w:eastAsia="pl-PL"/>
        </w:rPr>
        <w:t> </w:t>
      </w:r>
      <w:r w:rsidRPr="004D6F82">
        <w:rPr>
          <w:rFonts w:eastAsia="Times New Roman" w:cs="Times New Roman"/>
          <w:lang w:eastAsia="pl-PL"/>
        </w:rPr>
        <w:t>infrastrukturę. Stworzenie krajowego centrum wsparcia zapewni doradztwo i szkolenia w zakresie wykorzystania narzędzia oraz wdrażania rekomendowanych scenariuszy. Wdrożenie symulatora pozwoli na bardziej efektywne zarządzanie transformacją energetyczną, optymalizację wydatków i zwiększenie skuteczności działań dekarbonizacyjnych w polskich miastach i gminach.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1FB58E1C" w14:textId="77777777" w:rsidTr="003E4486">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8D3CB8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lastRenderedPageBreak/>
              <w:drawing>
                <wp:inline distT="0" distB="0" distL="0" distR="0" wp14:anchorId="6A84FAD6" wp14:editId="0A97C6BA">
                  <wp:extent cx="621030" cy="621030"/>
                  <wp:effectExtent l="0" t="0" r="7620" b="7620"/>
                  <wp:docPr id="108" name="Obraz 28"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0333C73"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78A2FC4A"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6203C1F0"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31978F4"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341E5A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2134C26"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rozwoju regionalnego </w:t>
            </w:r>
          </w:p>
          <w:p w14:paraId="595D0E8B"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 </w:t>
            </w:r>
          </w:p>
        </w:tc>
      </w:tr>
    </w:tbl>
    <w:p w14:paraId="7419F5E5" w14:textId="27F59689" w:rsidR="00902ABB" w:rsidRPr="00AA1221" w:rsidRDefault="00902ABB" w:rsidP="00901FEA">
      <w:pPr>
        <w:spacing w:after="80"/>
        <w:rPr>
          <w:rFonts w:eastAsia="Times New Roman" w:cs="Times New Roman"/>
          <w:lang w:eastAsia="pl-PL"/>
        </w:rPr>
      </w:pPr>
      <w:bookmarkStart w:id="1409" w:name="_Toc195865999"/>
      <w:bookmarkStart w:id="1410" w:name="_Ref195881235"/>
      <w:r w:rsidRPr="002E2CDA">
        <w:rPr>
          <w:rStyle w:val="Nagwek6Znak"/>
        </w:rPr>
        <w:t xml:space="preserve">Działanie </w:t>
      </w:r>
      <w:r w:rsidRPr="002E2CDA">
        <w:rPr>
          <w:rStyle w:val="Nagwek6Znak"/>
          <w:b w:val="0"/>
          <w:sz w:val="22"/>
        </w:rPr>
        <w:fldChar w:fldCharType="begin"/>
      </w:r>
      <w:r w:rsidRPr="002E2CDA">
        <w:rPr>
          <w:rStyle w:val="Nagwek6Znak"/>
        </w:rPr>
        <w:instrText xml:space="preserve"> SEQ Działanie \* ARABIC </w:instrText>
      </w:r>
      <w:r w:rsidRPr="002E2CDA">
        <w:rPr>
          <w:rStyle w:val="Nagwek6Znak"/>
          <w:b w:val="0"/>
          <w:sz w:val="22"/>
        </w:rPr>
        <w:fldChar w:fldCharType="separate"/>
      </w:r>
      <w:r w:rsidR="00871DD5">
        <w:rPr>
          <w:rStyle w:val="Nagwek6Znak"/>
          <w:noProof/>
        </w:rPr>
        <w:t>145</w:t>
      </w:r>
      <w:r w:rsidRPr="002E2CDA">
        <w:rPr>
          <w:rStyle w:val="Nagwek6Znak"/>
          <w:b w:val="0"/>
          <w:sz w:val="22"/>
        </w:rPr>
        <w:fldChar w:fldCharType="end"/>
      </w:r>
      <w:r w:rsidRPr="002E2CDA">
        <w:rPr>
          <w:rStyle w:val="Nagwek6Znak"/>
        </w:rPr>
        <w:t>.</w:t>
      </w:r>
      <w:r w:rsidRPr="004D6F82">
        <w:rPr>
          <w:lang w:eastAsia="pl-PL"/>
        </w:rPr>
        <w:t xml:space="preserve"> Rozwój ośrodków i systemów modelowania</w:t>
      </w:r>
      <w:r w:rsidR="00F10332">
        <w:rPr>
          <w:lang w:eastAsia="pl-PL"/>
        </w:rPr>
        <w:t xml:space="preserve"> </w:t>
      </w:r>
      <w:bookmarkEnd w:id="1409"/>
      <w:bookmarkEnd w:id="1410"/>
      <w:r w:rsidRPr="00AA1221">
        <w:rPr>
          <w:rFonts w:eastAsia="Times New Roman" w:cs="Times New Roman"/>
          <w:lang w:eastAsia="pl-PL"/>
        </w:rPr>
        <w:t xml:space="preserve">Obecnie funkcjonuje wiele instytucji zajmujących się modelowaniem </w:t>
      </w:r>
      <w:r w:rsidR="003A774D" w:rsidRPr="00AA1221">
        <w:rPr>
          <w:rFonts w:eastAsia="Times New Roman" w:cs="Times New Roman"/>
          <w:lang w:eastAsia="pl-PL"/>
        </w:rPr>
        <w:t xml:space="preserve">systemów </w:t>
      </w:r>
      <w:r w:rsidR="00673185" w:rsidRPr="00AA1221">
        <w:rPr>
          <w:rFonts w:eastAsia="Times New Roman" w:cs="Times New Roman"/>
          <w:lang w:eastAsia="pl-PL"/>
        </w:rPr>
        <w:t xml:space="preserve">energetycznych i </w:t>
      </w:r>
      <w:r w:rsidRPr="00AA1221">
        <w:rPr>
          <w:rFonts w:eastAsia="Times New Roman" w:cs="Times New Roman"/>
          <w:lang w:eastAsia="pl-PL"/>
        </w:rPr>
        <w:t>rynku energii. Konieczne jest ustanowienie współpracy między ośrodkami w celu: </w:t>
      </w:r>
    </w:p>
    <w:p w14:paraId="22FB3ACB" w14:textId="7CE1E139" w:rsidR="00902ABB" w:rsidRPr="004D6F82" w:rsidRDefault="00902ABB" w:rsidP="000625AC">
      <w:pPr>
        <w:pStyle w:val="Akapitzlist"/>
        <w:numPr>
          <w:ilvl w:val="0"/>
          <w:numId w:val="103"/>
        </w:numPr>
        <w:ind w:left="426"/>
        <w:rPr>
          <w:rFonts w:eastAsia="Times New Roman" w:cs="Times New Roman"/>
          <w:lang w:eastAsia="pl-PL"/>
        </w:rPr>
      </w:pPr>
      <w:r w:rsidRPr="004D6F82">
        <w:rPr>
          <w:rFonts w:eastAsia="Times New Roman" w:cs="Times New Roman"/>
          <w:lang w:eastAsia="pl-PL"/>
        </w:rPr>
        <w:t>Ujednolicenia i standaryzacji baz danych, w tym m.in. cen technologii, surowców energetycznych, wartości brzegowych oraz limitów (np. maksymalnej mocy lądowych turbin wiatrowych w Polsce). </w:t>
      </w:r>
    </w:p>
    <w:p w14:paraId="1B0B471A" w14:textId="77777777" w:rsidR="00902ABB" w:rsidRPr="004D6F82" w:rsidRDefault="00902ABB" w:rsidP="000625AC">
      <w:pPr>
        <w:pStyle w:val="Akapitzlist"/>
        <w:numPr>
          <w:ilvl w:val="0"/>
          <w:numId w:val="103"/>
        </w:numPr>
        <w:ind w:left="426"/>
        <w:rPr>
          <w:rFonts w:eastAsia="Times New Roman" w:cs="Times New Roman"/>
          <w:lang w:eastAsia="pl-PL"/>
        </w:rPr>
      </w:pPr>
      <w:r w:rsidRPr="004D6F82">
        <w:rPr>
          <w:rFonts w:eastAsia="Times New Roman" w:cs="Times New Roman"/>
          <w:lang w:eastAsia="pl-PL"/>
        </w:rPr>
        <w:t>Standaryzacji metod, a co za tym idzie wyników modelowania, aby zapewnić spójność analiz oraz porównywalność prognoz wykorzystywanych w planowaniu polityki energetycznej. </w:t>
      </w:r>
    </w:p>
    <w:p w14:paraId="1AB3839E" w14:textId="77777777" w:rsidR="00902ABB" w:rsidRPr="004D6F82" w:rsidRDefault="00902ABB" w:rsidP="000625AC">
      <w:pPr>
        <w:pStyle w:val="Akapitzlist"/>
        <w:numPr>
          <w:ilvl w:val="0"/>
          <w:numId w:val="103"/>
        </w:numPr>
        <w:ind w:left="426"/>
        <w:rPr>
          <w:rFonts w:eastAsia="Times New Roman" w:cs="Times New Roman"/>
          <w:lang w:eastAsia="pl-PL"/>
        </w:rPr>
      </w:pPr>
      <w:r w:rsidRPr="004D6F82">
        <w:rPr>
          <w:rFonts w:eastAsia="Times New Roman" w:cs="Times New Roman"/>
          <w:lang w:eastAsia="pl-PL"/>
        </w:rPr>
        <w:t>Ustalenia zasad modelowania całego systemu energetycznego, obejmującego elektroenergetykę, ciepłownictwo, transport z uwzględnieniem aspektów makroekonomicznych oraz wpływu na środowisko, z uwagi na postępującą elektryfikację i łączenie się sektorów. </w:t>
      </w:r>
    </w:p>
    <w:p w14:paraId="73CD0FB3" w14:textId="77777777" w:rsidR="00902ABB" w:rsidRPr="004D6F82" w:rsidRDefault="00902ABB" w:rsidP="00901FEA">
      <w:pPr>
        <w:spacing w:after="240"/>
        <w:rPr>
          <w:rFonts w:ascii="Times New Roman" w:eastAsia="Times New Roman" w:hAnsi="Times New Roman" w:cs="Times New Roman"/>
          <w:sz w:val="24"/>
          <w:szCs w:val="24"/>
          <w:lang w:eastAsia="pl-PL"/>
        </w:rPr>
      </w:pPr>
      <w:r w:rsidRPr="004D6F82">
        <w:rPr>
          <w:rFonts w:eastAsia="Times New Roman" w:cs="Times New Roman"/>
          <w:lang w:eastAsia="pl-PL"/>
        </w:rPr>
        <w:t>Należy również zapewnić finansowanie na rozwój i utrzymanie systemów modelowania, co umożliwi prowadzenie zaawansowanych i spójnych badań oraz rozwój narzędzi analitycznych wspierających transformację energetyczną.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4A3153EA" w14:textId="77777777" w:rsidTr="003E4486">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1CE034E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7BAF7F05" wp14:editId="16A8DE87">
                  <wp:extent cx="621030" cy="621030"/>
                  <wp:effectExtent l="0" t="0" r="7620" b="7620"/>
                  <wp:docPr id="977649031" name="Obraz 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05B14FA"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140B375"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17FCC99F"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16D0BA0"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F63EE3D"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7B77054"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cyfryzacji </w:t>
            </w:r>
          </w:p>
          <w:p w14:paraId="435D1C0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klimatu </w:t>
            </w:r>
          </w:p>
          <w:p w14:paraId="66085C3B"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OSD </w:t>
            </w:r>
          </w:p>
          <w:p w14:paraId="69C725AA"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OSP </w:t>
            </w:r>
          </w:p>
        </w:tc>
      </w:tr>
    </w:tbl>
    <w:p w14:paraId="57CF8A97" w14:textId="77777777" w:rsidR="00902ABB" w:rsidRPr="004D6F82" w:rsidRDefault="00902ABB" w:rsidP="00902ABB">
      <w:pPr>
        <w:spacing w:line="240" w:lineRule="auto"/>
        <w:textAlignment w:val="baseline"/>
        <w:rPr>
          <w:rFonts w:ascii="Times New Roman" w:eastAsia="Times New Roman" w:hAnsi="Times New Roman" w:cs="Times New Roman"/>
          <w:sz w:val="24"/>
          <w:szCs w:val="24"/>
          <w:lang w:eastAsia="pl-PL"/>
        </w:rPr>
      </w:pPr>
    </w:p>
    <w:p w14:paraId="500494AD" w14:textId="7254B876" w:rsidR="00902ABB" w:rsidRPr="009E5CD6" w:rsidRDefault="00902ABB" w:rsidP="00D523F3">
      <w:pPr>
        <w:pStyle w:val="Nagwek6"/>
        <w:rPr>
          <w:rFonts w:ascii="Times New Roman" w:hAnsi="Times New Roman"/>
          <w:i/>
          <w:iCs/>
          <w:color w:val="595959"/>
          <w:sz w:val="24"/>
          <w:szCs w:val="24"/>
          <w:lang w:eastAsia="pl-PL"/>
        </w:rPr>
      </w:pPr>
      <w:bookmarkStart w:id="1411" w:name="_Toc195866000"/>
      <w:bookmarkStart w:id="1412" w:name="_Ref195885467"/>
      <w:bookmarkStart w:id="1413" w:name="_Ref195888454"/>
      <w:bookmarkStart w:id="1414" w:name="_Ref195889101"/>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146</w:t>
      </w:r>
      <w:r w:rsidRPr="00FB68C2">
        <w:rPr>
          <w:rStyle w:val="Nagwek6Znak"/>
          <w:b/>
        </w:rPr>
        <w:fldChar w:fldCharType="end"/>
      </w:r>
      <w:r w:rsidRPr="00FB68C2">
        <w:rPr>
          <w:rStyle w:val="Nagwek6Znak"/>
          <w:b/>
        </w:rPr>
        <w:t xml:space="preserve">. </w:t>
      </w:r>
      <w:r>
        <w:rPr>
          <w:lang w:eastAsia="pl-PL"/>
        </w:rPr>
        <w:t>Opracowanie i wdrażanie Plan</w:t>
      </w:r>
      <w:r w:rsidR="00105498">
        <w:rPr>
          <w:lang w:eastAsia="pl-PL"/>
        </w:rPr>
        <w:t>u</w:t>
      </w:r>
      <w:r w:rsidR="000171F3">
        <w:rPr>
          <w:lang w:eastAsia="pl-PL"/>
        </w:rPr>
        <w:t xml:space="preserve"> </w:t>
      </w:r>
      <w:r>
        <w:rPr>
          <w:lang w:eastAsia="pl-PL"/>
        </w:rPr>
        <w:t>Społeczno-Klimatycznego</w:t>
      </w:r>
      <w:bookmarkEnd w:id="1411"/>
      <w:bookmarkEnd w:id="1412"/>
      <w:bookmarkEnd w:id="1413"/>
      <w:bookmarkEnd w:id="1414"/>
      <w:r w:rsidRPr="004D6F82">
        <w:rPr>
          <w:i/>
          <w:iCs/>
          <w:lang w:eastAsia="pl-PL"/>
        </w:rPr>
        <w:t> </w:t>
      </w:r>
    </w:p>
    <w:p w14:paraId="5AC8982C" w14:textId="77777777" w:rsidR="00902ABB" w:rsidRPr="009E5CD6" w:rsidRDefault="00902ABB" w:rsidP="001510D5">
      <w:pPr>
        <w:rPr>
          <w:rFonts w:eastAsia="Times New Roman" w:cs="Times New Roman"/>
          <w:szCs w:val="20"/>
          <w:lang w:eastAsia="pl-PL"/>
        </w:rPr>
      </w:pPr>
      <w:r w:rsidRPr="009E5CD6">
        <w:rPr>
          <w:rFonts w:eastAsia="Times New Roman" w:cs="Times New Roman"/>
          <w:szCs w:val="20"/>
          <w:lang w:eastAsia="pl-PL"/>
        </w:rPr>
        <w:t xml:space="preserve">Plan Społeczno-Klimatyczny </w:t>
      </w:r>
      <w:r>
        <w:rPr>
          <w:rFonts w:eastAsia="Times New Roman" w:cs="Times New Roman"/>
          <w:lang w:eastAsia="pl-PL"/>
        </w:rPr>
        <w:t xml:space="preserve">(PSK) pełnić będzie funkcję </w:t>
      </w:r>
      <w:r w:rsidRPr="009E5CD6">
        <w:rPr>
          <w:rFonts w:eastAsia="Times New Roman" w:cs="Times New Roman"/>
          <w:szCs w:val="20"/>
          <w:lang w:eastAsia="pl-PL"/>
        </w:rPr>
        <w:t>narzędzi</w:t>
      </w:r>
      <w:r>
        <w:rPr>
          <w:rFonts w:eastAsia="Times New Roman" w:cs="Times New Roman"/>
          <w:lang w:eastAsia="pl-PL"/>
        </w:rPr>
        <w:t xml:space="preserve">a </w:t>
      </w:r>
      <w:r w:rsidRPr="009E5CD6">
        <w:rPr>
          <w:rFonts w:eastAsia="Times New Roman" w:cs="Times New Roman"/>
          <w:szCs w:val="20"/>
          <w:lang w:eastAsia="pl-PL"/>
        </w:rPr>
        <w:t>implementacyjn</w:t>
      </w:r>
      <w:r>
        <w:rPr>
          <w:rFonts w:eastAsia="Times New Roman" w:cs="Times New Roman"/>
          <w:lang w:eastAsia="pl-PL"/>
        </w:rPr>
        <w:t>ego</w:t>
      </w:r>
      <w:r w:rsidRPr="009E5CD6">
        <w:rPr>
          <w:rFonts w:eastAsia="Times New Roman" w:cs="Times New Roman"/>
          <w:szCs w:val="20"/>
          <w:lang w:eastAsia="pl-PL"/>
        </w:rPr>
        <w:t xml:space="preserve"> dla przyznanych Polsce środków z Społecznego Funduszu Klimatycznego na niwelowanie wzrostu ubóstwa energetycznego i transportowego na skutek wejścia w życie </w:t>
      </w:r>
      <w:r>
        <w:rPr>
          <w:rFonts w:eastAsia="Times New Roman" w:cs="Times New Roman"/>
          <w:lang w:eastAsia="pl-PL"/>
        </w:rPr>
        <w:t xml:space="preserve">systemu </w:t>
      </w:r>
      <w:r w:rsidRPr="009E5CD6">
        <w:rPr>
          <w:rFonts w:eastAsia="Times New Roman" w:cs="Times New Roman"/>
          <w:szCs w:val="20"/>
          <w:lang w:eastAsia="pl-PL"/>
        </w:rPr>
        <w:t>EU ETS</w:t>
      </w:r>
      <w:r>
        <w:rPr>
          <w:rFonts w:eastAsia="Times New Roman" w:cs="Times New Roman"/>
          <w:lang w:eastAsia="pl-PL"/>
        </w:rPr>
        <w:t>-</w:t>
      </w:r>
      <w:r w:rsidRPr="009E5CD6">
        <w:rPr>
          <w:rFonts w:eastAsia="Times New Roman" w:cs="Times New Roman"/>
          <w:szCs w:val="20"/>
          <w:lang w:eastAsia="pl-PL"/>
        </w:rPr>
        <w:t xml:space="preserve">2. </w:t>
      </w:r>
    </w:p>
    <w:p w14:paraId="1E7FD562" w14:textId="23549BCB" w:rsidR="00902ABB" w:rsidRPr="009E5CD6" w:rsidRDefault="00902ABB" w:rsidP="000171F3">
      <w:pPr>
        <w:rPr>
          <w:rFonts w:eastAsia="Times New Roman" w:cs="Times New Roman"/>
          <w:szCs w:val="20"/>
          <w:lang w:eastAsia="pl-PL"/>
        </w:rPr>
      </w:pPr>
      <w:r>
        <w:rPr>
          <w:rFonts w:eastAsia="Times New Roman" w:cs="Times New Roman"/>
          <w:lang w:eastAsia="pl-PL"/>
        </w:rPr>
        <w:t>PSK</w:t>
      </w:r>
      <w:r w:rsidRPr="009E5CD6">
        <w:rPr>
          <w:rFonts w:eastAsia="Times New Roman" w:cs="Times New Roman"/>
          <w:szCs w:val="20"/>
          <w:lang w:eastAsia="pl-PL"/>
        </w:rPr>
        <w:t xml:space="preserve"> obejm</w:t>
      </w:r>
      <w:r>
        <w:rPr>
          <w:rFonts w:eastAsia="Times New Roman" w:cs="Times New Roman"/>
          <w:lang w:eastAsia="pl-PL"/>
        </w:rPr>
        <w:t>ować będzie</w:t>
      </w:r>
      <w:r w:rsidRPr="009E5CD6">
        <w:rPr>
          <w:rFonts w:eastAsia="Times New Roman" w:cs="Times New Roman"/>
          <w:szCs w:val="20"/>
          <w:lang w:eastAsia="pl-PL"/>
        </w:rPr>
        <w:t xml:space="preserve"> komponent inwestycyjny oraz płatności bezpośrednie.</w:t>
      </w:r>
      <w:r w:rsidR="00974007">
        <w:rPr>
          <w:rFonts w:eastAsia="Times New Roman" w:cs="Times New Roman"/>
          <w:szCs w:val="20"/>
          <w:lang w:eastAsia="pl-PL"/>
        </w:rPr>
        <w:t xml:space="preserve">  </w:t>
      </w:r>
      <w:r w:rsidRPr="009E5CD6">
        <w:rPr>
          <w:rFonts w:eastAsia="Times New Roman" w:cs="Times New Roman"/>
          <w:szCs w:val="20"/>
          <w:lang w:eastAsia="pl-PL"/>
        </w:rPr>
        <w:t xml:space="preserve">Proponowane inwestycje </w:t>
      </w:r>
      <w:r>
        <w:rPr>
          <w:rFonts w:eastAsia="Times New Roman" w:cs="Times New Roman"/>
          <w:lang w:eastAsia="pl-PL"/>
        </w:rPr>
        <w:t>ukierunkowane powinny być na obszary</w:t>
      </w:r>
      <w:r w:rsidRPr="009E5CD6">
        <w:rPr>
          <w:rFonts w:eastAsia="Times New Roman" w:cs="Times New Roman"/>
          <w:szCs w:val="20"/>
          <w:lang w:eastAsia="pl-PL"/>
        </w:rPr>
        <w:t>: wymiany źródeł ciepła, termomodernizacji i</w:t>
      </w:r>
      <w:r w:rsidRPr="009E5CD6">
        <w:rPr>
          <w:rFonts w:ascii="Arial" w:hAnsi="Arial" w:cs="Arial"/>
          <w:lang w:eastAsia="pl-PL"/>
        </w:rPr>
        <w:t> </w:t>
      </w:r>
      <w:r w:rsidRPr="009E5CD6">
        <w:rPr>
          <w:rFonts w:eastAsia="Times New Roman" w:cs="Times New Roman"/>
          <w:szCs w:val="20"/>
          <w:lang w:eastAsia="pl-PL"/>
        </w:rPr>
        <w:t>remontu budynków mieszkalnych jednorodzinnych oraz będących w</w:t>
      </w:r>
      <w:r w:rsidRPr="009E5CD6">
        <w:rPr>
          <w:rFonts w:ascii="Arial" w:hAnsi="Arial" w:cs="Arial"/>
          <w:lang w:eastAsia="pl-PL"/>
        </w:rPr>
        <w:t> </w:t>
      </w:r>
      <w:r w:rsidRPr="009E5CD6">
        <w:rPr>
          <w:rFonts w:eastAsia="Times New Roman" w:cs="Times New Roman"/>
          <w:szCs w:val="20"/>
          <w:lang w:eastAsia="pl-PL"/>
        </w:rPr>
        <w:t>posiadaniu mikroprzedsiębiorstw; tworzenia nowych zasobów mieszkaniowych socjalno-komunalnych oraz mieszkań wspomaganych</w:t>
      </w:r>
      <w:r w:rsidR="00F029A3" w:rsidRPr="00F029A3">
        <w:rPr>
          <w:rFonts w:eastAsia="Times New Roman" w:cs="Times New Roman"/>
          <w:szCs w:val="20"/>
          <w:lang w:eastAsia="pl-PL"/>
        </w:rPr>
        <w:t>/treningowych; renowacji budynków (mieszkania socjalne i/lub komunalne) należących do samorządu gminnego; powstawania społeczności energetycznych,</w:t>
      </w:r>
      <w:r w:rsidRPr="009E5CD6">
        <w:rPr>
          <w:rFonts w:eastAsia="Times New Roman" w:cs="Times New Roman"/>
          <w:szCs w:val="20"/>
          <w:lang w:eastAsia="pl-PL"/>
        </w:rPr>
        <w:t>; renowacji budynków (mieszkania socjalne i/lub komunalne) należących do samorządu gminnego; zakupu taboru autobusowego i</w:t>
      </w:r>
      <w:r>
        <w:rPr>
          <w:rFonts w:eastAsia="Times New Roman" w:cs="Times New Roman"/>
          <w:lang w:eastAsia="pl-PL"/>
        </w:rPr>
        <w:t xml:space="preserve"> </w:t>
      </w:r>
      <w:r w:rsidRPr="009E5CD6">
        <w:rPr>
          <w:rFonts w:eastAsia="Times New Roman" w:cs="Times New Roman"/>
          <w:szCs w:val="20"/>
          <w:lang w:eastAsia="pl-PL"/>
        </w:rPr>
        <w:t>kolejowego; budowy, przebudowy przystanków i stacji kolejowych</w:t>
      </w:r>
      <w:r w:rsidR="009C6A47">
        <w:rPr>
          <w:rFonts w:eastAsia="Times New Roman" w:cs="Times New Roman"/>
          <w:szCs w:val="20"/>
          <w:lang w:eastAsia="pl-PL"/>
        </w:rPr>
        <w:t xml:space="preserve"> </w:t>
      </w:r>
      <w:r w:rsidR="009C6A47" w:rsidRPr="009C6A47">
        <w:rPr>
          <w:rFonts w:eastAsia="Times New Roman" w:cs="Times New Roman"/>
          <w:szCs w:val="20"/>
          <w:lang w:eastAsia="pl-PL"/>
        </w:rPr>
        <w:t>z budową parkingów</w:t>
      </w:r>
      <w:r w:rsidRPr="009E5CD6">
        <w:rPr>
          <w:rFonts w:eastAsia="Times New Roman" w:cs="Times New Roman"/>
          <w:szCs w:val="20"/>
          <w:lang w:eastAsia="pl-PL"/>
        </w:rPr>
        <w:t xml:space="preserve">; modernizacji infrastruktury </w:t>
      </w:r>
      <w:r w:rsidR="00F67905" w:rsidRPr="00F67905">
        <w:rPr>
          <w:rFonts w:eastAsia="Times New Roman" w:cs="Times New Roman"/>
          <w:szCs w:val="20"/>
          <w:lang w:eastAsia="pl-PL"/>
        </w:rPr>
        <w:t>pasażerskiej dla autobusów; infrastruktury dostępu do węzłów przesiadkowych</w:t>
      </w:r>
      <w:r w:rsidRPr="009E5CD6">
        <w:rPr>
          <w:rFonts w:eastAsia="Times New Roman" w:cs="Times New Roman"/>
          <w:szCs w:val="20"/>
          <w:lang w:eastAsia="pl-PL"/>
        </w:rPr>
        <w:t xml:space="preserve">; organizacji transportu kolejowego; </w:t>
      </w:r>
      <w:r w:rsidR="00E87E13" w:rsidRPr="00E87E13">
        <w:rPr>
          <w:rFonts w:eastAsia="Times New Roman" w:cs="Times New Roman"/>
          <w:szCs w:val="20"/>
          <w:lang w:eastAsia="pl-PL"/>
        </w:rPr>
        <w:t>infrastruktury rowerowej</w:t>
      </w:r>
      <w:r w:rsidR="00E87E13">
        <w:rPr>
          <w:rFonts w:eastAsia="Times New Roman" w:cs="Times New Roman"/>
          <w:szCs w:val="20"/>
          <w:lang w:eastAsia="pl-PL"/>
        </w:rPr>
        <w:t xml:space="preserve">; </w:t>
      </w:r>
      <w:r w:rsidRPr="009E5CD6">
        <w:rPr>
          <w:rFonts w:eastAsia="Times New Roman" w:cs="Times New Roman"/>
          <w:szCs w:val="20"/>
          <w:lang w:eastAsia="pl-PL"/>
        </w:rPr>
        <w:t>transportu na żądanie</w:t>
      </w:r>
      <w:r w:rsidR="003E2DE5">
        <w:rPr>
          <w:rFonts w:eastAsia="Times New Roman" w:cs="Times New Roman"/>
          <w:szCs w:val="20"/>
          <w:lang w:eastAsia="pl-PL"/>
        </w:rPr>
        <w:t xml:space="preserve"> </w:t>
      </w:r>
      <w:r w:rsidRPr="009E5CD6">
        <w:rPr>
          <w:rFonts w:eastAsia="Times New Roman" w:cs="Times New Roman"/>
          <w:szCs w:val="20"/>
          <w:lang w:eastAsia="pl-PL"/>
        </w:rPr>
        <w:t>oraz działań związanych z</w:t>
      </w:r>
      <w:r w:rsidR="00BB0319">
        <w:rPr>
          <w:rFonts w:eastAsia="Times New Roman" w:cs="Times New Roman"/>
          <w:szCs w:val="20"/>
          <w:lang w:eastAsia="pl-PL"/>
        </w:rPr>
        <w:t> </w:t>
      </w:r>
      <w:r w:rsidRPr="009E5CD6">
        <w:rPr>
          <w:rFonts w:eastAsia="Times New Roman" w:cs="Times New Roman"/>
          <w:szCs w:val="20"/>
          <w:lang w:eastAsia="pl-PL"/>
        </w:rPr>
        <w:t>bezpośrednim wsparciem dochodów gospodarstw domowych (tzw. mechanizm osłonowy).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521EAF3C" w14:textId="77777777" w:rsidTr="003E4486">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2929D58A"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676D9052" wp14:editId="71468B3A">
                  <wp:extent cx="621030" cy="621030"/>
                  <wp:effectExtent l="0" t="0" r="7620" b="7620"/>
                  <wp:docPr id="729436449" name="Obraz 1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4F1C6CE"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A64A51B"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12608C7B" w14:textId="77777777" w:rsidTr="00F8201B">
        <w:trPr>
          <w:trHeight w:val="1805"/>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7E357400"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3B010B8" w14:textId="77777777" w:rsidR="00902ABB" w:rsidRPr="004D6F82" w:rsidRDefault="00902ABB">
            <w:pPr>
              <w:spacing w:after="0" w:line="240" w:lineRule="auto"/>
              <w:textAlignment w:val="baseline"/>
              <w:rPr>
                <w:rFonts w:eastAsia="Times New Roman" w:cs="Times New Roman"/>
                <w:color w:val="808080"/>
                <w:sz w:val="18"/>
                <w:szCs w:val="18"/>
                <w:lang w:eastAsia="pl-PL"/>
              </w:rPr>
            </w:pPr>
            <w:r w:rsidRPr="004D6F82">
              <w:rPr>
                <w:rFonts w:eastAsia="Times New Roman" w:cs="Times New Roman"/>
                <w:color w:val="808080"/>
                <w:sz w:val="18"/>
                <w:szCs w:val="18"/>
                <w:lang w:eastAsia="pl-PL"/>
              </w:rPr>
              <w:t xml:space="preserve">minister wł. ds. </w:t>
            </w:r>
            <w:r>
              <w:rPr>
                <w:rFonts w:eastAsia="Times New Roman" w:cs="Times New Roman"/>
                <w:color w:val="808080"/>
                <w:sz w:val="18"/>
                <w:szCs w:val="18"/>
                <w:lang w:eastAsia="pl-PL"/>
              </w:rPr>
              <w:t>rozwoju regionalnego</w:t>
            </w:r>
            <w:r w:rsidRPr="004D6F82">
              <w:rPr>
                <w:rFonts w:eastAsia="Times New Roman" w:cs="Times New Roman"/>
                <w:color w:val="808080"/>
                <w:sz w:val="18"/>
                <w:szCs w:val="18"/>
                <w:lang w:eastAsia="pl-PL"/>
              </w:rPr>
              <w:t> </w:t>
            </w:r>
          </w:p>
          <w:p w14:paraId="747E524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D26B200" w14:textId="77777777" w:rsidR="00902ABB" w:rsidRPr="00986124" w:rsidRDefault="00902ABB">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energii </w:t>
            </w:r>
          </w:p>
          <w:p w14:paraId="408785F0" w14:textId="77777777" w:rsidR="00902ABB" w:rsidRPr="00986124" w:rsidRDefault="00902ABB">
            <w:pPr>
              <w:spacing w:after="0" w:line="240" w:lineRule="auto"/>
              <w:textAlignment w:val="baseline"/>
              <w:rPr>
                <w:rFonts w:eastAsia="Times New Roman" w:cs="Times New Roman"/>
                <w:color w:val="808080"/>
                <w:sz w:val="18"/>
                <w:szCs w:val="18"/>
                <w:lang w:val="de-DE" w:eastAsia="pl-PL"/>
              </w:rPr>
            </w:pPr>
            <w:r w:rsidRPr="00986124">
              <w:rPr>
                <w:rFonts w:eastAsia="Times New Roman" w:cs="Times New Roman"/>
                <w:color w:val="808080"/>
                <w:sz w:val="18"/>
                <w:szCs w:val="18"/>
                <w:lang w:val="de-DE" w:eastAsia="pl-PL"/>
              </w:rPr>
              <w:t>minister wł. ds. klimatu</w:t>
            </w:r>
          </w:p>
          <w:p w14:paraId="2A2A1D28" w14:textId="77777777" w:rsidR="00902ABB" w:rsidRDefault="00902ABB">
            <w:pPr>
              <w:spacing w:after="0" w:line="240" w:lineRule="auto"/>
              <w:textAlignment w:val="baseline"/>
              <w:rPr>
                <w:rFonts w:eastAsia="Times New Roman" w:cs="Times New Roman"/>
                <w:color w:val="808080"/>
                <w:sz w:val="18"/>
                <w:szCs w:val="18"/>
                <w:lang w:eastAsia="pl-PL"/>
              </w:rPr>
            </w:pPr>
            <w:r>
              <w:rPr>
                <w:rFonts w:eastAsia="Times New Roman" w:cs="Times New Roman"/>
                <w:color w:val="808080"/>
                <w:sz w:val="18"/>
                <w:szCs w:val="18"/>
                <w:lang w:eastAsia="pl-PL"/>
              </w:rPr>
              <w:t>minister wł. ds. transportu</w:t>
            </w:r>
          </w:p>
          <w:p w14:paraId="31206525" w14:textId="7FE98CA4" w:rsidR="00902ABB" w:rsidRDefault="00902ABB">
            <w:pPr>
              <w:spacing w:after="0" w:line="240" w:lineRule="auto"/>
              <w:jc w:val="left"/>
              <w:textAlignment w:val="baseline"/>
              <w:rPr>
                <w:rFonts w:eastAsia="Times New Roman" w:cs="Times New Roman"/>
                <w:color w:val="808080"/>
                <w:sz w:val="18"/>
                <w:szCs w:val="18"/>
                <w:lang w:eastAsia="pl-PL"/>
              </w:rPr>
            </w:pPr>
            <w:r w:rsidRPr="004D6F82">
              <w:rPr>
                <w:rFonts w:eastAsia="Times New Roman" w:cs="Times New Roman"/>
                <w:color w:val="808080"/>
                <w:sz w:val="18"/>
                <w:szCs w:val="18"/>
                <w:lang w:eastAsia="pl-PL"/>
              </w:rPr>
              <w:t>minister wł. ds. budownictwa, planowania i zagospodarowania przestrzennego oraz mieszkalnictwa</w:t>
            </w:r>
            <w:r w:rsidR="00974007">
              <w:rPr>
                <w:rFonts w:eastAsia="Times New Roman" w:cs="Times New Roman"/>
                <w:color w:val="808080"/>
                <w:sz w:val="18"/>
                <w:szCs w:val="18"/>
                <w:lang w:eastAsia="pl-PL"/>
              </w:rPr>
              <w:t xml:space="preserve">  </w:t>
            </w:r>
          </w:p>
          <w:p w14:paraId="2CAD609F" w14:textId="0E13D5F8" w:rsidR="00E02F2E" w:rsidRPr="00F8201B" w:rsidRDefault="00E02F2E" w:rsidP="00340F05">
            <w:pPr>
              <w:spacing w:after="0" w:line="240" w:lineRule="auto"/>
              <w:textAlignment w:val="baseline"/>
              <w:rPr>
                <w:rFonts w:eastAsia="Times New Roman" w:cs="Times New Roman"/>
                <w:color w:val="808080"/>
                <w:sz w:val="18"/>
                <w:szCs w:val="18"/>
                <w:lang w:eastAsia="pl-PL"/>
              </w:rPr>
            </w:pPr>
            <w:r w:rsidRPr="00340F05">
              <w:rPr>
                <w:rFonts w:eastAsia="Times New Roman" w:cs="Times New Roman"/>
                <w:color w:val="808080"/>
                <w:sz w:val="18"/>
                <w:szCs w:val="18"/>
                <w:lang w:eastAsia="pl-PL"/>
              </w:rPr>
              <w:t>minister wł. ds. rodziny, pracy i polityki społeczne</w:t>
            </w:r>
            <w:r w:rsidR="00F8201B">
              <w:rPr>
                <w:rFonts w:eastAsia="Times New Roman" w:cs="Times New Roman"/>
                <w:color w:val="808080"/>
                <w:sz w:val="18"/>
                <w:szCs w:val="18"/>
                <w:lang w:eastAsia="pl-PL"/>
              </w:rPr>
              <w:t>j</w:t>
            </w:r>
          </w:p>
        </w:tc>
      </w:tr>
    </w:tbl>
    <w:p w14:paraId="1CFA008F" w14:textId="5D08E983" w:rsidR="00902ABB" w:rsidRPr="004D6F82" w:rsidRDefault="00902ABB" w:rsidP="00D523F3">
      <w:pPr>
        <w:pStyle w:val="Nagwek6"/>
        <w:rPr>
          <w:rFonts w:ascii="Times New Roman" w:hAnsi="Times New Roman"/>
          <w:i/>
          <w:iCs/>
          <w:color w:val="595959"/>
          <w:sz w:val="24"/>
          <w:szCs w:val="24"/>
          <w:lang w:eastAsia="pl-PL"/>
        </w:rPr>
      </w:pPr>
      <w:bookmarkStart w:id="1415" w:name="_Toc195866001"/>
      <w:bookmarkStart w:id="1416" w:name="_Ref195888395"/>
      <w:bookmarkStart w:id="1417" w:name="_Ref195889117"/>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147</w:t>
      </w:r>
      <w:r w:rsidRPr="00FB68C2">
        <w:rPr>
          <w:rStyle w:val="Nagwek6Znak"/>
          <w:b/>
        </w:rPr>
        <w:fldChar w:fldCharType="end"/>
      </w:r>
      <w:r w:rsidRPr="00FB68C2">
        <w:rPr>
          <w:rStyle w:val="Nagwek6Znak"/>
          <w:b/>
        </w:rPr>
        <w:t xml:space="preserve">. </w:t>
      </w:r>
      <w:r w:rsidRPr="004D6F82">
        <w:rPr>
          <w:lang w:eastAsia="pl-PL"/>
        </w:rPr>
        <w:t>Redukowanie ubóstwa energetycznego oraz ochrona odbiorcy wrażliwego</w:t>
      </w:r>
      <w:bookmarkEnd w:id="1415"/>
      <w:bookmarkEnd w:id="1416"/>
      <w:bookmarkEnd w:id="1417"/>
      <w:r w:rsidR="003E2DE5">
        <w:rPr>
          <w:lang w:eastAsia="pl-PL"/>
        </w:rPr>
        <w:t xml:space="preserve"> </w:t>
      </w:r>
    </w:p>
    <w:p w14:paraId="3DF4386E" w14:textId="31225794" w:rsidR="00902ABB" w:rsidRDefault="00902ABB" w:rsidP="00901FEA">
      <w:pPr>
        <w:rPr>
          <w:lang w:eastAsia="pl-PL"/>
        </w:rPr>
      </w:pPr>
      <w:r w:rsidRPr="004D6F82">
        <w:rPr>
          <w:lang w:eastAsia="pl-PL"/>
        </w:rPr>
        <w:t xml:space="preserve">Działania </w:t>
      </w:r>
      <w:r>
        <w:rPr>
          <w:lang w:eastAsia="pl-PL"/>
        </w:rPr>
        <w:t xml:space="preserve">skoncentrowane będą </w:t>
      </w:r>
      <w:r w:rsidRPr="002A2F68">
        <w:rPr>
          <w:lang w:eastAsia="pl-PL"/>
        </w:rPr>
        <w:t>na eliminowaniu społecznego zjawiska ubóstwa energetycznego</w:t>
      </w:r>
      <w:r w:rsidR="00BB0319">
        <w:rPr>
          <w:lang w:eastAsia="pl-PL"/>
        </w:rPr>
        <w:t>, będą polegać w szczególności na poniższych poddziałaniach:</w:t>
      </w:r>
    </w:p>
    <w:p w14:paraId="5D259C91" w14:textId="0D868A08" w:rsidR="00902ABB" w:rsidRPr="00BB0319" w:rsidRDefault="00902ABB" w:rsidP="000625AC">
      <w:pPr>
        <w:pStyle w:val="Akapitzlist"/>
        <w:numPr>
          <w:ilvl w:val="0"/>
          <w:numId w:val="166"/>
        </w:numPr>
        <w:ind w:left="426"/>
      </w:pPr>
      <w:r w:rsidRPr="00BB0319">
        <w:t xml:space="preserve">Przegląd prawnej definicji ubóstwa energetycznego (ustawa </w:t>
      </w:r>
      <w:r w:rsidR="00BB0319">
        <w:t>–</w:t>
      </w:r>
      <w:r w:rsidRPr="00BB0319">
        <w:t xml:space="preserve"> Prawo energetyczne).</w:t>
      </w:r>
    </w:p>
    <w:p w14:paraId="06F440E5" w14:textId="77777777" w:rsidR="00902ABB" w:rsidRPr="00BB0319" w:rsidRDefault="00902ABB" w:rsidP="000625AC">
      <w:pPr>
        <w:pStyle w:val="Akapitzlist"/>
        <w:numPr>
          <w:ilvl w:val="0"/>
          <w:numId w:val="166"/>
        </w:numPr>
        <w:ind w:left="426"/>
      </w:pPr>
      <w:r w:rsidRPr="00BB0319">
        <w:t>Diagnoza zjawiska ubóstwa energetycznego w Polsce oraz wdrożenie jego monitorowania przez instytucje państwowe, w ścisłej współpracy ze stroną społeczną.</w:t>
      </w:r>
    </w:p>
    <w:p w14:paraId="636A38FA" w14:textId="53F48869" w:rsidR="00902ABB" w:rsidRPr="00BB0319" w:rsidRDefault="00902ABB" w:rsidP="000625AC">
      <w:pPr>
        <w:pStyle w:val="Akapitzlist"/>
        <w:numPr>
          <w:ilvl w:val="0"/>
          <w:numId w:val="166"/>
        </w:numPr>
        <w:ind w:left="426"/>
      </w:pPr>
      <w:r w:rsidRPr="00BB0319">
        <w:t>Przygotowanie ram prawnych, narzędzi administracyjnych i instrumentów finansowych wsparcia osób dotkniętych zjawiskiem ubóstwa energetycznego, w celu redukcji tego zjawiska co najmniej do</w:t>
      </w:r>
      <w:r w:rsidR="00791133">
        <w:t> </w:t>
      </w:r>
      <w:r w:rsidRPr="00BB0319">
        <w:t xml:space="preserve">poziomu średniej UE do 2035 r. oraz docelowej eliminacji zjawiska do 2050 </w:t>
      </w:r>
      <w:r w:rsidR="00E07C7E" w:rsidRPr="00BB0319">
        <w:t xml:space="preserve">r. </w:t>
      </w:r>
      <w:r w:rsidRPr="00BB0319">
        <w:t xml:space="preserve">– termin: </w:t>
      </w:r>
      <w:r w:rsidR="00C9513D" w:rsidRPr="00BB0319">
        <w:t>4</w:t>
      </w:r>
      <w:r w:rsidR="00093A77" w:rsidRPr="00BB0319">
        <w:t> </w:t>
      </w:r>
      <w:r w:rsidR="00C9513D" w:rsidRPr="00BB0319">
        <w:t xml:space="preserve">kw. </w:t>
      </w:r>
      <w:r w:rsidRPr="00BB0319">
        <w:t xml:space="preserve">2027 r. </w:t>
      </w:r>
    </w:p>
    <w:p w14:paraId="38A32F31" w14:textId="6722009B" w:rsidR="00902ABB" w:rsidRPr="00BB0319" w:rsidRDefault="00902ABB" w:rsidP="00901FEA">
      <w:pPr>
        <w:spacing w:after="240"/>
        <w:rPr>
          <w:lang w:eastAsia="pl-PL"/>
        </w:rPr>
      </w:pPr>
      <w:r>
        <w:rPr>
          <w:lang w:eastAsia="pl-PL"/>
        </w:rPr>
        <w:t>Interwencje związane</w:t>
      </w:r>
      <w:r w:rsidRPr="009E5CD6">
        <w:rPr>
          <w:lang w:eastAsia="pl-PL"/>
        </w:rPr>
        <w:t xml:space="preserve"> będą z modyfikacją istniejących bądź wprowadzaniem nowych form wsparcia, </w:t>
      </w:r>
      <w:r>
        <w:rPr>
          <w:lang w:eastAsia="pl-PL"/>
        </w:rPr>
        <w:t>z</w:t>
      </w:r>
      <w:r w:rsidR="00BB0319">
        <w:rPr>
          <w:lang w:eastAsia="pl-PL"/>
        </w:rPr>
        <w:t> </w:t>
      </w:r>
      <w:r w:rsidRPr="009E5CD6">
        <w:rPr>
          <w:lang w:eastAsia="pl-PL"/>
        </w:rPr>
        <w:t>obszar</w:t>
      </w:r>
      <w:r>
        <w:rPr>
          <w:lang w:eastAsia="pl-PL"/>
        </w:rPr>
        <w:t>em</w:t>
      </w:r>
      <w:r w:rsidRPr="009E5CD6">
        <w:rPr>
          <w:lang w:eastAsia="pl-PL"/>
        </w:rPr>
        <w:t xml:space="preserve"> polityki socjalnej, </w:t>
      </w:r>
      <w:r>
        <w:rPr>
          <w:lang w:eastAsia="pl-PL"/>
        </w:rPr>
        <w:t xml:space="preserve">a także dotyczyć będą </w:t>
      </w:r>
      <w:r w:rsidRPr="009E5CD6">
        <w:rPr>
          <w:lang w:eastAsia="pl-PL"/>
        </w:rPr>
        <w:t>zwiększania efektywności energetycznej budynków, działań edukacyjnych, mających na celu wsparcie najbardziej potrzebujących odbiorców i redukcję zjawiska ubóstwa energetycznego.</w:t>
      </w:r>
      <w:r w:rsidR="003E2DE5">
        <w:rPr>
          <w:rFonts w:eastAsia="Times New Roman" w:cs="Times New Roman"/>
          <w:lang w:eastAsia="pl-PL"/>
        </w:rPr>
        <w:t xml:space="preserve"> </w:t>
      </w:r>
      <w:r>
        <w:rPr>
          <w:lang w:eastAsia="pl-PL"/>
        </w:rPr>
        <w:t>Ze względu na silne powiązanie w Polsce ubóstwa energetycznego z</w:t>
      </w:r>
      <w:r w:rsidR="00791133">
        <w:rPr>
          <w:lang w:eastAsia="pl-PL"/>
        </w:rPr>
        <w:t> </w:t>
      </w:r>
      <w:r w:rsidR="00C6471F" w:rsidRPr="00C6471F">
        <w:rPr>
          <w:lang w:eastAsia="pl-PL"/>
        </w:rPr>
        <w:t>zabezpieczeniem dostaw ciepła na cele ogrzewania po akceptowalnych kosztach</w:t>
      </w:r>
      <w:r>
        <w:rPr>
          <w:lang w:eastAsia="pl-PL"/>
        </w:rPr>
        <w:t>, i</w:t>
      </w:r>
      <w:r w:rsidRPr="009E5CD6">
        <w:rPr>
          <w:lang w:eastAsia="pl-PL"/>
        </w:rPr>
        <w:t>stotne będą bezzwrotne programy dofinansowania działań termomodernizacyjnych</w:t>
      </w:r>
      <w:r>
        <w:rPr>
          <w:lang w:eastAsia="pl-PL"/>
        </w:rPr>
        <w:t xml:space="preserve">, </w:t>
      </w:r>
      <w:r w:rsidRPr="009E5CD6">
        <w:rPr>
          <w:lang w:eastAsia="pl-PL"/>
        </w:rPr>
        <w:t>instalacji zeroemisyjnych źródeł energii i ciepła</w:t>
      </w:r>
      <w:r>
        <w:rPr>
          <w:lang w:eastAsia="pl-PL"/>
        </w:rPr>
        <w:t>,</w:t>
      </w:r>
      <w:r w:rsidRPr="009E5CD6">
        <w:rPr>
          <w:lang w:eastAsia="pl-PL"/>
        </w:rPr>
        <w:t xml:space="preserve"> zintegrowanych z magazynami energii i</w:t>
      </w:r>
      <w:r w:rsidRPr="009E5CD6">
        <w:rPr>
          <w:rFonts w:ascii="Arial" w:hAnsi="Arial" w:cs="Arial"/>
          <w:lang w:eastAsia="pl-PL"/>
        </w:rPr>
        <w:t> </w:t>
      </w:r>
      <w:r w:rsidRPr="009E5CD6">
        <w:rPr>
          <w:lang w:eastAsia="pl-PL"/>
        </w:rPr>
        <w:t>ciepła.</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2C7CE521" w14:textId="77777777" w:rsidTr="003E4486">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67564B6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3A58306C" wp14:editId="64467EEA">
                  <wp:extent cx="621030" cy="621030"/>
                  <wp:effectExtent l="0" t="0" r="7620" b="7620"/>
                  <wp:docPr id="73" name="Obraz 1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496CD9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85ABFC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339D6180"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E6EEBAB"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053E04E" w14:textId="77777777" w:rsidR="00902ABB" w:rsidRPr="004D6F82" w:rsidRDefault="00902ABB">
            <w:pPr>
              <w:spacing w:after="0" w:line="240" w:lineRule="auto"/>
              <w:textAlignment w:val="baseline"/>
              <w:rPr>
                <w:rFonts w:eastAsia="Times New Roman" w:cs="Times New Roman"/>
                <w:color w:val="808080"/>
                <w:sz w:val="18"/>
                <w:szCs w:val="18"/>
                <w:lang w:eastAsia="pl-PL"/>
              </w:rPr>
            </w:pPr>
            <w:r w:rsidRPr="004D6F82">
              <w:rPr>
                <w:rFonts w:eastAsia="Times New Roman" w:cs="Times New Roman"/>
                <w:color w:val="808080"/>
                <w:sz w:val="18"/>
                <w:szCs w:val="18"/>
                <w:lang w:eastAsia="pl-PL"/>
              </w:rPr>
              <w:t>minister wł. ds. zabezpieczenia społecznego </w:t>
            </w:r>
          </w:p>
          <w:p w14:paraId="7CD0DA5D"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3560D4E" w14:textId="77777777" w:rsidR="00902ABB" w:rsidRDefault="00902ABB">
            <w:pPr>
              <w:spacing w:after="0" w:line="240" w:lineRule="auto"/>
              <w:textAlignment w:val="baseline"/>
              <w:rPr>
                <w:rFonts w:eastAsia="Times New Roman" w:cs="Times New Roman"/>
                <w:color w:val="808080"/>
                <w:sz w:val="18"/>
                <w:szCs w:val="18"/>
                <w:lang w:eastAsia="pl-PL"/>
              </w:rPr>
            </w:pPr>
            <w:r w:rsidRPr="004D6F82">
              <w:rPr>
                <w:rFonts w:eastAsia="Times New Roman" w:cs="Times New Roman"/>
                <w:color w:val="808080"/>
                <w:sz w:val="18"/>
                <w:szCs w:val="18"/>
                <w:lang w:eastAsia="pl-PL"/>
              </w:rPr>
              <w:t>minister wł. ds. energii </w:t>
            </w:r>
          </w:p>
          <w:p w14:paraId="47495C5A" w14:textId="77777777" w:rsidR="00902ABB" w:rsidRPr="004D6F82" w:rsidRDefault="00902ABB">
            <w:pPr>
              <w:spacing w:after="0" w:line="240" w:lineRule="auto"/>
              <w:textAlignment w:val="baseline"/>
              <w:rPr>
                <w:rFonts w:eastAsia="Times New Roman" w:cs="Times New Roman"/>
                <w:color w:val="808080"/>
                <w:sz w:val="18"/>
                <w:szCs w:val="18"/>
                <w:lang w:eastAsia="pl-PL"/>
              </w:rPr>
            </w:pPr>
            <w:r w:rsidRPr="009E5CD6">
              <w:rPr>
                <w:rFonts w:eastAsia="Times New Roman" w:cs="Times New Roman"/>
                <w:color w:val="808080"/>
                <w:sz w:val="18"/>
                <w:szCs w:val="18"/>
                <w:lang w:eastAsia="pl-PL"/>
              </w:rPr>
              <w:t>minister wł. ds. polityki senioralnej</w:t>
            </w:r>
          </w:p>
          <w:p w14:paraId="6468BBA4" w14:textId="3153F6ED"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rozwoju regionalnego</w:t>
            </w:r>
            <w:r w:rsidR="003E2DE5">
              <w:rPr>
                <w:rFonts w:eastAsia="Times New Roman" w:cs="Times New Roman"/>
                <w:color w:val="808080"/>
                <w:sz w:val="18"/>
                <w:szCs w:val="18"/>
                <w:lang w:eastAsia="pl-PL"/>
              </w:rPr>
              <w:t xml:space="preserve"> </w:t>
            </w:r>
          </w:p>
          <w:p w14:paraId="20F35F57" w14:textId="3DC55DDF" w:rsidR="00902ABB" w:rsidRPr="004D6F82" w:rsidRDefault="00902ABB">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budownictwa, planowania i</w:t>
            </w:r>
            <w:r w:rsidR="00791133">
              <w:rPr>
                <w:rFonts w:eastAsia="Times New Roman" w:cs="Times New Roman"/>
                <w:color w:val="808080"/>
                <w:sz w:val="18"/>
                <w:szCs w:val="18"/>
                <w:lang w:eastAsia="pl-PL"/>
              </w:rPr>
              <w:t> </w:t>
            </w:r>
            <w:r w:rsidRPr="004D6F82">
              <w:rPr>
                <w:rFonts w:eastAsia="Times New Roman" w:cs="Times New Roman"/>
                <w:color w:val="808080"/>
                <w:sz w:val="18"/>
                <w:szCs w:val="18"/>
                <w:lang w:eastAsia="pl-PL"/>
              </w:rPr>
              <w:t>zagospodarowania przestrzennego oraz mieszkalnictwa</w:t>
            </w:r>
            <w:r w:rsidR="00974007">
              <w:rPr>
                <w:rFonts w:eastAsia="Times New Roman" w:cs="Times New Roman"/>
                <w:color w:val="808080"/>
                <w:sz w:val="18"/>
                <w:szCs w:val="18"/>
                <w:lang w:eastAsia="pl-PL"/>
              </w:rPr>
              <w:t xml:space="preserve">  </w:t>
            </w:r>
          </w:p>
        </w:tc>
      </w:tr>
    </w:tbl>
    <w:p w14:paraId="37B23D9F" w14:textId="68E47156" w:rsidR="00902ABB" w:rsidRPr="004D6F82" w:rsidRDefault="00902ABB" w:rsidP="00902ABB">
      <w:pPr>
        <w:spacing w:line="240" w:lineRule="auto"/>
        <w:textAlignment w:val="baseline"/>
        <w:rPr>
          <w:rFonts w:ascii="Times New Roman" w:eastAsia="Times New Roman" w:hAnsi="Times New Roman" w:cs="Times New Roman"/>
          <w:lang w:eastAsia="pl-PL"/>
        </w:rPr>
      </w:pPr>
    </w:p>
    <w:p w14:paraId="4BF2D999" w14:textId="7BAE4A5A" w:rsidR="00902ABB" w:rsidRPr="004D6F82" w:rsidRDefault="00902ABB" w:rsidP="00901FEA">
      <w:pPr>
        <w:pStyle w:val="Nagwek6"/>
        <w:rPr>
          <w:rFonts w:ascii="Times New Roman" w:hAnsi="Times New Roman"/>
          <w:i/>
          <w:iCs/>
          <w:color w:val="595959"/>
          <w:sz w:val="24"/>
          <w:szCs w:val="24"/>
          <w:lang w:eastAsia="pl-PL"/>
        </w:rPr>
      </w:pPr>
      <w:bookmarkStart w:id="1418" w:name="_Toc195866002"/>
      <w:bookmarkStart w:id="1419" w:name="_Ref195889129"/>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148</w:t>
      </w:r>
      <w:r w:rsidRPr="00FB68C2">
        <w:rPr>
          <w:rStyle w:val="Nagwek6Znak"/>
          <w:b/>
        </w:rPr>
        <w:fldChar w:fldCharType="end"/>
      </w:r>
      <w:r w:rsidRPr="00FB68C2">
        <w:rPr>
          <w:rStyle w:val="Nagwek6Znak"/>
          <w:b/>
        </w:rPr>
        <w:t xml:space="preserve">. </w:t>
      </w:r>
      <w:r w:rsidRPr="004D6F82">
        <w:rPr>
          <w:lang w:eastAsia="pl-PL"/>
        </w:rPr>
        <w:t xml:space="preserve">Badanie statystyczne </w:t>
      </w:r>
      <w:r w:rsidR="00E56881" w:rsidRPr="00E56881">
        <w:rPr>
          <w:lang w:eastAsia="pl-PL"/>
        </w:rPr>
        <w:t>dotyczące zużycia paliw i energii w gospodarstwach domowych</w:t>
      </w:r>
      <w:bookmarkEnd w:id="1418"/>
      <w:bookmarkEnd w:id="1419"/>
      <w:r w:rsidRPr="004D6F82">
        <w:rPr>
          <w:i/>
          <w:iCs/>
          <w:lang w:eastAsia="pl-PL"/>
        </w:rPr>
        <w:t> </w:t>
      </w:r>
    </w:p>
    <w:p w14:paraId="3E929E72" w14:textId="66AC7DE8" w:rsidR="00902ABB" w:rsidRPr="004D6F82" w:rsidRDefault="00902ABB" w:rsidP="00BB0319">
      <w:pPr>
        <w:rPr>
          <w:lang w:eastAsia="pl-PL"/>
        </w:rPr>
      </w:pPr>
      <w:r w:rsidRPr="004D6F82">
        <w:rPr>
          <w:lang w:eastAsia="pl-PL"/>
        </w:rPr>
        <w:t>Działanie polega na modyfikacji dotychczas realizowanego przez GUS badania - zużycia paliw i energii w</w:t>
      </w:r>
      <w:r w:rsidR="00791133">
        <w:rPr>
          <w:lang w:eastAsia="pl-PL"/>
        </w:rPr>
        <w:t> </w:t>
      </w:r>
      <w:r w:rsidRPr="004D6F82">
        <w:rPr>
          <w:lang w:eastAsia="pl-PL"/>
        </w:rPr>
        <w:t>gospodarstwach domowych, tak by dostarczało bardziej użytecznych i lepszej jakości danych wykorzystywanych do monitorowania procesu transformacji energetycznej, w tym m.in. ubóstwa energetycznego</w:t>
      </w:r>
    </w:p>
    <w:p w14:paraId="19D5496B" w14:textId="0267089F" w:rsidR="00902ABB" w:rsidRPr="004D6F82" w:rsidRDefault="00902ABB" w:rsidP="00BB0319">
      <w:pPr>
        <w:rPr>
          <w:lang w:eastAsia="pl-PL"/>
        </w:rPr>
      </w:pPr>
      <w:r w:rsidRPr="004D6F82">
        <w:rPr>
          <w:lang w:eastAsia="pl-PL"/>
        </w:rPr>
        <w:t>Rekomenduje się rozważenie przez GUS możliwości zmiany częstotliwości realizacji badania z cyklu 3</w:t>
      </w:r>
      <w:r w:rsidR="00E56881">
        <w:rPr>
          <w:lang w:eastAsia="pl-PL"/>
        </w:rPr>
        <w:t>-</w:t>
      </w:r>
      <w:r w:rsidR="00791133">
        <w:rPr>
          <w:lang w:eastAsia="pl-PL"/>
        </w:rPr>
        <w:t> </w:t>
      </w:r>
      <w:r w:rsidRPr="004D6F82">
        <w:rPr>
          <w:lang w:eastAsia="pl-PL"/>
        </w:rPr>
        <w:t>letniego na 2</w:t>
      </w:r>
      <w:r w:rsidR="00E56881">
        <w:rPr>
          <w:lang w:eastAsia="pl-PL"/>
        </w:rPr>
        <w:t>-</w:t>
      </w:r>
      <w:r w:rsidRPr="004D6F82">
        <w:rPr>
          <w:lang w:eastAsia="pl-PL"/>
        </w:rPr>
        <w:t>letni lub coroczny, zwiększenie próby badawczej oraz weryfikację zbieranych informacji z</w:t>
      </w:r>
      <w:r w:rsidR="00E56881">
        <w:rPr>
          <w:lang w:eastAsia="pl-PL"/>
        </w:rPr>
        <w:t> </w:t>
      </w:r>
      <w:r w:rsidRPr="004D6F82">
        <w:rPr>
          <w:lang w:eastAsia="pl-PL"/>
        </w:rPr>
        <w:t>uwzględnieniem pytań dotyczących potrzeb remontowych, planów inwestycyjnych, wiedzy o</w:t>
      </w:r>
      <w:r w:rsidR="00E56881">
        <w:rPr>
          <w:lang w:eastAsia="pl-PL"/>
        </w:rPr>
        <w:t> </w:t>
      </w:r>
      <w:r w:rsidRPr="004D6F82">
        <w:rPr>
          <w:lang w:eastAsia="pl-PL"/>
        </w:rPr>
        <w:t>programach wsparcia. Dodatkowo w celu podniesienia efektywności gromadzonych danych rekomenduje się integrację informacji z innych badań i źródeł. </w:t>
      </w:r>
    </w:p>
    <w:p w14:paraId="266E44B8" w14:textId="77777777" w:rsidR="00902ABB" w:rsidRDefault="00902ABB" w:rsidP="00901FEA">
      <w:pPr>
        <w:spacing w:after="240"/>
        <w:rPr>
          <w:lang w:eastAsia="pl-PL"/>
        </w:rPr>
      </w:pPr>
      <w:r w:rsidRPr="004D6F82">
        <w:rPr>
          <w:lang w:eastAsia="pl-PL"/>
        </w:rPr>
        <w:t>Powyższe działania należy przeprowadzić w oparciu o Europejski Kodeks Praktyk Statystycznych.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368E12B4" w14:textId="77777777" w:rsidTr="003E4486">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F4F1F2F"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7F7FD57C" wp14:editId="662DE743">
                  <wp:extent cx="621030" cy="621030"/>
                  <wp:effectExtent l="0" t="0" r="7620" b="7620"/>
                  <wp:docPr id="894382712" name="Obraz 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96C2DD5"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627239D"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4F2086D6"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37066F9"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0A2B214C" w14:textId="5298D939" w:rsidR="00902ABB" w:rsidRPr="004D6F82" w:rsidRDefault="00E56881">
            <w:pPr>
              <w:spacing w:after="0" w:line="240" w:lineRule="auto"/>
              <w:textAlignment w:val="baseline"/>
              <w:rPr>
                <w:rFonts w:ascii="Times New Roman" w:eastAsia="Times New Roman" w:hAnsi="Times New Roman" w:cs="Times New Roman"/>
                <w:sz w:val="24"/>
                <w:szCs w:val="24"/>
                <w:lang w:eastAsia="pl-PL"/>
              </w:rPr>
            </w:pPr>
            <w:r>
              <w:rPr>
                <w:rFonts w:eastAsia="Times New Roman" w:cs="Times New Roman"/>
                <w:color w:val="808080"/>
                <w:sz w:val="18"/>
                <w:szCs w:val="18"/>
                <w:lang w:eastAsia="pl-PL"/>
              </w:rPr>
              <w:t>Prezes GUS</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3A914F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 minister wł. ds. energii </w:t>
            </w:r>
          </w:p>
          <w:p w14:paraId="7896E01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p>
        </w:tc>
      </w:tr>
    </w:tbl>
    <w:p w14:paraId="41BF86F5" w14:textId="7EA279E8" w:rsidR="00902ABB" w:rsidRPr="004D6F82" w:rsidRDefault="00902ABB" w:rsidP="009B0F74">
      <w:pPr>
        <w:pStyle w:val="Nagwek6"/>
        <w:rPr>
          <w:lang w:eastAsia="pl-PL"/>
        </w:rPr>
      </w:pPr>
      <w:bookmarkStart w:id="1420" w:name="_Toc195866003"/>
      <w:bookmarkStart w:id="1421" w:name="_Ref195889357"/>
      <w:bookmarkStart w:id="1422" w:name="_Ref195891022"/>
      <w:bookmarkStart w:id="1423" w:name="_Ref195891046"/>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149</w:t>
      </w:r>
      <w:r w:rsidRPr="00FB68C2">
        <w:rPr>
          <w:rStyle w:val="Nagwek6Znak"/>
          <w:b/>
        </w:rPr>
        <w:fldChar w:fldCharType="end"/>
      </w:r>
      <w:r w:rsidRPr="00FB68C2">
        <w:rPr>
          <w:rStyle w:val="Nagwek6Znak"/>
          <w:b/>
        </w:rPr>
        <w:t xml:space="preserve">. </w:t>
      </w:r>
      <w:r w:rsidRPr="004D6F82">
        <w:rPr>
          <w:lang w:eastAsia="pl-PL"/>
        </w:rPr>
        <w:t>Działania na rzecz walki z ubóstwem transportowym</w:t>
      </w:r>
      <w:bookmarkEnd w:id="1420"/>
      <w:bookmarkEnd w:id="1421"/>
      <w:bookmarkEnd w:id="1422"/>
      <w:bookmarkEnd w:id="1423"/>
      <w:r w:rsidR="003E2DE5">
        <w:rPr>
          <w:lang w:eastAsia="pl-PL"/>
        </w:rPr>
        <w:t xml:space="preserve"> </w:t>
      </w:r>
    </w:p>
    <w:p w14:paraId="6BA94223" w14:textId="45C27F59" w:rsidR="00902ABB" w:rsidRPr="004D6F82" w:rsidRDefault="00902ABB" w:rsidP="001510D5">
      <w:pPr>
        <w:rPr>
          <w:rFonts w:eastAsia="Times New Roman" w:cs="Times New Roman"/>
          <w:lang w:eastAsia="pl-PL"/>
        </w:rPr>
      </w:pPr>
      <w:r w:rsidRPr="004D6F82">
        <w:rPr>
          <w:rFonts w:eastAsia="Times New Roman" w:cs="Times New Roman"/>
          <w:lang w:eastAsia="pl-PL"/>
        </w:rPr>
        <w:t xml:space="preserve">Działania polegające na poprawie oferty oraz sposobu funkcjonowania transportu publicznego (drogowego, szynowego) przyczyniające się do zapobiegania pogłębienia zjawiska ubóstwa </w:t>
      </w:r>
      <w:r w:rsidRPr="004D6F82">
        <w:rPr>
          <w:rFonts w:eastAsia="Times New Roman" w:cs="Times New Roman"/>
          <w:lang w:eastAsia="pl-PL"/>
        </w:rPr>
        <w:lastRenderedPageBreak/>
        <w:t>transportowego. Działania te skierowane będą potencjalnie do wszystkich osób lub gospodarstw domowych najbardziej zagrożonych wystąpieniem zjawiska ubóstwa transportowego, czy to z przyczyn ekonomicznych (strona popytowa) czy z powodu braku dostępu do transportu publicznego (strona</w:t>
      </w:r>
      <w:r w:rsidR="00791133">
        <w:t> </w:t>
      </w:r>
      <w:r w:rsidRPr="004D6F82">
        <w:rPr>
          <w:rFonts w:eastAsia="Times New Roman" w:cs="Times New Roman"/>
          <w:lang w:eastAsia="pl-PL"/>
        </w:rPr>
        <w:t xml:space="preserve">podażowa). Wdrażane w ramach działania środki lub inwestycje będą realizowane ze wsparciem środków unijnych w ramach Planu </w:t>
      </w:r>
      <w:r w:rsidR="00BB0319">
        <w:rPr>
          <w:rFonts w:eastAsia="Times New Roman" w:cs="Times New Roman"/>
          <w:lang w:eastAsia="pl-PL"/>
        </w:rPr>
        <w:t>S</w:t>
      </w:r>
      <w:r w:rsidRPr="004D6F82">
        <w:rPr>
          <w:rFonts w:eastAsia="Times New Roman" w:cs="Times New Roman"/>
          <w:lang w:eastAsia="pl-PL"/>
        </w:rPr>
        <w:t>połeczno</w:t>
      </w:r>
      <w:r w:rsidR="00BB0319">
        <w:rPr>
          <w:rFonts w:eastAsia="Times New Roman" w:cs="Times New Roman"/>
          <w:lang w:eastAsia="pl-PL"/>
        </w:rPr>
        <w:t>-K</w:t>
      </w:r>
      <w:r w:rsidRPr="004D6F82">
        <w:rPr>
          <w:rFonts w:eastAsia="Times New Roman" w:cs="Times New Roman"/>
          <w:lang w:eastAsia="pl-PL"/>
        </w:rPr>
        <w:t xml:space="preserve">limatycznego. </w:t>
      </w:r>
    </w:p>
    <w:p w14:paraId="575B3073" w14:textId="77777777" w:rsidR="00902ABB" w:rsidRPr="004D6F82" w:rsidRDefault="00902ABB" w:rsidP="00902ABB">
      <w:pPr>
        <w:spacing w:after="0" w:line="240" w:lineRule="auto"/>
        <w:textAlignment w:val="baseline"/>
        <w:rPr>
          <w:rFonts w:ascii="Times New Roman" w:eastAsia="Times New Roman" w:hAnsi="Times New Roman" w:cs="Times New Roman"/>
          <w:sz w:val="24"/>
          <w:szCs w:val="24"/>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5A2DE343" w14:textId="77777777" w:rsidTr="003E4486">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05E8FCE" w14:textId="77777777" w:rsidR="00902ABB" w:rsidRPr="004D6F82" w:rsidRDefault="00902ABB" w:rsidP="001510D5">
            <w:pPr>
              <w:rPr>
                <w:lang w:eastAsia="pl-PL"/>
              </w:rPr>
            </w:pPr>
            <w:r w:rsidRPr="004D6F82">
              <w:rPr>
                <w:noProof/>
                <w:lang w:eastAsia="pl-PL"/>
              </w:rPr>
              <w:drawing>
                <wp:inline distT="0" distB="0" distL="0" distR="0" wp14:anchorId="0A0DE0DE" wp14:editId="51784ADC">
                  <wp:extent cx="621030" cy="621030"/>
                  <wp:effectExtent l="0" t="0" r="7620" b="7620"/>
                  <wp:docPr id="1441450862" name="Obraz 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6BFBE7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4FB5D10"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6A40C2E8"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D7460E0"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64B53B8D"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transportu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7BA89AF" w14:textId="7D2CC59E"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 </w:t>
            </w:r>
            <w:r w:rsidR="00493472" w:rsidRPr="004D6F82">
              <w:rPr>
                <w:rFonts w:eastAsia="Times New Roman" w:cs="Times New Roman"/>
                <w:color w:val="808080"/>
                <w:sz w:val="18"/>
                <w:szCs w:val="18"/>
                <w:lang w:eastAsia="pl-PL"/>
              </w:rPr>
              <w:t xml:space="preserve">minister wł. ds. </w:t>
            </w:r>
            <w:r w:rsidR="00493472">
              <w:rPr>
                <w:rFonts w:eastAsia="Times New Roman" w:cs="Times New Roman"/>
                <w:color w:val="808080"/>
                <w:sz w:val="18"/>
                <w:szCs w:val="18"/>
                <w:lang w:eastAsia="pl-PL"/>
              </w:rPr>
              <w:t>klimatu</w:t>
            </w:r>
            <w:r w:rsidR="00493472" w:rsidRPr="004D6F82">
              <w:rPr>
                <w:rFonts w:eastAsia="Times New Roman" w:cs="Times New Roman"/>
                <w:color w:val="808080"/>
                <w:sz w:val="18"/>
                <w:szCs w:val="18"/>
                <w:lang w:eastAsia="pl-PL"/>
              </w:rPr>
              <w:t> </w:t>
            </w:r>
          </w:p>
        </w:tc>
      </w:tr>
    </w:tbl>
    <w:p w14:paraId="0AAA037C" w14:textId="1DBECBA8" w:rsidR="00902ABB" w:rsidRPr="004D6F82" w:rsidRDefault="00902ABB" w:rsidP="00901FEA">
      <w:pPr>
        <w:pStyle w:val="Nagwek6"/>
        <w:rPr>
          <w:rFonts w:ascii="Times New Roman" w:hAnsi="Times New Roman"/>
          <w:sz w:val="24"/>
          <w:szCs w:val="24"/>
          <w:lang w:eastAsia="pl-PL"/>
        </w:rPr>
      </w:pPr>
      <w:bookmarkStart w:id="1424" w:name="_Toc195866004"/>
      <w:bookmarkStart w:id="1425" w:name="_Ref195890073"/>
      <w:bookmarkStart w:id="1426" w:name="_Ref195890260"/>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150</w:t>
      </w:r>
      <w:r w:rsidRPr="00FB68C2">
        <w:rPr>
          <w:rStyle w:val="Nagwek6Znak"/>
          <w:b/>
        </w:rPr>
        <w:fldChar w:fldCharType="end"/>
      </w:r>
      <w:r w:rsidRPr="00FB68C2">
        <w:rPr>
          <w:rStyle w:val="Nagwek6Znak"/>
          <w:b/>
        </w:rPr>
        <w:t xml:space="preserve">. </w:t>
      </w:r>
      <w:r w:rsidRPr="004D6F82">
        <w:rPr>
          <w:lang w:eastAsia="pl-PL"/>
        </w:rPr>
        <w:t>Zapewnienie wsparcia dla regionów węglowych</w:t>
      </w:r>
      <w:bookmarkEnd w:id="1424"/>
      <w:bookmarkEnd w:id="1425"/>
      <w:bookmarkEnd w:id="1426"/>
      <w:r w:rsidRPr="004D6F82">
        <w:rPr>
          <w:lang w:eastAsia="pl-PL"/>
        </w:rPr>
        <w:t> </w:t>
      </w:r>
    </w:p>
    <w:p w14:paraId="37545B7A" w14:textId="519C4D07" w:rsidR="00902ABB" w:rsidRPr="004D6F82" w:rsidRDefault="00902ABB" w:rsidP="00BB0319">
      <w:pPr>
        <w:rPr>
          <w:rFonts w:ascii="Times New Roman" w:hAnsi="Times New Roman"/>
          <w:sz w:val="24"/>
          <w:szCs w:val="24"/>
          <w:lang w:eastAsia="pl-PL"/>
        </w:rPr>
      </w:pPr>
      <w:r w:rsidRPr="004D6F82">
        <w:rPr>
          <w:lang w:eastAsia="pl-PL"/>
        </w:rPr>
        <w:t>Działania dotyczą wsparcia m.in. przez programy szkoleniowe i umożliwiające przekwalifikowanie, programy rozwoju lokalnego, partnerstwa i współprace. Działanie będzie realizowane m.in.</w:t>
      </w:r>
      <w:r w:rsidR="00791133">
        <w:rPr>
          <w:lang w:eastAsia="pl-PL"/>
        </w:rPr>
        <w:t> </w:t>
      </w:r>
      <w:r w:rsidRPr="004D6F82">
        <w:rPr>
          <w:lang w:eastAsia="pl-PL"/>
        </w:rPr>
        <w:t>z</w:t>
      </w:r>
      <w:r w:rsidRPr="004D6F82">
        <w:rPr>
          <w:rFonts w:ascii="Arial" w:hAnsi="Arial" w:cs="Arial"/>
          <w:lang w:eastAsia="pl-PL"/>
        </w:rPr>
        <w:t> </w:t>
      </w:r>
      <w:r w:rsidRPr="004D6F82">
        <w:rPr>
          <w:lang w:eastAsia="pl-PL"/>
        </w:rPr>
        <w:t>wykorzystaniem środków z Funduszu na rzecz Sprawiedliwej Transformacji (FST), wspierającego transformację w pięciu regionach kraju (województwa dolnośląskie, łódzkie, małopolskie, śląskie, wielkopolskie). Wydatkowane w ramach FST środki przeznaczone będą m.in. na działania związane z</w:t>
      </w:r>
      <w:r w:rsidRPr="004D6F82">
        <w:rPr>
          <w:rFonts w:ascii="Arial" w:hAnsi="Arial" w:cs="Arial"/>
          <w:lang w:eastAsia="pl-PL"/>
        </w:rPr>
        <w:t> </w:t>
      </w:r>
      <w:r w:rsidRPr="004D6F82">
        <w:rPr>
          <w:lang w:eastAsia="pl-PL"/>
        </w:rPr>
        <w:t>łagodzeniem skutków transformacji branży paliw kopalnych i energetyki konwencjonalnej, w tym na: zmiany profilu gospodarczego, wzrost innowacyjności i rozwój MŚP, zmiany kwalifikacji i aktywne przeciwdziałanie bezrobociu, rekultywację terenów pogórniczych dla poprawy atrakcyjności inwestycyjnej, wdrażanie działań związanych z efektywnością energetyczną, zieloną gospodarką i</w:t>
      </w:r>
      <w:r w:rsidRPr="004D6F82">
        <w:rPr>
          <w:rFonts w:ascii="Arial" w:hAnsi="Arial" w:cs="Arial"/>
          <w:lang w:eastAsia="pl-PL"/>
        </w:rPr>
        <w:t> </w:t>
      </w:r>
      <w:r w:rsidRPr="004D6F82">
        <w:rPr>
          <w:lang w:eastAsia="pl-PL"/>
        </w:rPr>
        <w:t>gospodarką obiegu zamkniętego. </w:t>
      </w:r>
    </w:p>
    <w:p w14:paraId="3A463056" w14:textId="77777777" w:rsidR="00902ABB" w:rsidRPr="004D6F82" w:rsidRDefault="00902ABB" w:rsidP="00901FEA">
      <w:pPr>
        <w:rPr>
          <w:rFonts w:ascii="Times New Roman" w:hAnsi="Times New Roman"/>
          <w:sz w:val="24"/>
          <w:szCs w:val="24"/>
          <w:lang w:eastAsia="pl-PL"/>
        </w:rPr>
      </w:pPr>
      <w:r w:rsidRPr="004D6F82">
        <w:rPr>
          <w:lang w:eastAsia="pl-PL"/>
        </w:rPr>
        <w:t>Szczególnymi elementami działania będą: </w:t>
      </w:r>
    </w:p>
    <w:p w14:paraId="31B924FD"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Stworzenie systemu zachęt inwestycyjnych w regionach wydobywczych i wysokoemisyjnych, </w:t>
      </w:r>
    </w:p>
    <w:p w14:paraId="26CCDE45"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Mapowanie potrzeb regionów w zakresie dostępności i kwalifikacji kadr w sektorach energetycznych i okołobranżowych w kontekście projektów inwestycyjno-transformacyjnych, </w:t>
      </w:r>
    </w:p>
    <w:p w14:paraId="1C77C72C"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Mapowanie potrzeb kształcenia i przekwalifikowania zawodowego, </w:t>
      </w:r>
    </w:p>
    <w:p w14:paraId="3A20AF1D"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Projektowanie i programowanie kierunków kształcenia i doskonalenia zawodowego, </w:t>
      </w:r>
    </w:p>
    <w:p w14:paraId="12EAB3FE"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Zintegrowanie działań szkoleniowo-rekrutacyjnych pomiędzy instytucjami publicznymi i podmiotami gospodarczymi, </w:t>
      </w:r>
    </w:p>
    <w:p w14:paraId="5107E38D"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Doradztwo i kampanie edukacyjno-informacyjne oraz ośrodki wsparcia pracowników w transformacji i ich rodzin, </w:t>
      </w:r>
    </w:p>
    <w:p w14:paraId="36B16E9E" w14:textId="77777777" w:rsidR="00902ABB" w:rsidRPr="004D6F82"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Zachowanie tradycji i dziedzictwa kulturowego regionów wydobywczo-przemysłowych, </w:t>
      </w:r>
    </w:p>
    <w:p w14:paraId="4FED676F" w14:textId="77777777" w:rsidR="00902ABB" w:rsidRDefault="00902ABB" w:rsidP="000625AC">
      <w:pPr>
        <w:pStyle w:val="Akapitzlist"/>
        <w:numPr>
          <w:ilvl w:val="0"/>
          <w:numId w:val="96"/>
        </w:numPr>
        <w:spacing w:before="100" w:beforeAutospacing="1" w:after="100" w:afterAutospacing="1" w:line="240" w:lineRule="auto"/>
        <w:textAlignment w:val="baseline"/>
        <w:rPr>
          <w:rFonts w:eastAsia="Times New Roman" w:cs="Times New Roman"/>
          <w:lang w:eastAsia="pl-PL"/>
        </w:rPr>
      </w:pPr>
      <w:r w:rsidRPr="004D6F82">
        <w:rPr>
          <w:rFonts w:eastAsia="Times New Roman" w:cs="Times New Roman"/>
          <w:lang w:eastAsia="pl-PL"/>
        </w:rPr>
        <w:t>Kampania edukacyjno-informacyjna dotycząca planów i praktycznych wymiarów transformacji oraz wielopoziomowe konsultacje publiczne aKPEiK 2030 i dokumentów strategicznych dotyczących transformacji energetycznej.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A65D2B" w:rsidRPr="004D6F82" w14:paraId="3AEA635E" w14:textId="77777777" w:rsidTr="00517313">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1FF30E9D" w14:textId="77777777" w:rsidR="00A65D2B" w:rsidRPr="004D6F82" w:rsidRDefault="00A65D2B" w:rsidP="00517313">
            <w:pPr>
              <w:rPr>
                <w:lang w:eastAsia="pl-PL"/>
              </w:rPr>
            </w:pPr>
            <w:r w:rsidRPr="004D6F82">
              <w:rPr>
                <w:noProof/>
                <w:lang w:eastAsia="pl-PL"/>
              </w:rPr>
              <w:drawing>
                <wp:inline distT="0" distB="0" distL="0" distR="0" wp14:anchorId="162E6179" wp14:editId="0C5E1608">
                  <wp:extent cx="621030" cy="621030"/>
                  <wp:effectExtent l="0" t="0" r="7620" b="7620"/>
                  <wp:docPr id="2114705827" name="Obraz 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A846B7C" w14:textId="77777777" w:rsidR="00A65D2B" w:rsidRPr="004D6F82" w:rsidRDefault="00A65D2B" w:rsidP="00517313">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51C54B4" w14:textId="77777777" w:rsidR="00A65D2B" w:rsidRPr="004D6F82" w:rsidRDefault="00A65D2B" w:rsidP="00517313">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A65D2B" w:rsidRPr="004D6F82" w14:paraId="41668CA5" w14:textId="77777777" w:rsidTr="00517313">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4CF2EF27" w14:textId="77777777" w:rsidR="00A65D2B" w:rsidRPr="004D6F82" w:rsidRDefault="00A65D2B" w:rsidP="00517313">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6365981" w14:textId="77777777" w:rsidR="00A65D2B" w:rsidRPr="004D6F82" w:rsidRDefault="00A65D2B" w:rsidP="00A65D2B">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surowcami energetycznymi </w:t>
            </w:r>
          </w:p>
          <w:p w14:paraId="1ECD9B7D" w14:textId="3E146608" w:rsidR="00A65D2B" w:rsidRPr="004D6F82" w:rsidRDefault="00A65D2B" w:rsidP="00A65D2B">
            <w:pPr>
              <w:spacing w:after="0" w:line="240" w:lineRule="auto"/>
              <w:jc w:val="left"/>
              <w:textAlignment w:val="baseline"/>
              <w:rPr>
                <w:rFonts w:ascii="Times New Roman" w:eastAsia="Times New Roman" w:hAnsi="Times New Roman" w:cs="Times New Roman"/>
                <w:sz w:val="24"/>
                <w:szCs w:val="24"/>
                <w:lang w:eastAsia="pl-PL"/>
              </w:rPr>
            </w:pP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13A93C6" w14:textId="77777777" w:rsidR="00A65D2B" w:rsidRPr="004D6F82" w:rsidRDefault="00A65D2B" w:rsidP="00A65D2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 </w:t>
            </w:r>
          </w:p>
          <w:p w14:paraId="5F43C79A" w14:textId="77777777" w:rsidR="00A65D2B" w:rsidRPr="004D6F82" w:rsidRDefault="00A65D2B" w:rsidP="00A65D2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rozwoju regionalnego </w:t>
            </w:r>
          </w:p>
          <w:p w14:paraId="50D2C89A" w14:textId="7FC41A86" w:rsidR="00A65D2B" w:rsidRPr="004D6F82" w:rsidRDefault="00A65D2B" w:rsidP="00517313">
            <w:pPr>
              <w:spacing w:after="0" w:line="240" w:lineRule="auto"/>
              <w:textAlignment w:val="baseline"/>
              <w:rPr>
                <w:rFonts w:ascii="Times New Roman" w:eastAsia="Times New Roman" w:hAnsi="Times New Roman" w:cs="Times New Roman"/>
                <w:sz w:val="24"/>
                <w:szCs w:val="24"/>
                <w:lang w:eastAsia="pl-PL"/>
              </w:rPr>
            </w:pPr>
          </w:p>
        </w:tc>
      </w:tr>
    </w:tbl>
    <w:p w14:paraId="76364B12" w14:textId="4AEAA151" w:rsidR="00902ABB" w:rsidRPr="004D6F82" w:rsidRDefault="00902ABB" w:rsidP="00D523F3">
      <w:pPr>
        <w:pStyle w:val="Nagwek6"/>
        <w:rPr>
          <w:rFonts w:ascii="Times New Roman" w:hAnsi="Times New Roman"/>
          <w:i/>
          <w:iCs/>
          <w:color w:val="595959"/>
          <w:sz w:val="24"/>
          <w:szCs w:val="24"/>
          <w:lang w:eastAsia="pl-PL"/>
        </w:rPr>
      </w:pPr>
      <w:bookmarkStart w:id="1427" w:name="_Toc195866005"/>
      <w:bookmarkStart w:id="1428" w:name="_Ref195890080"/>
      <w:bookmarkStart w:id="1429" w:name="_Ref195890267"/>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151</w:t>
      </w:r>
      <w:r w:rsidRPr="00FB68C2">
        <w:rPr>
          <w:rStyle w:val="Nagwek6Znak"/>
          <w:b/>
        </w:rPr>
        <w:fldChar w:fldCharType="end"/>
      </w:r>
      <w:r w:rsidRPr="00FB68C2">
        <w:rPr>
          <w:rStyle w:val="Nagwek6Znak"/>
          <w:b/>
        </w:rPr>
        <w:t>.</w:t>
      </w:r>
      <w:r w:rsidRPr="004D6F82">
        <w:rPr>
          <w:lang w:eastAsia="pl-PL"/>
        </w:rPr>
        <w:t xml:space="preserve"> Zapewnienie rozwoju regionów</w:t>
      </w:r>
      <w:r>
        <w:rPr>
          <w:lang w:eastAsia="pl-PL"/>
        </w:rPr>
        <w:t xml:space="preserve"> </w:t>
      </w:r>
      <w:r w:rsidRPr="004D6F82">
        <w:rPr>
          <w:lang w:eastAsia="pl-PL"/>
        </w:rPr>
        <w:t>węglowych</w:t>
      </w:r>
      <w:bookmarkEnd w:id="1427"/>
      <w:bookmarkEnd w:id="1428"/>
      <w:bookmarkEnd w:id="1429"/>
      <w:r w:rsidR="003E2DE5">
        <w:rPr>
          <w:lang w:eastAsia="pl-PL"/>
        </w:rPr>
        <w:t xml:space="preserve"> </w:t>
      </w:r>
    </w:p>
    <w:p w14:paraId="1BEAF21E" w14:textId="77777777"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 xml:space="preserve">W rezultacie transformacji energetyczno-klimatycznej postępuje wygaszanie węglowych mocy wytwórczych oraz kopalń węgla, co z kolei wpływa na lokalne miejsca pracy i społeczności. Jednak dobrze przeprowadzona transformacja może otworzyć przed nimi zupełnie nowe możliwości. Wiele regionów na świecie, które przeszły podobny proces, udowodniło, że zmniejszanie wydobycia w kopalniach nie musi </w:t>
      </w:r>
      <w:r w:rsidRPr="004D6F82">
        <w:rPr>
          <w:rFonts w:eastAsia="Times New Roman" w:cs="Times New Roman"/>
          <w:lang w:eastAsia="pl-PL"/>
        </w:rPr>
        <w:lastRenderedPageBreak/>
        <w:t>oznaczać gospodarczego upadku, lecz wręcz przeciwnie – może stać się impulsem do innowacji, rozwoju nowych sektorów gospodarki i poprawy jakości życia mieszkańców. W pierwszej kolejności należy określić obszary ponoszące największe koszty transformacji. Kryterium doboru regionów oparte powinno być na obecnej strukturze zatrudnienia i uzależnienia od wygaszanych konwencjonalnych źródeł energii. </w:t>
      </w:r>
    </w:p>
    <w:p w14:paraId="1F57370D" w14:textId="77777777"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Wdrożenie skutecznych działań wymaga ścisłej współpracy rządu, samorządów, organizacji społecznych oraz sektora prywatnego. Kluczowe jest nie tylko zapewnienie wsparcia dla osób zmieniających zatrudnienie, lecz także inwestowanie w alternatywne źródła zatrudnienia oraz tworzenie nowych perspektyw gospodarczych. </w:t>
      </w:r>
    </w:p>
    <w:p w14:paraId="6FE7B281" w14:textId="7443F243" w:rsidR="00902ABB" w:rsidRPr="004D6F82" w:rsidRDefault="00902ABB" w:rsidP="001510D5">
      <w:pPr>
        <w:rPr>
          <w:rFonts w:ascii="Times New Roman" w:eastAsia="Times New Roman" w:hAnsi="Times New Roman" w:cs="Times New Roman"/>
          <w:sz w:val="24"/>
          <w:szCs w:val="24"/>
          <w:lang w:eastAsia="pl-PL"/>
        </w:rPr>
      </w:pPr>
      <w:r w:rsidRPr="004D6F82">
        <w:rPr>
          <w:rFonts w:eastAsia="Times New Roman" w:cs="Times New Roman"/>
          <w:lang w:eastAsia="pl-PL"/>
        </w:rPr>
        <w:t>Poniżej przedstawiono plan działań, który powinien być wdrażany w tak ustalonych regionach, aby</w:t>
      </w:r>
      <w:r w:rsidR="00817026">
        <w:rPr>
          <w:rFonts w:eastAsia="Times New Roman" w:cs="Times New Roman"/>
          <w:lang w:eastAsia="pl-PL"/>
        </w:rPr>
        <w:t> </w:t>
      </w:r>
      <w:r w:rsidRPr="004D6F82">
        <w:rPr>
          <w:rFonts w:eastAsia="Times New Roman" w:cs="Times New Roman"/>
          <w:lang w:eastAsia="pl-PL"/>
        </w:rPr>
        <w:t>zapewnić im zrównoważony rozwój i stabilność społeczno-ekonomiczną: </w:t>
      </w:r>
    </w:p>
    <w:p w14:paraId="26B7F554" w14:textId="77777777" w:rsidR="00902ABB" w:rsidRPr="004D5FAC" w:rsidRDefault="00902ABB" w:rsidP="004D5FAC">
      <w:pPr>
        <w:spacing w:after="80"/>
        <w:rPr>
          <w:rFonts w:ascii="Times New Roman" w:hAnsi="Times New Roman"/>
          <w:b/>
          <w:sz w:val="24"/>
          <w:szCs w:val="24"/>
          <w:lang w:eastAsia="pl-PL"/>
        </w:rPr>
      </w:pPr>
      <w:r>
        <w:rPr>
          <w:rFonts w:eastAsia="Times New Roman" w:cs="Times New Roman"/>
          <w:b/>
          <w:bCs/>
          <w:lang w:eastAsia="pl-PL"/>
        </w:rPr>
        <w:t>Podd</w:t>
      </w:r>
      <w:r w:rsidRPr="004D6F82">
        <w:rPr>
          <w:rFonts w:eastAsia="Times New Roman" w:cs="Times New Roman"/>
          <w:b/>
          <w:bCs/>
          <w:lang w:eastAsia="pl-PL"/>
        </w:rPr>
        <w:t>ziałanie A: Inwestycje procesu transformacji</w:t>
      </w:r>
      <w:r w:rsidRPr="004D5FAC">
        <w:rPr>
          <w:b/>
          <w:lang w:eastAsia="pl-PL"/>
        </w:rPr>
        <w:t> </w:t>
      </w:r>
    </w:p>
    <w:p w14:paraId="7A4B51BB" w14:textId="16EFDB6E" w:rsidR="00902ABB" w:rsidRPr="004D6F82" w:rsidRDefault="00902ABB" w:rsidP="004D5FAC">
      <w:pPr>
        <w:ind w:left="284"/>
        <w:rPr>
          <w:rFonts w:ascii="Times New Roman" w:eastAsia="Times New Roman" w:hAnsi="Times New Roman" w:cs="Times New Roman"/>
          <w:sz w:val="24"/>
          <w:szCs w:val="24"/>
          <w:lang w:eastAsia="pl-PL"/>
        </w:rPr>
      </w:pPr>
      <w:r w:rsidRPr="004D6F82">
        <w:rPr>
          <w:rFonts w:eastAsia="Times New Roman" w:cs="Times New Roman"/>
          <w:lang w:eastAsia="pl-PL"/>
        </w:rPr>
        <w:t>Transformacja energetyczno-klimatyczna oznacza budowę nowych mocy wytwórczych OZE, termomodernizację budynków, transformację ciepłownictwa i wiele innych działań. Wszystkie</w:t>
      </w:r>
      <w:r w:rsidR="00817026">
        <w:rPr>
          <w:rFonts w:eastAsia="Times New Roman" w:cs="Times New Roman"/>
          <w:lang w:eastAsia="pl-PL"/>
        </w:rPr>
        <w:t> </w:t>
      </w:r>
      <w:r w:rsidRPr="004D6F82">
        <w:rPr>
          <w:rFonts w:eastAsia="Times New Roman" w:cs="Times New Roman"/>
          <w:lang w:eastAsia="pl-PL"/>
        </w:rPr>
        <w:t>te</w:t>
      </w:r>
      <w:r w:rsidR="00817026">
        <w:rPr>
          <w:rFonts w:eastAsia="Times New Roman" w:cs="Times New Roman"/>
          <w:lang w:eastAsia="pl-PL"/>
        </w:rPr>
        <w:t> </w:t>
      </w:r>
      <w:r w:rsidRPr="004D6F82">
        <w:rPr>
          <w:rFonts w:eastAsia="Times New Roman" w:cs="Times New Roman"/>
          <w:lang w:eastAsia="pl-PL"/>
        </w:rPr>
        <w:t>procesy tworzą olbrzymią ilość nowych miejsc pracy. W kolejnych latach i dekadach Polska będzie realizowała duży proces transformacyjny, prowadząc przy tym olbrzymie inwestycje. Jest bardzo sensowne, aby inwestycje te priorytetowo miały miejsce na terenach społecznie wrażliwych. Programy wsparcia realizowane przez instytucje takie jak NFOŚiGW powinny w</w:t>
      </w:r>
      <w:r w:rsidR="00817026">
        <w:rPr>
          <w:rFonts w:eastAsia="Times New Roman" w:cs="Times New Roman"/>
          <w:lang w:eastAsia="pl-PL"/>
        </w:rPr>
        <w:t> </w:t>
      </w:r>
      <w:r w:rsidRPr="004D6F82">
        <w:rPr>
          <w:rFonts w:eastAsia="Times New Roman" w:cs="Times New Roman"/>
          <w:lang w:eastAsia="pl-PL"/>
        </w:rPr>
        <w:t>kryteriach doboru projektów uwzględniać odpowiednie priorytety dla projektów ze wskazanych obszarów. Tego typu podejście nie tylko stworzy miejsca pracy, ale również pozwoli wyszkolić pracowników w nowych zawodach, którzy będą mogli pracować w różnych obszarach kraju. W ramach działania powinny być realizowane: </w:t>
      </w:r>
    </w:p>
    <w:p w14:paraId="368B784F" w14:textId="77777777" w:rsidR="00902ABB" w:rsidRPr="004D6F82" w:rsidRDefault="00902ABB" w:rsidP="000625AC">
      <w:pPr>
        <w:pStyle w:val="Akapitzlist"/>
        <w:numPr>
          <w:ilvl w:val="0"/>
          <w:numId w:val="115"/>
        </w:numPr>
        <w:rPr>
          <w:rFonts w:eastAsia="Times New Roman" w:cs="Times New Roman"/>
          <w:lang w:eastAsia="pl-PL"/>
        </w:rPr>
      </w:pPr>
      <w:r w:rsidRPr="004D6F82">
        <w:rPr>
          <w:rFonts w:eastAsia="Times New Roman" w:cs="Times New Roman"/>
          <w:lang w:eastAsia="pl-PL"/>
        </w:rPr>
        <w:t>Projekty badawcze w celu zmiany technologii na bezemisyjne procesowo i energetycznie, </w:t>
      </w:r>
    </w:p>
    <w:p w14:paraId="1F932E77" w14:textId="77777777" w:rsidR="00902ABB" w:rsidRPr="004D6F82" w:rsidRDefault="00902ABB" w:rsidP="000625AC">
      <w:pPr>
        <w:pStyle w:val="Akapitzlist"/>
        <w:numPr>
          <w:ilvl w:val="0"/>
          <w:numId w:val="115"/>
        </w:numPr>
        <w:rPr>
          <w:rFonts w:eastAsia="Times New Roman" w:cs="Times New Roman"/>
          <w:lang w:eastAsia="pl-PL"/>
        </w:rPr>
      </w:pPr>
      <w:r w:rsidRPr="004D6F82">
        <w:rPr>
          <w:rFonts w:eastAsia="Times New Roman" w:cs="Times New Roman"/>
          <w:lang w:eastAsia="pl-PL"/>
        </w:rPr>
        <w:t>Projekty badawcze w celu zmiany technologii na technologie gospodarki obiegu zamkniętego, </w:t>
      </w:r>
    </w:p>
    <w:p w14:paraId="6C6A54CF" w14:textId="77777777" w:rsidR="00902ABB" w:rsidRPr="004D6F82" w:rsidRDefault="00902ABB" w:rsidP="000625AC">
      <w:pPr>
        <w:pStyle w:val="Akapitzlist"/>
        <w:numPr>
          <w:ilvl w:val="0"/>
          <w:numId w:val="115"/>
        </w:numPr>
        <w:rPr>
          <w:rFonts w:eastAsia="Times New Roman" w:cs="Times New Roman"/>
          <w:lang w:eastAsia="pl-PL"/>
        </w:rPr>
      </w:pPr>
      <w:r w:rsidRPr="004D6F82">
        <w:rPr>
          <w:rFonts w:eastAsia="Times New Roman" w:cs="Times New Roman"/>
          <w:lang w:eastAsia="pl-PL"/>
        </w:rPr>
        <w:t>Projekty inwestycyjne w celu projektowania i wdrażania nowych procesów produkcyjnych, </w:t>
      </w:r>
    </w:p>
    <w:p w14:paraId="46447146" w14:textId="77777777" w:rsidR="00902ABB" w:rsidRPr="004D6F82" w:rsidRDefault="00902ABB" w:rsidP="000625AC">
      <w:pPr>
        <w:pStyle w:val="Akapitzlist"/>
        <w:numPr>
          <w:ilvl w:val="0"/>
          <w:numId w:val="115"/>
        </w:numPr>
        <w:rPr>
          <w:rFonts w:eastAsia="Times New Roman" w:cs="Times New Roman"/>
          <w:lang w:eastAsia="pl-PL"/>
        </w:rPr>
      </w:pPr>
      <w:r w:rsidRPr="004D6F82">
        <w:rPr>
          <w:rFonts w:eastAsia="Times New Roman" w:cs="Times New Roman"/>
          <w:lang w:eastAsia="pl-PL"/>
        </w:rPr>
        <w:t>Projekty inwestycyjne w celu modernizacji zakładów produkcyjnych, </w:t>
      </w:r>
    </w:p>
    <w:p w14:paraId="4ABA6FCF" w14:textId="77777777" w:rsidR="00902ABB" w:rsidRPr="004D6F82" w:rsidRDefault="00902ABB" w:rsidP="000625AC">
      <w:pPr>
        <w:pStyle w:val="Akapitzlist"/>
        <w:numPr>
          <w:ilvl w:val="0"/>
          <w:numId w:val="115"/>
        </w:numPr>
        <w:rPr>
          <w:rFonts w:eastAsia="Times New Roman" w:cs="Times New Roman"/>
          <w:lang w:eastAsia="pl-PL"/>
        </w:rPr>
      </w:pPr>
      <w:r w:rsidRPr="004D6F82">
        <w:rPr>
          <w:rFonts w:eastAsia="Times New Roman" w:cs="Times New Roman"/>
          <w:lang w:eastAsia="pl-PL"/>
        </w:rPr>
        <w:t>Projekty inwestycyjne instalacji źródeł OZE, ciepła odpadowego, efektywności energetycznej. </w:t>
      </w:r>
    </w:p>
    <w:p w14:paraId="6D6028D2" w14:textId="77777777" w:rsidR="00902ABB" w:rsidRPr="004D5FAC" w:rsidRDefault="00902ABB" w:rsidP="004D5FAC">
      <w:pPr>
        <w:spacing w:after="80"/>
        <w:rPr>
          <w:rFonts w:ascii="Times New Roman" w:hAnsi="Times New Roman"/>
          <w:b/>
          <w:sz w:val="24"/>
          <w:szCs w:val="24"/>
          <w:lang w:eastAsia="pl-PL"/>
        </w:rPr>
      </w:pPr>
      <w:r>
        <w:rPr>
          <w:rFonts w:eastAsia="Times New Roman" w:cs="Times New Roman"/>
          <w:b/>
          <w:bCs/>
          <w:lang w:eastAsia="pl-PL"/>
        </w:rPr>
        <w:t>Podd</w:t>
      </w:r>
      <w:r w:rsidRPr="004D6F82">
        <w:rPr>
          <w:rFonts w:eastAsia="Times New Roman" w:cs="Times New Roman"/>
          <w:b/>
          <w:bCs/>
          <w:lang w:eastAsia="pl-PL"/>
        </w:rPr>
        <w:t>ziałanie B: Modernizacja istniejącego przemysłu</w:t>
      </w:r>
      <w:r w:rsidRPr="004D5FAC">
        <w:rPr>
          <w:b/>
          <w:lang w:eastAsia="pl-PL"/>
        </w:rPr>
        <w:t> </w:t>
      </w:r>
    </w:p>
    <w:p w14:paraId="1D0AEB37" w14:textId="0AC1D059" w:rsidR="00902ABB" w:rsidRPr="004D6F82" w:rsidRDefault="00902ABB" w:rsidP="004D5FAC">
      <w:pPr>
        <w:ind w:left="284"/>
        <w:rPr>
          <w:rFonts w:ascii="Times New Roman" w:eastAsia="Times New Roman" w:hAnsi="Times New Roman" w:cs="Times New Roman"/>
          <w:sz w:val="24"/>
          <w:szCs w:val="24"/>
          <w:lang w:eastAsia="pl-PL"/>
        </w:rPr>
      </w:pPr>
      <w:r w:rsidRPr="004D6F82">
        <w:rPr>
          <w:rFonts w:eastAsia="Times New Roman" w:cs="Times New Roman"/>
          <w:lang w:eastAsia="pl-PL"/>
        </w:rPr>
        <w:t>Obszary, na których znajdują się kopalnie i elektrownie konwencjonalne to jednocześnie miejsca silnie uprzemysłowione, gdzie dużą rolę gra przemysł ciężki obejmujący hutnictwo metalurgię przemysł chemiczny czy produkcję maszyn. Modernizacja tego przemysłu i jego rozwój jest czynnikiem łagodzącym równoległe zmiany w wygaszanych kopalniach i elektrowniach. Modernizacja realizowana powinna być poprzez wdrażanie innowacyjnych technologii, które pozwolą na przekształcenie go w</w:t>
      </w:r>
      <w:r w:rsidR="00817026">
        <w:rPr>
          <w:rFonts w:eastAsia="Times New Roman" w:cs="Times New Roman"/>
          <w:lang w:eastAsia="pl-PL"/>
        </w:rPr>
        <w:t> </w:t>
      </w:r>
      <w:r w:rsidRPr="004D6F82">
        <w:rPr>
          <w:rFonts w:eastAsia="Times New Roman" w:cs="Times New Roman"/>
          <w:lang w:eastAsia="pl-PL"/>
        </w:rPr>
        <w:t>bardziej wydajny sektor. Transformacja przemysłu ciężkiego wymaga wprowadzenia nowoczesnych rozwiązań takich jak energia odnawialna, wodór, nowoczesne materiały i technologie recyklingu oraz automatyzacja i cyfryzacja procesów produkcyjnych. Procesy modernizacyjne i tworzenie nowych technologii realizowane być powinny przy współpracy takich organizacji jak PFR, NCBR czy PARP. Można rozważyć również modernizację istniejących elektrowni węglowych oraz ich konwersję na bloki gazowe. Przy zastosowaniu innowacyjnych technologii taki proces mógłby przedłużyć okres eksploatacji istniejących mocy wytwórczych i jednocześnie łagodzić skutki zmian w obszarach społecznie wrażliwych. </w:t>
      </w:r>
    </w:p>
    <w:p w14:paraId="46EE5840" w14:textId="77777777" w:rsidR="00902ABB" w:rsidRPr="004D5FAC" w:rsidRDefault="00902ABB" w:rsidP="004D5FAC">
      <w:pPr>
        <w:spacing w:after="80"/>
        <w:rPr>
          <w:rFonts w:ascii="Times New Roman" w:hAnsi="Times New Roman"/>
          <w:b/>
          <w:sz w:val="24"/>
          <w:szCs w:val="24"/>
          <w:lang w:eastAsia="pl-PL"/>
        </w:rPr>
      </w:pPr>
      <w:r>
        <w:rPr>
          <w:rFonts w:eastAsia="Times New Roman" w:cs="Times New Roman"/>
          <w:b/>
          <w:bCs/>
          <w:lang w:eastAsia="pl-PL"/>
        </w:rPr>
        <w:t>Podd</w:t>
      </w:r>
      <w:r w:rsidRPr="004D6F82">
        <w:rPr>
          <w:rFonts w:eastAsia="Times New Roman" w:cs="Times New Roman"/>
          <w:b/>
          <w:bCs/>
          <w:lang w:eastAsia="pl-PL"/>
        </w:rPr>
        <w:t>ziałanie C: Budowa nowego przemysłu</w:t>
      </w:r>
      <w:r w:rsidRPr="004D5FAC">
        <w:rPr>
          <w:b/>
          <w:lang w:eastAsia="pl-PL"/>
        </w:rPr>
        <w:t> </w:t>
      </w:r>
    </w:p>
    <w:p w14:paraId="40BC5CBA" w14:textId="334C5440" w:rsidR="00902ABB" w:rsidRPr="004D6F82" w:rsidRDefault="00902ABB" w:rsidP="004D5FAC">
      <w:pPr>
        <w:ind w:left="284"/>
        <w:rPr>
          <w:rFonts w:ascii="Times New Roman" w:eastAsia="Times New Roman" w:hAnsi="Times New Roman" w:cs="Times New Roman"/>
          <w:sz w:val="24"/>
          <w:szCs w:val="24"/>
          <w:lang w:eastAsia="pl-PL"/>
        </w:rPr>
      </w:pPr>
      <w:r w:rsidRPr="004D6F82">
        <w:rPr>
          <w:rFonts w:eastAsia="Times New Roman" w:cs="Times New Roman"/>
          <w:lang w:eastAsia="pl-PL"/>
        </w:rPr>
        <w:t>Równolegle do modernizacji istniejącego przemysłu niezbędne jest budowanie od podstaw nowego sektora przemysłowego opartego na innowacyjnych technologiach, który stanie się filarem zrównoważonego rozwoju gospodarczego i konkurencyjności na globalnym rynku. Obszary, na</w:t>
      </w:r>
      <w:r w:rsidR="00817026">
        <w:rPr>
          <w:rFonts w:eastAsia="Times New Roman" w:cs="Times New Roman"/>
          <w:lang w:eastAsia="pl-PL"/>
        </w:rPr>
        <w:t> </w:t>
      </w:r>
      <w:r w:rsidRPr="004D6F82">
        <w:rPr>
          <w:rFonts w:eastAsia="Times New Roman" w:cs="Times New Roman"/>
          <w:lang w:eastAsia="pl-PL"/>
        </w:rPr>
        <w:t xml:space="preserve">których wygaszane są konwencjonalne elektrownie i zmniejszane jest wydobycie węgla doskonale się do tego nadają, bo mają przygotowaną infrastrukturę i dobrze wykwalifikowaną kadrę. Nowoczesny przemysł wysokich technologii powinien koncentrować się na obszarach takich jak produkcja i magazynowanie energii odnawialnej, technologie wodorowe, zaawansowana inżynieria materiałowa, ekologiczne rozwiązania w transporcie oraz automatyzacja i cyfryzacja procesów </w:t>
      </w:r>
      <w:r w:rsidRPr="004D6F82">
        <w:rPr>
          <w:rFonts w:eastAsia="Times New Roman" w:cs="Times New Roman"/>
          <w:lang w:eastAsia="pl-PL"/>
        </w:rPr>
        <w:lastRenderedPageBreak/>
        <w:t>produkcyjnych. Rozwój tego nowego przemysłu powinien być wspierany przez instytucje takie jak PFR, NCBR czy PARP, które mogą odegrać kluczową rolę w finansowaniu badań, wdrożeniach oraz budowaniu ekosystemu współpracy między biznesem, nauką i administracją publiczną. Inwestowanie w czyste technologie przyszłości pozwoli nie tylko na tworzenie nowych miejsc pracy, ale również na rozwój gospodarczy regionów przechodzących transformację energetyczną oraz na budowanie długofalowej odporności gospodarki na zmieniające się warunki rynkowe i klimatyczne. W</w:t>
      </w:r>
      <w:r w:rsidR="00817026">
        <w:rPr>
          <w:rFonts w:eastAsia="Times New Roman" w:cs="Times New Roman"/>
          <w:lang w:eastAsia="pl-PL"/>
        </w:rPr>
        <w:t> </w:t>
      </w:r>
      <w:r w:rsidRPr="004D6F82">
        <w:rPr>
          <w:rFonts w:eastAsia="Times New Roman" w:cs="Times New Roman"/>
          <w:lang w:eastAsia="pl-PL"/>
        </w:rPr>
        <w:t>ramach</w:t>
      </w:r>
      <w:r w:rsidR="00817026">
        <w:t> </w:t>
      </w:r>
      <w:r w:rsidRPr="004D6F82">
        <w:rPr>
          <w:rFonts w:eastAsia="Times New Roman" w:cs="Times New Roman"/>
          <w:lang w:eastAsia="pl-PL"/>
        </w:rPr>
        <w:t>działania powinny być realizowane projekty takie jak: </w:t>
      </w:r>
    </w:p>
    <w:p w14:paraId="153E1E5E" w14:textId="77777777" w:rsidR="00902ABB" w:rsidRPr="004D6F82" w:rsidRDefault="00902ABB" w:rsidP="000625AC">
      <w:pPr>
        <w:pStyle w:val="Akapitzlist"/>
        <w:numPr>
          <w:ilvl w:val="0"/>
          <w:numId w:val="116"/>
        </w:numPr>
        <w:rPr>
          <w:rFonts w:eastAsia="Times New Roman" w:cs="Times New Roman"/>
          <w:lang w:eastAsia="pl-PL"/>
        </w:rPr>
      </w:pPr>
      <w:r w:rsidRPr="004D6F82">
        <w:rPr>
          <w:rFonts w:eastAsia="Times New Roman" w:cs="Times New Roman"/>
          <w:lang w:eastAsia="pl-PL"/>
        </w:rPr>
        <w:t>Projekty badawcze w celu tworzenia nowych technologii, takich jak przykładowo pompy ciepła, rekuperatory, magazyny energii czy moce wytwórcze OZE, </w:t>
      </w:r>
    </w:p>
    <w:p w14:paraId="0B1FCAFA" w14:textId="77777777" w:rsidR="00902ABB" w:rsidRPr="004D6F82" w:rsidRDefault="00902ABB" w:rsidP="000625AC">
      <w:pPr>
        <w:pStyle w:val="Akapitzlist"/>
        <w:numPr>
          <w:ilvl w:val="0"/>
          <w:numId w:val="116"/>
        </w:numPr>
        <w:rPr>
          <w:rFonts w:eastAsia="Times New Roman" w:cs="Times New Roman"/>
          <w:lang w:eastAsia="pl-PL"/>
        </w:rPr>
      </w:pPr>
      <w:r w:rsidRPr="004D6F82">
        <w:rPr>
          <w:rFonts w:eastAsia="Times New Roman" w:cs="Times New Roman"/>
          <w:lang w:eastAsia="pl-PL"/>
        </w:rPr>
        <w:t>Projekty inwestycyjne w celu projektowania nowych procesów produkcyjnych, </w:t>
      </w:r>
    </w:p>
    <w:p w14:paraId="5DBA8F97" w14:textId="77777777" w:rsidR="00902ABB" w:rsidRPr="004D6F82" w:rsidRDefault="00902ABB" w:rsidP="000625AC">
      <w:pPr>
        <w:pStyle w:val="Akapitzlist"/>
        <w:numPr>
          <w:ilvl w:val="0"/>
          <w:numId w:val="116"/>
        </w:numPr>
        <w:rPr>
          <w:rFonts w:eastAsia="Times New Roman" w:cs="Times New Roman"/>
          <w:lang w:eastAsia="pl-PL"/>
        </w:rPr>
      </w:pPr>
      <w:r w:rsidRPr="004D6F82">
        <w:rPr>
          <w:rFonts w:eastAsia="Times New Roman" w:cs="Times New Roman"/>
          <w:lang w:eastAsia="pl-PL"/>
        </w:rPr>
        <w:t>Projekty inwestycyjne w celu budowy nowych zakładów produkcyjnych, </w:t>
      </w:r>
    </w:p>
    <w:p w14:paraId="59238B97" w14:textId="77777777" w:rsidR="00902ABB" w:rsidRPr="004D6F82" w:rsidRDefault="00902ABB" w:rsidP="000625AC">
      <w:pPr>
        <w:pStyle w:val="Akapitzlist"/>
        <w:numPr>
          <w:ilvl w:val="0"/>
          <w:numId w:val="116"/>
        </w:numPr>
        <w:rPr>
          <w:rFonts w:eastAsia="Times New Roman" w:cs="Times New Roman"/>
          <w:lang w:eastAsia="pl-PL"/>
        </w:rPr>
      </w:pPr>
      <w:r w:rsidRPr="004D6F82">
        <w:rPr>
          <w:rFonts w:eastAsia="Times New Roman" w:cs="Times New Roman"/>
          <w:lang w:eastAsia="pl-PL"/>
        </w:rPr>
        <w:t>Projekty inwestycyjne instalacji źródeł OZE, ciepła odpadowego, efektywności energetycznej.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3B53273F" w14:textId="77777777" w:rsidTr="003E4486">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43AF03BC"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4CFC8056" wp14:editId="0DD43884">
                  <wp:extent cx="621030" cy="621030"/>
                  <wp:effectExtent l="0" t="0" r="7620" b="7620"/>
                  <wp:docPr id="425196157" name="Obraz 1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C2F2202"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73870FB"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30EFC8E0"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0158278"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543ADC41" w14:textId="77777777" w:rsidR="00902ABB" w:rsidRPr="004D6F82" w:rsidRDefault="00902ABB" w:rsidP="004D5FAC">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surowcami energetycznymi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1209F53"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rozwoju regionalnego </w:t>
            </w:r>
          </w:p>
          <w:p w14:paraId="0B8D2858"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ds. energii </w:t>
            </w:r>
          </w:p>
          <w:p w14:paraId="41516EBE" w14:textId="77777777" w:rsidR="00902ABB" w:rsidRPr="00986124" w:rsidRDefault="00902ABB">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klimatu </w:t>
            </w:r>
          </w:p>
          <w:p w14:paraId="6C124065" w14:textId="77777777" w:rsidR="00902ABB" w:rsidRPr="00986124" w:rsidRDefault="00902ABB">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PFR </w:t>
            </w:r>
          </w:p>
          <w:p w14:paraId="133D4693" w14:textId="77777777" w:rsidR="00902ABB" w:rsidRPr="00986124" w:rsidRDefault="00902ABB">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NCBR </w:t>
            </w:r>
          </w:p>
          <w:p w14:paraId="30C92DD3"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PARP </w:t>
            </w:r>
          </w:p>
        </w:tc>
      </w:tr>
    </w:tbl>
    <w:p w14:paraId="79FA0F51" w14:textId="5E35B45C" w:rsidR="00902ABB" w:rsidRPr="004D6F82" w:rsidRDefault="00902ABB" w:rsidP="0060033D">
      <w:pPr>
        <w:pStyle w:val="Nagwek6"/>
        <w:rPr>
          <w:rFonts w:ascii="Times New Roman" w:hAnsi="Times New Roman"/>
          <w:i/>
          <w:iCs/>
          <w:color w:val="595959"/>
          <w:sz w:val="24"/>
          <w:szCs w:val="24"/>
          <w:lang w:eastAsia="pl-PL"/>
        </w:rPr>
      </w:pPr>
      <w:bookmarkStart w:id="1430" w:name="_Toc195866006"/>
      <w:bookmarkStart w:id="1431" w:name="_Ref195888300"/>
      <w:bookmarkStart w:id="1432" w:name="_Ref195888349"/>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152</w:t>
      </w:r>
      <w:r w:rsidRPr="00FB68C2">
        <w:rPr>
          <w:rStyle w:val="Nagwek6Znak"/>
          <w:b/>
        </w:rPr>
        <w:fldChar w:fldCharType="end"/>
      </w:r>
      <w:r w:rsidRPr="00FB68C2">
        <w:rPr>
          <w:rStyle w:val="Nagwek6Znak"/>
          <w:b/>
        </w:rPr>
        <w:t xml:space="preserve">. </w:t>
      </w:r>
      <w:r w:rsidRPr="004D6F82">
        <w:rPr>
          <w:lang w:eastAsia="pl-PL"/>
        </w:rPr>
        <w:t>Budowanie świadomości w zakresie transformacji energetyczno-klimatycznej</w:t>
      </w:r>
      <w:bookmarkEnd w:id="1430"/>
      <w:bookmarkEnd w:id="1431"/>
      <w:bookmarkEnd w:id="1432"/>
      <w:r w:rsidR="003E2DE5">
        <w:rPr>
          <w:lang w:eastAsia="pl-PL"/>
        </w:rPr>
        <w:t xml:space="preserve"> </w:t>
      </w:r>
    </w:p>
    <w:p w14:paraId="3E18BBE5" w14:textId="77777777" w:rsidR="00902ABB" w:rsidRPr="005E77FD" w:rsidRDefault="00902ABB" w:rsidP="00902ABB">
      <w:pPr>
        <w:spacing w:line="240" w:lineRule="auto"/>
        <w:textAlignment w:val="baseline"/>
        <w:rPr>
          <w:rFonts w:eastAsia="Times New Roman" w:cs="Times New Roman"/>
          <w:u w:val="single"/>
          <w:lang w:eastAsia="pl-PL"/>
        </w:rPr>
      </w:pPr>
      <w:r w:rsidRPr="005E77FD">
        <w:rPr>
          <w:rFonts w:eastAsia="Times New Roman" w:cs="Times New Roman"/>
          <w:b/>
          <w:bCs/>
          <w:u w:val="single"/>
          <w:lang w:eastAsia="pl-PL"/>
        </w:rPr>
        <w:t>Obszar transformacji energetyczno-klimatycznej</w:t>
      </w:r>
      <w:r w:rsidRPr="005E77FD">
        <w:rPr>
          <w:rFonts w:eastAsia="Times New Roman" w:cs="Times New Roman"/>
          <w:u w:val="single"/>
          <w:lang w:eastAsia="pl-PL"/>
        </w:rPr>
        <w:t> </w:t>
      </w:r>
    </w:p>
    <w:p w14:paraId="55ED08DF" w14:textId="77777777" w:rsidR="00902ABB" w:rsidRPr="004D6F82" w:rsidRDefault="00902ABB" w:rsidP="00901FEA">
      <w:pPr>
        <w:spacing w:after="80"/>
        <w:rPr>
          <w:rFonts w:eastAsia="Times New Roman" w:cs="Times New Roman"/>
          <w:lang w:eastAsia="pl-PL"/>
        </w:rPr>
      </w:pPr>
      <w:r w:rsidRPr="004D6F82">
        <w:rPr>
          <w:rFonts w:eastAsia="Times New Roman" w:cs="Times New Roman"/>
          <w:lang w:eastAsia="pl-PL"/>
        </w:rPr>
        <w:t>Działania te mają na celu: </w:t>
      </w:r>
    </w:p>
    <w:p w14:paraId="017A3433" w14:textId="77777777" w:rsidR="00902ABB" w:rsidRPr="004D6F82" w:rsidRDefault="00902ABB" w:rsidP="000625AC">
      <w:pPr>
        <w:pStyle w:val="Akapitzlist"/>
        <w:numPr>
          <w:ilvl w:val="0"/>
          <w:numId w:val="104"/>
        </w:numPr>
        <w:rPr>
          <w:rFonts w:eastAsia="Times New Roman" w:cs="Times New Roman"/>
          <w:lang w:eastAsia="pl-PL"/>
        </w:rPr>
      </w:pPr>
      <w:r w:rsidRPr="004D6F82">
        <w:rPr>
          <w:rFonts w:eastAsia="Times New Roman" w:cs="Times New Roman"/>
          <w:lang w:eastAsia="pl-PL"/>
        </w:rPr>
        <w:t>Budowanie świadomości i zwiększanie wiedzy w zakresie korzyści związanych z dekarbonizacją </w:t>
      </w:r>
    </w:p>
    <w:p w14:paraId="48312C31" w14:textId="401A6FE2" w:rsidR="00902ABB" w:rsidRPr="004D6F82" w:rsidRDefault="00902ABB" w:rsidP="000625AC">
      <w:pPr>
        <w:pStyle w:val="Akapitzlist"/>
        <w:numPr>
          <w:ilvl w:val="0"/>
          <w:numId w:val="104"/>
        </w:numPr>
        <w:rPr>
          <w:rFonts w:eastAsia="Times New Roman" w:cs="Times New Roman"/>
          <w:lang w:eastAsia="pl-PL"/>
        </w:rPr>
      </w:pPr>
      <w:r w:rsidRPr="004D6F82">
        <w:rPr>
          <w:rFonts w:eastAsia="Times New Roman" w:cs="Times New Roman"/>
          <w:lang w:eastAsia="pl-PL"/>
        </w:rPr>
        <w:t>Budowanie i utrzymanie wysokiego poparcia społecznego dla działań zawartych w dokumencie.</w:t>
      </w:r>
      <w:r w:rsidR="003E2DE5">
        <w:rPr>
          <w:rFonts w:eastAsia="Times New Roman" w:cs="Times New Roman"/>
          <w:lang w:eastAsia="pl-PL"/>
        </w:rPr>
        <w:t xml:space="preserve"> </w:t>
      </w:r>
    </w:p>
    <w:p w14:paraId="21793F54" w14:textId="5142F5F6" w:rsidR="00902ABB" w:rsidRPr="004D6F82" w:rsidRDefault="00902ABB" w:rsidP="00FC46D9">
      <w:pPr>
        <w:rPr>
          <w:lang w:eastAsia="pl-PL"/>
        </w:rPr>
      </w:pPr>
      <w:r w:rsidRPr="004D6F82">
        <w:rPr>
          <w:lang w:eastAsia="pl-PL"/>
        </w:rPr>
        <w:t>Transformacja energetyczno-klimatyczna dotyczy całej gospodarki i społeczeństwa. Działania będą więc kierowane do różnorodnych grup docelowych. </w:t>
      </w:r>
    </w:p>
    <w:p w14:paraId="437F2B31" w14:textId="0E2B9F23" w:rsidR="00902ABB" w:rsidRPr="004D6F82" w:rsidRDefault="00FC46D9" w:rsidP="00FC46D9">
      <w:pPr>
        <w:rPr>
          <w:lang w:eastAsia="pl-PL"/>
        </w:rPr>
      </w:pPr>
      <w:r>
        <w:rPr>
          <w:lang w:eastAsia="pl-PL"/>
        </w:rPr>
        <w:t>T</w:t>
      </w:r>
      <w:r w:rsidR="00902ABB" w:rsidRPr="004D6F82">
        <w:rPr>
          <w:lang w:eastAsia="pl-PL"/>
        </w:rPr>
        <w:t xml:space="preserve">ransformacja zmienia </w:t>
      </w:r>
      <w:r w:rsidRPr="004D6F82">
        <w:rPr>
          <w:lang w:eastAsia="pl-PL"/>
        </w:rPr>
        <w:t xml:space="preserve">W szczególności </w:t>
      </w:r>
      <w:r w:rsidR="00902ABB" w:rsidRPr="004D6F82">
        <w:rPr>
          <w:lang w:eastAsia="pl-PL"/>
        </w:rPr>
        <w:t>funkcjonowanie sektorów takich jak energetyka, transport, ciepłownictwo, budownictwo, przemysł i rolnictwo. Wprowadza gospodarkę obiegu zamkniętego, zmienia sposób zarządzania zasobami oraz zasady funkcjonowania miast i społeczeństwa, uwzględniając konieczność przystosowania się do zmian klimatu. </w:t>
      </w:r>
    </w:p>
    <w:p w14:paraId="00A8E10E" w14:textId="77777777" w:rsidR="00902ABB" w:rsidRPr="004D6F82" w:rsidRDefault="00902ABB" w:rsidP="00901FEA">
      <w:pPr>
        <w:spacing w:after="80" w:line="240" w:lineRule="auto"/>
        <w:textAlignment w:val="baseline"/>
        <w:rPr>
          <w:rFonts w:eastAsia="Times New Roman" w:cs="Times New Roman"/>
          <w:lang w:eastAsia="pl-PL"/>
        </w:rPr>
      </w:pPr>
      <w:r w:rsidRPr="004D6F82">
        <w:rPr>
          <w:rFonts w:eastAsia="Times New Roman" w:cs="Times New Roman"/>
          <w:lang w:eastAsia="pl-PL"/>
        </w:rPr>
        <w:t>Dlatego odrębne działania edukacyjno-promocyjne będą kierowane m. in. do: </w:t>
      </w:r>
    </w:p>
    <w:p w14:paraId="69CE78ED"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mediów ogólnopolskich i regionalnych; </w:t>
      </w:r>
    </w:p>
    <w:p w14:paraId="310207B2"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lokalnych liderek i liderów opinii, osób kształtujących poglądy mniejszych społeczności; </w:t>
      </w:r>
    </w:p>
    <w:p w14:paraId="35EE16AD"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liderek i liderów opinii w sieci (w tym mediach społecznościowych); </w:t>
      </w:r>
    </w:p>
    <w:p w14:paraId="09E8AA9E"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osób aktywnych zawodowo, odpowiadających za funkcjonowanie gospodarstw domowych; </w:t>
      </w:r>
    </w:p>
    <w:p w14:paraId="3DE6129D"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przedsiębiorców (od mikro i małych przedsiębiorców aż po duży biznes) </w:t>
      </w:r>
    </w:p>
    <w:p w14:paraId="3E64F91C"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osób kierujących samochodami; </w:t>
      </w:r>
    </w:p>
    <w:p w14:paraId="42B58C7A"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prosumentów; </w:t>
      </w:r>
    </w:p>
    <w:p w14:paraId="49DAEDF9"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rolników; </w:t>
      </w:r>
    </w:p>
    <w:p w14:paraId="6EE85880" w14:textId="77777777" w:rsidR="00902ABB" w:rsidRPr="004D6F82" w:rsidRDefault="00902ABB" w:rsidP="000625AC">
      <w:pPr>
        <w:pStyle w:val="Akapitzlist"/>
        <w:numPr>
          <w:ilvl w:val="0"/>
          <w:numId w:val="105"/>
        </w:numPr>
        <w:rPr>
          <w:rFonts w:eastAsia="Times New Roman" w:cs="Times New Roman"/>
          <w:lang w:eastAsia="pl-PL"/>
        </w:rPr>
      </w:pPr>
      <w:r w:rsidRPr="004D6F82">
        <w:rPr>
          <w:rFonts w:eastAsia="Times New Roman" w:cs="Times New Roman"/>
          <w:lang w:eastAsia="pl-PL"/>
        </w:rPr>
        <w:t>nauczycieli i edukatorów; </w:t>
      </w:r>
    </w:p>
    <w:p w14:paraId="629807AE" w14:textId="77777777" w:rsidR="00902ABB" w:rsidRPr="004D6F82" w:rsidRDefault="00902ABB" w:rsidP="000625AC">
      <w:pPr>
        <w:pStyle w:val="Akapitzlist"/>
        <w:numPr>
          <w:ilvl w:val="0"/>
          <w:numId w:val="105"/>
        </w:numPr>
        <w:tabs>
          <w:tab w:val="left" w:pos="567"/>
          <w:tab w:val="left" w:pos="709"/>
        </w:tabs>
        <w:ind w:left="567"/>
        <w:rPr>
          <w:rFonts w:eastAsia="Times New Roman" w:cs="Times New Roman"/>
          <w:lang w:eastAsia="pl-PL"/>
        </w:rPr>
      </w:pPr>
      <w:r w:rsidRPr="004D6F82">
        <w:rPr>
          <w:rFonts w:eastAsia="Times New Roman" w:cs="Times New Roman"/>
          <w:lang w:eastAsia="pl-PL"/>
        </w:rPr>
        <w:t>mieszkanek i mieszkańców dużych i mniejszych ośrodków miejskich; </w:t>
      </w:r>
    </w:p>
    <w:p w14:paraId="7D6B8EAD" w14:textId="1A84E8D2" w:rsidR="00902ABB" w:rsidRPr="004D6F82" w:rsidRDefault="00902ABB" w:rsidP="000625AC">
      <w:pPr>
        <w:pStyle w:val="Akapitzlist"/>
        <w:numPr>
          <w:ilvl w:val="0"/>
          <w:numId w:val="105"/>
        </w:numPr>
        <w:tabs>
          <w:tab w:val="left" w:pos="567"/>
          <w:tab w:val="left" w:pos="709"/>
        </w:tabs>
        <w:ind w:left="567"/>
        <w:rPr>
          <w:rFonts w:eastAsia="Times New Roman" w:cs="Times New Roman"/>
          <w:lang w:eastAsia="pl-PL"/>
        </w:rPr>
      </w:pPr>
      <w:r w:rsidRPr="004D6F82">
        <w:rPr>
          <w:rFonts w:eastAsia="Times New Roman" w:cs="Times New Roman"/>
          <w:lang w:eastAsia="pl-PL"/>
        </w:rPr>
        <w:t>mieszkanek i mieszkańców obszarów wiejskich; </w:t>
      </w:r>
    </w:p>
    <w:p w14:paraId="224D7557" w14:textId="77777777" w:rsidR="00902ABB" w:rsidRPr="004D6F82" w:rsidRDefault="00902ABB" w:rsidP="000625AC">
      <w:pPr>
        <w:pStyle w:val="Akapitzlist"/>
        <w:numPr>
          <w:ilvl w:val="0"/>
          <w:numId w:val="105"/>
        </w:numPr>
        <w:tabs>
          <w:tab w:val="left" w:pos="567"/>
          <w:tab w:val="left" w:pos="709"/>
        </w:tabs>
        <w:ind w:left="567"/>
        <w:rPr>
          <w:rFonts w:eastAsia="Times New Roman" w:cs="Times New Roman"/>
          <w:lang w:eastAsia="pl-PL"/>
        </w:rPr>
      </w:pPr>
      <w:r w:rsidRPr="004D6F82">
        <w:rPr>
          <w:rFonts w:eastAsia="Times New Roman" w:cs="Times New Roman"/>
          <w:lang w:eastAsia="pl-PL"/>
        </w:rPr>
        <w:t>osób nieaktywnych zawodowo; </w:t>
      </w:r>
    </w:p>
    <w:p w14:paraId="109B5310" w14:textId="77777777" w:rsidR="00902ABB" w:rsidRPr="004D6F82" w:rsidRDefault="00902ABB" w:rsidP="000625AC">
      <w:pPr>
        <w:pStyle w:val="Akapitzlist"/>
        <w:numPr>
          <w:ilvl w:val="0"/>
          <w:numId w:val="105"/>
        </w:numPr>
        <w:tabs>
          <w:tab w:val="left" w:pos="567"/>
          <w:tab w:val="left" w:pos="709"/>
        </w:tabs>
        <w:ind w:left="567"/>
        <w:rPr>
          <w:rFonts w:eastAsia="Times New Roman" w:cs="Times New Roman"/>
          <w:lang w:eastAsia="pl-PL"/>
        </w:rPr>
      </w:pPr>
      <w:r w:rsidRPr="004D6F82">
        <w:rPr>
          <w:rFonts w:eastAsia="Times New Roman" w:cs="Times New Roman"/>
          <w:lang w:eastAsia="pl-PL"/>
        </w:rPr>
        <w:t>administracji centralnej i samorządowej; </w:t>
      </w:r>
    </w:p>
    <w:p w14:paraId="31CE5917" w14:textId="77777777" w:rsidR="00902ABB" w:rsidRPr="004D6F82" w:rsidRDefault="00902ABB" w:rsidP="000625AC">
      <w:pPr>
        <w:pStyle w:val="Akapitzlist"/>
        <w:numPr>
          <w:ilvl w:val="0"/>
          <w:numId w:val="105"/>
        </w:numPr>
        <w:tabs>
          <w:tab w:val="left" w:pos="567"/>
          <w:tab w:val="left" w:pos="709"/>
        </w:tabs>
        <w:ind w:left="567"/>
        <w:rPr>
          <w:rFonts w:eastAsia="Times New Roman" w:cs="Times New Roman"/>
          <w:lang w:eastAsia="pl-PL"/>
        </w:rPr>
      </w:pPr>
      <w:r w:rsidRPr="004D6F82">
        <w:rPr>
          <w:rFonts w:eastAsia="Times New Roman" w:cs="Times New Roman"/>
          <w:lang w:eastAsia="pl-PL"/>
        </w:rPr>
        <w:t>pracowniczek i pracowników służby zdrowia; </w:t>
      </w:r>
    </w:p>
    <w:p w14:paraId="543C9DBF" w14:textId="3A84BF62" w:rsidR="00902ABB" w:rsidRPr="004D6F82" w:rsidRDefault="00902ABB" w:rsidP="000625AC">
      <w:pPr>
        <w:pStyle w:val="Akapitzlist"/>
        <w:numPr>
          <w:ilvl w:val="0"/>
          <w:numId w:val="105"/>
        </w:numPr>
        <w:tabs>
          <w:tab w:val="left" w:pos="567"/>
          <w:tab w:val="left" w:pos="709"/>
        </w:tabs>
        <w:ind w:left="567"/>
        <w:rPr>
          <w:rFonts w:eastAsia="Times New Roman" w:cs="Times New Roman"/>
          <w:lang w:eastAsia="pl-PL"/>
        </w:rPr>
      </w:pPr>
      <w:r w:rsidRPr="004D6F82">
        <w:rPr>
          <w:rFonts w:eastAsia="Times New Roman" w:cs="Times New Roman"/>
          <w:lang w:eastAsia="pl-PL"/>
        </w:rPr>
        <w:t xml:space="preserve">grup szczególnie narażonych na </w:t>
      </w:r>
      <w:r w:rsidR="00505141" w:rsidRPr="004D6F82">
        <w:rPr>
          <w:rFonts w:eastAsia="Times New Roman" w:cs="Times New Roman"/>
          <w:lang w:eastAsia="pl-PL"/>
        </w:rPr>
        <w:t>dezinformację</w:t>
      </w:r>
      <w:r w:rsidRPr="004D6F82">
        <w:rPr>
          <w:rFonts w:eastAsia="Times New Roman" w:cs="Times New Roman"/>
          <w:lang w:eastAsia="pl-PL"/>
        </w:rPr>
        <w:t>. </w:t>
      </w:r>
    </w:p>
    <w:p w14:paraId="347C92C9" w14:textId="3AF27D57" w:rsidR="00902ABB" w:rsidRPr="004D6F82" w:rsidRDefault="00902ABB" w:rsidP="004F3085">
      <w:pPr>
        <w:spacing w:after="80"/>
        <w:rPr>
          <w:rFonts w:eastAsia="Times New Roman" w:cs="Times New Roman"/>
          <w:lang w:eastAsia="pl-PL"/>
        </w:rPr>
      </w:pPr>
      <w:r w:rsidRPr="004D6F82">
        <w:rPr>
          <w:rFonts w:eastAsia="Times New Roman" w:cs="Times New Roman"/>
          <w:lang w:eastAsia="pl-PL"/>
        </w:rPr>
        <w:t>Główne narzędzia realizacji: </w:t>
      </w:r>
    </w:p>
    <w:p w14:paraId="2A18002A" w14:textId="77777777" w:rsidR="00902ABB" w:rsidRPr="004D6F82" w:rsidRDefault="00902ABB" w:rsidP="000625AC">
      <w:pPr>
        <w:pStyle w:val="Akapitzlist"/>
        <w:numPr>
          <w:ilvl w:val="0"/>
          <w:numId w:val="119"/>
        </w:numPr>
        <w:rPr>
          <w:rFonts w:eastAsia="Times New Roman" w:cs="Times New Roman"/>
          <w:lang w:eastAsia="pl-PL"/>
        </w:rPr>
      </w:pPr>
      <w:r w:rsidRPr="004D6F82">
        <w:rPr>
          <w:rFonts w:eastAsia="Times New Roman" w:cs="Times New Roman"/>
          <w:lang w:eastAsia="pl-PL"/>
        </w:rPr>
        <w:lastRenderedPageBreak/>
        <w:t>Działania zwiększające partycypację społeczną i angażujące lokalne społeczności – m. in. organizacja cyklu paneli obywatelskich. </w:t>
      </w:r>
    </w:p>
    <w:p w14:paraId="75CB083F" w14:textId="1248E954" w:rsidR="00902ABB" w:rsidRPr="004D6F82" w:rsidRDefault="00902ABB" w:rsidP="000625AC">
      <w:pPr>
        <w:pStyle w:val="Akapitzlist"/>
        <w:numPr>
          <w:ilvl w:val="0"/>
          <w:numId w:val="119"/>
        </w:numPr>
        <w:rPr>
          <w:rFonts w:eastAsia="Times New Roman" w:cs="Times New Roman"/>
          <w:lang w:eastAsia="pl-PL"/>
        </w:rPr>
      </w:pPr>
      <w:r w:rsidRPr="004D6F82">
        <w:rPr>
          <w:rFonts w:eastAsia="Times New Roman" w:cs="Times New Roman"/>
          <w:lang w:eastAsia="pl-PL"/>
        </w:rPr>
        <w:t>Edukacja formalna i nieformalna – m. in. szkolenia i zwiększanie kompetencji edukatorek i</w:t>
      </w:r>
      <w:r w:rsidR="00817026">
        <w:rPr>
          <w:rFonts w:eastAsia="Times New Roman" w:cs="Times New Roman"/>
          <w:lang w:eastAsia="pl-PL"/>
        </w:rPr>
        <w:t> </w:t>
      </w:r>
      <w:r w:rsidRPr="004D6F82">
        <w:rPr>
          <w:rFonts w:eastAsia="Times New Roman" w:cs="Times New Roman"/>
          <w:lang w:eastAsia="pl-PL"/>
        </w:rPr>
        <w:t>edukatorów, w tym nauczyciele i nauczycieli </w:t>
      </w:r>
    </w:p>
    <w:p w14:paraId="0908538C" w14:textId="77777777" w:rsidR="00902ABB" w:rsidRPr="004D6F82" w:rsidRDefault="00902ABB" w:rsidP="000625AC">
      <w:pPr>
        <w:pStyle w:val="Akapitzlist"/>
        <w:numPr>
          <w:ilvl w:val="0"/>
          <w:numId w:val="119"/>
        </w:numPr>
        <w:rPr>
          <w:rFonts w:eastAsia="Times New Roman" w:cs="Times New Roman"/>
          <w:lang w:eastAsia="pl-PL"/>
        </w:rPr>
      </w:pPr>
      <w:r w:rsidRPr="004D6F82">
        <w:rPr>
          <w:rFonts w:eastAsia="Times New Roman" w:cs="Times New Roman"/>
          <w:lang w:eastAsia="pl-PL"/>
        </w:rPr>
        <w:t>Wieloetapowe kampanie edukacyjno-promocyjne zwiększające świadomość społeczną w tym zakresie i budujące poparcie dla zmian. </w:t>
      </w:r>
    </w:p>
    <w:p w14:paraId="1F79E2AD" w14:textId="11AED8E3" w:rsidR="00902ABB" w:rsidRPr="004D6F82" w:rsidRDefault="00902ABB" w:rsidP="000625AC">
      <w:pPr>
        <w:pStyle w:val="Akapitzlist"/>
        <w:numPr>
          <w:ilvl w:val="0"/>
          <w:numId w:val="119"/>
        </w:numPr>
        <w:rPr>
          <w:rFonts w:eastAsia="Times New Roman" w:cs="Times New Roman"/>
          <w:lang w:eastAsia="pl-PL"/>
        </w:rPr>
      </w:pPr>
      <w:r w:rsidRPr="004D6F82">
        <w:rPr>
          <w:rFonts w:eastAsia="Times New Roman" w:cs="Times New Roman"/>
          <w:lang w:eastAsia="pl-PL"/>
        </w:rPr>
        <w:t>Aktywne przeciwdziałanie i monitorowanie dezinformacji (prebunking, debunking, podnoszenie kompetencji społecznych w</w:t>
      </w:r>
      <w:r w:rsidR="003E2DE5">
        <w:rPr>
          <w:rFonts w:eastAsia="Times New Roman" w:cs="Times New Roman"/>
          <w:lang w:eastAsia="pl-PL"/>
        </w:rPr>
        <w:t xml:space="preserve"> </w:t>
      </w:r>
      <w:r w:rsidRPr="004D6F82">
        <w:rPr>
          <w:rFonts w:eastAsia="Times New Roman" w:cs="Times New Roman"/>
          <w:lang w:eastAsia="pl-PL"/>
        </w:rPr>
        <w:t>zakresie wykrywania i radzenia sobie z dezinformacją lub FIMI). </w:t>
      </w:r>
    </w:p>
    <w:p w14:paraId="21F9BEE5" w14:textId="122BF956" w:rsidR="00902ABB" w:rsidRPr="004D6F82" w:rsidRDefault="00902ABB" w:rsidP="000625AC">
      <w:pPr>
        <w:pStyle w:val="Akapitzlist"/>
        <w:numPr>
          <w:ilvl w:val="0"/>
          <w:numId w:val="119"/>
        </w:numPr>
        <w:rPr>
          <w:rFonts w:eastAsia="Times New Roman" w:cs="Times New Roman"/>
          <w:lang w:eastAsia="pl-PL"/>
        </w:rPr>
      </w:pPr>
      <w:r w:rsidRPr="004D6F82">
        <w:rPr>
          <w:rFonts w:eastAsia="Times New Roman" w:cs="Times New Roman"/>
          <w:lang w:eastAsia="pl-PL"/>
        </w:rPr>
        <w:t>Działania te będą skupione na pokazywaniu korzyści dla społeczeństwa i gospodarki wynikających z</w:t>
      </w:r>
      <w:r w:rsidR="00817026">
        <w:rPr>
          <w:rFonts w:eastAsia="Times New Roman" w:cs="Times New Roman"/>
          <w:lang w:eastAsia="pl-PL"/>
        </w:rPr>
        <w:t> </w:t>
      </w:r>
      <w:r w:rsidRPr="004D6F82">
        <w:rPr>
          <w:rFonts w:eastAsia="Times New Roman" w:cs="Times New Roman"/>
          <w:lang w:eastAsia="pl-PL"/>
        </w:rPr>
        <w:t>transformacji, będą zachęcały do aktywnego udziału i realizacji koniecznych zmian. </w:t>
      </w:r>
    </w:p>
    <w:p w14:paraId="051D2BF0" w14:textId="2A517C45" w:rsidR="00902ABB" w:rsidRPr="0040019B" w:rsidRDefault="00902ABB" w:rsidP="0040019B">
      <w:pPr>
        <w:spacing w:before="240"/>
        <w:rPr>
          <w:b/>
          <w:lang w:eastAsia="pl-PL"/>
        </w:rPr>
      </w:pPr>
      <w:r w:rsidRPr="0040019B">
        <w:rPr>
          <w:b/>
          <w:lang w:eastAsia="pl-PL"/>
        </w:rPr>
        <w:t>Zagrożenie dezinformacją </w:t>
      </w:r>
    </w:p>
    <w:p w14:paraId="4B2B5A5F" w14:textId="3C090619" w:rsidR="00902ABB" w:rsidRPr="004D6F82" w:rsidRDefault="00902ABB" w:rsidP="001510D5">
      <w:pPr>
        <w:rPr>
          <w:rFonts w:eastAsia="Times New Roman" w:cs="Times New Roman"/>
          <w:lang w:eastAsia="pl-PL"/>
        </w:rPr>
      </w:pPr>
      <w:r w:rsidRPr="004D6F82">
        <w:rPr>
          <w:rFonts w:eastAsia="Times New Roman" w:cs="Times New Roman"/>
          <w:lang w:eastAsia="pl-PL"/>
        </w:rPr>
        <w:t>Dezinformacja jest jednym z największych zagrożeń dla transformacji energetyczno-klimatycznej. Podważa zaufanie społeczne do koniecznych zmian, spowalnia decyzje polityczne i prowadzi do</w:t>
      </w:r>
      <w:r w:rsidR="00817026">
        <w:rPr>
          <w:rFonts w:eastAsia="Times New Roman" w:cs="Times New Roman"/>
          <w:lang w:eastAsia="pl-PL"/>
        </w:rPr>
        <w:t> </w:t>
      </w:r>
      <w:r w:rsidRPr="004D6F82">
        <w:rPr>
          <w:rFonts w:eastAsia="Times New Roman" w:cs="Times New Roman"/>
          <w:lang w:eastAsia="pl-PL"/>
        </w:rPr>
        <w:t>utrwalania nieefektywnych, kosztownych rozwiązań.</w:t>
      </w:r>
      <w:r w:rsidR="003E2DE5">
        <w:rPr>
          <w:rFonts w:eastAsia="Times New Roman" w:cs="Times New Roman"/>
          <w:lang w:eastAsia="pl-PL"/>
        </w:rPr>
        <w:t xml:space="preserve"> </w:t>
      </w:r>
    </w:p>
    <w:p w14:paraId="5936D397" w14:textId="0C40A923" w:rsidR="00902ABB" w:rsidRPr="004D6F82" w:rsidRDefault="00902ABB" w:rsidP="001510D5">
      <w:pPr>
        <w:rPr>
          <w:rFonts w:eastAsia="Times New Roman" w:cs="Times New Roman"/>
          <w:lang w:eastAsia="pl-PL"/>
        </w:rPr>
      </w:pPr>
      <w:r w:rsidRPr="004D6F82">
        <w:rPr>
          <w:rFonts w:eastAsia="Times New Roman" w:cs="Times New Roman"/>
          <w:lang w:eastAsia="pl-PL"/>
        </w:rPr>
        <w:t>Fałszywe informacje blokują inwestycje, zniechęcają do innowacji i wzmacniają lęk przed nowymi technologiami. Tworzą podziały społeczne, utrudniają współpracę międzynarodową i opóźniają wdrażanie strategii niezbędnych do ograniczenia skutków kryzysu klimatycznego.</w:t>
      </w:r>
      <w:r w:rsidR="003E2DE5">
        <w:rPr>
          <w:rFonts w:eastAsia="Times New Roman" w:cs="Times New Roman"/>
          <w:lang w:eastAsia="pl-PL"/>
        </w:rPr>
        <w:t xml:space="preserve"> </w:t>
      </w:r>
    </w:p>
    <w:p w14:paraId="276022F8" w14:textId="77777777" w:rsidR="00902ABB" w:rsidRPr="004D6F82" w:rsidRDefault="00902ABB" w:rsidP="001510D5">
      <w:pPr>
        <w:rPr>
          <w:rFonts w:eastAsia="Times New Roman" w:cs="Times New Roman"/>
          <w:lang w:eastAsia="pl-PL"/>
        </w:rPr>
      </w:pPr>
      <w:r w:rsidRPr="004D6F82">
        <w:rPr>
          <w:rFonts w:eastAsia="Times New Roman" w:cs="Times New Roman"/>
          <w:lang w:eastAsia="pl-PL"/>
        </w:rPr>
        <w:t>Jeśli dezinformacja nie zostanie skutecznie ograniczona, proces transformacji może zostać zahamowany, co doprowadzi do dalszej zależności od paliw kopalnych, wyższych kosztów energii i pogłębiania kryzysu klimatycznego. </w:t>
      </w:r>
    </w:p>
    <w:p w14:paraId="2E2A5924" w14:textId="77777777" w:rsidR="00902ABB" w:rsidRPr="0040019B" w:rsidRDefault="00902ABB" w:rsidP="0040019B">
      <w:pPr>
        <w:spacing w:before="240"/>
        <w:rPr>
          <w:rFonts w:eastAsia="Times New Roman" w:cs="Times New Roman"/>
          <w:b/>
          <w:lang w:eastAsia="pl-PL"/>
        </w:rPr>
      </w:pPr>
      <w:r w:rsidRPr="0040019B">
        <w:rPr>
          <w:rFonts w:eastAsia="Times New Roman" w:cs="Times New Roman"/>
          <w:b/>
          <w:lang w:eastAsia="pl-PL"/>
        </w:rPr>
        <w:t>Rola społeczeństwa i paneli obywatelskich </w:t>
      </w:r>
    </w:p>
    <w:p w14:paraId="29AA73C6" w14:textId="77777777" w:rsidR="00902ABB" w:rsidRPr="004D6F82" w:rsidRDefault="00902ABB" w:rsidP="001510D5">
      <w:pPr>
        <w:rPr>
          <w:rFonts w:eastAsia="Times New Roman" w:cs="Times New Roman"/>
          <w:lang w:eastAsia="pl-PL"/>
        </w:rPr>
      </w:pPr>
      <w:r w:rsidRPr="004D6F82">
        <w:rPr>
          <w:rFonts w:eastAsia="Times New Roman" w:cs="Times New Roman"/>
          <w:lang w:eastAsia="pl-PL"/>
        </w:rPr>
        <w:t>Świadomość obywatelska i decyzje lokalnych społeczności (gmin) w zakresie transformacji energetycznej mogą być kształtowane poprzez aktywne włączanie społeczeństwa w proces zmian. Panele obywatelskie są skutecznym narzędziem partycypacji społecznej, umożliwiając mieszkańcom realny wpływ na kierunek transformacji. Zwiększają akceptację dla nowych rozwiązań i ograniczają opór wobec zmian. Dzięki otwartym debatom i konsultacjom lokalne władze mogą podejmować bardziej świadome decyzje, uwzględniające zarówno potrzeby społeczności, jak i cele klimatyczne. Wprowadzenie paneli obywatelskich sprzyja transparentności, wzmacnia dialog społeczny i pozwala budować długoterminowe, stabilne rozwiązania w zakresie lokalnej polityki energetycznej. </w:t>
      </w:r>
    </w:p>
    <w:p w14:paraId="0B284787" w14:textId="77777777" w:rsidR="00902ABB" w:rsidRPr="004D6F82" w:rsidRDefault="00902ABB" w:rsidP="00902ABB">
      <w:pPr>
        <w:spacing w:line="240" w:lineRule="auto"/>
        <w:textAlignment w:val="baseline"/>
        <w:rPr>
          <w:rFonts w:ascii="Times New Roman" w:eastAsia="Times New Roman" w:hAnsi="Times New Roman" w:cs="Times New Roman"/>
          <w:sz w:val="24"/>
          <w:szCs w:val="24"/>
          <w:lang w:eastAsia="pl-PL"/>
        </w:rPr>
      </w:pP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16435AB4" w14:textId="77777777" w:rsidTr="003E4486">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234CBC4B" w14:textId="77777777" w:rsidR="00902ABB" w:rsidRPr="004D6F82" w:rsidRDefault="00902ABB">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2188C831" wp14:editId="1774C809">
                  <wp:extent cx="621030" cy="621030"/>
                  <wp:effectExtent l="0" t="0" r="7620" b="7620"/>
                  <wp:docPr id="78" name="Obraz 14"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51E05034"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571B542"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2A7AB3" w14:paraId="1D6815CF" w14:textId="77777777" w:rsidTr="003E4486">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30FB67EF" w14:textId="77777777" w:rsidR="00902ABB" w:rsidRPr="004D6F82" w:rsidRDefault="00902ABB">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7CF0CAC"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klimatu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1D25FBF4"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 </w:t>
            </w:r>
          </w:p>
          <w:p w14:paraId="553F6E78" w14:textId="77777777" w:rsidR="00902ABB" w:rsidRPr="004D6F82" w:rsidRDefault="00902ABB" w:rsidP="003E4486">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ds. gospodarki </w:t>
            </w:r>
          </w:p>
          <w:p w14:paraId="7D7DDF96"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surowcami energetycznymi </w:t>
            </w:r>
          </w:p>
          <w:p w14:paraId="60F77035"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rolnictwa </w:t>
            </w:r>
          </w:p>
          <w:p w14:paraId="0F987EB1"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transportu </w:t>
            </w:r>
          </w:p>
          <w:p w14:paraId="6841132E" w14:textId="77777777" w:rsidR="00902ABB" w:rsidRPr="004D6F82"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nauki i szkolnictwa wyższego </w:t>
            </w:r>
          </w:p>
          <w:p w14:paraId="2389C579" w14:textId="77777777" w:rsidR="00902ABB" w:rsidRPr="002A7AB3"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oświaty i wychowania</w:t>
            </w:r>
            <w:r w:rsidRPr="002A7AB3">
              <w:rPr>
                <w:rFonts w:eastAsia="Times New Roman" w:cs="Times New Roman"/>
                <w:color w:val="808080"/>
                <w:sz w:val="18"/>
                <w:szCs w:val="18"/>
                <w:lang w:eastAsia="pl-PL"/>
              </w:rPr>
              <w:t> </w:t>
            </w:r>
          </w:p>
          <w:p w14:paraId="227FD701" w14:textId="211DAEA1" w:rsidR="00902ABB" w:rsidRPr="002A7AB3" w:rsidRDefault="00902ABB" w:rsidP="004F3085">
            <w:pPr>
              <w:spacing w:after="0" w:line="240" w:lineRule="auto"/>
              <w:jc w:val="left"/>
              <w:textAlignment w:val="baseline"/>
              <w:rPr>
                <w:rFonts w:ascii="Times New Roman" w:eastAsia="Times New Roman" w:hAnsi="Times New Roman" w:cs="Times New Roman"/>
                <w:sz w:val="24"/>
                <w:szCs w:val="24"/>
                <w:lang w:eastAsia="pl-PL"/>
              </w:rPr>
            </w:pPr>
          </w:p>
        </w:tc>
      </w:tr>
    </w:tbl>
    <w:p w14:paraId="3D26F2F3" w14:textId="77777777" w:rsidR="00FC190C" w:rsidRDefault="00FC190C" w:rsidP="00453D77">
      <w:pPr>
        <w:spacing w:before="240" w:after="120"/>
      </w:pPr>
    </w:p>
    <w:p w14:paraId="74175EFA" w14:textId="77777777" w:rsidR="004B47E8" w:rsidRDefault="004B47E8" w:rsidP="00453D77">
      <w:pPr>
        <w:spacing w:before="240" w:after="120"/>
      </w:pPr>
    </w:p>
    <w:p w14:paraId="240F3F5B" w14:textId="2E9EB814" w:rsidR="00FC190C" w:rsidRDefault="00FC190C" w:rsidP="00453D77">
      <w:pPr>
        <w:spacing w:before="240" w:after="120"/>
        <w:sectPr w:rsidR="00FC190C" w:rsidSect="005209BA">
          <w:headerReference w:type="even" r:id="rId115"/>
          <w:headerReference w:type="default" r:id="rId116"/>
          <w:headerReference w:type="first" r:id="rId117"/>
          <w:pgSz w:w="11906" w:h="16838"/>
          <w:pgMar w:top="1417" w:right="1417" w:bottom="1417" w:left="1417" w:header="708" w:footer="708" w:gutter="0"/>
          <w:cols w:space="708"/>
          <w:titlePg/>
          <w:docGrid w:linePitch="360"/>
        </w:sectPr>
      </w:pPr>
    </w:p>
    <w:bookmarkStart w:id="1433" w:name="_Toc159598359"/>
    <w:bookmarkStart w:id="1434" w:name="_Toc195897407"/>
    <w:bookmarkStart w:id="1435" w:name="_Toc205203237"/>
    <w:p w14:paraId="01CC47B3" w14:textId="0BA67810" w:rsidR="0057223B" w:rsidRPr="006B664F" w:rsidRDefault="00FB0534" w:rsidP="00A905F3">
      <w:pPr>
        <w:pStyle w:val="Nagwek2"/>
      </w:pPr>
      <w:r>
        <w:rPr>
          <w:noProof/>
          <w:lang w:eastAsia="pl-PL"/>
        </w:rPr>
        <w:lastRenderedPageBreak/>
        <mc:AlternateContent>
          <mc:Choice Requires="wps">
            <w:drawing>
              <wp:anchor distT="0" distB="0" distL="114300" distR="114300" simplePos="0" relativeHeight="251396608" behindDoc="0" locked="0" layoutInCell="1" allowOverlap="1" wp14:anchorId="583BB2BA" wp14:editId="60EB1A92">
                <wp:simplePos x="0" y="0"/>
                <wp:positionH relativeFrom="page">
                  <wp:posOffset>288290</wp:posOffset>
                </wp:positionH>
                <wp:positionV relativeFrom="page">
                  <wp:posOffset>467995</wp:posOffset>
                </wp:positionV>
                <wp:extent cx="7020000" cy="2253600"/>
                <wp:effectExtent l="0" t="0" r="9525" b="0"/>
                <wp:wrapNone/>
                <wp:docPr id="1142389358"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0000" cy="2253600"/>
                        </a:xfrm>
                        <a:prstGeom prst="rect">
                          <a:avLst/>
                        </a:prstGeom>
                        <a:solidFill>
                          <a:srgbClr val="ADB9C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6F1A81" w14:textId="36EBE6C2" w:rsidR="00C36C5C" w:rsidRPr="00936E90" w:rsidRDefault="00C36C5C" w:rsidP="00936E90">
                            <w:pPr>
                              <w:spacing w:after="0"/>
                              <w:ind w:left="851"/>
                              <w:jc w:val="left"/>
                              <w:rPr>
                                <w:rFonts w:ascii="Bahnschrift" w:hAnsi="Bahnschrift"/>
                                <w:color w:val="000000" w:themeColor="text1"/>
                                <w:kern w:val="24"/>
                                <w:sz w:val="64"/>
                                <w:szCs w:val="64"/>
                              </w:rPr>
                            </w:pPr>
                            <w:r w:rsidRPr="00936E90">
                              <w:rPr>
                                <w:rFonts w:ascii="Bahnschrift" w:hAnsi="Bahnschrift"/>
                                <w:color w:val="000000" w:themeColor="text1"/>
                                <w:kern w:val="24"/>
                                <w:sz w:val="56"/>
                                <w:szCs w:val="56"/>
                              </w:rPr>
                              <w:t>Wymiar 5.</w:t>
                            </w:r>
                            <w:r w:rsidRPr="00936E90">
                              <w:rPr>
                                <w:rFonts w:ascii="Bahnschrift" w:hAnsi="Bahnschrift"/>
                                <w:color w:val="000000" w:themeColor="text1"/>
                                <w:kern w:val="24"/>
                                <w:sz w:val="72"/>
                                <w:szCs w:val="72"/>
                              </w:rPr>
                              <w:br/>
                            </w:r>
                            <w:r w:rsidRPr="00936E90">
                              <w:rPr>
                                <w:rFonts w:ascii="Bahnschrift" w:hAnsi="Bahnschrift"/>
                                <w:b/>
                                <w:bCs/>
                                <w:color w:val="000000" w:themeColor="text1"/>
                                <w:kern w:val="24"/>
                                <w:sz w:val="64"/>
                                <w:szCs w:val="64"/>
                              </w:rPr>
                              <w:t>Badania naukowe, innowacje i konkurencyjność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83BB2BA" id="Prostokąt 1" o:spid="_x0000_s1139" style="position:absolute;left:0;text-align:left;margin-left:22.7pt;margin-top:36.85pt;width:552.75pt;height:177.45pt;z-index:25139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" fillcolor="#adb9ca" stroked="f" strokeweight="1pt">
                <v:textbox>
                  <w:txbxContent>
                    <w:p w14:paraId="2D6F1A81" w14:textId="36EBE6C2" w:rsidR="00C36C5C" w:rsidRPr="00936E90" w:rsidRDefault="00C36C5C" w:rsidP="00936E90">
                      <w:pPr>
                        <w:spacing w:after="0"/>
                        <w:ind w:left="851"/>
                        <w:jc w:val="left"/>
                        <w:rPr>
                          <w:rFonts w:ascii="Bahnschrift" w:hAnsi="Bahnschrift"/>
                          <w:color w:val="000000" w:themeColor="text1"/>
                          <w:kern w:val="24"/>
                          <w:sz w:val="64"/>
                          <w:szCs w:val="64"/>
                        </w:rPr>
                      </w:pPr>
                      <w:r w:rsidRPr="00936E90">
                        <w:rPr>
                          <w:rFonts w:ascii="Bahnschrift" w:hAnsi="Bahnschrift"/>
                          <w:color w:val="000000" w:themeColor="text1"/>
                          <w:kern w:val="24"/>
                          <w:sz w:val="56"/>
                          <w:szCs w:val="56"/>
                        </w:rPr>
                        <w:t>Wymiar 5.</w:t>
                      </w:r>
                      <w:r w:rsidRPr="00936E90">
                        <w:rPr>
                          <w:rFonts w:ascii="Bahnschrift" w:hAnsi="Bahnschrift"/>
                          <w:color w:val="000000" w:themeColor="text1"/>
                          <w:kern w:val="24"/>
                          <w:sz w:val="72"/>
                          <w:szCs w:val="72"/>
                        </w:rPr>
                        <w:br/>
                      </w:r>
                      <w:r w:rsidRPr="00936E90">
                        <w:rPr>
                          <w:rFonts w:ascii="Bahnschrift" w:hAnsi="Bahnschrift"/>
                          <w:b/>
                          <w:bCs/>
                          <w:color w:val="000000" w:themeColor="text1"/>
                          <w:kern w:val="24"/>
                          <w:sz w:val="64"/>
                          <w:szCs w:val="64"/>
                        </w:rPr>
                        <w:t>Badania naukowe, innowacje i konkurencyjność</w:t>
                      </w:r>
                    </w:p>
                  </w:txbxContent>
                </v:textbox>
                <w10:wrap anchorx="page" anchory="page"/>
              </v:rect>
            </w:pict>
          </mc:Fallback>
        </mc:AlternateContent>
      </w:r>
      <w:r w:rsidR="0057223B" w:rsidRPr="006B664F">
        <w:t>Badania naukowe, innowacje i konkurencyjność</w:t>
      </w:r>
      <w:bookmarkEnd w:id="1433"/>
      <w:bookmarkEnd w:id="1434"/>
      <w:bookmarkEnd w:id="1435"/>
    </w:p>
    <w:p w14:paraId="2FA97D03" w14:textId="30C4DEDC" w:rsidR="00FC190C" w:rsidRDefault="00FC190C"/>
    <w:p w14:paraId="72C92236" w14:textId="70D11C03" w:rsidR="00FC190C" w:rsidRDefault="00FC190C"/>
    <w:p w14:paraId="30F9A0BB" w14:textId="628CC457" w:rsidR="00FC190C" w:rsidRDefault="00FC190C"/>
    <w:p w14:paraId="5E7E0927" w14:textId="1488927E" w:rsidR="007B501E" w:rsidRPr="002A7AB3" w:rsidRDefault="007B501E" w:rsidP="00D523F3">
      <w:pPr>
        <w:pStyle w:val="Nagwek6"/>
        <w:rPr>
          <w:rFonts w:ascii="Times New Roman" w:hAnsi="Times New Roman"/>
          <w:sz w:val="24"/>
          <w:szCs w:val="24"/>
          <w:lang w:eastAsia="pl-PL"/>
        </w:rPr>
      </w:pPr>
      <w:bookmarkStart w:id="1436" w:name="_Ref198645792"/>
      <w:bookmarkStart w:id="1437" w:name="_Toc195866007"/>
      <w:bookmarkStart w:id="1438" w:name="_Ref195891159"/>
      <w:bookmarkStart w:id="1439" w:name="_Ref203388045"/>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153</w:t>
      </w:r>
      <w:r w:rsidRPr="00FB68C2">
        <w:rPr>
          <w:rStyle w:val="Nagwek6Znak"/>
          <w:b/>
        </w:rPr>
        <w:fldChar w:fldCharType="end"/>
      </w:r>
      <w:bookmarkEnd w:id="1436"/>
      <w:r w:rsidRPr="00FB68C2">
        <w:rPr>
          <w:rStyle w:val="Nagwek6Znak"/>
          <w:b/>
        </w:rPr>
        <w:t xml:space="preserve">. </w:t>
      </w:r>
      <w:r w:rsidRPr="00BA4DD1">
        <w:rPr>
          <w:lang w:eastAsia="pl-PL"/>
        </w:rPr>
        <w:t>Stopniowy wzrost nakładów i optymalne kierowanie środków na B+R (badania</w:t>
      </w:r>
      <w:r w:rsidR="00817026">
        <w:t> </w:t>
      </w:r>
      <w:r w:rsidRPr="00BA4DD1">
        <w:rPr>
          <w:lang w:eastAsia="pl-PL"/>
        </w:rPr>
        <w:t>i rozwój) w</w:t>
      </w:r>
      <w:r w:rsidRPr="00BA4DD1">
        <w:rPr>
          <w:rFonts w:ascii="Arial" w:hAnsi="Arial" w:cs="Arial"/>
          <w:lang w:eastAsia="pl-PL"/>
        </w:rPr>
        <w:t> </w:t>
      </w:r>
      <w:r w:rsidRPr="00BA4DD1">
        <w:rPr>
          <w:lang w:eastAsia="pl-PL"/>
        </w:rPr>
        <w:t>obszarach transformacji do gospodarki neutralnej klimatycznie</w:t>
      </w:r>
      <w:bookmarkEnd w:id="1437"/>
      <w:bookmarkEnd w:id="1438"/>
      <w:bookmarkEnd w:id="1439"/>
      <w:r w:rsidRPr="002A7AB3">
        <w:rPr>
          <w:lang w:eastAsia="pl-PL"/>
        </w:rPr>
        <w:t> </w:t>
      </w:r>
    </w:p>
    <w:p w14:paraId="243217FA" w14:textId="56D50E60" w:rsidR="007B501E" w:rsidRPr="005B2BC7" w:rsidRDefault="007B501E" w:rsidP="007B501E">
      <w:pPr>
        <w:rPr>
          <w:lang w:eastAsia="pl-PL"/>
        </w:rPr>
      </w:pPr>
      <w:r w:rsidRPr="005B2BC7">
        <w:rPr>
          <w:lang w:eastAsia="pl-PL"/>
        </w:rPr>
        <w:t>Działanie ma na celu zwiększanie i optymalne wykorzystywanie nakładów B+R na obszary związane z</w:t>
      </w:r>
      <w:r w:rsidR="00817026">
        <w:rPr>
          <w:lang w:eastAsia="pl-PL"/>
        </w:rPr>
        <w:t> </w:t>
      </w:r>
      <w:r w:rsidRPr="005B2BC7">
        <w:rPr>
          <w:lang w:eastAsia="pl-PL"/>
        </w:rPr>
        <w:t>transformacją energetyczno-klimatyczną, w tym działania związane z Europejskim Zielonym Ładem, na</w:t>
      </w:r>
      <w:r w:rsidR="00817026">
        <w:rPr>
          <w:lang w:eastAsia="pl-PL"/>
        </w:rPr>
        <w:t> </w:t>
      </w:r>
      <w:r w:rsidRPr="005B2BC7">
        <w:rPr>
          <w:lang w:eastAsia="pl-PL"/>
        </w:rPr>
        <w:t>czyste technologie energetyczne, przemysłowe i środowiskowe. Transformacja energetyczno-klimatyczna to proces zmieniający całą gospodarkę. Bardzo istotnym zmianom podlegać będą: energetyka, transport, ciepłownictwo, budownictwo, przemył, rolnictwo, gospodarka obiegu zamkniętego, gospodarowanie zasobami, sposób funkcjonowania miast i społeczeństwa. W związku z</w:t>
      </w:r>
      <w:r w:rsidR="00817026">
        <w:rPr>
          <w:lang w:eastAsia="pl-PL"/>
        </w:rPr>
        <w:t> </w:t>
      </w:r>
      <w:r w:rsidRPr="005B2BC7">
        <w:rPr>
          <w:lang w:eastAsia="pl-PL"/>
        </w:rPr>
        <w:t>tym istotna część środków na B+R w Polsce powinna być kierowana na rozwijanie nowych technologii w tych obszarach. Wsparcie badań i innowacji przyczyni się do zwiększenia udziału polskich rozwiązań technologicznych w procesie transformacji, powodując rozwój polskiej gospodarki i zwiększania ilości miejsc pracy w istotnych sektorach.</w:t>
      </w:r>
      <w:r w:rsidR="003E2DE5">
        <w:rPr>
          <w:lang w:eastAsia="pl-PL"/>
        </w:rPr>
        <w:t xml:space="preserve"> </w:t>
      </w:r>
    </w:p>
    <w:p w14:paraId="30CEA07F" w14:textId="21CAAFA6" w:rsidR="007B501E" w:rsidRDefault="007B501E" w:rsidP="007B501E">
      <w:pPr>
        <w:rPr>
          <w:lang w:eastAsia="pl-PL"/>
        </w:rPr>
      </w:pPr>
      <w:r w:rsidRPr="005B2BC7">
        <w:rPr>
          <w:lang w:eastAsia="pl-PL"/>
        </w:rPr>
        <w:t xml:space="preserve">W ramach realizacji działania należy powołać specjalny Zespół Koordynacyjny składający się z wiodących instytucji odpowiedzialnych za transformację energetyczno-klimatyczną oraz z instytucji finansujących prowadzenie działań badawczo-rozwojowych. Do Zespołu Koordynacyjnego powinni wejść przedstawiciele </w:t>
      </w:r>
      <w:r>
        <w:rPr>
          <w:lang w:eastAsia="pl-PL"/>
        </w:rPr>
        <w:t xml:space="preserve">organów i instytucji realizujących niniejsze działanie. </w:t>
      </w:r>
    </w:p>
    <w:p w14:paraId="01EFF757" w14:textId="77C12F78" w:rsidR="007B501E" w:rsidRPr="005B2BC7" w:rsidRDefault="007B501E" w:rsidP="00901FEA">
      <w:pPr>
        <w:spacing w:after="80"/>
        <w:rPr>
          <w:lang w:eastAsia="pl-PL"/>
        </w:rPr>
      </w:pPr>
      <w:r w:rsidRPr="005B2BC7">
        <w:rPr>
          <w:lang w:eastAsia="pl-PL"/>
        </w:rPr>
        <w:t xml:space="preserve">Zespół Koordynacyjny ustali priorytety w zakresie finansowania prac badawczych i wdrożeniowych nowych technologii niezbędnych do budowy </w:t>
      </w:r>
      <w:r w:rsidRPr="005B2BC7">
        <w:rPr>
          <w:i/>
          <w:iCs/>
          <w:lang w:eastAsia="pl-PL"/>
        </w:rPr>
        <w:t>local content</w:t>
      </w:r>
      <w:r w:rsidRPr="005B2BC7">
        <w:rPr>
          <w:lang w:eastAsia="pl-PL"/>
        </w:rPr>
        <w:t xml:space="preserve"> polskiego przemysłu dla procesu transformacji energetyczno-klimatycznej. Przez technologie procesu transformacji należy rozumieć zarówno technologie nowe, których stworzenie lub adaptacja na polskim rynku jest konieczna dla procesu transformacji energetyczno-klimatycznej, jak i technologie istniejące, które wymagają modernizacji lub dostosowania do wymaganych zmian. Obszar Działania należy rozumieć szeroko, tzn. nowe technologie niezbędne w całym procesie transformacji: energetyka, transport, ciepłownictwo, budownictwo, przemysł, rolnictwo, gospodarka obiegu zamkniętego, gospodarowanie zasobami, nowy sposób funkcjonowania miast i społeczeństwa, przystosowanie do zmian klimatu i in. Prace zespołu powinny koncentrować się na określaniu działań w zakresie: </w:t>
      </w:r>
    </w:p>
    <w:p w14:paraId="6DF077DB" w14:textId="77777777" w:rsidR="007B501E" w:rsidRPr="005B2BC7" w:rsidRDefault="007B501E" w:rsidP="000625AC">
      <w:pPr>
        <w:pStyle w:val="Akapitzlist"/>
        <w:numPr>
          <w:ilvl w:val="0"/>
          <w:numId w:val="98"/>
        </w:numPr>
        <w:ind w:left="426"/>
        <w:rPr>
          <w:lang w:eastAsia="pl-PL"/>
        </w:rPr>
      </w:pPr>
      <w:r w:rsidRPr="005B2BC7">
        <w:rPr>
          <w:lang w:eastAsia="pl-PL"/>
        </w:rPr>
        <w:t>Definiowaniu niezbędnych technologii do procesu transformacji i przygotowaniu potencjalnych programów wsparcia, </w:t>
      </w:r>
    </w:p>
    <w:p w14:paraId="3D32EFB1" w14:textId="77777777" w:rsidR="007B501E" w:rsidRPr="005B2BC7" w:rsidRDefault="007B501E" w:rsidP="000625AC">
      <w:pPr>
        <w:pStyle w:val="Akapitzlist"/>
        <w:numPr>
          <w:ilvl w:val="0"/>
          <w:numId w:val="98"/>
        </w:numPr>
        <w:ind w:left="426"/>
        <w:rPr>
          <w:lang w:eastAsia="pl-PL"/>
        </w:rPr>
      </w:pPr>
      <w:r w:rsidRPr="005B2BC7">
        <w:rPr>
          <w:lang w:eastAsia="pl-PL"/>
        </w:rPr>
        <w:t>Definiowaniu zaplecza produkcyjnego niezbędnego do produkcji technologii i przygotowaniu potencjalnych programów wsparcia. </w:t>
      </w:r>
    </w:p>
    <w:p w14:paraId="66222FB1" w14:textId="77777777" w:rsidR="007B501E" w:rsidRPr="005B2BC7" w:rsidRDefault="007B501E" w:rsidP="007B501E">
      <w:pPr>
        <w:rPr>
          <w:lang w:eastAsia="pl-PL"/>
        </w:rPr>
      </w:pPr>
      <w:r w:rsidRPr="005B2BC7">
        <w:rPr>
          <w:lang w:eastAsia="pl-PL"/>
        </w:rPr>
        <w:t>Przygotowane przez Zespół Koordynacyjny wytyczne i rekomendacje do działań przekazywane będą do Instytucji finansujących prowadzenie działań badawczo-rozwojowych i w miarę możliwości tych instytucji realizowane. </w:t>
      </w:r>
    </w:p>
    <w:p w14:paraId="488C83B3" w14:textId="77777777" w:rsidR="007B501E" w:rsidRPr="005B2BC7" w:rsidRDefault="007B501E" w:rsidP="00901FEA">
      <w:pPr>
        <w:spacing w:after="80"/>
        <w:rPr>
          <w:lang w:eastAsia="pl-PL"/>
        </w:rPr>
      </w:pPr>
      <w:r w:rsidRPr="005B2BC7">
        <w:rPr>
          <w:lang w:eastAsia="pl-PL"/>
        </w:rPr>
        <w:t>Poddziałania:</w:t>
      </w:r>
    </w:p>
    <w:p w14:paraId="51A5412B" w14:textId="77777777" w:rsidR="007B501E" w:rsidRPr="005B2BC7" w:rsidRDefault="007B501E" w:rsidP="000625AC">
      <w:pPr>
        <w:pStyle w:val="Akapitzlist"/>
        <w:numPr>
          <w:ilvl w:val="0"/>
          <w:numId w:val="99"/>
        </w:numPr>
        <w:rPr>
          <w:lang w:eastAsia="pl-PL"/>
        </w:rPr>
      </w:pPr>
      <w:r w:rsidRPr="005B2BC7">
        <w:rPr>
          <w:lang w:eastAsia="pl-PL"/>
        </w:rPr>
        <w:t>Stworzenie Zespołu Koordynacyjnego –</w:t>
      </w:r>
      <w:r>
        <w:rPr>
          <w:lang w:eastAsia="pl-PL"/>
        </w:rPr>
        <w:t xml:space="preserve"> </w:t>
      </w:r>
      <w:r w:rsidRPr="005B2BC7">
        <w:rPr>
          <w:lang w:eastAsia="pl-PL"/>
        </w:rPr>
        <w:t xml:space="preserve">do </w:t>
      </w:r>
      <w:r>
        <w:rPr>
          <w:lang w:eastAsia="pl-PL"/>
        </w:rPr>
        <w:t xml:space="preserve">końca </w:t>
      </w:r>
      <w:r w:rsidRPr="005B2BC7">
        <w:rPr>
          <w:lang w:eastAsia="pl-PL"/>
        </w:rPr>
        <w:t>2025</w:t>
      </w:r>
      <w:r>
        <w:rPr>
          <w:lang w:eastAsia="pl-PL"/>
        </w:rPr>
        <w:t xml:space="preserve"> r.</w:t>
      </w:r>
    </w:p>
    <w:p w14:paraId="4BC1F1FA" w14:textId="456AE451" w:rsidR="007B501E" w:rsidRPr="005B2BC7" w:rsidRDefault="007B501E" w:rsidP="000625AC">
      <w:pPr>
        <w:pStyle w:val="Akapitzlist"/>
        <w:numPr>
          <w:ilvl w:val="0"/>
          <w:numId w:val="99"/>
        </w:numPr>
        <w:rPr>
          <w:lang w:eastAsia="pl-PL"/>
        </w:rPr>
      </w:pPr>
      <w:r w:rsidRPr="005B2BC7">
        <w:rPr>
          <w:lang w:eastAsia="pl-PL"/>
        </w:rPr>
        <w:t>Stopniowe zwiększenie nakładów na B+R z 1% do 2,5% PKB w budżecie Skarbu Państwa, w</w:t>
      </w:r>
      <w:r w:rsidR="00FC46D9">
        <w:rPr>
          <w:lang w:eastAsia="pl-PL"/>
        </w:rPr>
        <w:t> </w:t>
      </w:r>
      <w:r w:rsidRPr="005B2BC7">
        <w:rPr>
          <w:lang w:eastAsia="pl-PL"/>
        </w:rPr>
        <w:t>okresie do 2030</w:t>
      </w:r>
      <w:r>
        <w:rPr>
          <w:lang w:eastAsia="pl-PL"/>
        </w:rPr>
        <w:t xml:space="preserve"> </w:t>
      </w:r>
      <w:r w:rsidRPr="005B2BC7">
        <w:rPr>
          <w:lang w:eastAsia="pl-PL"/>
        </w:rPr>
        <w:t xml:space="preserve">r.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A7AB3" w14:paraId="4788E33C" w14:textId="77777777" w:rsidTr="00FC46D9">
        <w:trPr>
          <w:trHeight w:val="300"/>
        </w:trPr>
        <w:tc>
          <w:tcPr>
            <w:tcW w:w="1055" w:type="dxa"/>
            <w:vMerge w:val="restart"/>
            <w:tcBorders>
              <w:top w:val="dashed" w:sz="12" w:space="0" w:color="FFFFFF"/>
              <w:left w:val="dashed" w:sz="12" w:space="0" w:color="FFFFFF"/>
              <w:bottom w:val="dashed" w:sz="12" w:space="0" w:color="FFFFFF"/>
              <w:right w:val="dashed" w:sz="12" w:space="0" w:color="FFFFFF"/>
            </w:tcBorders>
            <w:hideMark/>
          </w:tcPr>
          <w:p w14:paraId="6CABB7A2"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ascii="Times New Roman" w:eastAsia="Times New Roman" w:hAnsi="Times New Roman" w:cs="Times New Roman"/>
                <w:noProof/>
                <w:sz w:val="24"/>
                <w:szCs w:val="24"/>
                <w:lang w:eastAsia="pl-PL"/>
              </w:rPr>
              <w:lastRenderedPageBreak/>
              <w:drawing>
                <wp:inline distT="0" distB="0" distL="0" distR="0" wp14:anchorId="48526F66" wp14:editId="1D888315">
                  <wp:extent cx="621030" cy="621030"/>
                  <wp:effectExtent l="0" t="0" r="7620" b="7620"/>
                  <wp:docPr id="1698409787" name="Obraz 17"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az 1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2A7AB3">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12B0BFA9"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smallCaps/>
                <w:color w:val="000000"/>
                <w:sz w:val="18"/>
                <w:szCs w:val="18"/>
                <w:lang w:eastAsia="pl-PL"/>
              </w:rPr>
              <w:t>PODMIOT WIODĄCY</w:t>
            </w:r>
            <w:r w:rsidRPr="002A7AB3">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21B568F9"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color w:val="000000"/>
                <w:sz w:val="18"/>
                <w:szCs w:val="18"/>
                <w:lang w:eastAsia="pl-PL"/>
              </w:rPr>
              <w:t>PODMIOTY WSPÓŁPRACUJĄCE</w:t>
            </w:r>
            <w:r w:rsidRPr="002A7AB3">
              <w:rPr>
                <w:rFonts w:eastAsia="Times New Roman" w:cs="Times New Roman"/>
                <w:color w:val="000000"/>
                <w:sz w:val="18"/>
                <w:szCs w:val="18"/>
                <w:lang w:eastAsia="pl-PL"/>
              </w:rPr>
              <w:t> </w:t>
            </w:r>
          </w:p>
        </w:tc>
      </w:tr>
      <w:tr w:rsidR="003B6773" w:rsidRPr="002A7AB3" w14:paraId="736AB066"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9825946" w14:textId="77777777" w:rsidR="007B501E" w:rsidRPr="002A7AB3" w:rsidRDefault="007B501E">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48A7C286"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nauki i szkolnictwa wyższego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66DE5E54" w14:textId="77777777" w:rsidR="007B501E" w:rsidRPr="00986124" w:rsidRDefault="007B501E">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klimatu </w:t>
            </w:r>
          </w:p>
          <w:p w14:paraId="7BD59993" w14:textId="77777777" w:rsidR="007B501E" w:rsidRPr="00986124" w:rsidRDefault="007B501E">
            <w:pPr>
              <w:spacing w:after="0" w:line="240" w:lineRule="auto"/>
              <w:textAlignment w:val="baseline"/>
              <w:rPr>
                <w:rFonts w:ascii="Times New Roman" w:eastAsia="Times New Roman" w:hAnsi="Times New Roman" w:cs="Times New Roman"/>
                <w:sz w:val="24"/>
                <w:szCs w:val="24"/>
                <w:lang w:val="de-DE" w:eastAsia="pl-PL"/>
              </w:rPr>
            </w:pPr>
            <w:r w:rsidRPr="00986124">
              <w:rPr>
                <w:rFonts w:eastAsia="Times New Roman" w:cs="Times New Roman"/>
                <w:color w:val="808080"/>
                <w:sz w:val="18"/>
                <w:szCs w:val="18"/>
                <w:lang w:val="de-DE" w:eastAsia="pl-PL"/>
              </w:rPr>
              <w:t>minister wł. ds. energii </w:t>
            </w:r>
          </w:p>
          <w:p w14:paraId="4C718D2B" w14:textId="77777777" w:rsidR="007B501E" w:rsidRDefault="007B501E">
            <w:pPr>
              <w:spacing w:after="0" w:line="240" w:lineRule="auto"/>
              <w:textAlignment w:val="baseline"/>
              <w:rPr>
                <w:rFonts w:eastAsia="Times New Roman" w:cs="Times New Roman"/>
                <w:color w:val="808080"/>
                <w:sz w:val="18"/>
                <w:szCs w:val="18"/>
                <w:lang w:eastAsia="pl-PL"/>
              </w:rPr>
            </w:pPr>
            <w:r w:rsidRPr="002A7AB3">
              <w:rPr>
                <w:rFonts w:eastAsia="Times New Roman" w:cs="Times New Roman"/>
                <w:color w:val="808080"/>
                <w:sz w:val="18"/>
                <w:szCs w:val="18"/>
                <w:lang w:eastAsia="pl-PL"/>
              </w:rPr>
              <w:t xml:space="preserve">minister </w:t>
            </w:r>
            <w:r>
              <w:rPr>
                <w:rFonts w:eastAsia="Times New Roman" w:cs="Times New Roman"/>
                <w:color w:val="808080"/>
                <w:sz w:val="18"/>
                <w:szCs w:val="18"/>
                <w:lang w:eastAsia="pl-PL"/>
              </w:rPr>
              <w:t xml:space="preserve">wł. </w:t>
            </w:r>
            <w:r w:rsidRPr="002A7AB3">
              <w:rPr>
                <w:rFonts w:eastAsia="Times New Roman" w:cs="Times New Roman"/>
                <w:color w:val="808080"/>
                <w:sz w:val="18"/>
                <w:szCs w:val="18"/>
                <w:lang w:eastAsia="pl-PL"/>
              </w:rPr>
              <w:t>ds. gospodarki </w:t>
            </w:r>
          </w:p>
          <w:p w14:paraId="3B4192B2"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 xml:space="preserve">minister </w:t>
            </w:r>
            <w:r>
              <w:rPr>
                <w:rFonts w:eastAsia="Times New Roman" w:cs="Times New Roman"/>
                <w:color w:val="808080"/>
                <w:sz w:val="18"/>
                <w:szCs w:val="18"/>
                <w:lang w:eastAsia="pl-PL"/>
              </w:rPr>
              <w:t xml:space="preserve">wł. </w:t>
            </w:r>
            <w:r w:rsidRPr="002A7AB3">
              <w:rPr>
                <w:rFonts w:eastAsia="Times New Roman" w:cs="Times New Roman"/>
                <w:color w:val="808080"/>
                <w:sz w:val="18"/>
                <w:szCs w:val="18"/>
                <w:lang w:eastAsia="pl-PL"/>
              </w:rPr>
              <w:t>ds.</w:t>
            </w:r>
            <w:r>
              <w:rPr>
                <w:rFonts w:eastAsia="Times New Roman" w:cs="Times New Roman"/>
                <w:color w:val="808080"/>
                <w:sz w:val="18"/>
                <w:szCs w:val="18"/>
                <w:lang w:eastAsia="pl-PL"/>
              </w:rPr>
              <w:t xml:space="preserve"> rozwoju regionalnego</w:t>
            </w:r>
            <w:r w:rsidRPr="002A7AB3">
              <w:rPr>
                <w:rFonts w:eastAsia="Times New Roman" w:cs="Times New Roman"/>
                <w:color w:val="808080"/>
                <w:sz w:val="18"/>
                <w:szCs w:val="18"/>
                <w:lang w:eastAsia="pl-PL"/>
              </w:rPr>
              <w:t xml:space="preserve"> </w:t>
            </w:r>
          </w:p>
          <w:p w14:paraId="5DA59BF7" w14:textId="77777777" w:rsidR="007B501E" w:rsidRPr="002A7AB3" w:rsidRDefault="007B501E" w:rsidP="004D403B">
            <w:pPr>
              <w:spacing w:after="0" w:line="240" w:lineRule="auto"/>
              <w:jc w:val="left"/>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gospodarki surowcami energetycznymi </w:t>
            </w:r>
          </w:p>
          <w:p w14:paraId="355D42C0"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rolnictwa </w:t>
            </w:r>
          </w:p>
          <w:p w14:paraId="55D6886E"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transportu </w:t>
            </w:r>
          </w:p>
          <w:p w14:paraId="223CC525"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NFOŚiGW </w:t>
            </w:r>
          </w:p>
          <w:p w14:paraId="1063E679"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NCBR </w:t>
            </w:r>
          </w:p>
          <w:p w14:paraId="638D751D"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PARP </w:t>
            </w:r>
          </w:p>
          <w:p w14:paraId="44D2CC7A"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PFR </w:t>
            </w:r>
          </w:p>
          <w:p w14:paraId="65FB3038"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NCN </w:t>
            </w:r>
          </w:p>
          <w:p w14:paraId="7075D49E"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p>
        </w:tc>
      </w:tr>
    </w:tbl>
    <w:p w14:paraId="593AF27B" w14:textId="429AF3E6" w:rsidR="007B501E" w:rsidRPr="002A7AB3" w:rsidRDefault="007B501E" w:rsidP="00901FEA">
      <w:pPr>
        <w:pStyle w:val="Nagwek6"/>
        <w:rPr>
          <w:rFonts w:ascii="Times New Roman" w:eastAsia="Times New Roman" w:hAnsi="Times New Roman" w:cs="Times New Roman"/>
          <w:i/>
          <w:iCs/>
          <w:color w:val="595959"/>
          <w:sz w:val="24"/>
          <w:szCs w:val="24"/>
          <w:lang w:eastAsia="pl-PL"/>
        </w:rPr>
      </w:pPr>
      <w:bookmarkStart w:id="1440" w:name="_Toc195866008"/>
      <w:bookmarkStart w:id="1441" w:name="_Ref195891140"/>
      <w:bookmarkStart w:id="1442" w:name="_Ref203388066"/>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154</w:t>
      </w:r>
      <w:r w:rsidRPr="00FB68C2">
        <w:rPr>
          <w:rStyle w:val="Nagwek6Znak"/>
          <w:b/>
        </w:rPr>
        <w:fldChar w:fldCharType="end"/>
      </w:r>
      <w:r w:rsidRPr="00FB68C2">
        <w:rPr>
          <w:rStyle w:val="Nagwek6Znak"/>
          <w:b/>
        </w:rPr>
        <w:t xml:space="preserve">. </w:t>
      </w:r>
      <w:r w:rsidRPr="002A7AB3">
        <w:rPr>
          <w:rFonts w:eastAsia="Times New Roman" w:cs="Times New Roman"/>
          <w:bCs/>
          <w:color w:val="000000"/>
          <w:lang w:eastAsia="pl-PL"/>
        </w:rPr>
        <w:t>Aktualizacja Polityki Naukowej Państwa</w:t>
      </w:r>
      <w:bookmarkEnd w:id="1440"/>
      <w:bookmarkEnd w:id="1441"/>
      <w:bookmarkEnd w:id="1442"/>
      <w:r w:rsidRPr="002A7AB3">
        <w:rPr>
          <w:rFonts w:eastAsia="Times New Roman" w:cs="Times New Roman"/>
          <w:i/>
          <w:iCs/>
          <w:color w:val="000000"/>
          <w:lang w:eastAsia="pl-PL"/>
        </w:rPr>
        <w:t> </w:t>
      </w:r>
    </w:p>
    <w:p w14:paraId="45754A20" w14:textId="1FC108DE" w:rsidR="007B501E" w:rsidRPr="002A7AB3" w:rsidRDefault="007B501E" w:rsidP="007B501E">
      <w:pPr>
        <w:rPr>
          <w:rFonts w:ascii="Times New Roman" w:hAnsi="Times New Roman"/>
          <w:sz w:val="24"/>
          <w:szCs w:val="24"/>
          <w:lang w:eastAsia="pl-PL"/>
        </w:rPr>
      </w:pPr>
      <w:r w:rsidRPr="002A7AB3">
        <w:rPr>
          <w:lang w:eastAsia="pl-PL"/>
        </w:rPr>
        <w:t xml:space="preserve">W ramach ewaluacji polityki naukowej państwa zaktualizowane zostaną priorytety badawcze w obszarze energii i klimatu biorąc pod uwagę aktualne cele i potrzeby związane z transformacją do gospodarki neutralnej klimatycznie, zdefiniowane zarówno w dokumentach krajowych (w tym </w:t>
      </w:r>
      <w:r w:rsidR="00E154C4" w:rsidRPr="00F647E6">
        <w:rPr>
          <w:i/>
          <w:iCs/>
          <w:lang w:eastAsia="pl-PL"/>
        </w:rPr>
        <w:t xml:space="preserve">Polityka </w:t>
      </w:r>
      <w:r w:rsidR="005E5FD4" w:rsidRPr="00F647E6">
        <w:rPr>
          <w:i/>
          <w:iCs/>
          <w:lang w:eastAsia="pl-PL"/>
        </w:rPr>
        <w:t>e</w:t>
      </w:r>
      <w:r w:rsidR="00E154C4" w:rsidRPr="00F647E6">
        <w:rPr>
          <w:i/>
          <w:iCs/>
          <w:lang w:eastAsia="pl-PL"/>
        </w:rPr>
        <w:t>nergetyczna</w:t>
      </w:r>
      <w:r w:rsidRPr="00F647E6">
        <w:rPr>
          <w:i/>
          <w:iCs/>
          <w:lang w:eastAsia="pl-PL"/>
        </w:rPr>
        <w:t xml:space="preserve"> Polski</w:t>
      </w:r>
      <w:r w:rsidRPr="002A7AB3">
        <w:rPr>
          <w:lang w:eastAsia="pl-PL"/>
        </w:rPr>
        <w:t xml:space="preserve">), jak i strategiach europejskich. W aktualizacji Polityki Naukowej Państwa będą wzięte pod uwagę wytyczne i rekomendacje stworzone przez Zespół </w:t>
      </w:r>
      <w:r w:rsidRPr="00E46F26">
        <w:t>Koordynacyjny podany w</w:t>
      </w:r>
      <w:r w:rsidR="00210D0C" w:rsidRPr="00E46F26">
        <w:t xml:space="preserve"> </w:t>
      </w:r>
      <w:r w:rsidR="00E46F26" w:rsidRPr="00E46F26">
        <w:fldChar w:fldCharType="begin"/>
      </w:r>
      <w:r w:rsidR="00E46F26" w:rsidRPr="00E46F26">
        <w:instrText xml:space="preserve"> REF _Ref198645792 \h </w:instrText>
      </w:r>
      <w:r w:rsidR="00E46F26">
        <w:instrText xml:space="preserve"> \* MERGEFORMAT </w:instrText>
      </w:r>
      <w:r w:rsidR="00E46F26" w:rsidRPr="00E46F26">
        <w:fldChar w:fldCharType="separate"/>
      </w:r>
      <w:r w:rsidR="00871DD5" w:rsidRPr="00871DD5">
        <w:t>Działanie 153</w:t>
      </w:r>
      <w:r w:rsidR="00E46F26" w:rsidRPr="00E46F26">
        <w:fldChar w:fldCharType="end"/>
      </w:r>
      <w:r w:rsidRPr="00E46F26">
        <w:t>.</w:t>
      </w:r>
      <w:r w:rsidRPr="002A7AB3">
        <w:rPr>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A7AB3" w14:paraId="47FF7954" w14:textId="77777777" w:rsidTr="00FC46D9">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3FA9879D"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ascii="Times New Roman" w:eastAsia="Times New Roman" w:hAnsi="Times New Roman" w:cs="Times New Roman"/>
                <w:noProof/>
                <w:sz w:val="24"/>
                <w:szCs w:val="24"/>
                <w:lang w:eastAsia="pl-PL"/>
              </w:rPr>
              <w:drawing>
                <wp:inline distT="0" distB="0" distL="0" distR="0" wp14:anchorId="19198D1B" wp14:editId="0446FB6F">
                  <wp:extent cx="621030" cy="621030"/>
                  <wp:effectExtent l="0" t="0" r="7620" b="7620"/>
                  <wp:docPr id="1795363119" name="Obraz 16"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2A7AB3">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65C471A4"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smallCaps/>
                <w:color w:val="000000"/>
                <w:sz w:val="18"/>
                <w:szCs w:val="18"/>
                <w:lang w:eastAsia="pl-PL"/>
              </w:rPr>
              <w:t>PODMIOT WIODĄCY</w:t>
            </w:r>
            <w:r w:rsidRPr="002A7AB3">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C489817"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color w:val="000000"/>
                <w:sz w:val="18"/>
                <w:szCs w:val="18"/>
                <w:lang w:eastAsia="pl-PL"/>
              </w:rPr>
              <w:t>PODMIOTY WSPÓŁPRACUJĄCE</w:t>
            </w:r>
            <w:r w:rsidRPr="002A7AB3">
              <w:rPr>
                <w:rFonts w:eastAsia="Times New Roman" w:cs="Times New Roman"/>
                <w:color w:val="000000"/>
                <w:sz w:val="18"/>
                <w:szCs w:val="18"/>
                <w:lang w:eastAsia="pl-PL"/>
              </w:rPr>
              <w:t> </w:t>
            </w:r>
          </w:p>
        </w:tc>
      </w:tr>
      <w:tr w:rsidR="003B6773" w:rsidRPr="002A7AB3" w14:paraId="340E29DC"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2EDE7697" w14:textId="77777777" w:rsidR="007B501E" w:rsidRPr="002A7AB3" w:rsidRDefault="007B501E">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77847FD"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nauki i szkolnictwa wyższego </w:t>
            </w:r>
          </w:p>
          <w:p w14:paraId="4C6E732D"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4455D04"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 </w:t>
            </w:r>
          </w:p>
        </w:tc>
      </w:tr>
    </w:tbl>
    <w:p w14:paraId="1E68BABC" w14:textId="1A9FEB1D" w:rsidR="007B501E" w:rsidRPr="002A7AB3" w:rsidRDefault="007B501E" w:rsidP="007B501E">
      <w:pPr>
        <w:spacing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lang w:eastAsia="pl-PL"/>
        </w:rPr>
        <w:t> </w:t>
      </w:r>
    </w:p>
    <w:p w14:paraId="32D081A9" w14:textId="38390437" w:rsidR="007B501E" w:rsidRPr="004D6F82" w:rsidRDefault="007B501E" w:rsidP="00901FEA">
      <w:pPr>
        <w:pStyle w:val="Nagwek6"/>
        <w:rPr>
          <w:rFonts w:ascii="Times New Roman" w:hAnsi="Times New Roman"/>
          <w:i/>
          <w:iCs/>
          <w:color w:val="595959"/>
          <w:sz w:val="24"/>
          <w:szCs w:val="24"/>
          <w:lang w:eastAsia="pl-PL"/>
        </w:rPr>
      </w:pPr>
      <w:bookmarkStart w:id="1443" w:name="_Toc195866009"/>
      <w:bookmarkStart w:id="1444" w:name="_Ref195890402"/>
      <w:bookmarkStart w:id="1445" w:name="_Ref195894935"/>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155</w:t>
      </w:r>
      <w:r w:rsidRPr="00FB68C2">
        <w:rPr>
          <w:rStyle w:val="Nagwek6Znak"/>
          <w:b/>
        </w:rPr>
        <w:fldChar w:fldCharType="end"/>
      </w:r>
      <w:r w:rsidRPr="00FB68C2">
        <w:rPr>
          <w:rStyle w:val="Nagwek6Znak"/>
          <w:b/>
        </w:rPr>
        <w:t xml:space="preserve">. </w:t>
      </w:r>
      <w:r w:rsidRPr="004D6F82">
        <w:rPr>
          <w:lang w:eastAsia="pl-PL"/>
        </w:rPr>
        <w:t>Pilotaże i programy demonstracyjne wzorcowych rozwiązań transformacji energetyczno-klimatycznej</w:t>
      </w:r>
      <w:bookmarkEnd w:id="1443"/>
      <w:bookmarkEnd w:id="1444"/>
      <w:bookmarkEnd w:id="1445"/>
      <w:r w:rsidRPr="004D6F82">
        <w:rPr>
          <w:i/>
          <w:iCs/>
          <w:lang w:eastAsia="pl-PL"/>
        </w:rPr>
        <w:t> </w:t>
      </w:r>
    </w:p>
    <w:p w14:paraId="040AEF30" w14:textId="77777777" w:rsidR="007B501E" w:rsidRPr="004D6F82" w:rsidRDefault="007B501E" w:rsidP="00FC46D9">
      <w:pPr>
        <w:rPr>
          <w:rFonts w:ascii="Times New Roman" w:hAnsi="Times New Roman"/>
          <w:sz w:val="24"/>
          <w:szCs w:val="24"/>
          <w:lang w:eastAsia="pl-PL"/>
        </w:rPr>
      </w:pPr>
      <w:r w:rsidRPr="004D6F82">
        <w:rPr>
          <w:lang w:eastAsia="pl-PL"/>
        </w:rPr>
        <w:t>Transformacja energetyczno-klimatyczna obejmuje wszystkie kluczowe sektory gospodarki, wpływając na energetykę, transport, ciepłownictwo, budownictwo, przemysł oraz rolnictwo. Jej skuteczna realizacja wymaga opracowania i wdrażania programów pilotażowych oraz demonstracyjnych, które umożliwią testowanie i optymalizację rozwiązań przed ich upowszechnieniem na szeroką skalę. Tego rodzaju działania stanowią istotny element redukcji ryzyka inwestycyjnego, pozwalając na weryfikację technologii oraz modeli organizacyjnych w warunkach rzeczywistych. </w:t>
      </w:r>
    </w:p>
    <w:p w14:paraId="3286C028" w14:textId="719637C0" w:rsidR="007B501E" w:rsidRPr="004D6F82" w:rsidRDefault="007B501E" w:rsidP="00FC46D9">
      <w:pPr>
        <w:rPr>
          <w:rFonts w:ascii="Times New Roman" w:hAnsi="Times New Roman"/>
          <w:sz w:val="24"/>
          <w:szCs w:val="24"/>
          <w:lang w:eastAsia="pl-PL"/>
        </w:rPr>
      </w:pPr>
      <w:r w:rsidRPr="004D6F82">
        <w:rPr>
          <w:lang w:eastAsia="pl-PL"/>
        </w:rPr>
        <w:t>Obecnie w Polsce brak jest w pełni zmodernizowanych i wzorcowych rozwiązań w kluczowych obszarach transformacji, co spowalnia proces wdrażania zmian i ogranicza możliwość kopiowania sprawdzonych modeli. Należy wdrożyć programy pilotażowe i demonstracyjne, które pozwolą na sprawdzenie innowacyjnych rozwiązań w praktyce, ocenę ich efektywności oraz identyfikację barier wdrożeniowych. Konieczne jest stworzenie rozwiązań modelowych, które będą stanowić punkt odniesienia dla dalszych działań i ułatwią szerokie zastosowanie najlepszych praktyk w gospodarce. Tylko poprzez realne wdrożenia i udostępnienie rynkowi sprawdzonych rozwiązań możliwe będzie przyspieszenie transformacji, ograniczenie kosztów jej realizacji i zapewnienie jej skuteczności na dużą skalę. Projekty muszą zostać udokumentowane i udostępnione jako otwarte wzorce, tak aby rynek mógł je kopiować i</w:t>
      </w:r>
      <w:r w:rsidR="00817026">
        <w:rPr>
          <w:lang w:eastAsia="pl-PL"/>
        </w:rPr>
        <w:t> </w:t>
      </w:r>
      <w:r w:rsidRPr="004D6F82">
        <w:rPr>
          <w:lang w:eastAsia="pl-PL"/>
        </w:rPr>
        <w:t>skalować na szeroką skalę. Tylko w ten sposób można zapewnić realny postęp w transformacji energetyczno-klimatycznej i skutecznie wdrożyć nowe modele gospodarcze w praktyce. Wśród</w:t>
      </w:r>
      <w:r w:rsidR="00817026">
        <w:rPr>
          <w:lang w:eastAsia="pl-PL"/>
        </w:rPr>
        <w:t> </w:t>
      </w:r>
      <w:r w:rsidRPr="004D6F82">
        <w:rPr>
          <w:lang w:eastAsia="pl-PL"/>
        </w:rPr>
        <w:t xml:space="preserve">kluczowych projektów pilotażowych należy uwzględnić modernizację budynku wielorodzinnego oraz szkolnych, wdrożenie kompleksowego systemu energetyki obywatelskiej, modernizację ciepłowni miejskiej, rozwój infrastruktury ładowania pojazdów elektrycznych, uruchomienie produkcji zielonego wodoru oraz opracowanie wzorcowych rozwiązań dla przemysłu i rolnictwa. Ich realizacja pozwoli na </w:t>
      </w:r>
      <w:r w:rsidRPr="004D6F82">
        <w:rPr>
          <w:lang w:eastAsia="pl-PL"/>
        </w:rPr>
        <w:lastRenderedPageBreak/>
        <w:t>wypracowanie standardów, które będą mogły być szeroko replikowane, zapewniając skuteczną i</w:t>
      </w:r>
      <w:r w:rsidR="00817026">
        <w:t> </w:t>
      </w:r>
      <w:r w:rsidRPr="004D6F82">
        <w:rPr>
          <w:lang w:eastAsia="pl-PL"/>
        </w:rPr>
        <w:t>efektywną transformację w skali całej gospodarki.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4FAF0532" w14:textId="77777777" w:rsidTr="00FC46D9">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76868F73"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drawing>
                <wp:inline distT="0" distB="0" distL="0" distR="0" wp14:anchorId="322894C3" wp14:editId="59DFC299">
                  <wp:extent cx="621030" cy="621030"/>
                  <wp:effectExtent l="0" t="0" r="7620" b="7620"/>
                  <wp:docPr id="103901133" name="Obraz 10"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233A3593"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0B26198E"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696F0CDC"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8673A3E" w14:textId="77777777" w:rsidR="007B501E" w:rsidRPr="004D6F82" w:rsidRDefault="007B501E">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7B31FF49"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nauki i szkolnictwa wyższego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481B9E83"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 </w:t>
            </w:r>
          </w:p>
          <w:p w14:paraId="669CDF54"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w:t>
            </w:r>
          </w:p>
          <w:p w14:paraId="2B308E41"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klimatu </w:t>
            </w:r>
          </w:p>
          <w:p w14:paraId="00CE2D4E" w14:textId="77777777" w:rsidR="007B501E" w:rsidRPr="004D6F82" w:rsidRDefault="007B501E" w:rsidP="00005F76">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gospodarki surowcami energetycznymi </w:t>
            </w:r>
          </w:p>
          <w:p w14:paraId="00ACCD13" w14:textId="2C44C027" w:rsidR="007B501E" w:rsidRPr="004D6F82" w:rsidRDefault="007B501E" w:rsidP="00005F76">
            <w:pPr>
              <w:spacing w:after="0" w:line="240" w:lineRule="auto"/>
              <w:jc w:val="left"/>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budownictwa, planowania i</w:t>
            </w:r>
            <w:r w:rsidR="00817026">
              <w:rPr>
                <w:rFonts w:eastAsia="Times New Roman" w:cs="Times New Roman"/>
                <w:color w:val="808080"/>
                <w:sz w:val="18"/>
                <w:szCs w:val="18"/>
                <w:lang w:eastAsia="pl-PL"/>
              </w:rPr>
              <w:t> </w:t>
            </w:r>
            <w:r w:rsidRPr="004D6F82">
              <w:rPr>
                <w:rFonts w:eastAsia="Times New Roman" w:cs="Times New Roman"/>
                <w:color w:val="808080"/>
                <w:sz w:val="18"/>
                <w:szCs w:val="18"/>
                <w:lang w:eastAsia="pl-PL"/>
              </w:rPr>
              <w:t>zagospodarowania przestrzennego oraz mieszkalnictwa</w:t>
            </w:r>
            <w:r w:rsidR="00974007">
              <w:rPr>
                <w:rFonts w:eastAsia="Times New Roman" w:cs="Times New Roman"/>
                <w:color w:val="808080"/>
                <w:sz w:val="18"/>
                <w:szCs w:val="18"/>
                <w:lang w:eastAsia="pl-PL"/>
              </w:rPr>
              <w:t xml:space="preserve">  </w:t>
            </w:r>
          </w:p>
          <w:p w14:paraId="00440D2D"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rolnictwa </w:t>
            </w:r>
          </w:p>
          <w:p w14:paraId="79E88CD0" w14:textId="769991B0"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transportu </w:t>
            </w:r>
          </w:p>
        </w:tc>
      </w:tr>
    </w:tbl>
    <w:p w14:paraId="00B05A34" w14:textId="06CFDF9A" w:rsidR="007B501E" w:rsidRPr="00BA4DD1" w:rsidRDefault="007B501E" w:rsidP="00901FEA">
      <w:pPr>
        <w:pStyle w:val="Nagwek6"/>
      </w:pPr>
      <w:bookmarkStart w:id="1446" w:name="_Toc195866010"/>
      <w:bookmarkStart w:id="1447" w:name="_Ref195890411"/>
      <w:bookmarkStart w:id="1448" w:name="_Ref195895033"/>
      <w:bookmarkStart w:id="1449" w:name="_Ref197338287"/>
      <w:r w:rsidRPr="00BA4DD1">
        <w:rPr>
          <w:rStyle w:val="Nagwek6Znak"/>
          <w:b/>
        </w:rPr>
        <w:t xml:space="preserve">Działanie </w:t>
      </w:r>
      <w:r w:rsidRPr="00BA4DD1">
        <w:rPr>
          <w:rStyle w:val="Nagwek6Znak"/>
          <w:b/>
        </w:rPr>
        <w:fldChar w:fldCharType="begin"/>
      </w:r>
      <w:r w:rsidRPr="00BA4DD1">
        <w:rPr>
          <w:rStyle w:val="Nagwek6Znak"/>
          <w:b/>
        </w:rPr>
        <w:instrText xml:space="preserve"> SEQ Działanie \* ARABIC </w:instrText>
      </w:r>
      <w:r w:rsidRPr="00BA4DD1">
        <w:rPr>
          <w:rStyle w:val="Nagwek6Znak"/>
          <w:b/>
        </w:rPr>
        <w:fldChar w:fldCharType="separate"/>
      </w:r>
      <w:r w:rsidR="00871DD5">
        <w:rPr>
          <w:rStyle w:val="Nagwek6Znak"/>
          <w:b/>
          <w:noProof/>
        </w:rPr>
        <w:t>156</w:t>
      </w:r>
      <w:r w:rsidRPr="00BA4DD1">
        <w:rPr>
          <w:rStyle w:val="Nagwek6Znak"/>
          <w:b/>
        </w:rPr>
        <w:fldChar w:fldCharType="end"/>
      </w:r>
      <w:r w:rsidRPr="00BA4DD1">
        <w:rPr>
          <w:rStyle w:val="Nagwek6Znak"/>
          <w:b/>
        </w:rPr>
        <w:t xml:space="preserve">. </w:t>
      </w:r>
      <w:r w:rsidRPr="00BA4DD1">
        <w:t>Badania i projekty naukowe oraz edukacyjne w zakresie racjonalnej i niskoemisyjnej produkcji rolnej</w:t>
      </w:r>
      <w:bookmarkEnd w:id="1446"/>
      <w:bookmarkEnd w:id="1447"/>
      <w:bookmarkEnd w:id="1448"/>
      <w:bookmarkEnd w:id="1449"/>
    </w:p>
    <w:p w14:paraId="08813A1C" w14:textId="3A48E41B" w:rsidR="007B501E" w:rsidRDefault="007B501E" w:rsidP="007B501E">
      <w:r w:rsidRPr="00693E37">
        <w:t xml:space="preserve">Działanie to obejmuje projekty mające na celu m.in. zmniejszenie ilości stosowanych nawozów/obornika na gruntach uprawnych, wspieranie innych rodzajów działalności korzystnie wpływających na gospodarkę gruntami uprawnymi, pastwiskami lub użytkami zielonymi oraz poprawę gospodarki hodowlanej, poprawę gospodarki </w:t>
      </w:r>
      <w:r>
        <w:t>odchodami</w:t>
      </w:r>
      <w:r w:rsidRPr="00693E37">
        <w:t xml:space="preserve"> zwierzęcymi czy poprawę gospodarki glebami organicznymi.</w:t>
      </w:r>
      <w:r>
        <w:t xml:space="preserve"> Wspierane</w:t>
      </w:r>
      <w:r w:rsidR="00817026">
        <w:t> </w:t>
      </w:r>
      <w:r>
        <w:t xml:space="preserve">będą projekty ukierunkowane na </w:t>
      </w:r>
      <w:r w:rsidRPr="0044407A">
        <w:t>określanie emisji z różnych praktyk rolniczych, ocenę skuteczności działań ograniczających emisję oraz uwzględnienie tych efektów w krajowych raportach</w:t>
      </w:r>
      <w:r>
        <w:t xml:space="preserve">. </w:t>
      </w:r>
      <w:r w:rsidRPr="00CB2B6F">
        <w:t>Badania naukowe dostarczą nowej wiedzy o wpływie różnych technik uprawy na emisję gazów cieplarnianych, umożliwiając wdrażanie praktyk przyjaznych rolnikom, a jednocześnie skutecznych klimatycznie</w:t>
      </w:r>
      <w:r>
        <w:t xml:space="preserve">. </w:t>
      </w:r>
      <w:r w:rsidRPr="00A206C0">
        <w:t xml:space="preserve">Wspierane będą </w:t>
      </w:r>
      <w:r>
        <w:t>projekty badawczo-rozwojowe nakierowane na wdrożenia innowacji w</w:t>
      </w:r>
      <w:r w:rsidR="00817026">
        <w:t> </w:t>
      </w:r>
      <w:r>
        <w:t>postaci projektów demonstracyjnych lub pilotażowych.</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BB6462" w14:paraId="13E9E991" w14:textId="77777777" w:rsidTr="00FC46D9">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609F0702" w14:textId="77777777" w:rsidR="007B501E" w:rsidRPr="00BB6462" w:rsidRDefault="007B501E">
            <w:pPr>
              <w:spacing w:after="0" w:line="240" w:lineRule="auto"/>
              <w:textAlignment w:val="baseline"/>
              <w:rPr>
                <w:rFonts w:ascii="Times New Roman" w:eastAsia="Times New Roman" w:hAnsi="Times New Roman" w:cs="Times New Roman"/>
                <w:sz w:val="24"/>
                <w:szCs w:val="24"/>
                <w:lang w:eastAsia="pl-PL"/>
              </w:rPr>
            </w:pPr>
            <w:r w:rsidRPr="00BB6462">
              <w:rPr>
                <w:rFonts w:ascii="Times New Roman" w:eastAsia="Times New Roman" w:hAnsi="Times New Roman" w:cs="Times New Roman"/>
                <w:noProof/>
                <w:sz w:val="24"/>
                <w:szCs w:val="24"/>
                <w:lang w:eastAsia="pl-PL"/>
              </w:rPr>
              <w:drawing>
                <wp:inline distT="0" distB="0" distL="0" distR="0" wp14:anchorId="7839458A" wp14:editId="482DB6CB">
                  <wp:extent cx="619125" cy="619125"/>
                  <wp:effectExtent l="0" t="0" r="9525" b="9525"/>
                  <wp:docPr id="92245989" name="Obraz 1"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BB646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4FDCBDF7" w14:textId="77777777" w:rsidR="007B501E" w:rsidRPr="00BB6462" w:rsidRDefault="007B501E">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smallCaps/>
                <w:color w:val="000000"/>
                <w:sz w:val="18"/>
                <w:szCs w:val="18"/>
                <w:lang w:eastAsia="pl-PL"/>
              </w:rPr>
              <w:t>PODMIOT WIODĄCY</w:t>
            </w:r>
            <w:r w:rsidRPr="00BB646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627093FB" w14:textId="77777777" w:rsidR="007B501E" w:rsidRPr="00BB6462" w:rsidRDefault="007B501E">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b/>
                <w:bCs/>
                <w:color w:val="000000"/>
                <w:sz w:val="18"/>
                <w:szCs w:val="18"/>
                <w:lang w:eastAsia="pl-PL"/>
              </w:rPr>
              <w:t>PODMIOTY WSPÓŁPRACUJĄCE</w:t>
            </w:r>
            <w:r w:rsidRPr="00BB6462">
              <w:rPr>
                <w:rFonts w:eastAsia="Times New Roman" w:cs="Times New Roman"/>
                <w:color w:val="000000"/>
                <w:sz w:val="18"/>
                <w:szCs w:val="18"/>
                <w:lang w:eastAsia="pl-PL"/>
              </w:rPr>
              <w:t> </w:t>
            </w:r>
          </w:p>
        </w:tc>
      </w:tr>
      <w:tr w:rsidR="003B6773" w:rsidRPr="00BB6462" w14:paraId="07832828"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0FB209F0" w14:textId="77777777" w:rsidR="007B501E" w:rsidRPr="00BB6462" w:rsidRDefault="007B501E">
            <w:pPr>
              <w:spacing w:after="0" w:line="240" w:lineRule="auto"/>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3C3400BF" w14:textId="77777777" w:rsidR="007B501E" w:rsidRPr="00BB6462" w:rsidRDefault="007B501E">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rolnictwa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320D80F2" w14:textId="77777777" w:rsidR="007B501E" w:rsidRPr="00BB6462" w:rsidRDefault="007B501E">
            <w:pPr>
              <w:spacing w:after="0" w:line="240" w:lineRule="auto"/>
              <w:textAlignment w:val="baseline"/>
              <w:rPr>
                <w:rFonts w:ascii="Times New Roman" w:eastAsia="Times New Roman" w:hAnsi="Times New Roman" w:cs="Times New Roman"/>
                <w:sz w:val="24"/>
                <w:szCs w:val="24"/>
                <w:lang w:eastAsia="pl-PL"/>
              </w:rPr>
            </w:pPr>
            <w:r w:rsidRPr="00BB6462">
              <w:rPr>
                <w:rFonts w:eastAsia="Times New Roman" w:cs="Times New Roman"/>
                <w:color w:val="808080"/>
                <w:sz w:val="18"/>
                <w:szCs w:val="18"/>
                <w:lang w:eastAsia="pl-PL"/>
              </w:rPr>
              <w:t>minister wł. ds. klimatu </w:t>
            </w:r>
          </w:p>
          <w:p w14:paraId="4B188A6C" w14:textId="77777777" w:rsidR="007B501E" w:rsidRPr="00BB6462" w:rsidRDefault="007B501E">
            <w:pPr>
              <w:spacing w:after="0" w:line="240" w:lineRule="auto"/>
              <w:textAlignment w:val="baseline"/>
              <w:rPr>
                <w:rFonts w:ascii="Times New Roman" w:eastAsia="Times New Roman" w:hAnsi="Times New Roman" w:cs="Times New Roman"/>
                <w:sz w:val="24"/>
                <w:szCs w:val="24"/>
                <w:lang w:eastAsia="pl-PL"/>
              </w:rPr>
            </w:pPr>
          </w:p>
        </w:tc>
      </w:tr>
    </w:tbl>
    <w:p w14:paraId="4DA82E9E" w14:textId="423C17E7" w:rsidR="007B501E" w:rsidRPr="002A7AB3" w:rsidRDefault="007B501E" w:rsidP="00D523F3">
      <w:pPr>
        <w:pStyle w:val="Nagwek6"/>
        <w:rPr>
          <w:rFonts w:ascii="Times New Roman" w:hAnsi="Times New Roman"/>
          <w:i/>
          <w:iCs/>
          <w:color w:val="595959"/>
          <w:sz w:val="24"/>
          <w:szCs w:val="24"/>
          <w:lang w:eastAsia="pl-PL"/>
        </w:rPr>
      </w:pPr>
      <w:bookmarkStart w:id="1450" w:name="_Toc195866011"/>
      <w:bookmarkStart w:id="1451" w:name="_Ref195890419"/>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157</w:t>
      </w:r>
      <w:r w:rsidRPr="00FB68C2">
        <w:rPr>
          <w:rStyle w:val="Nagwek6Znak"/>
          <w:b/>
        </w:rPr>
        <w:fldChar w:fldCharType="end"/>
      </w:r>
      <w:r w:rsidRPr="00FB68C2">
        <w:rPr>
          <w:rStyle w:val="Nagwek6Znak"/>
          <w:b/>
        </w:rPr>
        <w:t xml:space="preserve">. </w:t>
      </w:r>
      <w:r w:rsidRPr="002A7AB3">
        <w:rPr>
          <w:lang w:eastAsia="pl-PL"/>
        </w:rPr>
        <w:t>Instrument finansowy – Horyzont Europa</w:t>
      </w:r>
      <w:bookmarkEnd w:id="1450"/>
      <w:bookmarkEnd w:id="1451"/>
      <w:r w:rsidRPr="002A7AB3">
        <w:rPr>
          <w:i/>
          <w:iCs/>
          <w:lang w:eastAsia="pl-PL"/>
        </w:rPr>
        <w:t> </w:t>
      </w:r>
    </w:p>
    <w:p w14:paraId="4811440E" w14:textId="77777777" w:rsidR="007B501E" w:rsidRPr="002A7AB3" w:rsidRDefault="007B501E" w:rsidP="007B501E">
      <w:pPr>
        <w:rPr>
          <w:rFonts w:ascii="Times New Roman" w:hAnsi="Times New Roman"/>
          <w:sz w:val="24"/>
          <w:szCs w:val="24"/>
          <w:lang w:eastAsia="pl-PL"/>
        </w:rPr>
      </w:pPr>
      <w:r w:rsidRPr="002A7AB3">
        <w:rPr>
          <w:lang w:eastAsia="pl-PL"/>
        </w:rPr>
        <w:t>Działanie ma na celu zwiększenie udziału polskich projektów w pozyskaniu środków z programu Horyzont Europa oraz kolejnych programów ramowych UE. Program ten obejmuje finansowanie badań naukowych oraz innowacji między innymi w zakresie neutralnych dla klimatu technologii. </w:t>
      </w:r>
    </w:p>
    <w:p w14:paraId="596CB310" w14:textId="1F9700D8" w:rsidR="007B501E" w:rsidRPr="002A7AB3" w:rsidRDefault="007B501E" w:rsidP="007B501E">
      <w:pPr>
        <w:rPr>
          <w:rFonts w:ascii="Times New Roman" w:hAnsi="Times New Roman"/>
          <w:sz w:val="24"/>
          <w:szCs w:val="24"/>
          <w:lang w:eastAsia="pl-PL"/>
        </w:rPr>
      </w:pPr>
      <w:r w:rsidRPr="002A7AB3">
        <w:rPr>
          <w:lang w:eastAsia="pl-PL"/>
        </w:rPr>
        <w:t>Należy wzmocnić działania promocyjne oraz system wsparcia dla instytutów naukowych, uczelni i</w:t>
      </w:r>
      <w:r w:rsidR="00817026">
        <w:rPr>
          <w:lang w:eastAsia="pl-PL"/>
        </w:rPr>
        <w:t> </w:t>
      </w:r>
      <w:r w:rsidRPr="002A7AB3">
        <w:rPr>
          <w:lang w:eastAsia="pl-PL"/>
        </w:rPr>
        <w:t>przedsiębiorstw, aby zachęcić większą liczbę polskich instytucji i firm do składania wniosków w ramach programu Horyzont Europa oraz kolejnych programów ramowych UE. Wsparcie powinno być szczególnie ukierunkowane na technologie kluczowe dla transformacji energetyczno-klimatycznej, zarówno w</w:t>
      </w:r>
      <w:r w:rsidR="00817026">
        <w:rPr>
          <w:lang w:eastAsia="pl-PL"/>
        </w:rPr>
        <w:t> </w:t>
      </w:r>
      <w:r w:rsidRPr="002A7AB3">
        <w:rPr>
          <w:lang w:eastAsia="pl-PL"/>
        </w:rPr>
        <w:t>zakresie nowego zielonego przemysłu, jak i modernizacji istniejącego przemysłu w Polsce, szczególnie przemysłu ciężkiego. Skuteczna promocja oraz doradztwo oraz wsparcie udziału w partnerstwach europejskich programu mogą zwiększyć świadomość możliwości finansowania, a także poprawić jakość aplikacji, co przełoży się na wyższy odsetek przyznanych środków dla polskich projektów.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A7AB3" w14:paraId="171A3AF7" w14:textId="77777777" w:rsidTr="00FC46D9">
        <w:trPr>
          <w:trHeight w:val="300"/>
        </w:trPr>
        <w:tc>
          <w:tcPr>
            <w:tcW w:w="960" w:type="dxa"/>
            <w:vMerge w:val="restart"/>
            <w:tcBorders>
              <w:top w:val="dashed" w:sz="12" w:space="0" w:color="FFFFFF"/>
              <w:left w:val="dashed" w:sz="12" w:space="0" w:color="FFFFFF"/>
              <w:bottom w:val="dashed" w:sz="12" w:space="0" w:color="FFFFFF"/>
              <w:right w:val="dashed" w:sz="12" w:space="0" w:color="FFFFFF"/>
            </w:tcBorders>
            <w:hideMark/>
          </w:tcPr>
          <w:p w14:paraId="3A1E4ED2"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ascii="Times New Roman" w:eastAsia="Times New Roman" w:hAnsi="Times New Roman" w:cs="Times New Roman"/>
                <w:noProof/>
                <w:sz w:val="24"/>
                <w:szCs w:val="24"/>
                <w:lang w:eastAsia="pl-PL"/>
              </w:rPr>
              <w:drawing>
                <wp:inline distT="0" distB="0" distL="0" distR="0" wp14:anchorId="1CCA66BC" wp14:editId="1BD3FDBC">
                  <wp:extent cx="621030" cy="621030"/>
                  <wp:effectExtent l="0" t="0" r="7620" b="7620"/>
                  <wp:docPr id="80" name="Obraz 12"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2A7AB3">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37C2983E"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smallCaps/>
                <w:color w:val="000000"/>
                <w:sz w:val="18"/>
                <w:szCs w:val="18"/>
                <w:lang w:eastAsia="pl-PL"/>
              </w:rPr>
              <w:t>PODMIOT WIODĄCY</w:t>
            </w:r>
            <w:r w:rsidRPr="002A7AB3">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F576714"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color w:val="000000"/>
                <w:sz w:val="18"/>
                <w:szCs w:val="18"/>
                <w:lang w:eastAsia="pl-PL"/>
              </w:rPr>
              <w:t>PODMIOTY WSPÓŁPRACUJĄCE</w:t>
            </w:r>
            <w:r w:rsidRPr="002A7AB3">
              <w:rPr>
                <w:rFonts w:eastAsia="Times New Roman" w:cs="Times New Roman"/>
                <w:color w:val="000000"/>
                <w:sz w:val="18"/>
                <w:szCs w:val="18"/>
                <w:lang w:eastAsia="pl-PL"/>
              </w:rPr>
              <w:t> </w:t>
            </w:r>
          </w:p>
        </w:tc>
      </w:tr>
      <w:tr w:rsidR="003B6773" w:rsidRPr="002A7AB3" w14:paraId="7E6622B8"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6454E142" w14:textId="77777777" w:rsidR="007B501E" w:rsidRPr="002A7AB3" w:rsidRDefault="007B501E">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27527E6A"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nauki i szkolnictwa wyższego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22C86F64" w14:textId="1F3D5FDD"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 </w:t>
            </w:r>
            <w:r w:rsidR="00A951B7" w:rsidRPr="002A7AB3">
              <w:rPr>
                <w:rFonts w:eastAsia="Times New Roman" w:cs="Times New Roman"/>
                <w:color w:val="808080"/>
                <w:sz w:val="18"/>
                <w:szCs w:val="18"/>
                <w:lang w:eastAsia="pl-PL"/>
              </w:rPr>
              <w:t>minister wł. ds.</w:t>
            </w:r>
            <w:r w:rsidR="00A951B7">
              <w:rPr>
                <w:rFonts w:eastAsia="Times New Roman" w:cs="Times New Roman"/>
                <w:color w:val="808080"/>
                <w:sz w:val="18"/>
                <w:szCs w:val="18"/>
                <w:lang w:eastAsia="pl-PL"/>
              </w:rPr>
              <w:t xml:space="preserve"> klimatu</w:t>
            </w:r>
          </w:p>
        </w:tc>
      </w:tr>
    </w:tbl>
    <w:p w14:paraId="2F4EF36B" w14:textId="77777777" w:rsidR="007B501E" w:rsidRPr="002A7AB3" w:rsidRDefault="007B501E" w:rsidP="007B501E">
      <w:pPr>
        <w:spacing w:after="24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lang w:eastAsia="pl-PL"/>
        </w:rPr>
        <w:t> </w:t>
      </w:r>
    </w:p>
    <w:p w14:paraId="02DD0C0B" w14:textId="4739E427" w:rsidR="007B501E" w:rsidRPr="002A7AB3" w:rsidRDefault="007B501E" w:rsidP="00D523F3">
      <w:pPr>
        <w:pStyle w:val="Nagwek6"/>
        <w:rPr>
          <w:rFonts w:ascii="Times New Roman" w:hAnsi="Times New Roman"/>
          <w:i/>
          <w:iCs/>
          <w:color w:val="595959"/>
          <w:sz w:val="24"/>
          <w:szCs w:val="24"/>
          <w:lang w:eastAsia="pl-PL"/>
        </w:rPr>
      </w:pPr>
      <w:bookmarkStart w:id="1452" w:name="_Toc195866012"/>
      <w:bookmarkStart w:id="1453" w:name="_Ref195890501"/>
      <w:bookmarkStart w:id="1454" w:name="_Ref195894598"/>
      <w:r w:rsidRPr="00FB68C2">
        <w:rPr>
          <w:rStyle w:val="Nagwek6Znak"/>
          <w:b/>
        </w:rPr>
        <w:lastRenderedPageBreak/>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158</w:t>
      </w:r>
      <w:r w:rsidRPr="00FB68C2">
        <w:rPr>
          <w:rStyle w:val="Nagwek6Znak"/>
          <w:b/>
        </w:rPr>
        <w:fldChar w:fldCharType="end"/>
      </w:r>
      <w:r w:rsidRPr="00FB68C2">
        <w:rPr>
          <w:rStyle w:val="Nagwek6Znak"/>
          <w:b/>
        </w:rPr>
        <w:t xml:space="preserve">. </w:t>
      </w:r>
      <w:r w:rsidRPr="002A7AB3">
        <w:rPr>
          <w:lang w:eastAsia="pl-PL"/>
        </w:rPr>
        <w:t>Kształcenie i doskonalenie zawodowe kadr dla gospodarki w zakresie transformacji energetyczno-klimatycznej</w:t>
      </w:r>
      <w:bookmarkEnd w:id="1452"/>
      <w:bookmarkEnd w:id="1453"/>
      <w:bookmarkEnd w:id="1454"/>
      <w:r w:rsidR="003E2DE5">
        <w:rPr>
          <w:lang w:eastAsia="pl-PL"/>
        </w:rPr>
        <w:t xml:space="preserve"> </w:t>
      </w:r>
    </w:p>
    <w:p w14:paraId="7523B000" w14:textId="648C6C03" w:rsidR="007B501E" w:rsidRPr="002A7AB3" w:rsidRDefault="007B501E" w:rsidP="007B501E">
      <w:pPr>
        <w:rPr>
          <w:rFonts w:ascii="Times New Roman" w:hAnsi="Times New Roman"/>
          <w:sz w:val="24"/>
          <w:szCs w:val="24"/>
          <w:lang w:eastAsia="pl-PL"/>
        </w:rPr>
      </w:pPr>
      <w:r w:rsidRPr="002A7AB3">
        <w:rPr>
          <w:lang w:eastAsia="pl-PL"/>
        </w:rPr>
        <w:t>Działanie obejmuje wprowadzenie do systemu oświaty, na wnioski ministrów właściwych, nowych kierunków kształcenia w zakresie transformacji energetyczno-klimatycznej, a w konsekwencji zapewnienie wykwalifikowanych kadr do transformacji. Proces transformacji obejmuje całą gospodarkę i</w:t>
      </w:r>
      <w:r w:rsidR="00817026">
        <w:rPr>
          <w:lang w:eastAsia="pl-PL"/>
        </w:rPr>
        <w:t> </w:t>
      </w:r>
      <w:r w:rsidRPr="002A7AB3">
        <w:rPr>
          <w:lang w:eastAsia="pl-PL"/>
        </w:rPr>
        <w:t>społeczeństwo, w szczególności zmienia sposób funkcjonowania energetyki, transportu, ciepłownictwa, budownictwa, przemysłu, rolnictwa, buduje gospodarkę obiegu zamkniętego, zmienia sposób gospodarowania zasobami, zmienia zasady funkcjonowania miast i społeczeństwa, uwzględnia koniczność przystosowania do zmian klimatu. W konsekwencji tak szerokich zmian powstają nowe zawody i miejsca pracy, które z kolei powodują konieczność dostosowania systemu kształcenia. Ponadto</w:t>
      </w:r>
      <w:r w:rsidR="00817026">
        <w:t> </w:t>
      </w:r>
      <w:r w:rsidRPr="002A7AB3">
        <w:rPr>
          <w:lang w:eastAsia="pl-PL"/>
        </w:rPr>
        <w:t>Działanie przewiduje uaktualnienie oraz włączenie do Zintegrowanego Systemu Kwalifikacji sektorowych ram kwalifikacji w sektorach gospodarki wodnej, gospodarki odpadami, budownictwa i</w:t>
      </w:r>
      <w:r w:rsidR="00817026">
        <w:rPr>
          <w:lang w:eastAsia="pl-PL"/>
        </w:rPr>
        <w:t> </w:t>
      </w:r>
      <w:r w:rsidRPr="002A7AB3">
        <w:rPr>
          <w:lang w:eastAsia="pl-PL"/>
        </w:rPr>
        <w:t xml:space="preserve">energetyki poprzez uwzględnienie w nich kompetencji przyczyniających się do osiągnięcia celów </w:t>
      </w:r>
      <w:r w:rsidR="00002C7B">
        <w:rPr>
          <w:lang w:eastAsia="pl-PL"/>
        </w:rPr>
        <w:t xml:space="preserve">pakietu </w:t>
      </w:r>
      <w:r w:rsidR="0013050A">
        <w:rPr>
          <w:lang w:eastAsia="pl-PL"/>
        </w:rPr>
        <w:t>„Fit for 55”</w:t>
      </w:r>
      <w:r w:rsidRPr="002A7AB3">
        <w:rPr>
          <w:lang w:eastAsia="pl-P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2A7AB3" w14:paraId="3EB597ED" w14:textId="77777777" w:rsidTr="00FC46D9">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7523DE12"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ascii="Times New Roman" w:eastAsia="Times New Roman" w:hAnsi="Times New Roman" w:cs="Times New Roman"/>
                <w:noProof/>
                <w:sz w:val="24"/>
                <w:szCs w:val="24"/>
                <w:lang w:eastAsia="pl-PL"/>
              </w:rPr>
              <w:drawing>
                <wp:inline distT="0" distB="0" distL="0" distR="0" wp14:anchorId="2EB9DB0E" wp14:editId="2B15860C">
                  <wp:extent cx="621030" cy="621030"/>
                  <wp:effectExtent l="0" t="0" r="7620" b="7620"/>
                  <wp:docPr id="294349965" name="Obraz 1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2A7AB3">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7C0B42DC"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smallCaps/>
                <w:color w:val="000000"/>
                <w:sz w:val="18"/>
                <w:szCs w:val="18"/>
                <w:lang w:eastAsia="pl-PL"/>
              </w:rPr>
              <w:t>PODMIOT WIODĄCY</w:t>
            </w:r>
            <w:r w:rsidRPr="002A7AB3">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5710E888"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b/>
                <w:bCs/>
                <w:color w:val="000000"/>
                <w:sz w:val="18"/>
                <w:szCs w:val="18"/>
                <w:lang w:eastAsia="pl-PL"/>
              </w:rPr>
              <w:t>PODMIOTY WSPÓŁPRACUJĄCE</w:t>
            </w:r>
            <w:r w:rsidRPr="002A7AB3">
              <w:rPr>
                <w:rFonts w:eastAsia="Times New Roman" w:cs="Times New Roman"/>
                <w:color w:val="000000"/>
                <w:sz w:val="18"/>
                <w:szCs w:val="18"/>
                <w:lang w:eastAsia="pl-PL"/>
              </w:rPr>
              <w:t> </w:t>
            </w:r>
          </w:p>
        </w:tc>
      </w:tr>
      <w:tr w:rsidR="003B6773" w:rsidRPr="002A7AB3" w14:paraId="743B5B3E"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579235DD" w14:textId="77777777" w:rsidR="007B501E" w:rsidRPr="002A7AB3" w:rsidRDefault="007B501E">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F29462A" w14:textId="77777777" w:rsidR="007B501E" w:rsidRPr="002A7AB3" w:rsidRDefault="007B501E">
            <w:pPr>
              <w:spacing w:after="0" w:line="240" w:lineRule="auto"/>
              <w:textAlignment w:val="baseline"/>
              <w:rPr>
                <w:rFonts w:eastAsia="Times New Roman" w:cs="Times New Roman"/>
                <w:color w:val="808080"/>
                <w:sz w:val="18"/>
                <w:szCs w:val="18"/>
                <w:lang w:eastAsia="pl-PL"/>
              </w:rPr>
            </w:pPr>
            <w:r w:rsidRPr="002A7AB3">
              <w:rPr>
                <w:rFonts w:eastAsia="Times New Roman" w:cs="Times New Roman"/>
                <w:color w:val="808080"/>
                <w:sz w:val="18"/>
                <w:szCs w:val="18"/>
                <w:lang w:eastAsia="pl-PL"/>
              </w:rPr>
              <w:t>minister wł. ds. oświaty i wychowania </w:t>
            </w:r>
          </w:p>
          <w:p w14:paraId="0D757BCC" w14:textId="77777777" w:rsidR="007B501E" w:rsidRPr="002A7AB3" w:rsidRDefault="007B501E">
            <w:pPr>
              <w:spacing w:after="0" w:line="240" w:lineRule="auto"/>
              <w:textAlignment w:val="baseline"/>
              <w:rPr>
                <w:rFonts w:eastAsia="Times New Roman" w:cs="Times New Roman"/>
                <w:color w:val="808080"/>
                <w:sz w:val="18"/>
                <w:szCs w:val="18"/>
                <w:lang w:eastAsia="pl-PL"/>
              </w:rPr>
            </w:pPr>
            <w:r w:rsidRPr="002A7AB3">
              <w:rPr>
                <w:rFonts w:eastAsia="Times New Roman" w:cs="Times New Roman"/>
                <w:color w:val="808080"/>
                <w:sz w:val="18"/>
                <w:szCs w:val="18"/>
                <w:lang w:eastAsia="pl-PL"/>
              </w:rPr>
              <w:t>minister wł. ds. nauki i szkolnictwa wyższego </w:t>
            </w:r>
          </w:p>
          <w:p w14:paraId="6F1AFFF9"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79DADC81"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energii </w:t>
            </w:r>
          </w:p>
          <w:p w14:paraId="5C4A342D"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gospodarki </w:t>
            </w:r>
          </w:p>
          <w:p w14:paraId="25C0912B"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klimatu </w:t>
            </w:r>
          </w:p>
          <w:p w14:paraId="678DEAE5"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gospodarki surowcami energetycznymi </w:t>
            </w:r>
          </w:p>
          <w:p w14:paraId="4A794FF2"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rolnictwa </w:t>
            </w:r>
          </w:p>
          <w:p w14:paraId="2AFCE150"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minister wł. ds. transportu </w:t>
            </w:r>
          </w:p>
          <w:p w14:paraId="425C9134" w14:textId="77777777" w:rsidR="007B501E" w:rsidRPr="002A7AB3" w:rsidRDefault="007B501E">
            <w:pPr>
              <w:spacing w:after="0" w:line="240" w:lineRule="auto"/>
              <w:textAlignment w:val="baseline"/>
              <w:rPr>
                <w:rFonts w:ascii="Times New Roman" w:eastAsia="Times New Roman" w:hAnsi="Times New Roman" w:cs="Times New Roman"/>
                <w:sz w:val="24"/>
                <w:szCs w:val="24"/>
                <w:lang w:eastAsia="pl-PL"/>
              </w:rPr>
            </w:pPr>
            <w:r w:rsidRPr="002A7AB3">
              <w:rPr>
                <w:rFonts w:eastAsia="Times New Roman" w:cs="Times New Roman"/>
                <w:color w:val="808080"/>
                <w:sz w:val="18"/>
                <w:szCs w:val="18"/>
                <w:lang w:eastAsia="pl-PL"/>
              </w:rPr>
              <w:t> </w:t>
            </w:r>
          </w:p>
        </w:tc>
      </w:tr>
    </w:tbl>
    <w:p w14:paraId="2428542F" w14:textId="20B019C5" w:rsidR="007B501E" w:rsidRPr="004D6F82" w:rsidRDefault="007B501E" w:rsidP="00D523F3">
      <w:pPr>
        <w:pStyle w:val="Nagwek6"/>
        <w:rPr>
          <w:rFonts w:ascii="Times New Roman" w:hAnsi="Times New Roman"/>
          <w:i/>
          <w:iCs/>
          <w:color w:val="595959"/>
          <w:sz w:val="24"/>
          <w:szCs w:val="24"/>
          <w:lang w:eastAsia="pl-PL"/>
        </w:rPr>
      </w:pPr>
      <w:bookmarkStart w:id="1455" w:name="_Toc195866013"/>
      <w:bookmarkStart w:id="1456" w:name="_Ref195890597"/>
      <w:r w:rsidRPr="00FB68C2">
        <w:rPr>
          <w:rStyle w:val="Nagwek6Znak"/>
          <w:b/>
        </w:rPr>
        <w:t xml:space="preserve">Działanie </w:t>
      </w:r>
      <w:r w:rsidRPr="00FB68C2">
        <w:rPr>
          <w:rStyle w:val="Nagwek6Znak"/>
          <w:b/>
        </w:rPr>
        <w:fldChar w:fldCharType="begin"/>
      </w:r>
      <w:r w:rsidRPr="00FB68C2">
        <w:rPr>
          <w:rStyle w:val="Nagwek6Znak"/>
          <w:b/>
        </w:rPr>
        <w:instrText xml:space="preserve"> SEQ Działanie \* ARABIC </w:instrText>
      </w:r>
      <w:r w:rsidRPr="00FB68C2">
        <w:rPr>
          <w:rStyle w:val="Nagwek6Znak"/>
          <w:b/>
        </w:rPr>
        <w:fldChar w:fldCharType="separate"/>
      </w:r>
      <w:r w:rsidR="00871DD5">
        <w:rPr>
          <w:rStyle w:val="Nagwek6Znak"/>
          <w:b/>
          <w:noProof/>
        </w:rPr>
        <w:t>159</w:t>
      </w:r>
      <w:r w:rsidRPr="00FB68C2">
        <w:rPr>
          <w:rStyle w:val="Nagwek6Znak"/>
          <w:b/>
        </w:rPr>
        <w:fldChar w:fldCharType="end"/>
      </w:r>
      <w:r w:rsidRPr="00FB68C2">
        <w:rPr>
          <w:rStyle w:val="Nagwek6Znak"/>
          <w:b/>
        </w:rPr>
        <w:t xml:space="preserve">. </w:t>
      </w:r>
      <w:r w:rsidRPr="004D6F82">
        <w:rPr>
          <w:lang w:eastAsia="pl-PL"/>
        </w:rPr>
        <w:t xml:space="preserve">Przygotowanie </w:t>
      </w:r>
      <w:r w:rsidRPr="007B501E">
        <w:t>planu</w:t>
      </w:r>
      <w:r w:rsidRPr="004D6F82">
        <w:rPr>
          <w:lang w:eastAsia="pl-PL"/>
        </w:rPr>
        <w:t xml:space="preserve"> finansowego dla działań p</w:t>
      </w:r>
      <w:r>
        <w:rPr>
          <w:lang w:eastAsia="pl-PL"/>
        </w:rPr>
        <w:t xml:space="preserve">roponowanych </w:t>
      </w:r>
      <w:r w:rsidRPr="004D6F82">
        <w:rPr>
          <w:lang w:eastAsia="pl-PL"/>
        </w:rPr>
        <w:t>w KPEiK</w:t>
      </w:r>
      <w:bookmarkEnd w:id="1455"/>
      <w:bookmarkEnd w:id="1456"/>
      <w:r w:rsidR="003E2DE5">
        <w:rPr>
          <w:lang w:eastAsia="pl-PL"/>
        </w:rPr>
        <w:t xml:space="preserve"> </w:t>
      </w:r>
    </w:p>
    <w:p w14:paraId="3A324FE3" w14:textId="4071CA70" w:rsidR="007B501E" w:rsidRPr="004D6F82" w:rsidRDefault="007B501E" w:rsidP="007B501E">
      <w:pPr>
        <w:rPr>
          <w:rFonts w:ascii="Times New Roman" w:hAnsi="Times New Roman"/>
          <w:sz w:val="24"/>
          <w:szCs w:val="24"/>
          <w:lang w:eastAsia="pl-PL"/>
        </w:rPr>
      </w:pPr>
      <w:r w:rsidRPr="004D6F82">
        <w:rPr>
          <w:lang w:eastAsia="pl-PL"/>
        </w:rPr>
        <w:t>Transformacja energetyczno-klimatyczna w Polsce przedstawiona w KPEiK to ogromne wyzwanie finansowe, obejmuje modernizację energetyki, ciepłownictwa, transportu, przemysłu, rolnictwa, termomodernizację budynków, zmienia sposób funkcjonowania miast i społeczeństwa. Niektóre sektory, jak energetyka wiatrowa, będą rozwijać się samodzielnie dzięki opłacalności rynkowej, jednak inne wymagają wsparcia publicznego, dotacji i mechanizmów zmniejszających ryzyko inwestycyjne. Aby</w:t>
      </w:r>
      <w:r w:rsidR="00817026">
        <w:rPr>
          <w:lang w:eastAsia="pl-PL"/>
        </w:rPr>
        <w:t> </w:t>
      </w:r>
      <w:r w:rsidRPr="004D6F82">
        <w:rPr>
          <w:lang w:eastAsia="pl-PL"/>
        </w:rPr>
        <w:t>proces ten był skuteczny, konieczne jest stworzenie kompleksowego planu finansowania, który określi źródła kapitału, mechanizmy wsparcia oraz zasady współpracy między instytucjami publicznymi i</w:t>
      </w:r>
      <w:r w:rsidR="00817026">
        <w:rPr>
          <w:lang w:eastAsia="pl-PL"/>
        </w:rPr>
        <w:t> </w:t>
      </w:r>
      <w:r w:rsidRPr="004D6F82">
        <w:rPr>
          <w:lang w:eastAsia="pl-PL"/>
        </w:rPr>
        <w:t>prywatnymi. </w:t>
      </w:r>
    </w:p>
    <w:p w14:paraId="372F95E0" w14:textId="29D55E76" w:rsidR="007B501E" w:rsidRPr="004D6F82" w:rsidRDefault="007B501E" w:rsidP="007B501E">
      <w:pPr>
        <w:rPr>
          <w:rFonts w:ascii="Times New Roman" w:hAnsi="Times New Roman"/>
          <w:sz w:val="24"/>
          <w:szCs w:val="24"/>
          <w:lang w:eastAsia="pl-PL"/>
        </w:rPr>
      </w:pPr>
      <w:r w:rsidRPr="004D6F82">
        <w:rPr>
          <w:lang w:eastAsia="pl-PL"/>
        </w:rPr>
        <w:t>Kluczowe jest, aby finansowanie projektów transformacji było skoordynowane i oparte na współpracy różnych instytucji. Poszczególne podmioty powinny działać w ramach wspólnej strategii, obejmującej różne etapy i formy wsparcia. Przykładowo Narodowy Fundusz Ochrony Środowiska i Gospodarki Wodnej, Bank Gospodarstwa Krajowego, Polski Fundusz Rozwoju, Narodowe Centrum Badań i Rozwoju, uraz inne instytucje powinny koordynować swoje działania i wzajemnie się uzupełniać. Lista</w:t>
      </w:r>
      <w:r w:rsidR="00817026">
        <w:rPr>
          <w:lang w:eastAsia="pl-PL"/>
        </w:rPr>
        <w:t> </w:t>
      </w:r>
      <w:r w:rsidRPr="004D6F82">
        <w:rPr>
          <w:lang w:eastAsia="pl-PL"/>
        </w:rPr>
        <w:t>tych</w:t>
      </w:r>
      <w:r w:rsidR="00817026">
        <w:rPr>
          <w:lang w:eastAsia="pl-PL"/>
        </w:rPr>
        <w:t> </w:t>
      </w:r>
      <w:r w:rsidRPr="004D6F82">
        <w:rPr>
          <w:lang w:eastAsia="pl-PL"/>
        </w:rPr>
        <w:t>podmiotów powinna być szeroka i uwzględniać dostępne źródła finansowania. </w:t>
      </w:r>
    </w:p>
    <w:p w14:paraId="3795871F" w14:textId="7995A304" w:rsidR="007B501E" w:rsidRPr="004D6F82" w:rsidRDefault="007B501E" w:rsidP="007B501E">
      <w:pPr>
        <w:rPr>
          <w:rFonts w:ascii="Times New Roman" w:hAnsi="Times New Roman"/>
          <w:sz w:val="24"/>
          <w:szCs w:val="24"/>
          <w:lang w:eastAsia="pl-PL"/>
        </w:rPr>
      </w:pPr>
      <w:r w:rsidRPr="004D6F82">
        <w:rPr>
          <w:lang w:eastAsia="pl-PL"/>
        </w:rPr>
        <w:t>Konieczne jest również stworzenie mechanizmów ograniczających ryzyko, które pozwolą na mobilizację (niskooprocentowanego dzięki małemu ryzyku) kapitału prywatnego. Takie instrumenty powinny wspierać inwestycje w modernizację infrastruktury, rozwój nowych technologii oraz dekarbonizację przemysłu i transportu. Powinny one również być tak zaprojektowane, aby zapewniać stabilność i</w:t>
      </w:r>
      <w:r w:rsidR="00817026">
        <w:rPr>
          <w:lang w:eastAsia="pl-PL"/>
        </w:rPr>
        <w:t> </w:t>
      </w:r>
      <w:r w:rsidRPr="004D6F82">
        <w:rPr>
          <w:lang w:eastAsia="pl-PL"/>
        </w:rPr>
        <w:t>długoterminowe bezpieczeństwo inwestorów, umożliwiając realizację nawet najbardziej kapitałochłonnych przedsięwzięć. </w:t>
      </w:r>
    </w:p>
    <w:p w14:paraId="7E6D7471" w14:textId="77777777" w:rsidR="007B501E" w:rsidRPr="004D6F82" w:rsidRDefault="007B501E" w:rsidP="007B501E">
      <w:pPr>
        <w:rPr>
          <w:rFonts w:ascii="Times New Roman" w:hAnsi="Times New Roman"/>
          <w:sz w:val="24"/>
          <w:szCs w:val="24"/>
          <w:lang w:eastAsia="pl-PL"/>
        </w:rPr>
      </w:pPr>
      <w:r w:rsidRPr="004D6F82">
        <w:rPr>
          <w:lang w:eastAsia="pl-PL"/>
        </w:rPr>
        <w:t>Zintegrowane podejście do finansowania transformacji pozwoli na bardziej efektywne zarządzanie środkami publicznymi, lepsze wykorzystanie kapitału prywatnego oraz skuteczniejsze wdrażanie projektów. Koordynacja działań instytucji finansowych, precyzyjnie dobrane mechanizmy wsparcia oraz cyfrowe narzędzia monitorowania inwestycji zwiększą efektywność procesu i umożliwią Polsce realizację ambitnych celów energetyczno-klimatycznych w sposób zrównoważony i ekonomicznie optymalny. </w:t>
      </w:r>
    </w:p>
    <w:tbl>
      <w:tblPr>
        <w:tblW w:w="0" w:type="auto"/>
        <w:tblBorders>
          <w:top w:val="outset" w:sz="6" w:space="0" w:color="auto"/>
          <w:left w:val="outset" w:sz="6" w:space="0" w:color="auto"/>
          <w:bottom w:val="outset" w:sz="6" w:space="0" w:color="auto"/>
          <w:right w:val="outset" w:sz="6" w:space="0" w:color="auto"/>
        </w:tblBorders>
        <w:tblCellMar>
          <w:top w:w="15" w:type="dxa"/>
          <w:left w:w="57" w:type="dxa"/>
          <w:bottom w:w="15" w:type="dxa"/>
          <w:right w:w="15" w:type="dxa"/>
        </w:tblCellMar>
        <w:tblLook w:val="04A0" w:firstRow="1" w:lastRow="0" w:firstColumn="1" w:lastColumn="0" w:noHBand="0" w:noVBand="1"/>
      </w:tblPr>
      <w:tblGrid>
        <w:gridCol w:w="1109"/>
        <w:gridCol w:w="3870"/>
        <w:gridCol w:w="3960"/>
      </w:tblGrid>
      <w:tr w:rsidR="003B6773" w:rsidRPr="004D6F82" w14:paraId="1D45CC2E" w14:textId="77777777" w:rsidTr="00FC46D9">
        <w:trPr>
          <w:trHeight w:val="300"/>
        </w:trPr>
        <w:tc>
          <w:tcPr>
            <w:tcW w:w="1067" w:type="dxa"/>
            <w:vMerge w:val="restart"/>
            <w:tcBorders>
              <w:top w:val="dashed" w:sz="12" w:space="0" w:color="FFFFFF"/>
              <w:left w:val="dashed" w:sz="12" w:space="0" w:color="FFFFFF"/>
              <w:bottom w:val="dashed" w:sz="12" w:space="0" w:color="FFFFFF"/>
              <w:right w:val="dashed" w:sz="12" w:space="0" w:color="FFFFFF"/>
            </w:tcBorders>
            <w:hideMark/>
          </w:tcPr>
          <w:p w14:paraId="48191E7E"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ascii="Times New Roman" w:eastAsia="Times New Roman" w:hAnsi="Times New Roman" w:cs="Times New Roman"/>
                <w:noProof/>
                <w:sz w:val="24"/>
                <w:szCs w:val="24"/>
                <w:lang w:eastAsia="pl-PL"/>
              </w:rPr>
              <w:lastRenderedPageBreak/>
              <w:drawing>
                <wp:inline distT="0" distB="0" distL="0" distR="0" wp14:anchorId="73C44BA7" wp14:editId="4C9748F1">
                  <wp:extent cx="621030" cy="621030"/>
                  <wp:effectExtent l="0" t="0" r="7620" b="7620"/>
                  <wp:docPr id="1547237146" name="Obraz 29"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braz zawierający design&#10;&#10;Zawartość wygenerowana przez sztuczną inteligencję może być niepoprawn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r w:rsidRPr="004D6F82">
              <w:rPr>
                <w:rFonts w:eastAsia="Times New Roman" w:cs="Times New Roman"/>
                <w:color w:val="FFFFFF"/>
                <w:sz w:val="18"/>
                <w:szCs w:val="18"/>
                <w:lang w:eastAsia="pl-PL"/>
              </w:rPr>
              <w:t> </w:t>
            </w:r>
          </w:p>
        </w:tc>
        <w:tc>
          <w:tcPr>
            <w:tcW w:w="3870" w:type="dxa"/>
            <w:tcBorders>
              <w:top w:val="dashed" w:sz="12" w:space="0" w:color="FFFFFF"/>
              <w:left w:val="dashed" w:sz="12" w:space="0" w:color="FFFFFF"/>
              <w:bottom w:val="dashSmallGap" w:sz="4" w:space="0" w:color="D9D9D9" w:themeColor="background1" w:themeShade="D9"/>
              <w:right w:val="dashSmallGap" w:sz="4" w:space="0" w:color="D9D9D9" w:themeColor="background1" w:themeShade="D9"/>
            </w:tcBorders>
            <w:hideMark/>
          </w:tcPr>
          <w:p w14:paraId="06B3A2F7"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smallCaps/>
                <w:color w:val="000000"/>
                <w:sz w:val="18"/>
                <w:szCs w:val="18"/>
                <w:lang w:eastAsia="pl-PL"/>
              </w:rPr>
              <w:t>PODMIOT WIODĄCY</w:t>
            </w:r>
            <w:r w:rsidRPr="004D6F82">
              <w:rPr>
                <w:rFonts w:eastAsia="Times New Roman" w:cs="Times New Roman"/>
                <w:color w:val="000000"/>
                <w:sz w:val="18"/>
                <w:szCs w:val="18"/>
                <w:lang w:eastAsia="pl-PL"/>
              </w:rPr>
              <w:t> </w:t>
            </w:r>
          </w:p>
        </w:tc>
        <w:tc>
          <w:tcPr>
            <w:tcW w:w="3960" w:type="dxa"/>
            <w:tcBorders>
              <w:top w:val="dashed" w:sz="12" w:space="0" w:color="FFFFFF"/>
              <w:left w:val="dashSmallGap" w:sz="4" w:space="0" w:color="D9D9D9" w:themeColor="background1" w:themeShade="D9"/>
              <w:bottom w:val="dashSmallGap" w:sz="4" w:space="0" w:color="D9D9D9" w:themeColor="background1" w:themeShade="D9"/>
              <w:right w:val="dashed" w:sz="12" w:space="0" w:color="FFFFFF"/>
            </w:tcBorders>
            <w:hideMark/>
          </w:tcPr>
          <w:p w14:paraId="347F9361"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b/>
                <w:bCs/>
                <w:color w:val="000000"/>
                <w:sz w:val="18"/>
                <w:szCs w:val="18"/>
                <w:lang w:eastAsia="pl-PL"/>
              </w:rPr>
              <w:t>PODMIOTY WSPÓŁPRACUJĄCE</w:t>
            </w:r>
            <w:r w:rsidRPr="004D6F82">
              <w:rPr>
                <w:rFonts w:eastAsia="Times New Roman" w:cs="Times New Roman"/>
                <w:color w:val="000000"/>
                <w:sz w:val="18"/>
                <w:szCs w:val="18"/>
                <w:lang w:eastAsia="pl-PL"/>
              </w:rPr>
              <w:t> </w:t>
            </w:r>
          </w:p>
        </w:tc>
      </w:tr>
      <w:tr w:rsidR="003B6773" w:rsidRPr="004D6F82" w14:paraId="5B14CEE8" w14:textId="77777777" w:rsidTr="00FC46D9">
        <w:trPr>
          <w:trHeight w:val="300"/>
        </w:trPr>
        <w:tc>
          <w:tcPr>
            <w:tcW w:w="0" w:type="auto"/>
            <w:vMerge/>
            <w:tcBorders>
              <w:top w:val="dashed" w:sz="12" w:space="0" w:color="FFFFFF"/>
              <w:left w:val="dashed" w:sz="12" w:space="0" w:color="FFFFFF"/>
              <w:bottom w:val="dashed" w:sz="12" w:space="0" w:color="FFFFFF"/>
              <w:right w:val="dashed" w:sz="12" w:space="0" w:color="FFFFFF"/>
            </w:tcBorders>
            <w:vAlign w:val="center"/>
            <w:hideMark/>
          </w:tcPr>
          <w:p w14:paraId="19B6AF52" w14:textId="77777777" w:rsidR="007B501E" w:rsidRPr="004D6F82" w:rsidRDefault="007B501E">
            <w:pPr>
              <w:spacing w:after="0" w:line="240" w:lineRule="auto"/>
              <w:jc w:val="left"/>
              <w:rPr>
                <w:rFonts w:ascii="Times New Roman" w:eastAsia="Times New Roman" w:hAnsi="Times New Roman" w:cs="Times New Roman"/>
                <w:sz w:val="24"/>
                <w:szCs w:val="24"/>
                <w:lang w:eastAsia="pl-PL"/>
              </w:rPr>
            </w:pPr>
          </w:p>
        </w:tc>
        <w:tc>
          <w:tcPr>
            <w:tcW w:w="3870" w:type="dxa"/>
            <w:tcBorders>
              <w:top w:val="dashSmallGap" w:sz="4" w:space="0" w:color="D9D9D9" w:themeColor="background1" w:themeShade="D9"/>
              <w:left w:val="dashed" w:sz="12" w:space="0" w:color="FFFFFF"/>
              <w:bottom w:val="dashed" w:sz="12" w:space="0" w:color="FFFFFF"/>
              <w:right w:val="dashSmallGap" w:sz="4" w:space="0" w:color="D9D9D9" w:themeColor="background1" w:themeShade="D9"/>
            </w:tcBorders>
            <w:hideMark/>
          </w:tcPr>
          <w:p w14:paraId="10708F85" w14:textId="1B2B8663"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energii</w:t>
            </w:r>
            <w:r w:rsidR="003E2DE5">
              <w:rPr>
                <w:rFonts w:eastAsia="Times New Roman" w:cs="Times New Roman"/>
                <w:color w:val="808080"/>
                <w:sz w:val="18"/>
                <w:szCs w:val="18"/>
                <w:lang w:eastAsia="pl-PL"/>
              </w:rPr>
              <w:t xml:space="preserve"> </w:t>
            </w:r>
          </w:p>
          <w:p w14:paraId="493E93AB"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 </w:t>
            </w:r>
          </w:p>
        </w:tc>
        <w:tc>
          <w:tcPr>
            <w:tcW w:w="3960" w:type="dxa"/>
            <w:tcBorders>
              <w:top w:val="dashSmallGap" w:sz="4" w:space="0" w:color="D9D9D9" w:themeColor="background1" w:themeShade="D9"/>
              <w:left w:val="dashSmallGap" w:sz="4" w:space="0" w:color="D9D9D9" w:themeColor="background1" w:themeShade="D9"/>
              <w:bottom w:val="dashed" w:sz="12" w:space="0" w:color="FFFFFF"/>
              <w:right w:val="dashed" w:sz="12" w:space="0" w:color="FFFFFF"/>
            </w:tcBorders>
            <w:hideMark/>
          </w:tcPr>
          <w:p w14:paraId="00B3E35D"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klimatu </w:t>
            </w:r>
          </w:p>
          <w:p w14:paraId="10260AE7"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minister wł. ds. finansów publicznych </w:t>
            </w:r>
          </w:p>
          <w:p w14:paraId="1E7D0887"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banki komercyjne </w:t>
            </w:r>
          </w:p>
          <w:p w14:paraId="3DBCE265"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NFOŚiGW </w:t>
            </w:r>
          </w:p>
          <w:p w14:paraId="1246197E"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BGK </w:t>
            </w:r>
          </w:p>
          <w:p w14:paraId="264CBC02"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PFR </w:t>
            </w:r>
          </w:p>
          <w:p w14:paraId="68D56C45" w14:textId="6FCF3FE8"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color w:val="808080"/>
                <w:sz w:val="18"/>
                <w:szCs w:val="18"/>
                <w:lang w:eastAsia="pl-PL"/>
              </w:rPr>
              <w:t>N</w:t>
            </w:r>
            <w:r>
              <w:rPr>
                <w:rFonts w:eastAsia="Times New Roman" w:cs="Times New Roman"/>
                <w:color w:val="808080"/>
                <w:sz w:val="18"/>
                <w:szCs w:val="18"/>
                <w:lang w:eastAsia="pl-PL"/>
              </w:rPr>
              <w:t>C</w:t>
            </w:r>
            <w:r w:rsidRPr="004D6F82">
              <w:rPr>
                <w:rFonts w:eastAsia="Times New Roman" w:cs="Times New Roman"/>
                <w:color w:val="808080"/>
                <w:sz w:val="18"/>
                <w:szCs w:val="18"/>
                <w:lang w:eastAsia="pl-PL"/>
              </w:rPr>
              <w:t>BR i inne</w:t>
            </w:r>
            <w:r w:rsidR="003E2DE5">
              <w:rPr>
                <w:rFonts w:eastAsia="Times New Roman" w:cs="Times New Roman"/>
                <w:color w:val="808080"/>
                <w:sz w:val="18"/>
                <w:szCs w:val="18"/>
                <w:lang w:eastAsia="pl-PL"/>
              </w:rPr>
              <w:t xml:space="preserve"> </w:t>
            </w:r>
          </w:p>
          <w:p w14:paraId="5EA78136" w14:textId="77777777" w:rsidR="007B501E" w:rsidRPr="004D6F82" w:rsidRDefault="007B501E">
            <w:pPr>
              <w:spacing w:after="0" w:line="240" w:lineRule="auto"/>
              <w:textAlignment w:val="baseline"/>
              <w:rPr>
                <w:rFonts w:ascii="Times New Roman" w:eastAsia="Times New Roman" w:hAnsi="Times New Roman" w:cs="Times New Roman"/>
                <w:sz w:val="24"/>
                <w:szCs w:val="24"/>
                <w:lang w:eastAsia="pl-PL"/>
              </w:rPr>
            </w:pPr>
            <w:r w:rsidRPr="004D6F82">
              <w:rPr>
                <w:rFonts w:eastAsia="Times New Roman" w:cs="Times New Roman"/>
                <w:lang w:eastAsia="pl-PL"/>
              </w:rPr>
              <w:t> </w:t>
            </w:r>
          </w:p>
        </w:tc>
      </w:tr>
    </w:tbl>
    <w:p w14:paraId="289E07B7" w14:textId="77777777" w:rsidR="00FC190C" w:rsidRDefault="00FC190C"/>
    <w:p w14:paraId="286F4EFE" w14:textId="3098115C" w:rsidR="002A6DFA" w:rsidRDefault="002A6DFA" w:rsidP="002A6DFA"/>
    <w:p w14:paraId="7B2B81AF" w14:textId="77777777" w:rsidR="008C7926" w:rsidRDefault="008C7926" w:rsidP="008C7926">
      <w:pPr>
        <w:sectPr w:rsidR="008C7926" w:rsidSect="00492BDC">
          <w:headerReference w:type="even" r:id="rId118"/>
          <w:headerReference w:type="default" r:id="rId119"/>
          <w:headerReference w:type="first" r:id="rId120"/>
          <w:pgSz w:w="11906" w:h="16838"/>
          <w:pgMar w:top="1417" w:right="1417" w:bottom="1417" w:left="1417" w:header="708" w:footer="708" w:gutter="0"/>
          <w:cols w:space="708"/>
          <w:titlePg/>
          <w:docGrid w:linePitch="360"/>
        </w:sectPr>
      </w:pPr>
    </w:p>
    <w:p w14:paraId="46ABD0BA" w14:textId="785E6818" w:rsidR="00271A44" w:rsidRDefault="00271A44" w:rsidP="00A147C6">
      <w:pPr>
        <w:pStyle w:val="Nagwek1"/>
      </w:pPr>
      <w:bookmarkStart w:id="1457" w:name="_Toc195897408"/>
      <w:bookmarkStart w:id="1458" w:name="_Toc205203238"/>
      <w:bookmarkStart w:id="1459" w:name="_Toc159598368"/>
      <w:bookmarkStart w:id="1460" w:name="_Hlk177557181"/>
      <w:r>
        <w:lastRenderedPageBreak/>
        <w:t>Sposób opracowania, realizacji i monitorowania aKPEiK</w:t>
      </w:r>
      <w:bookmarkEnd w:id="1457"/>
      <w:bookmarkEnd w:id="1458"/>
      <w:r>
        <w:t xml:space="preserve"> </w:t>
      </w:r>
    </w:p>
    <w:p w14:paraId="64AA553F" w14:textId="6BA6D031" w:rsidR="00917D67" w:rsidRDefault="00B60BFA" w:rsidP="00A421D2">
      <w:pPr>
        <w:pStyle w:val="Nagwek3"/>
        <w:numPr>
          <w:ilvl w:val="0"/>
          <w:numId w:val="0"/>
        </w:numPr>
        <w:tabs>
          <w:tab w:val="left" w:pos="567"/>
        </w:tabs>
        <w:spacing w:before="360"/>
        <w:ind w:left="567" w:hanging="567"/>
      </w:pPr>
      <w:bookmarkStart w:id="1461" w:name="_Toc195897409"/>
      <w:bookmarkStart w:id="1462" w:name="_Toc205203239"/>
      <w:r>
        <w:t>A)</w:t>
      </w:r>
      <w:r w:rsidR="006322D4">
        <w:tab/>
      </w:r>
      <w:r w:rsidR="00271A44">
        <w:t>Proces przygotowania dokumentu</w:t>
      </w:r>
      <w:bookmarkEnd w:id="1461"/>
      <w:bookmarkEnd w:id="1462"/>
    </w:p>
    <w:p w14:paraId="002B7383" w14:textId="1DF11FA8" w:rsidR="003F0F0A" w:rsidRDefault="003F0F0A" w:rsidP="00D41853">
      <w:r>
        <w:t xml:space="preserve">Rozporządzanie UE 2018/1999 </w:t>
      </w:r>
      <w:r w:rsidR="000677AE">
        <w:rPr>
          <w:i/>
          <w:iCs/>
        </w:rPr>
        <w:t xml:space="preserve">w sprawie zarządzania unią energetyczną </w:t>
      </w:r>
      <w:r w:rsidR="004F5E55">
        <w:t>z</w:t>
      </w:r>
      <w:r>
        <w:t>oblig</w:t>
      </w:r>
      <w:r w:rsidR="009C6E72">
        <w:t>owało</w:t>
      </w:r>
      <w:r>
        <w:t xml:space="preserve"> państwa członkowskie UE do przedłożenia </w:t>
      </w:r>
      <w:r w:rsidR="009C6E72">
        <w:t xml:space="preserve">Komisji Europejskiej </w:t>
      </w:r>
      <w:r>
        <w:t xml:space="preserve">projektu krajowego planu w dziedzinie energii </w:t>
      </w:r>
      <w:r w:rsidR="00032812">
        <w:t>i</w:t>
      </w:r>
      <w:r w:rsidR="000677AE">
        <w:t> </w:t>
      </w:r>
      <w:r w:rsidR="00032812">
        <w:t xml:space="preserve">klimatu </w:t>
      </w:r>
      <w:r w:rsidR="009C6E72">
        <w:t>do końca 2018 r., a następnie po</w:t>
      </w:r>
      <w:r w:rsidR="00032812">
        <w:t xml:space="preserve"> wydani</w:t>
      </w:r>
      <w:r w:rsidR="009C6E72">
        <w:t>u</w:t>
      </w:r>
      <w:r w:rsidR="00032812">
        <w:t xml:space="preserve"> zaleceń</w:t>
      </w:r>
      <w:r w:rsidR="009C6E72">
        <w:t xml:space="preserve"> przez KE, </w:t>
      </w:r>
      <w:r w:rsidR="004F5E55">
        <w:t>przedłożenie</w:t>
      </w:r>
      <w:r w:rsidR="009C6E72">
        <w:t xml:space="preserve"> finalnej wersji do końca 2019 r</w:t>
      </w:r>
      <w:r w:rsidR="00032812">
        <w:t xml:space="preserve">. </w:t>
      </w:r>
      <w:r w:rsidR="009C6E72">
        <w:t xml:space="preserve">Nowy projekt dokumentu i jego finalna wersja powinny być opracowywane </w:t>
      </w:r>
      <w:r w:rsidR="004F5E55">
        <w:t>c</w:t>
      </w:r>
      <w:r w:rsidR="009C6E72">
        <w:t xml:space="preserve">o </w:t>
      </w:r>
      <w:r w:rsidR="004F5E55">
        <w:t xml:space="preserve">9 lub </w:t>
      </w:r>
      <w:r w:rsidR="009C6E72">
        <w:t xml:space="preserve">10 lat, natomiast </w:t>
      </w:r>
      <w:r w:rsidR="004F5E55">
        <w:t>aktualizacja przypada po 4,5 lub 5 latach</w:t>
      </w:r>
      <w:r w:rsidR="00A42060">
        <w:t>, chyba że dokument nie wymaga aktualizacji</w:t>
      </w:r>
      <w:r w:rsidR="004F5E55">
        <w:t>. W</w:t>
      </w:r>
      <w:r w:rsidR="000677AE">
        <w:t> </w:t>
      </w:r>
      <w:r w:rsidR="004F5E55">
        <w:t>praktyce prace nad krajowym planem mają zatem perspektywę ok. 5-letnią.</w:t>
      </w:r>
      <w:r w:rsidR="004039E4">
        <w:t xml:space="preserve"> Zakres krajowych planów wynikający z załącznika I do rozporządzenia 2018/1999 jest bardzo szeroki. Dodatkowo może być rozszerzany nowymi regulacjami unijnymi – </w:t>
      </w:r>
      <w:r w:rsidR="000677AE">
        <w:t>mogą one</w:t>
      </w:r>
      <w:r w:rsidR="004039E4">
        <w:t xml:space="preserve"> wskazywać, że cele lub polityki dotyczące danego obszaru powinny być wskazane w KPEiK.</w:t>
      </w:r>
    </w:p>
    <w:p w14:paraId="542B475B" w14:textId="51C6349E" w:rsidR="00A42060" w:rsidRDefault="00A42060" w:rsidP="00D41853">
      <w:r w:rsidRPr="00CF7C7B">
        <w:rPr>
          <w:i/>
          <w:iCs/>
        </w:rPr>
        <w:t>Krajowy Plan w dziedzinie Energii i Klimatu do 2030 r.</w:t>
      </w:r>
      <w:r w:rsidR="009400CD">
        <w:rPr>
          <w:i/>
          <w:iCs/>
        </w:rPr>
        <w:t xml:space="preserve"> z perspektywą do 2040 r.</w:t>
      </w:r>
      <w:r>
        <w:t xml:space="preserve"> to formalnie aktualizacja </w:t>
      </w:r>
      <w:r>
        <w:rPr>
          <w:i/>
          <w:iCs/>
        </w:rPr>
        <w:t>Krajowego planu na rzecz energii i klimatu na lata 2021–2030</w:t>
      </w:r>
      <w:r>
        <w:t xml:space="preserve"> przyjętego przez Rządu RP w 2019 r. Biorąc pod uwagę skalę zmian, nową ocenę potencjału i wyzwań, pokrycie dodatkowych obszarów, modyfikację struktury dotychczasowego dokumentu oraz nieadekwatność roku 2021 w nazwie – bieżąc</w:t>
      </w:r>
      <w:r w:rsidR="004039E4">
        <w:t>a</w:t>
      </w:r>
      <w:r>
        <w:t xml:space="preserve"> wersja jest właściwie nowym dokumentem</w:t>
      </w:r>
      <w:r w:rsidR="004039E4">
        <w:t>, dlatego też została mu nadana nowa nazwa</w:t>
      </w:r>
      <w:r>
        <w:t>.</w:t>
      </w:r>
    </w:p>
    <w:p w14:paraId="2C772715" w14:textId="187F39A2" w:rsidR="00D41853" w:rsidRDefault="00C32C18" w:rsidP="00D41853">
      <w:r>
        <w:t xml:space="preserve">Termin przedłożenia projektu aktualizacji KPEiK wynikający z rozporządzania UE 2018/1999 przypadał na 30 czerwca 2023 r. </w:t>
      </w:r>
      <w:r w:rsidR="001D602A">
        <w:t>P</w:t>
      </w:r>
      <w:r w:rsidR="00A42060">
        <w:t xml:space="preserve">race nad projektem dokumentu </w:t>
      </w:r>
      <w:r w:rsidR="00662E80">
        <w:t>utrudniała sytuacja</w:t>
      </w:r>
      <w:r w:rsidR="001D602A">
        <w:t xml:space="preserve"> polityczno-gospo</w:t>
      </w:r>
      <w:r w:rsidR="00504A57">
        <w:t>darcza wywołana wydarzeniami na arenie międzynarodowej. Największe znaczenie miała agresja Rosji na</w:t>
      </w:r>
      <w:r w:rsidR="00817026">
        <w:t> </w:t>
      </w:r>
      <w:r w:rsidR="00504A57">
        <w:t>Ukrainę, która spowodowała głęboki kryzys energetyczny, zakłócenia na rynku energii, zaburzenia na rynku surowców energetycznych</w:t>
      </w:r>
      <w:r w:rsidR="00662E80">
        <w:t>,</w:t>
      </w:r>
      <w:r w:rsidR="00504A57">
        <w:t xml:space="preserve"> skutkując</w:t>
      </w:r>
      <w:r w:rsidR="00662E80">
        <w:t>e</w:t>
      </w:r>
      <w:r w:rsidR="00504A57">
        <w:t xml:space="preserve"> fluktuacjami cen surowców </w:t>
      </w:r>
      <w:r w:rsidR="00662E80">
        <w:t>i</w:t>
      </w:r>
      <w:r w:rsidR="00504A57">
        <w:t xml:space="preserve"> energii. W takich warunkach trudno podejmować długookresowe decyzje</w:t>
      </w:r>
      <w:r w:rsidR="0080648A">
        <w:t>.</w:t>
      </w:r>
      <w:r w:rsidR="00504A57">
        <w:t xml:space="preserve"> </w:t>
      </w:r>
      <w:r w:rsidR="00B566E9">
        <w:t>Dodatkowo prace nad projektem KPEiK zbiegły się z</w:t>
      </w:r>
      <w:r w:rsidR="00662E80">
        <w:t> </w:t>
      </w:r>
      <w:r w:rsidR="00B566E9">
        <w:t xml:space="preserve">okresem opracowania </w:t>
      </w:r>
      <w:r w:rsidR="0060085B">
        <w:t xml:space="preserve">pakiet regulacji </w:t>
      </w:r>
      <w:r w:rsidR="0060085B" w:rsidRPr="0060085B">
        <w:rPr>
          <w:i/>
          <w:iCs/>
        </w:rPr>
        <w:t>Gotowi na 55 (Fit for 55)</w:t>
      </w:r>
      <w:r w:rsidR="0060085B">
        <w:t xml:space="preserve">, które </w:t>
      </w:r>
      <w:r w:rsidR="00417E5E">
        <w:t>obligowały</w:t>
      </w:r>
      <w:r w:rsidR="0060085B">
        <w:t xml:space="preserve"> państwa członkowskie </w:t>
      </w:r>
      <w:r w:rsidR="00417E5E">
        <w:t xml:space="preserve">UE </w:t>
      </w:r>
      <w:r w:rsidR="0060085B">
        <w:t>do uwzględnienia w</w:t>
      </w:r>
      <w:r w:rsidR="000677AE">
        <w:t> </w:t>
      </w:r>
      <w:r w:rsidR="0060085B">
        <w:t>KPEiK nowych celów i</w:t>
      </w:r>
      <w:r w:rsidR="00417E5E">
        <w:t> </w:t>
      </w:r>
      <w:r w:rsidR="0060085B">
        <w:t>zagadnień.</w:t>
      </w:r>
      <w:r w:rsidR="00417E5E">
        <w:t xml:space="preserve"> </w:t>
      </w:r>
      <w:r w:rsidR="0060085B">
        <w:t xml:space="preserve">Cześć z nich została zatwierdzona </w:t>
      </w:r>
      <w:r w:rsidR="00417E5E">
        <w:t xml:space="preserve">dopiero </w:t>
      </w:r>
      <w:r w:rsidR="0060085B">
        <w:t>w</w:t>
      </w:r>
      <w:r w:rsidR="00C81511">
        <w:t> </w:t>
      </w:r>
      <w:r w:rsidR="0060085B">
        <w:t>II</w:t>
      </w:r>
      <w:r w:rsidR="00C81511">
        <w:t> </w:t>
      </w:r>
      <w:r w:rsidR="0060085B">
        <w:t>połowie 2023 r.</w:t>
      </w:r>
      <w:r w:rsidR="00127AD1">
        <w:t>, a nawet w 2024</w:t>
      </w:r>
      <w:r w:rsidR="0080648A">
        <w:t> </w:t>
      </w:r>
      <w:r w:rsidR="00127AD1">
        <w:t>r.</w:t>
      </w:r>
      <w:r w:rsidR="00127AD1">
        <w:rPr>
          <w:rStyle w:val="Odwoanieprzypisudolnego"/>
        </w:rPr>
        <w:footnoteReference w:id="144"/>
      </w:r>
      <w:r w:rsidR="000677AE">
        <w:t xml:space="preserve"> – czyli po terminie przedłożenia projektów aktualizacji krajowych planów na podstawie rozporządzenia 2018/1999.</w:t>
      </w:r>
      <w:r w:rsidR="0060085B">
        <w:t xml:space="preserve"> </w:t>
      </w:r>
      <w:r w:rsidR="00127AD1">
        <w:t>Przyjęte r</w:t>
      </w:r>
      <w:r>
        <w:t xml:space="preserve">egulacje UE dotyczą zupełnie nowych obszarów </w:t>
      </w:r>
      <w:r w:rsidR="00127AD1">
        <w:t>i</w:t>
      </w:r>
      <w:r w:rsidR="00662E80">
        <w:t> </w:t>
      </w:r>
      <w:r>
        <w:t>wymaga</w:t>
      </w:r>
      <w:r w:rsidR="00127AD1">
        <w:t>ły</w:t>
      </w:r>
      <w:r>
        <w:t xml:space="preserve"> pogłębionych analiz (np. gospodarka wodorowa)</w:t>
      </w:r>
      <w:r w:rsidR="00AC06EF">
        <w:t>. N</w:t>
      </w:r>
      <w:r>
        <w:t>iek</w:t>
      </w:r>
      <w:r w:rsidR="00AC06EF">
        <w:t xml:space="preserve">tóre zagadnienia </w:t>
      </w:r>
      <w:r w:rsidR="00662E80">
        <w:t>stanowiły wyzwanie w </w:t>
      </w:r>
      <w:r>
        <w:t>implementacji w prognozach ze względu na niepewność technologiczną (np.</w:t>
      </w:r>
      <w:r w:rsidR="00817026">
        <w:t> </w:t>
      </w:r>
      <w:r>
        <w:t xml:space="preserve">zastosowanie RFNBO), konieczność dostosowania modeli analitycznych (np. w obszarze </w:t>
      </w:r>
      <w:r w:rsidR="00AC06EF">
        <w:t>magazynowania</w:t>
      </w:r>
      <w:r>
        <w:t>)</w:t>
      </w:r>
      <w:r w:rsidR="00662E80">
        <w:t xml:space="preserve"> oraz brak wystandaryzowanej </w:t>
      </w:r>
      <w:r>
        <w:t>metodyki statystycznej (np. zużycie OZE w przemyśle i</w:t>
      </w:r>
      <w:r w:rsidR="00817026">
        <w:t> </w:t>
      </w:r>
      <w:r>
        <w:t>budownictwie)</w:t>
      </w:r>
      <w:r w:rsidR="00662E80">
        <w:t>. Trudnością było także pozyskanie wykonawców tak obszernego zakresu prognoz, co</w:t>
      </w:r>
      <w:r w:rsidR="00817026">
        <w:t> </w:t>
      </w:r>
      <w:r w:rsidR="00662E80">
        <w:t>uwypukliło potrzebę rozbudowania rządowego zaplecza analitycznego w obszarze klimatyczno- energetycznym.</w:t>
      </w:r>
    </w:p>
    <w:p w14:paraId="75332DB1" w14:textId="63D2C355" w:rsidR="00191714" w:rsidRDefault="00191714" w:rsidP="00191714">
      <w:r>
        <w:t xml:space="preserve">W listopadzie 2023 r. </w:t>
      </w:r>
      <w:r w:rsidR="004F7D4B">
        <w:t xml:space="preserve">zarządzeniem Ministra Klimatu i Środowiska </w:t>
      </w:r>
      <w:r>
        <w:t xml:space="preserve">został </w:t>
      </w:r>
      <w:r w:rsidR="004F7D4B">
        <w:t xml:space="preserve">powołany </w:t>
      </w:r>
      <w:r w:rsidRPr="00827FCA">
        <w:rPr>
          <w:i/>
          <w:iCs/>
        </w:rPr>
        <w:t>Zespół do spraw aktualizacji „Krajowego planu na rzecz energii i klimatu na lata 2021–2030” i „Polityki energetycznej Polski do</w:t>
      </w:r>
      <w:r w:rsidR="00817026">
        <w:rPr>
          <w:i/>
          <w:iCs/>
        </w:rPr>
        <w:t> </w:t>
      </w:r>
      <w:r w:rsidRPr="00827FCA">
        <w:rPr>
          <w:i/>
          <w:iCs/>
        </w:rPr>
        <w:t>2040 r</w:t>
      </w:r>
      <w:r w:rsidR="00505141">
        <w:rPr>
          <w:i/>
          <w:iCs/>
        </w:rPr>
        <w:t>.</w:t>
      </w:r>
      <w:r w:rsidR="004F7D4B" w:rsidRPr="00827FCA">
        <w:rPr>
          <w:i/>
          <w:iCs/>
        </w:rPr>
        <w:t>”, jako organ pomocniczy MKiŚ</w:t>
      </w:r>
      <w:r>
        <w:rPr>
          <w:rStyle w:val="Odwoanieprzypisudolnego"/>
        </w:rPr>
        <w:footnoteReference w:id="145"/>
      </w:r>
      <w:r w:rsidR="004F7D4B">
        <w:t>. Poza wymiarem formalnym, Zespół pracował w dużej mierze w</w:t>
      </w:r>
      <w:r w:rsidR="00827FCA">
        <w:t> </w:t>
      </w:r>
      <w:r w:rsidR="004F7D4B">
        <w:t>oparciu o współpracę roboczą.</w:t>
      </w:r>
    </w:p>
    <w:p w14:paraId="65E5C4CC" w14:textId="6FE0D1D0" w:rsidR="000677AE" w:rsidRDefault="00662E80" w:rsidP="00D41853">
      <w:r>
        <w:t>W</w:t>
      </w:r>
      <w:r w:rsidR="00E94E2B">
        <w:t xml:space="preserve"> dni</w:t>
      </w:r>
      <w:r>
        <w:t>u</w:t>
      </w:r>
      <w:r w:rsidR="00E94E2B">
        <w:t xml:space="preserve"> 29 lutego 2024 r. </w:t>
      </w:r>
      <w:r>
        <w:t xml:space="preserve">Komitet do Spraw Europejskich Rady Ministrów </w:t>
      </w:r>
      <w:r w:rsidR="00A17051">
        <w:t xml:space="preserve">(KSE) </w:t>
      </w:r>
      <w:r w:rsidRPr="004F7D4B">
        <w:rPr>
          <w:b/>
          <w:bCs/>
        </w:rPr>
        <w:t xml:space="preserve">przyjął wstępną wersję projektu </w:t>
      </w:r>
      <w:r w:rsidRPr="004F7D4B">
        <w:rPr>
          <w:b/>
          <w:bCs/>
          <w:i/>
          <w:iCs/>
        </w:rPr>
        <w:t>Krajowego Planu w dziedzinie Energii i Klimatu do 2030 r.</w:t>
      </w:r>
      <w:r w:rsidR="00B11663">
        <w:rPr>
          <w:b/>
          <w:bCs/>
          <w:i/>
          <w:iCs/>
        </w:rPr>
        <w:t xml:space="preserve"> </w:t>
      </w:r>
      <w:r w:rsidR="00B11663" w:rsidRPr="00B11663">
        <w:rPr>
          <w:b/>
          <w:bCs/>
          <w:i/>
          <w:iCs/>
        </w:rPr>
        <w:t xml:space="preserve">z perspektywą do 2040 r. </w:t>
      </w:r>
      <w:r w:rsidR="00F52D42">
        <w:rPr>
          <w:i/>
          <w:iCs/>
        </w:rPr>
        <w:t xml:space="preserve"> </w:t>
      </w:r>
      <w:r>
        <w:t xml:space="preserve">Za koordynację </w:t>
      </w:r>
      <w:r>
        <w:lastRenderedPageBreak/>
        <w:t xml:space="preserve">opracowania odpowiadał Minister Klimatu i Środowiska. </w:t>
      </w:r>
      <w:r w:rsidR="003D37A6">
        <w:t>Dokumentowi towarzyszył jedynie scenariusz wdrożonych polityk i działań (WEM) w perspektywie 2030 r.</w:t>
      </w:r>
      <w:r>
        <w:t xml:space="preserve"> </w:t>
      </w:r>
      <w:r w:rsidR="003D37A6">
        <w:t xml:space="preserve">oraz załącznik dotyczący środków poprawy efektywności energetycznej. </w:t>
      </w:r>
      <w:r w:rsidR="00F52D42">
        <w:t xml:space="preserve">W dniu 1 marca </w:t>
      </w:r>
      <w:r w:rsidR="00D650C9">
        <w:t>2024 r., z</w:t>
      </w:r>
      <w:r w:rsidR="00F52D42">
        <w:t>godnie z procedurą projekt dokumentu przedłożono Komisji Europejskiej</w:t>
      </w:r>
      <w:r w:rsidR="004F7D4B">
        <w:t>. Również zgodnie z przepisami, KE</w:t>
      </w:r>
      <w:r w:rsidR="006975EA">
        <w:t xml:space="preserve"> wydała zalecenia do dokumentu </w:t>
      </w:r>
      <w:r w:rsidR="004F7D4B">
        <w:t>dnia</w:t>
      </w:r>
      <w:r w:rsidR="006975EA">
        <w:t xml:space="preserve"> 26 kwietnia 2024</w:t>
      </w:r>
      <w:r w:rsidR="004F7D4B">
        <w:t> </w:t>
      </w:r>
      <w:r w:rsidR="006975EA">
        <w:t>r.</w:t>
      </w:r>
    </w:p>
    <w:p w14:paraId="2221B20F" w14:textId="59D02AFC" w:rsidR="006975EA" w:rsidRDefault="006975EA" w:rsidP="00D41853">
      <w:r>
        <w:t xml:space="preserve">W dalszej </w:t>
      </w:r>
      <w:r w:rsidR="00191714">
        <w:t xml:space="preserve">kolejności </w:t>
      </w:r>
      <w:r>
        <w:t xml:space="preserve">prowadzono </w:t>
      </w:r>
      <w:r w:rsidR="00191714">
        <w:t xml:space="preserve">pogłębione </w:t>
      </w:r>
      <w:r>
        <w:t>prace analityczne i prognostyczne</w:t>
      </w:r>
      <w:r w:rsidR="00191714">
        <w:t>, z zaangażowaniem ekspertów branżowych</w:t>
      </w:r>
      <w:r w:rsidR="00A17051">
        <w:t xml:space="preserve">, w ramach </w:t>
      </w:r>
      <w:r w:rsidR="00A17051" w:rsidRPr="00A17051">
        <w:t>Zespołu MKiŚ ds. aktualizacji KPEiK i polityki energetycznej państwa</w:t>
      </w:r>
      <w:r w:rsidR="00A17051">
        <w:t>. Niektóre tematy były także przedmiotem prac Komitetu Ekonomicznego Rady Ministrów (KERM), a następnie Zespołu Programowania Prac Rządu, kończąc wpisem do Wykazu prac legislacyjnych i programowych Rady Ministrów.</w:t>
      </w:r>
    </w:p>
    <w:p w14:paraId="7982BDA2" w14:textId="279C78A9" w:rsidR="00A17051" w:rsidRPr="00A17051" w:rsidRDefault="00A17051" w:rsidP="004E77CF">
      <w:pPr>
        <w:rPr>
          <w:u w:val="words"/>
        </w:rPr>
      </w:pPr>
      <w:r>
        <w:t xml:space="preserve">Niezwykle ważnym elementem procesu opracowania krajowych planów jest </w:t>
      </w:r>
      <w:r w:rsidR="005C14EF">
        <w:t xml:space="preserve">szeroko pojęty </w:t>
      </w:r>
      <w:r w:rsidR="005C14EF" w:rsidRPr="004E77CF">
        <w:rPr>
          <w:b/>
          <w:bCs/>
        </w:rPr>
        <w:t>dialog ze</w:t>
      </w:r>
      <w:r w:rsidR="00817026">
        <w:rPr>
          <w:b/>
          <w:bCs/>
        </w:rPr>
        <w:t> </w:t>
      </w:r>
      <w:r w:rsidR="005C14EF" w:rsidRPr="004E77CF">
        <w:rPr>
          <w:b/>
          <w:bCs/>
        </w:rPr>
        <w:t>społeczeństwem i zainteresowanymi podmiotami</w:t>
      </w:r>
      <w:r w:rsidR="005C14EF">
        <w:t xml:space="preserve">. Formalny proces konsultacji publicznych </w:t>
      </w:r>
      <w:r w:rsidR="004E77CF">
        <w:t xml:space="preserve">przeprowadzono w </w:t>
      </w:r>
      <w:r w:rsidR="00DC5C71">
        <w:t xml:space="preserve">okresie </w:t>
      </w:r>
      <w:r w:rsidR="004E77CF">
        <w:t>11 pa</w:t>
      </w:r>
      <w:r w:rsidR="003804C9">
        <w:t xml:space="preserve">ździernika–15 listopada 2024 r., </w:t>
      </w:r>
      <w:r w:rsidR="00DC5C71">
        <w:t xml:space="preserve">a w okresie </w:t>
      </w:r>
      <w:r w:rsidR="002E00A1">
        <w:t>5–</w:t>
      </w:r>
      <w:r w:rsidR="00DC5C71">
        <w:t xml:space="preserve">18 lutego 2025 r. możliwe było składanie uwag do dokumentu z prognozą oddziaływania na środowisko. </w:t>
      </w:r>
      <w:r w:rsidR="003804C9" w:rsidRPr="002E00A1">
        <w:rPr>
          <w:i/>
          <w:iCs/>
        </w:rPr>
        <w:t>Więcej o procesie konsultacji znajduje się w dalszej części tego rozdziału.</w:t>
      </w:r>
      <w:r w:rsidR="004E77CF" w:rsidRPr="002E00A1">
        <w:rPr>
          <w:i/>
          <w:iCs/>
        </w:rPr>
        <w:t xml:space="preserve"> </w:t>
      </w:r>
    </w:p>
    <w:p w14:paraId="7ECC4EE7" w14:textId="003E74D6" w:rsidR="000677AE" w:rsidRDefault="00DC5C71" w:rsidP="00D41853">
      <w:r w:rsidRPr="00A421D2">
        <w:t xml:space="preserve">Po przeprowadzeniu konsultacji dokonano dodatkowych analiz </w:t>
      </w:r>
      <w:r w:rsidR="00396F68" w:rsidRPr="00A421D2">
        <w:t>-</w:t>
      </w:r>
      <w:r w:rsidR="00837DDC" w:rsidRPr="00A421D2">
        <w:t xml:space="preserve"> </w:t>
      </w:r>
      <w:r w:rsidR="00396F68" w:rsidRPr="00A421D2">
        <w:t>p</w:t>
      </w:r>
      <w:r w:rsidR="00837DDC" w:rsidRPr="00A421D2">
        <w:t>rzeprowadzono aktualizację prognoz w</w:t>
      </w:r>
      <w:r w:rsidR="002E00A1" w:rsidRPr="00A421D2">
        <w:t> </w:t>
      </w:r>
      <w:r w:rsidR="00837DDC" w:rsidRPr="00A421D2">
        <w:t>scenariusz</w:t>
      </w:r>
      <w:r w:rsidR="002E00A1" w:rsidRPr="00A421D2">
        <w:t>ach</w:t>
      </w:r>
      <w:r w:rsidR="00837DDC" w:rsidRPr="00A421D2">
        <w:t xml:space="preserve"> WEM i WAM, dokonano głębokiego przeglądu działań, uzupełniono treść dotychczasowych rozdziałów, </w:t>
      </w:r>
      <w:r w:rsidR="002E00A1" w:rsidRPr="00A421D2">
        <w:t xml:space="preserve">wprowadzono </w:t>
      </w:r>
      <w:r w:rsidR="00837DDC" w:rsidRPr="00A421D2">
        <w:t>nowe.</w:t>
      </w:r>
      <w:r w:rsidR="002E00A1" w:rsidRPr="00A421D2">
        <w:t xml:space="preserve"> Równolegle prowadzona była procedura strategicznego oddziaływania na środowisko.</w:t>
      </w:r>
    </w:p>
    <w:p w14:paraId="5A842215" w14:textId="0A2B47ED" w:rsidR="00541954" w:rsidRDefault="00541954" w:rsidP="00D41853">
      <w:r>
        <w:t>Po przeprowadzeniu konsultacji dokonano w szczególności następujących zmian:</w:t>
      </w:r>
    </w:p>
    <w:p w14:paraId="55262C91" w14:textId="20FE1244" w:rsidR="00541954" w:rsidRPr="00FB1B57" w:rsidRDefault="00541954" w:rsidP="000625AC">
      <w:pPr>
        <w:numPr>
          <w:ilvl w:val="0"/>
          <w:numId w:val="83"/>
        </w:numPr>
        <w:spacing w:line="278" w:lineRule="auto"/>
      </w:pPr>
      <w:r w:rsidRPr="00FB1B57">
        <w:rPr>
          <w:b/>
          <w:bCs/>
        </w:rPr>
        <w:t>Elektroenergetyka</w:t>
      </w:r>
      <w:r>
        <w:t>.</w:t>
      </w:r>
      <w:r w:rsidRPr="00FB1B57">
        <w:t xml:space="preserve"> Rozbudowano elementy służące elastyczności systemu i roli społeczności energetycznych, zwiększono wykorzystanie potencjału lądowej en</w:t>
      </w:r>
      <w:r>
        <w:t>erg</w:t>
      </w:r>
      <w:r w:rsidR="00246C46">
        <w:t>e</w:t>
      </w:r>
      <w:r>
        <w:t>tyki</w:t>
      </w:r>
      <w:r w:rsidRPr="00FB1B57">
        <w:t xml:space="preserve"> wiatrowej i PV, a także roli biometanu, zwiększono bilansowanie systemu na poziom</w:t>
      </w:r>
      <w:r w:rsidR="00246C46">
        <w:t>i</w:t>
      </w:r>
      <w:r w:rsidRPr="00FB1B57">
        <w:t xml:space="preserve">e lokalnym, zwiększono możliwość dostępu do danych sieciowych </w:t>
      </w:r>
      <w:r w:rsidR="00246C46">
        <w:t xml:space="preserve">dla </w:t>
      </w:r>
      <w:r w:rsidR="0063112D">
        <w:t>uczestników</w:t>
      </w:r>
      <w:r w:rsidRPr="00FB1B57">
        <w:t xml:space="preserve"> celu rozwoju rynku, zwiększono rozwój </w:t>
      </w:r>
      <w:r w:rsidR="00246C46">
        <w:t xml:space="preserve">umów z </w:t>
      </w:r>
      <w:r w:rsidRPr="00FB1B57">
        <w:t>cen</w:t>
      </w:r>
      <w:r w:rsidR="00246C46">
        <w:t>ą</w:t>
      </w:r>
      <w:r w:rsidRPr="00FB1B57">
        <w:t xml:space="preserve"> dynamiczn</w:t>
      </w:r>
      <w:r w:rsidR="00246C46">
        <w:t>ą</w:t>
      </w:r>
      <w:r w:rsidRPr="00FB1B57">
        <w:t xml:space="preserve"> na ry</w:t>
      </w:r>
      <w:r w:rsidR="00246C46">
        <w:t>n</w:t>
      </w:r>
      <w:r w:rsidRPr="00FB1B57">
        <w:t>ku</w:t>
      </w:r>
      <w:r>
        <w:t>.</w:t>
      </w:r>
    </w:p>
    <w:p w14:paraId="3488A32C" w14:textId="38CDAAA3" w:rsidR="00541954" w:rsidRPr="00FB1B57" w:rsidRDefault="00541954" w:rsidP="000625AC">
      <w:pPr>
        <w:numPr>
          <w:ilvl w:val="0"/>
          <w:numId w:val="83"/>
        </w:numPr>
        <w:spacing w:line="278" w:lineRule="auto"/>
      </w:pPr>
      <w:r w:rsidRPr="00FB1B57">
        <w:rPr>
          <w:b/>
          <w:bCs/>
        </w:rPr>
        <w:t>Ciepłownictwo</w:t>
      </w:r>
      <w:r>
        <w:t>.</w:t>
      </w:r>
      <w:r w:rsidRPr="00FB1B57">
        <w:t xml:space="preserve"> Wzmocniono elektryfikację oraz udział biometanu i wodoru natomiast zmniejszono udział biomasy, wzmocniono integrację systemów ciepłowniczych z systemem elektroenergetycznym (integracja sektorów), zwiększono udział magazynowania ciepła oraz zaplanowano rozwój systemowych zmian w ciepłownictwie idących w kierunku systemów </w:t>
      </w:r>
      <w:r w:rsidR="003409EB">
        <w:t>zdecentralizowanych</w:t>
      </w:r>
      <w:r>
        <w:t>.</w:t>
      </w:r>
    </w:p>
    <w:p w14:paraId="78E8A96B" w14:textId="4517EE61" w:rsidR="00541954" w:rsidRPr="00FB1B57" w:rsidRDefault="00541954" w:rsidP="000625AC">
      <w:pPr>
        <w:numPr>
          <w:ilvl w:val="0"/>
          <w:numId w:val="83"/>
        </w:numPr>
        <w:spacing w:line="278" w:lineRule="auto"/>
      </w:pPr>
      <w:r w:rsidRPr="00FB1B57">
        <w:rPr>
          <w:b/>
          <w:bCs/>
        </w:rPr>
        <w:t>Transport</w:t>
      </w:r>
      <w:r>
        <w:t>.</w:t>
      </w:r>
      <w:r w:rsidRPr="00FB1B57">
        <w:t xml:space="preserve"> Zmniejszono nieznacznie t</w:t>
      </w:r>
      <w:r>
        <w:t>em</w:t>
      </w:r>
      <w:r w:rsidRPr="00FB1B57">
        <w:t xml:space="preserve">po elektryfikacji transportu do 2030 </w:t>
      </w:r>
      <w:r w:rsidR="00E07C7E">
        <w:t xml:space="preserve">r. </w:t>
      </w:r>
      <w:r w:rsidRPr="00FB1B57">
        <w:t>oraz zwiększono w</w:t>
      </w:r>
      <w:r w:rsidR="00817026">
        <w:t> </w:t>
      </w:r>
      <w:r w:rsidRPr="00FB1B57">
        <w:t>kolejnych latach. Rozbudowano działania rozwijające efektywność energetyczną w transporcie, rozbudowano działania w zakresie transportu zbiorowego oraz rozwoju transportu kolejowego. Rozbudowano działania rozwijające elektryfikację transportu. </w:t>
      </w:r>
    </w:p>
    <w:p w14:paraId="10B8774B" w14:textId="50C999B7" w:rsidR="00541954" w:rsidRPr="00FB1B57" w:rsidRDefault="00541954" w:rsidP="000625AC">
      <w:pPr>
        <w:numPr>
          <w:ilvl w:val="0"/>
          <w:numId w:val="83"/>
        </w:numPr>
        <w:spacing w:line="278" w:lineRule="auto"/>
      </w:pPr>
      <w:r w:rsidRPr="00FB1B57">
        <w:rPr>
          <w:b/>
          <w:bCs/>
        </w:rPr>
        <w:t>Termomodernizacja bud</w:t>
      </w:r>
      <w:r>
        <w:rPr>
          <w:b/>
          <w:bCs/>
        </w:rPr>
        <w:t>ynków.</w:t>
      </w:r>
      <w:r w:rsidRPr="00FB1B57">
        <w:t xml:space="preserve"> </w:t>
      </w:r>
      <w:r>
        <w:t>O</w:t>
      </w:r>
      <w:r w:rsidRPr="00FB1B57">
        <w:t>pracowano i uzupełniono działania opisujące procesy modernizacyjne w budownictwie wskazując kierunek zmian jako elektryfikacje ogrzewnictwa domowego i magazynowania energii zmniejszając udział biomasy, wprowadzono działania opisujące rozwój baz danych w budownictwie, dostosowano dokument do potrzeb dyr</w:t>
      </w:r>
      <w:r>
        <w:t>ektywy</w:t>
      </w:r>
      <w:r w:rsidRPr="00FB1B57">
        <w:t xml:space="preserve"> EPBD i</w:t>
      </w:r>
      <w:r w:rsidR="00E70B73">
        <w:t> </w:t>
      </w:r>
      <w:r>
        <w:t>projektowanego krajowego planu</w:t>
      </w:r>
      <w:r w:rsidRPr="00FB1B57">
        <w:t xml:space="preserve"> renowacji budynków. </w:t>
      </w:r>
    </w:p>
    <w:p w14:paraId="0FC530D2" w14:textId="62CAFD19" w:rsidR="00541954" w:rsidRPr="00FB1B57" w:rsidRDefault="00541954" w:rsidP="000625AC">
      <w:pPr>
        <w:numPr>
          <w:ilvl w:val="0"/>
          <w:numId w:val="83"/>
        </w:numPr>
        <w:spacing w:line="278" w:lineRule="auto"/>
      </w:pPr>
      <w:r w:rsidRPr="00FB1B57">
        <w:rPr>
          <w:b/>
          <w:bCs/>
        </w:rPr>
        <w:t>Przemysł</w:t>
      </w:r>
      <w:r>
        <w:rPr>
          <w:b/>
          <w:bCs/>
        </w:rPr>
        <w:t>.</w:t>
      </w:r>
      <w:r w:rsidRPr="00FB1B57">
        <w:t xml:space="preserve"> </w:t>
      </w:r>
      <w:r>
        <w:t>O</w:t>
      </w:r>
      <w:r w:rsidRPr="00FB1B57">
        <w:t>pracowano działania zmniejszające emisję procesowe w przemyśle dla poszczególnych branż. Przygotowano i rozbudowano działania definiujące kierunki zmian w poszczególnych sektorach przemysłowych w tym w zakresie wodoryzacji gospodarki. </w:t>
      </w:r>
    </w:p>
    <w:p w14:paraId="1AEEA116" w14:textId="692ED580" w:rsidR="00541954" w:rsidRPr="00FB1B57" w:rsidRDefault="00541954" w:rsidP="000625AC">
      <w:pPr>
        <w:numPr>
          <w:ilvl w:val="0"/>
          <w:numId w:val="83"/>
        </w:numPr>
        <w:spacing w:line="278" w:lineRule="auto"/>
      </w:pPr>
      <w:r w:rsidRPr="00FB1B57">
        <w:rPr>
          <w:b/>
          <w:bCs/>
        </w:rPr>
        <w:t>Rolnictwo</w:t>
      </w:r>
      <w:r>
        <w:rPr>
          <w:b/>
          <w:bCs/>
        </w:rPr>
        <w:t>.</w:t>
      </w:r>
      <w:r w:rsidRPr="00FB1B57">
        <w:t xml:space="preserve"> Dodano nowe działania dotyczące racjonalizacji nawożenia, wprowadzenia systemu certyfikacji pochłaniania CO</w:t>
      </w:r>
      <w:r w:rsidRPr="00541954">
        <w:rPr>
          <w:vertAlign w:val="subscript"/>
        </w:rPr>
        <w:t>2</w:t>
      </w:r>
      <w:r w:rsidRPr="00FB1B57">
        <w:t xml:space="preserve"> i redukcji emisji z gleb, ograniczenia marnotrawstwa żywności, kształtowania postaw pro</w:t>
      </w:r>
      <w:r w:rsidR="00630061">
        <w:t>e</w:t>
      </w:r>
      <w:r w:rsidRPr="00FB1B57">
        <w:t>kologicznych przyszłych producentów rolnych, wsparcia badań i edukacji w</w:t>
      </w:r>
      <w:r w:rsidR="00E70B73">
        <w:t> </w:t>
      </w:r>
      <w:r w:rsidRPr="00FB1B57">
        <w:t>zakresie racjonalnej i proekologicznej produkcji rolnej.</w:t>
      </w:r>
      <w:r w:rsidR="003E2DE5">
        <w:t xml:space="preserve"> </w:t>
      </w:r>
    </w:p>
    <w:p w14:paraId="4FA696B1" w14:textId="77777777" w:rsidR="00541954" w:rsidRPr="00FB1B57" w:rsidRDefault="00541954" w:rsidP="000625AC">
      <w:pPr>
        <w:numPr>
          <w:ilvl w:val="0"/>
          <w:numId w:val="83"/>
        </w:numPr>
        <w:spacing w:line="278" w:lineRule="auto"/>
      </w:pPr>
      <w:r w:rsidRPr="00FB1B57">
        <w:rPr>
          <w:b/>
          <w:bCs/>
        </w:rPr>
        <w:lastRenderedPageBreak/>
        <w:t xml:space="preserve">Leśnictwo. </w:t>
      </w:r>
      <w:r w:rsidRPr="00FB1B57">
        <w:t>Znacząco uszczegółowiono dotychczasowe działania. Poszerzono działania o aspekty dotyczące gospodarki leśnej ustalone w ramach Ogólnopolskiej Narady o Lasach. Dodano działanie nt. zwiększenia pochłaniania i magazynowania CO2 w lasach, działanie nt. opracowania Narodowego Programu Leśnego oraz certyfikacji i handlu jednostkami CO2 w sektorze leśnym. </w:t>
      </w:r>
    </w:p>
    <w:p w14:paraId="44EFEC00" w14:textId="1F6C90C9" w:rsidR="00541954" w:rsidRPr="00FB1B57" w:rsidRDefault="00541954" w:rsidP="000625AC">
      <w:pPr>
        <w:numPr>
          <w:ilvl w:val="0"/>
          <w:numId w:val="83"/>
        </w:numPr>
        <w:spacing w:line="278" w:lineRule="auto"/>
      </w:pPr>
      <w:r w:rsidRPr="00FB1B57">
        <w:rPr>
          <w:b/>
          <w:bCs/>
        </w:rPr>
        <w:t>Kaskadowe wykorzystanie biomasy (nowy rozdział) i rozwój biometanu</w:t>
      </w:r>
      <w:r>
        <w:t>.</w:t>
      </w:r>
      <w:r w:rsidRPr="00FB1B57">
        <w:t xml:space="preserve"> </w:t>
      </w:r>
      <w:r>
        <w:t>Z</w:t>
      </w:r>
      <w:r w:rsidRPr="00FB1B57">
        <w:t xml:space="preserve"> uwagi na zapisy RED III oraz konieczność odpowiedzi na oczekiwanie społeczne w zakresie optymalnego wykorzystania drewna na cele przemysłowe i energetyczne dodano nowy rozdział dotyczący kaskadowego wykorzystania biomasy. Zaproponowano nowe działanie dotyczące wdrożenia tej zasady w kraju. </w:t>
      </w:r>
      <w:r w:rsidR="004041DF">
        <w:t>P</w:t>
      </w:r>
      <w:r w:rsidRPr="00FB1B57">
        <w:t>oszerzono działanie dotyczące wsparcia</w:t>
      </w:r>
      <w:r w:rsidR="004041DF">
        <w:t xml:space="preserve"> rozwoju rynku biometanu, podkreślono także jego rolę jako alternatywy dla gazu ziemnego</w:t>
      </w:r>
      <w:r w:rsidRPr="00FB1B57">
        <w:t>. </w:t>
      </w:r>
    </w:p>
    <w:p w14:paraId="433DA4D3" w14:textId="45AB3C5E" w:rsidR="00541954" w:rsidRPr="00FB1B57" w:rsidRDefault="00541954" w:rsidP="000625AC">
      <w:pPr>
        <w:numPr>
          <w:ilvl w:val="0"/>
          <w:numId w:val="83"/>
        </w:numPr>
        <w:spacing w:line="278" w:lineRule="auto"/>
      </w:pPr>
      <w:r w:rsidRPr="00FB1B57">
        <w:rPr>
          <w:b/>
          <w:bCs/>
        </w:rPr>
        <w:t>Społeczne aspekty transformacji</w:t>
      </w:r>
      <w:r>
        <w:rPr>
          <w:b/>
          <w:bCs/>
        </w:rPr>
        <w:t>.</w:t>
      </w:r>
      <w:r w:rsidRPr="00FB1B57">
        <w:t xml:space="preserve"> </w:t>
      </w:r>
      <w:r>
        <w:t>W</w:t>
      </w:r>
      <w:r w:rsidRPr="00FB1B57">
        <w:t xml:space="preserve">prowadzono działania </w:t>
      </w:r>
      <w:r>
        <w:t xml:space="preserve">wpływające na rozwój </w:t>
      </w:r>
      <w:r w:rsidRPr="00FB1B57">
        <w:t>obszarów społecznie wrażliwych w zakresie modernizacji istniejącego przemysłu oraz budowy nowego</w:t>
      </w:r>
      <w:r>
        <w:t xml:space="preserve"> przemysłu na tych obszarach, wyraźnie wskazano regiony węglowe, zasygnalizowano regiony wysokoemisyjne, rozszerzono kierunki zmian i korzyści</w:t>
      </w:r>
      <w:r w:rsidR="004041DF">
        <w:t>, l</w:t>
      </w:r>
      <w:r w:rsidR="004041DF" w:rsidRPr="00F51EA0">
        <w:t>epiej opisano ubóstwo energetyczne i</w:t>
      </w:r>
      <w:r w:rsidR="00E70B73">
        <w:t> </w:t>
      </w:r>
      <w:r w:rsidR="004041DF" w:rsidRPr="00F51EA0">
        <w:t>transportowe w kontekście ET</w:t>
      </w:r>
      <w:r w:rsidR="004041DF">
        <w:t>S</w:t>
      </w:r>
      <w:r w:rsidR="004041DF" w:rsidRPr="00F51EA0">
        <w:t>-2</w:t>
      </w:r>
      <w:r w:rsidR="004041DF">
        <w:t>.</w:t>
      </w:r>
    </w:p>
    <w:p w14:paraId="4854C979" w14:textId="747ED8C0" w:rsidR="004041DF" w:rsidRPr="004041DF" w:rsidRDefault="004041DF" w:rsidP="000625AC">
      <w:pPr>
        <w:numPr>
          <w:ilvl w:val="0"/>
          <w:numId w:val="83"/>
        </w:numPr>
        <w:spacing w:line="278" w:lineRule="auto"/>
        <w:rPr>
          <w:b/>
          <w:bCs/>
        </w:rPr>
      </w:pPr>
      <w:r w:rsidRPr="004041DF">
        <w:rPr>
          <w:b/>
          <w:bCs/>
        </w:rPr>
        <w:t>Węgiel</w:t>
      </w:r>
      <w:r>
        <w:rPr>
          <w:b/>
          <w:bCs/>
        </w:rPr>
        <w:t>.</w:t>
      </w:r>
      <w:r w:rsidRPr="004041DF">
        <w:t xml:space="preserve"> Wyraźnie</w:t>
      </w:r>
      <w:r>
        <w:rPr>
          <w:b/>
          <w:bCs/>
        </w:rPr>
        <w:t xml:space="preserve"> </w:t>
      </w:r>
      <w:r w:rsidRPr="00F51EA0">
        <w:t xml:space="preserve">rozgraniczono węgiel energetyczny od koksowego, podkreślono znaczenie </w:t>
      </w:r>
      <w:r>
        <w:t xml:space="preserve">dla branży </w:t>
      </w:r>
      <w:r w:rsidRPr="00F51EA0">
        <w:t>emisji metanu</w:t>
      </w:r>
      <w:r>
        <w:t>.</w:t>
      </w:r>
    </w:p>
    <w:p w14:paraId="2EE910EA" w14:textId="4220DDCC" w:rsidR="00541954" w:rsidRPr="00F51EA0" w:rsidRDefault="00541954" w:rsidP="000625AC">
      <w:pPr>
        <w:numPr>
          <w:ilvl w:val="0"/>
          <w:numId w:val="83"/>
        </w:numPr>
        <w:spacing w:line="278" w:lineRule="auto"/>
      </w:pPr>
      <w:r w:rsidRPr="00FB1B57">
        <w:rPr>
          <w:b/>
          <w:bCs/>
        </w:rPr>
        <w:t>Inne</w:t>
      </w:r>
      <w:r w:rsidR="004041DF">
        <w:rPr>
          <w:b/>
          <w:bCs/>
        </w:rPr>
        <w:t>.</w:t>
      </w:r>
      <w:r w:rsidRPr="00FB1B57">
        <w:t xml:space="preserve"> </w:t>
      </w:r>
      <w:r w:rsidR="004041DF">
        <w:t>W</w:t>
      </w:r>
      <w:r w:rsidRPr="00FB1B57">
        <w:t xml:space="preserve">prowadzono również działania dodatkowe pozwalające dobrze zaplanować proces transformacji od strony finansowej oraz </w:t>
      </w:r>
      <w:r>
        <w:t xml:space="preserve">pozwalające lepiej </w:t>
      </w:r>
      <w:r w:rsidRPr="00FB1B57">
        <w:t>procesem transformacji sterować. Wprowadzono również w wielu miejscach element prac badawczo rozwojowych niezbędnych do</w:t>
      </w:r>
      <w:r w:rsidR="00817026">
        <w:t> </w:t>
      </w:r>
      <w:r w:rsidRPr="00FB1B57">
        <w:t xml:space="preserve">procesu transformacji oraz </w:t>
      </w:r>
      <w:r>
        <w:t>wprowadzono programy p</w:t>
      </w:r>
      <w:r w:rsidRPr="00FB1B57">
        <w:t>ilotażow</w:t>
      </w:r>
      <w:r>
        <w:t>e</w:t>
      </w:r>
      <w:r w:rsidRPr="00FB1B57">
        <w:t xml:space="preserve"> </w:t>
      </w:r>
      <w:r>
        <w:t xml:space="preserve">demonstrujące </w:t>
      </w:r>
      <w:r w:rsidRPr="00FB1B57">
        <w:t>odpowiednie kierunki transformacji.</w:t>
      </w:r>
      <w:r w:rsidR="004041DF">
        <w:t xml:space="preserve"> Ponadto</w:t>
      </w:r>
      <w:r w:rsidRPr="00FB1B57">
        <w:t> </w:t>
      </w:r>
      <w:r w:rsidR="004041DF">
        <w:t>przebudowano niektóre rozdziały i przesunięto między wymiarami.</w:t>
      </w:r>
    </w:p>
    <w:p w14:paraId="2300CF8F" w14:textId="0A672BDC" w:rsidR="00837DDC" w:rsidRDefault="00DD4FE6" w:rsidP="004041DF">
      <w:pPr>
        <w:spacing w:before="360"/>
      </w:pPr>
      <w:r>
        <w:t xml:space="preserve">W dalszej kolejności dokument został poddany </w:t>
      </w:r>
      <w:r w:rsidR="00E17889">
        <w:t>finalnym uzgodnieniom wewnątrzrządowym i</w:t>
      </w:r>
      <w:r w:rsidR="00817026">
        <w:t> </w:t>
      </w:r>
      <w:r w:rsidR="00E17889">
        <w:t>przedłożony pod obrady poszczególnych komitetów Rady Ministrów. [</w:t>
      </w:r>
      <w:r w:rsidR="00A410C1" w:rsidRPr="00064AED">
        <w:rPr>
          <w:highlight w:val="yellow"/>
        </w:rPr>
        <w:t xml:space="preserve">do uzupełnienia na </w:t>
      </w:r>
      <w:r w:rsidR="00064AED" w:rsidRPr="00064AED">
        <w:rPr>
          <w:highlight w:val="yellow"/>
        </w:rPr>
        <w:t>dalszym etap</w:t>
      </w:r>
      <w:r w:rsidR="00A02813">
        <w:rPr>
          <w:highlight w:val="yellow"/>
        </w:rPr>
        <w:t>ie</w:t>
      </w:r>
      <w:r w:rsidR="00064AED" w:rsidRPr="00064AED">
        <w:rPr>
          <w:highlight w:val="yellow"/>
        </w:rPr>
        <w:t xml:space="preserve"> prac</w:t>
      </w:r>
      <w:r w:rsidR="00E17889" w:rsidRPr="00064AED">
        <w:rPr>
          <w:highlight w:val="yellow"/>
        </w:rPr>
        <w:t>]</w:t>
      </w:r>
    </w:p>
    <w:p w14:paraId="48A2C077" w14:textId="0DEA917C" w:rsidR="00D41853" w:rsidRDefault="00E17889" w:rsidP="00E17889">
      <w:pPr>
        <w:pStyle w:val="tyturys"/>
        <w:spacing w:before="360" w:after="120"/>
      </w:pPr>
      <w:r>
        <w:t>Kalendarium prac nad KPEiK</w:t>
      </w:r>
    </w:p>
    <w:tbl>
      <w:tblPr>
        <w:tblW w:w="8931" w:type="dxa"/>
        <w:tblBorders>
          <w:insideV w:val="single" w:sz="6" w:space="0" w:color="7B7B7B" w:themeColor="accent3" w:themeShade="BF"/>
        </w:tblBorders>
        <w:tblCellMar>
          <w:left w:w="142" w:type="dxa"/>
          <w:bottom w:w="113" w:type="dxa"/>
        </w:tblCellMar>
        <w:tblLook w:val="04A0" w:firstRow="1" w:lastRow="0" w:firstColumn="1" w:lastColumn="0" w:noHBand="0" w:noVBand="1"/>
      </w:tblPr>
      <w:tblGrid>
        <w:gridCol w:w="2268"/>
        <w:gridCol w:w="6663"/>
      </w:tblGrid>
      <w:tr w:rsidR="00A17051" w:rsidRPr="00657694" w14:paraId="47935039" w14:textId="77777777" w:rsidTr="00841114">
        <w:trPr>
          <w:trHeight w:val="658"/>
        </w:trPr>
        <w:tc>
          <w:tcPr>
            <w:tcW w:w="2268" w:type="dxa"/>
            <w:tcBorders>
              <w:right w:val="single" w:sz="4" w:space="0" w:color="A6A6A6" w:themeColor="background1" w:themeShade="A6"/>
            </w:tcBorders>
          </w:tcPr>
          <w:p w14:paraId="71752A59" w14:textId="0C4E026C" w:rsidR="00A17051" w:rsidRPr="003B5D69" w:rsidRDefault="00A17051" w:rsidP="003B5D69">
            <w:pPr>
              <w:spacing w:before="120"/>
              <w:jc w:val="right"/>
              <w:rPr>
                <w:b/>
                <w:bCs/>
              </w:rPr>
            </w:pPr>
            <w:r>
              <w:rPr>
                <w:b/>
                <w:bCs/>
              </w:rPr>
              <w:t>2023</w:t>
            </w:r>
          </w:p>
        </w:tc>
        <w:tc>
          <w:tcPr>
            <w:tcW w:w="6663" w:type="dxa"/>
            <w:tcBorders>
              <w:left w:val="single" w:sz="4" w:space="0" w:color="A6A6A6" w:themeColor="background1" w:themeShade="A6"/>
            </w:tcBorders>
            <w:vAlign w:val="center"/>
          </w:tcPr>
          <w:p w14:paraId="36E69949" w14:textId="02BCB240" w:rsidR="00A17051" w:rsidRPr="00CE652F" w:rsidRDefault="00A17051" w:rsidP="00C809B5">
            <w:pPr>
              <w:spacing w:before="120"/>
              <w:jc w:val="left"/>
            </w:pPr>
            <w:r>
              <w:t xml:space="preserve">Prace nad projektem </w:t>
            </w:r>
            <w:r w:rsidRPr="00CE652F">
              <w:t xml:space="preserve">aktualizacji </w:t>
            </w:r>
            <w:r w:rsidRPr="00CE652F">
              <w:rPr>
                <w:i/>
                <w:iCs/>
              </w:rPr>
              <w:t>Krajowego planu na rzecz energii i klimatu na lata 2021–2030</w:t>
            </w:r>
          </w:p>
        </w:tc>
      </w:tr>
      <w:tr w:rsidR="00295C4E" w:rsidRPr="00657694" w14:paraId="67100D40" w14:textId="77777777" w:rsidTr="00C809B5">
        <w:tc>
          <w:tcPr>
            <w:tcW w:w="2268" w:type="dxa"/>
            <w:tcBorders>
              <w:right w:val="single" w:sz="4" w:space="0" w:color="A6A6A6" w:themeColor="background1" w:themeShade="A6"/>
            </w:tcBorders>
          </w:tcPr>
          <w:p w14:paraId="74E1E63E" w14:textId="77777777" w:rsidR="00295C4E" w:rsidRPr="003B5D69" w:rsidRDefault="00295C4E" w:rsidP="003B5D69">
            <w:pPr>
              <w:spacing w:before="120"/>
              <w:jc w:val="right"/>
              <w:rPr>
                <w:b/>
                <w:bCs/>
              </w:rPr>
            </w:pPr>
            <w:r w:rsidRPr="003B5D69">
              <w:rPr>
                <w:b/>
                <w:bCs/>
              </w:rPr>
              <w:t>29.02.2024</w:t>
            </w:r>
          </w:p>
        </w:tc>
        <w:tc>
          <w:tcPr>
            <w:tcW w:w="6663" w:type="dxa"/>
            <w:tcBorders>
              <w:left w:val="single" w:sz="4" w:space="0" w:color="A6A6A6" w:themeColor="background1" w:themeShade="A6"/>
            </w:tcBorders>
            <w:vAlign w:val="center"/>
          </w:tcPr>
          <w:p w14:paraId="194AD668" w14:textId="7F22D0AF" w:rsidR="00295C4E" w:rsidRPr="00CE652F" w:rsidRDefault="00295C4E" w:rsidP="00D337D9">
            <w:pPr>
              <w:spacing w:before="120"/>
              <w:jc w:val="left"/>
            </w:pPr>
            <w:r w:rsidRPr="00CE652F">
              <w:t xml:space="preserve">Przyjęcie projektu aktualizacji </w:t>
            </w:r>
            <w:r w:rsidRPr="00CE652F">
              <w:rPr>
                <w:i/>
                <w:iCs/>
              </w:rPr>
              <w:t>Krajowego planu na rzecz energii i klimatu na</w:t>
            </w:r>
            <w:r w:rsidR="00817026">
              <w:rPr>
                <w:i/>
                <w:iCs/>
              </w:rPr>
              <w:t> </w:t>
            </w:r>
            <w:r w:rsidRPr="00CE652F">
              <w:rPr>
                <w:i/>
                <w:iCs/>
              </w:rPr>
              <w:t>lata 2021–2030</w:t>
            </w:r>
            <w:r w:rsidRPr="00CE652F">
              <w:t xml:space="preserve"> (ze scenariuszem WEM) przez Komitet do Spraw Europejskich</w:t>
            </w:r>
          </w:p>
        </w:tc>
      </w:tr>
      <w:tr w:rsidR="00295C4E" w:rsidRPr="00657694" w14:paraId="7A68002F" w14:textId="77777777" w:rsidTr="00C809B5">
        <w:tc>
          <w:tcPr>
            <w:tcW w:w="2268" w:type="dxa"/>
            <w:tcBorders>
              <w:right w:val="single" w:sz="4" w:space="0" w:color="A6A6A6" w:themeColor="background1" w:themeShade="A6"/>
            </w:tcBorders>
          </w:tcPr>
          <w:p w14:paraId="6DD9364D" w14:textId="77777777" w:rsidR="00295C4E" w:rsidRPr="003B5D69" w:rsidRDefault="00295C4E" w:rsidP="003B5D69">
            <w:pPr>
              <w:jc w:val="right"/>
              <w:rPr>
                <w:b/>
                <w:bCs/>
              </w:rPr>
            </w:pPr>
            <w:r w:rsidRPr="003B5D69">
              <w:rPr>
                <w:b/>
                <w:bCs/>
              </w:rPr>
              <w:t>01.03.2024</w:t>
            </w:r>
          </w:p>
        </w:tc>
        <w:tc>
          <w:tcPr>
            <w:tcW w:w="6663" w:type="dxa"/>
            <w:tcBorders>
              <w:left w:val="single" w:sz="4" w:space="0" w:color="A6A6A6" w:themeColor="background1" w:themeShade="A6"/>
            </w:tcBorders>
            <w:vAlign w:val="center"/>
          </w:tcPr>
          <w:p w14:paraId="410510F3" w14:textId="56906D30" w:rsidR="00295C4E" w:rsidRPr="00CE652F" w:rsidRDefault="00295C4E" w:rsidP="00C809B5">
            <w:pPr>
              <w:jc w:val="left"/>
            </w:pPr>
            <w:r w:rsidRPr="00CE652F">
              <w:t>Przekazanie projektu a</w:t>
            </w:r>
            <w:r w:rsidR="001D5784">
              <w:t xml:space="preserve">ktualizacji </w:t>
            </w:r>
            <w:r w:rsidRPr="00CE652F">
              <w:t>KPEiK Komisji Europejskiej</w:t>
            </w:r>
          </w:p>
        </w:tc>
      </w:tr>
      <w:tr w:rsidR="00295C4E" w:rsidRPr="00657694" w14:paraId="195BBA41" w14:textId="77777777" w:rsidTr="00C809B5">
        <w:tc>
          <w:tcPr>
            <w:tcW w:w="2268" w:type="dxa"/>
            <w:tcBorders>
              <w:right w:val="single" w:sz="4" w:space="0" w:color="A6A6A6" w:themeColor="background1" w:themeShade="A6"/>
            </w:tcBorders>
          </w:tcPr>
          <w:p w14:paraId="02DBF6FA" w14:textId="77777777" w:rsidR="00295C4E" w:rsidRPr="003B5D69" w:rsidRDefault="00295C4E" w:rsidP="003B5D69">
            <w:pPr>
              <w:jc w:val="right"/>
              <w:rPr>
                <w:b/>
                <w:bCs/>
              </w:rPr>
            </w:pPr>
            <w:r w:rsidRPr="003B5D69">
              <w:rPr>
                <w:b/>
                <w:bCs/>
              </w:rPr>
              <w:t>26.04.2024</w:t>
            </w:r>
          </w:p>
        </w:tc>
        <w:tc>
          <w:tcPr>
            <w:tcW w:w="6663" w:type="dxa"/>
            <w:tcBorders>
              <w:left w:val="single" w:sz="4" w:space="0" w:color="A6A6A6" w:themeColor="background1" w:themeShade="A6"/>
            </w:tcBorders>
            <w:vAlign w:val="center"/>
          </w:tcPr>
          <w:p w14:paraId="4B9E7783" w14:textId="16E9FB16" w:rsidR="00295C4E" w:rsidRPr="00CE652F" w:rsidRDefault="00295C4E" w:rsidP="00C809B5">
            <w:pPr>
              <w:jc w:val="left"/>
            </w:pPr>
            <w:r w:rsidRPr="00CE652F">
              <w:t>Wydanie przez Komisję Europejską zaleceń do projektu KPEiK</w:t>
            </w:r>
          </w:p>
        </w:tc>
      </w:tr>
      <w:tr w:rsidR="00295C4E" w:rsidRPr="00657694" w14:paraId="2797B9AB" w14:textId="77777777" w:rsidTr="00C809B5">
        <w:tc>
          <w:tcPr>
            <w:tcW w:w="2268" w:type="dxa"/>
            <w:tcBorders>
              <w:right w:val="single" w:sz="4" w:space="0" w:color="A6A6A6" w:themeColor="background1" w:themeShade="A6"/>
            </w:tcBorders>
          </w:tcPr>
          <w:p w14:paraId="6F051C0A" w14:textId="77777777" w:rsidR="00295C4E" w:rsidRPr="003B5D69" w:rsidRDefault="00295C4E" w:rsidP="003B5D69">
            <w:pPr>
              <w:jc w:val="right"/>
              <w:rPr>
                <w:b/>
                <w:bCs/>
              </w:rPr>
            </w:pPr>
            <w:r w:rsidRPr="003B5D69">
              <w:rPr>
                <w:b/>
                <w:bCs/>
              </w:rPr>
              <w:t>03–10.2024</w:t>
            </w:r>
          </w:p>
        </w:tc>
        <w:tc>
          <w:tcPr>
            <w:tcW w:w="6663" w:type="dxa"/>
            <w:tcBorders>
              <w:left w:val="single" w:sz="4" w:space="0" w:color="A6A6A6" w:themeColor="background1" w:themeShade="A6"/>
            </w:tcBorders>
            <w:vAlign w:val="center"/>
          </w:tcPr>
          <w:p w14:paraId="32118FF7" w14:textId="7F964BF7" w:rsidR="00295C4E" w:rsidRDefault="00295C4E" w:rsidP="00C809B5">
            <w:pPr>
              <w:jc w:val="left"/>
            </w:pPr>
            <w:r>
              <w:t xml:space="preserve">Prace analityczne i prognostyczne w </w:t>
            </w:r>
            <w:r w:rsidR="0050577A">
              <w:t xml:space="preserve">dwóch </w:t>
            </w:r>
            <w:r>
              <w:t>scenariuszach – WEM i</w:t>
            </w:r>
            <w:r w:rsidR="00646718">
              <w:t> </w:t>
            </w:r>
            <w:r>
              <w:t xml:space="preserve">WAM, w tym spotkania na poziomie eksperckim służące pogłębianiu analiz oraz szereg spotkań informacyjnych z różnymi grupami. </w:t>
            </w:r>
          </w:p>
          <w:p w14:paraId="66CCB299" w14:textId="164D8E32" w:rsidR="00295C4E" w:rsidRDefault="00295C4E" w:rsidP="00C809B5">
            <w:pPr>
              <w:spacing w:after="80"/>
              <w:jc w:val="left"/>
            </w:pPr>
            <w:r>
              <w:t xml:space="preserve">Prace nad uzupełnieniem </w:t>
            </w:r>
            <w:r w:rsidR="00C3645E">
              <w:t xml:space="preserve">projektu </w:t>
            </w:r>
            <w:r>
              <w:t>KPEiK w zakresie dokumentu głównego i</w:t>
            </w:r>
            <w:r w:rsidR="003B5D69">
              <w:t> </w:t>
            </w:r>
            <w:r>
              <w:t>załączników, w tym prace</w:t>
            </w:r>
            <w:r w:rsidRPr="00921888">
              <w:rPr>
                <w:b/>
                <w:bCs/>
              </w:rPr>
              <w:t xml:space="preserve"> </w:t>
            </w:r>
            <w:r w:rsidRPr="00982DDC">
              <w:t>wewnątrzrządowe</w:t>
            </w:r>
            <w:r>
              <w:t xml:space="preserve"> </w:t>
            </w:r>
            <w:r w:rsidRPr="00982DDC">
              <w:t>w ramac</w:t>
            </w:r>
            <w:r w:rsidRPr="00013BCD">
              <w:t>h</w:t>
            </w:r>
            <w:r>
              <w:t>:</w:t>
            </w:r>
          </w:p>
          <w:p w14:paraId="55EC7671" w14:textId="77777777" w:rsidR="00295C4E" w:rsidRPr="00982DDC" w:rsidRDefault="00295C4E" w:rsidP="000625AC">
            <w:pPr>
              <w:pStyle w:val="Akapitzlist"/>
              <w:numPr>
                <w:ilvl w:val="0"/>
                <w:numId w:val="52"/>
              </w:numPr>
              <w:jc w:val="left"/>
            </w:pPr>
            <w:r>
              <w:t>pogłębionych analiz z poszczególnymi resortami,</w:t>
            </w:r>
          </w:p>
          <w:p w14:paraId="6B88A53D" w14:textId="6778FF9D" w:rsidR="00295C4E" w:rsidRPr="003763AA" w:rsidRDefault="00295C4E" w:rsidP="000625AC">
            <w:pPr>
              <w:pStyle w:val="Akapitzlist"/>
              <w:numPr>
                <w:ilvl w:val="0"/>
                <w:numId w:val="52"/>
              </w:numPr>
              <w:jc w:val="left"/>
            </w:pPr>
            <w:r w:rsidRPr="003B5D69">
              <w:rPr>
                <w:i/>
                <w:iCs/>
              </w:rPr>
              <w:lastRenderedPageBreak/>
              <w:t xml:space="preserve">Zespołu MKiŚ ds. </w:t>
            </w:r>
            <w:r w:rsidR="00873E46">
              <w:rPr>
                <w:i/>
                <w:iCs/>
              </w:rPr>
              <w:t xml:space="preserve">aktualizacji </w:t>
            </w:r>
            <w:r w:rsidRPr="003B5D69">
              <w:rPr>
                <w:i/>
                <w:iCs/>
              </w:rPr>
              <w:t>KPEiK i polityki energetycznej państwa,</w:t>
            </w:r>
          </w:p>
          <w:p w14:paraId="74380D58" w14:textId="1BC27332" w:rsidR="00295C4E" w:rsidRDefault="00064AED" w:rsidP="000625AC">
            <w:pPr>
              <w:pStyle w:val="Akapitzlist"/>
              <w:numPr>
                <w:ilvl w:val="0"/>
                <w:numId w:val="52"/>
              </w:numPr>
              <w:jc w:val="left"/>
            </w:pPr>
            <w:r>
              <w:t>C</w:t>
            </w:r>
            <w:r w:rsidR="00295C4E">
              <w:t>zterech posiedzeń Komitetu Ekonomicznego Rady Ministrów,</w:t>
            </w:r>
          </w:p>
          <w:p w14:paraId="2564D04C" w14:textId="75ACD5C4" w:rsidR="00295C4E" w:rsidRPr="00554F9A" w:rsidRDefault="00295C4E" w:rsidP="000625AC">
            <w:pPr>
              <w:pStyle w:val="Akapitzlist"/>
              <w:numPr>
                <w:ilvl w:val="0"/>
                <w:numId w:val="52"/>
              </w:numPr>
              <w:jc w:val="left"/>
            </w:pPr>
            <w:r>
              <w:t>Zespołu Programowania Prac Rządu, zakończone wpisem do</w:t>
            </w:r>
            <w:r w:rsidR="00817026">
              <w:t> </w:t>
            </w:r>
            <w:r>
              <w:t>Wykazu prac legislacyjnych i programowych RM (IC8)</w:t>
            </w:r>
          </w:p>
        </w:tc>
      </w:tr>
      <w:tr w:rsidR="00295C4E" w:rsidRPr="00657694" w14:paraId="07BC6152" w14:textId="77777777" w:rsidTr="00C809B5">
        <w:tc>
          <w:tcPr>
            <w:tcW w:w="2268" w:type="dxa"/>
            <w:tcBorders>
              <w:right w:val="single" w:sz="4" w:space="0" w:color="A6A6A6" w:themeColor="background1" w:themeShade="A6"/>
            </w:tcBorders>
          </w:tcPr>
          <w:p w14:paraId="02BAA898" w14:textId="77777777" w:rsidR="00295C4E" w:rsidRPr="003B5D69" w:rsidRDefault="00295C4E" w:rsidP="003B5D69">
            <w:pPr>
              <w:jc w:val="right"/>
              <w:rPr>
                <w:b/>
                <w:bCs/>
              </w:rPr>
            </w:pPr>
            <w:r w:rsidRPr="003B5D69">
              <w:rPr>
                <w:b/>
                <w:bCs/>
              </w:rPr>
              <w:lastRenderedPageBreak/>
              <w:t>11.10–15.11.2024</w:t>
            </w:r>
          </w:p>
        </w:tc>
        <w:tc>
          <w:tcPr>
            <w:tcW w:w="6663" w:type="dxa"/>
            <w:tcBorders>
              <w:left w:val="single" w:sz="4" w:space="0" w:color="A6A6A6" w:themeColor="background1" w:themeShade="A6"/>
            </w:tcBorders>
            <w:vAlign w:val="center"/>
          </w:tcPr>
          <w:p w14:paraId="4DE29008" w14:textId="714B7320" w:rsidR="00295C4E" w:rsidRPr="00CE652F" w:rsidRDefault="00295C4E" w:rsidP="00C809B5">
            <w:pPr>
              <w:jc w:val="left"/>
            </w:pPr>
            <w:r w:rsidRPr="00CE652F">
              <w:t>Konsultacje publiczne i międzyresortowe</w:t>
            </w:r>
            <w:r>
              <w:t xml:space="preserve"> KPEiK</w:t>
            </w:r>
          </w:p>
        </w:tc>
      </w:tr>
      <w:tr w:rsidR="00295C4E" w:rsidRPr="00657694" w14:paraId="22A45F64" w14:textId="77777777" w:rsidTr="00C809B5">
        <w:tc>
          <w:tcPr>
            <w:tcW w:w="2268" w:type="dxa"/>
            <w:tcBorders>
              <w:right w:val="single" w:sz="4" w:space="0" w:color="A6A6A6" w:themeColor="background1" w:themeShade="A6"/>
            </w:tcBorders>
          </w:tcPr>
          <w:p w14:paraId="60EE4C2C" w14:textId="0291AB48" w:rsidR="00295C4E" w:rsidRPr="003B5D69" w:rsidRDefault="00295C4E" w:rsidP="003B5D69">
            <w:pPr>
              <w:jc w:val="right"/>
              <w:rPr>
                <w:b/>
                <w:bCs/>
              </w:rPr>
            </w:pPr>
            <w:r w:rsidRPr="003B5D69">
              <w:rPr>
                <w:b/>
                <w:bCs/>
              </w:rPr>
              <w:t>11.2024–0</w:t>
            </w:r>
            <w:r w:rsidR="00D15D49">
              <w:rPr>
                <w:b/>
                <w:bCs/>
              </w:rPr>
              <w:t>7</w:t>
            </w:r>
            <w:r w:rsidRPr="003B5D69">
              <w:rPr>
                <w:b/>
                <w:bCs/>
              </w:rPr>
              <w:t>.2025</w:t>
            </w:r>
          </w:p>
        </w:tc>
        <w:tc>
          <w:tcPr>
            <w:tcW w:w="6663" w:type="dxa"/>
            <w:tcBorders>
              <w:left w:val="single" w:sz="4" w:space="0" w:color="A6A6A6" w:themeColor="background1" w:themeShade="A6"/>
            </w:tcBorders>
            <w:vAlign w:val="center"/>
          </w:tcPr>
          <w:p w14:paraId="30ED1578" w14:textId="115BA13D" w:rsidR="00295C4E" w:rsidRDefault="00295C4E" w:rsidP="00C809B5">
            <w:pPr>
              <w:jc w:val="left"/>
            </w:pPr>
            <w:r>
              <w:t>Analiza uwag przekazanych w ramach procesu konsultacji; oraz</w:t>
            </w:r>
            <w:r w:rsidR="00817026">
              <w:t> </w:t>
            </w:r>
            <w:r>
              <w:t>pr</w:t>
            </w:r>
            <w:r w:rsidR="00D0580C">
              <w:t>zeprowadzenie</w:t>
            </w:r>
            <w:r>
              <w:t xml:space="preserve"> strategicznej oceny oddziaływania na środowisko.</w:t>
            </w:r>
          </w:p>
          <w:p w14:paraId="35A1D925" w14:textId="2649547F" w:rsidR="00295C4E" w:rsidRDefault="001D379F" w:rsidP="00C809B5">
            <w:pPr>
              <w:jc w:val="left"/>
            </w:pPr>
            <w:r>
              <w:t>P</w:t>
            </w:r>
            <w:r w:rsidR="004E77CF">
              <w:t>ogłębianie analiz i i</w:t>
            </w:r>
            <w:r w:rsidR="00295C4E">
              <w:t>mplementacja wniosków z procesu konsultacji do projektu KPEiK, w</w:t>
            </w:r>
            <w:r w:rsidR="003B5D69">
              <w:t> </w:t>
            </w:r>
            <w:r w:rsidR="00295C4E">
              <w:t>tym aktualizacja prognoz do scenariuszy WEM i WAM.</w:t>
            </w:r>
          </w:p>
          <w:p w14:paraId="125D5C23" w14:textId="7CE93EB5" w:rsidR="00630493" w:rsidRDefault="00630493" w:rsidP="00C809B5">
            <w:pPr>
              <w:jc w:val="left"/>
            </w:pPr>
            <w:r>
              <w:t xml:space="preserve">Uzupełnienie </w:t>
            </w:r>
            <w:r w:rsidR="00FB7BE0">
              <w:t>opisu dokumentu strategicznego</w:t>
            </w:r>
            <w:r w:rsidR="001822C3">
              <w:t>, przegląd działań wykonawczych,</w:t>
            </w:r>
            <w:r w:rsidR="00855992">
              <w:t xml:space="preserve"> ich</w:t>
            </w:r>
            <w:r w:rsidR="001822C3">
              <w:t xml:space="preserve"> modyfikacja i </w:t>
            </w:r>
            <w:r w:rsidR="00855992">
              <w:t xml:space="preserve">rozbudowanie </w:t>
            </w:r>
            <w:r w:rsidR="00745AC2">
              <w:t>interwencji.</w:t>
            </w:r>
          </w:p>
        </w:tc>
      </w:tr>
      <w:tr w:rsidR="00295C4E" w:rsidRPr="00657694" w14:paraId="10215DCE" w14:textId="77777777" w:rsidTr="00C809B5">
        <w:tc>
          <w:tcPr>
            <w:tcW w:w="2268" w:type="dxa"/>
            <w:tcBorders>
              <w:right w:val="single" w:sz="4" w:space="0" w:color="A6A6A6" w:themeColor="background1" w:themeShade="A6"/>
            </w:tcBorders>
          </w:tcPr>
          <w:p w14:paraId="16EC4D68" w14:textId="5F24D433" w:rsidR="00295C4E" w:rsidRPr="003B5D69" w:rsidRDefault="00F8533B" w:rsidP="003B5D69">
            <w:pPr>
              <w:jc w:val="right"/>
              <w:rPr>
                <w:b/>
                <w:bCs/>
              </w:rPr>
            </w:pPr>
            <w:r>
              <w:rPr>
                <w:b/>
                <w:bCs/>
              </w:rPr>
              <w:t>0</w:t>
            </w:r>
            <w:r w:rsidR="000D69FC">
              <w:rPr>
                <w:b/>
                <w:bCs/>
              </w:rPr>
              <w:t>8</w:t>
            </w:r>
            <w:r>
              <w:rPr>
                <w:b/>
                <w:bCs/>
              </w:rPr>
              <w:t>.2025-</w:t>
            </w:r>
            <w:r w:rsidR="00244D6A">
              <w:rPr>
                <w:b/>
                <w:bCs/>
              </w:rPr>
              <w:t>xxx</w:t>
            </w:r>
            <w:r w:rsidR="00295C4E" w:rsidRPr="003B5D69">
              <w:rPr>
                <w:b/>
                <w:bCs/>
              </w:rPr>
              <w:t>.2025</w:t>
            </w:r>
          </w:p>
        </w:tc>
        <w:tc>
          <w:tcPr>
            <w:tcW w:w="6663" w:type="dxa"/>
            <w:tcBorders>
              <w:left w:val="single" w:sz="4" w:space="0" w:color="A6A6A6" w:themeColor="background1" w:themeShade="A6"/>
            </w:tcBorders>
            <w:vAlign w:val="center"/>
          </w:tcPr>
          <w:p w14:paraId="02624C9A" w14:textId="03456559" w:rsidR="00295C4E" w:rsidRDefault="00295C4E" w:rsidP="00C809B5">
            <w:pPr>
              <w:jc w:val="left"/>
            </w:pPr>
            <w:r>
              <w:t xml:space="preserve">Uzgodnienia </w:t>
            </w:r>
            <w:r w:rsidR="001D379F">
              <w:t>z Komisją Wspólną</w:t>
            </w:r>
            <w:r w:rsidR="002E2342">
              <w:t xml:space="preserve"> Rządu i Samorządu Terytorialnego</w:t>
            </w:r>
            <w:r w:rsidR="00AD64A3">
              <w:t>, Radą Dialogu Społecznego</w:t>
            </w:r>
            <w:r w:rsidR="00841114">
              <w:t xml:space="preserve"> oraz</w:t>
            </w:r>
            <w:r w:rsidR="002E2342">
              <w:t xml:space="preserve"> </w:t>
            </w:r>
            <w:r>
              <w:t>w</w:t>
            </w:r>
            <w:r w:rsidR="002E2342">
              <w:t> </w:t>
            </w:r>
            <w:r>
              <w:t>ramach komitetów rządowych</w:t>
            </w:r>
            <w:r w:rsidR="00AD64A3">
              <w:t>;</w:t>
            </w:r>
            <w:r>
              <w:t xml:space="preserve"> przyjęcie przez Radę Ministrów</w:t>
            </w:r>
          </w:p>
        </w:tc>
      </w:tr>
      <w:tr w:rsidR="00295C4E" w:rsidRPr="00657694" w14:paraId="4A9B85E0" w14:textId="77777777" w:rsidTr="00C809B5">
        <w:tc>
          <w:tcPr>
            <w:tcW w:w="2268" w:type="dxa"/>
            <w:tcBorders>
              <w:right w:val="single" w:sz="4" w:space="0" w:color="A6A6A6" w:themeColor="background1" w:themeShade="A6"/>
            </w:tcBorders>
          </w:tcPr>
          <w:p w14:paraId="6B18619B" w14:textId="1DE8BEF7" w:rsidR="00295C4E" w:rsidRPr="003B5D69" w:rsidRDefault="00244D6A" w:rsidP="003B5D69">
            <w:pPr>
              <w:jc w:val="right"/>
              <w:rPr>
                <w:b/>
                <w:bCs/>
              </w:rPr>
            </w:pPr>
            <w:r>
              <w:rPr>
                <w:b/>
                <w:bCs/>
              </w:rPr>
              <w:t>xxxxx</w:t>
            </w:r>
          </w:p>
        </w:tc>
        <w:tc>
          <w:tcPr>
            <w:tcW w:w="6663" w:type="dxa"/>
            <w:tcBorders>
              <w:left w:val="single" w:sz="4" w:space="0" w:color="A6A6A6" w:themeColor="background1" w:themeShade="A6"/>
            </w:tcBorders>
            <w:vAlign w:val="center"/>
          </w:tcPr>
          <w:p w14:paraId="216569E0" w14:textId="4B57223E" w:rsidR="00295C4E" w:rsidRDefault="00295C4E" w:rsidP="00C809B5">
            <w:pPr>
              <w:jc w:val="left"/>
            </w:pPr>
            <w:r>
              <w:t xml:space="preserve">Przekazanie </w:t>
            </w:r>
            <w:r w:rsidR="002E2342">
              <w:t>a</w:t>
            </w:r>
            <w:r>
              <w:t>KPEiK Komisji Europejskiej</w:t>
            </w:r>
          </w:p>
        </w:tc>
      </w:tr>
    </w:tbl>
    <w:p w14:paraId="076C0179" w14:textId="0F6220BB" w:rsidR="0019330A" w:rsidRDefault="00E70B73" w:rsidP="007E4AE3">
      <w:pPr>
        <w:pStyle w:val="Nagwek3"/>
        <w:numPr>
          <w:ilvl w:val="0"/>
          <w:numId w:val="0"/>
        </w:numPr>
        <w:tabs>
          <w:tab w:val="left" w:pos="567"/>
        </w:tabs>
        <w:ind w:left="567" w:hanging="567"/>
      </w:pPr>
      <w:bookmarkStart w:id="1463" w:name="_Toc195897410"/>
      <w:bookmarkStart w:id="1464" w:name="_Toc205203240"/>
      <w:r>
        <w:t>B</w:t>
      </w:r>
      <w:r w:rsidR="0036032B">
        <w:t>)</w:t>
      </w:r>
      <w:r w:rsidR="006322D4">
        <w:tab/>
      </w:r>
      <w:r w:rsidR="00271A44">
        <w:t>Proces konsultacji</w:t>
      </w:r>
      <w:bookmarkEnd w:id="1463"/>
      <w:bookmarkEnd w:id="1464"/>
      <w:r w:rsidR="00271A44">
        <w:t xml:space="preserve"> </w:t>
      </w:r>
    </w:p>
    <w:p w14:paraId="4D017889" w14:textId="77777777" w:rsidR="00C378AC" w:rsidRDefault="00ED32B8" w:rsidP="00CC0BCF">
      <w:r>
        <w:t>Proces</w:t>
      </w:r>
      <w:r w:rsidR="00CC0BCF" w:rsidRPr="006A0418">
        <w:t xml:space="preserve"> konsultacji publicznych </w:t>
      </w:r>
      <w:r w:rsidR="00223D80">
        <w:t xml:space="preserve">rozpoczyna się znacznie wcześniej przed przedłożeniem projektu dokumentu do uwag i opiniowania w formie pisemnej. </w:t>
      </w:r>
      <w:r w:rsidR="00650710">
        <w:t>Ze względu na opóźnienie w opracowaniu projektu aktualizacji KPEiK (zgodnie z art. 14 rozporządzenia UE 2018/1999) p</w:t>
      </w:r>
      <w:r w:rsidR="00223D80">
        <w:t>ierwsz</w:t>
      </w:r>
      <w:r w:rsidR="00650710">
        <w:t>a</w:t>
      </w:r>
      <w:r w:rsidR="00223D80">
        <w:t xml:space="preserve"> wersj</w:t>
      </w:r>
      <w:r w:rsidR="00650710">
        <w:t>a</w:t>
      </w:r>
      <w:r w:rsidR="00223D80">
        <w:t xml:space="preserve"> projektu KPEiK </w:t>
      </w:r>
      <w:r w:rsidR="00650710">
        <w:t xml:space="preserve">obejmowała tylko </w:t>
      </w:r>
      <w:r w:rsidR="00223D80">
        <w:t xml:space="preserve">scenariusz WEM, </w:t>
      </w:r>
      <w:r w:rsidR="00650710">
        <w:t xml:space="preserve">opracowany w oparciu o dotychczasowe uzgodnienia </w:t>
      </w:r>
      <w:r w:rsidR="00A340FF">
        <w:t>w ramach poszczególnych sektorów</w:t>
      </w:r>
      <w:r w:rsidR="00650710">
        <w:t xml:space="preserve">. W dalszej kolejności </w:t>
      </w:r>
      <w:r w:rsidR="00A340FF">
        <w:t>MKiŚ oraz zewnętrzny wykonawca prognoz byli wspierani analitycznie przez różne organizacje branżowe, celem weryfikacji potencjałów i możliwości. W tym czasie odbył się także szereg spotkań z różnymi grupami i podmiotami. Przedstawiciele MKiŚ brali udział w</w:t>
      </w:r>
      <w:r w:rsidR="00C378AC">
        <w:t> </w:t>
      </w:r>
      <w:r w:rsidR="00A340FF">
        <w:t>konferencjach tematycznych</w:t>
      </w:r>
      <w:r w:rsidR="00C378AC">
        <w:t xml:space="preserve"> dotyczących transformacji</w:t>
      </w:r>
      <w:r w:rsidR="00A340FF">
        <w:t>, spotkaniach z przedstawicielami pracowników i</w:t>
      </w:r>
      <w:r w:rsidR="00C378AC">
        <w:t> </w:t>
      </w:r>
      <w:r w:rsidR="00A340FF">
        <w:t>pracodawców, w komisjach i podkomisjach sejmowych</w:t>
      </w:r>
      <w:r w:rsidR="00C378AC">
        <w:t>. Kulminacyjnym momentem procesu prekonsultacji było spotkanie</w:t>
      </w:r>
      <w:r w:rsidR="00C378AC" w:rsidRPr="00C378AC">
        <w:t xml:space="preserve"> </w:t>
      </w:r>
      <w:r w:rsidR="00C378AC">
        <w:t>przeprowadzone w dniu 6 września 2024 r. z</w:t>
      </w:r>
      <w:r w:rsidR="00C378AC" w:rsidRPr="00C378AC">
        <w:t xml:space="preserve"> </w:t>
      </w:r>
      <w:r w:rsidR="00C378AC">
        <w:t xml:space="preserve">przedstawicielami </w:t>
      </w:r>
      <w:r w:rsidR="00C378AC" w:rsidRPr="00C378AC">
        <w:t xml:space="preserve">ok. 70 </w:t>
      </w:r>
      <w:r w:rsidR="00C378AC">
        <w:t xml:space="preserve">organizacji pozarządowych, w tym zrzeszeń branżowych i </w:t>
      </w:r>
      <w:r w:rsidR="00C378AC" w:rsidRPr="00C378AC">
        <w:t>zw</w:t>
      </w:r>
      <w:r w:rsidR="00C378AC">
        <w:t>iązków</w:t>
      </w:r>
      <w:r w:rsidR="00C378AC" w:rsidRPr="00C378AC">
        <w:t xml:space="preserve"> zawodowy</w:t>
      </w:r>
      <w:r w:rsidR="00C378AC">
        <w:t xml:space="preserve">ch. Podczas spotkania omówiono wstępne wyniki prognoz dla scenariusza WAM oraz planowane polityki obszarowe. </w:t>
      </w:r>
    </w:p>
    <w:p w14:paraId="7D8D3EF8" w14:textId="74B169AD" w:rsidR="00CC0BCF" w:rsidRDefault="00C378AC" w:rsidP="00CC0BCF">
      <w:r>
        <w:t>Wnioski z procesu prekonsultacji zostały uwzględnione w projekcie KPEiK, przedłożonym w ramach f</w:t>
      </w:r>
      <w:r w:rsidR="00CC0BCF" w:rsidRPr="006A0418">
        <w:t>ormaln</w:t>
      </w:r>
      <w:r>
        <w:t>ego</w:t>
      </w:r>
      <w:r w:rsidR="00CC0BCF" w:rsidRPr="006A0418">
        <w:t xml:space="preserve"> proces</w:t>
      </w:r>
      <w:r>
        <w:t>u</w:t>
      </w:r>
      <w:r w:rsidR="00CC0BCF" w:rsidRPr="006A0418">
        <w:t xml:space="preserve"> konsultacji publicznych</w:t>
      </w:r>
      <w:r>
        <w:t>, opiniowania</w:t>
      </w:r>
      <w:r w:rsidR="00CC0BCF" w:rsidRPr="006A0418">
        <w:t xml:space="preserve"> </w:t>
      </w:r>
      <w:r w:rsidR="00CC0BCF">
        <w:t>i uzgodnień międzyresortowych</w:t>
      </w:r>
      <w:r>
        <w:t>.</w:t>
      </w:r>
      <w:r w:rsidR="007127A4">
        <w:t xml:space="preserve"> </w:t>
      </w:r>
      <w:r>
        <w:t xml:space="preserve">Uwagi </w:t>
      </w:r>
      <w:r w:rsidR="007127A4">
        <w:t xml:space="preserve">można było zgłaszać </w:t>
      </w:r>
      <w:r w:rsidR="00CC0BCF" w:rsidRPr="006A0418">
        <w:t xml:space="preserve">w terminie od 11 października do 15 listopada 2024 r. </w:t>
      </w:r>
      <w:r w:rsidR="007127A4">
        <w:t xml:space="preserve">W ramach procedury strategicznego oddziaływania na środowisko </w:t>
      </w:r>
      <w:r w:rsidR="00F30AED">
        <w:t>w </w:t>
      </w:r>
      <w:r w:rsidR="00F30AED">
        <w:rPr>
          <w:u w:val="double"/>
        </w:rPr>
        <w:t>dniach 5–</w:t>
      </w:r>
      <w:r w:rsidR="00F30AED" w:rsidRPr="006A0418">
        <w:t>28 lutego 2025 r.</w:t>
      </w:r>
      <w:r w:rsidR="00F30AED">
        <w:t xml:space="preserve"> </w:t>
      </w:r>
      <w:r w:rsidR="007127A4">
        <w:t>przeprowadzono d</w:t>
      </w:r>
      <w:r w:rsidR="00CC0BCF" w:rsidRPr="006A0418">
        <w:t>rug</w:t>
      </w:r>
      <w:r w:rsidR="007127A4">
        <w:t>ą</w:t>
      </w:r>
      <w:r w:rsidR="00CC0BCF" w:rsidRPr="006A0418">
        <w:t xml:space="preserve"> tur</w:t>
      </w:r>
      <w:r w:rsidR="007127A4">
        <w:t>ę</w:t>
      </w:r>
      <w:r w:rsidR="00CC0BCF" w:rsidRPr="006A0418">
        <w:t xml:space="preserve"> konsultacji</w:t>
      </w:r>
      <w:r w:rsidR="00F30AED">
        <w:t>.</w:t>
      </w:r>
      <w:r w:rsidR="00CC0BCF" w:rsidRPr="006A0418">
        <w:t xml:space="preserve"> </w:t>
      </w:r>
      <w:r w:rsidR="00F30AED">
        <w:t>U</w:t>
      </w:r>
      <w:r w:rsidR="00CC0BCF">
        <w:t>dostępniony wcześniej</w:t>
      </w:r>
      <w:r w:rsidR="00CC0BCF" w:rsidRPr="006A0418">
        <w:t xml:space="preserve"> pakiet dokumentów </w:t>
      </w:r>
      <w:r w:rsidR="00F30AED">
        <w:t>został wówczas</w:t>
      </w:r>
      <w:r w:rsidR="00CC0BCF" w:rsidRPr="006A0418">
        <w:t xml:space="preserve"> rozszerzony o</w:t>
      </w:r>
      <w:r w:rsidR="00CC0BCF">
        <w:t> </w:t>
      </w:r>
      <w:r w:rsidR="00CC0BCF" w:rsidRPr="006A0418">
        <w:t xml:space="preserve">prognozę oddziaływania na środowisko do aKPEiK. </w:t>
      </w:r>
    </w:p>
    <w:p w14:paraId="135535F7" w14:textId="44C17088" w:rsidR="00CC0BCF" w:rsidRDefault="00CC0BCF" w:rsidP="00CC0BCF">
      <w:r w:rsidRPr="006A0418">
        <w:t xml:space="preserve">Konsultacje odbywały się </w:t>
      </w:r>
      <w:r>
        <w:t>zgodnie z</w:t>
      </w:r>
      <w:r w:rsidRPr="006A0418">
        <w:t xml:space="preserve"> art. 6 ustawy z dnia 6 grudnia 2006 r. </w:t>
      </w:r>
      <w:r w:rsidRPr="00CC0BCF">
        <w:rPr>
          <w:i/>
          <w:iCs/>
        </w:rPr>
        <w:t>o zasadach prowadzenia polityki rozwoju</w:t>
      </w:r>
      <w:r w:rsidRPr="006A0418">
        <w:t xml:space="preserve"> (Dz. U. z 2024 r. poz. 324, 862)</w:t>
      </w:r>
      <w:r>
        <w:t xml:space="preserve">, a druga tura w oparciu o ustawę </w:t>
      </w:r>
      <w:r w:rsidRPr="00557B09">
        <w:t>z dnia 3 października</w:t>
      </w:r>
      <w:r>
        <w:t xml:space="preserve"> </w:t>
      </w:r>
      <w:r w:rsidRPr="00557B09">
        <w:t xml:space="preserve">2008 r. </w:t>
      </w:r>
      <w:r w:rsidRPr="00CC0BCF">
        <w:rPr>
          <w:i/>
          <w:iCs/>
        </w:rPr>
        <w:t>o udostępnianiu informacji o środowisku i jego ochronie, udziale społeczeństwa w ochronie środowiska oraz o</w:t>
      </w:r>
      <w:r w:rsidR="00A71E9A">
        <w:rPr>
          <w:i/>
          <w:iCs/>
        </w:rPr>
        <w:t> </w:t>
      </w:r>
      <w:r w:rsidRPr="00CC0BCF">
        <w:rPr>
          <w:i/>
          <w:iCs/>
        </w:rPr>
        <w:t>ocenach oddziaływania na środowisko</w:t>
      </w:r>
      <w:r>
        <w:t xml:space="preserve"> (Dz. U. z 202</w:t>
      </w:r>
      <w:r w:rsidR="00A71E9A">
        <w:t>4</w:t>
      </w:r>
      <w:r>
        <w:t xml:space="preserve"> r. poz. 1</w:t>
      </w:r>
      <w:r w:rsidR="00A71E9A">
        <w:t>112, 1881, 1940</w:t>
      </w:r>
      <w:r>
        <w:t>)</w:t>
      </w:r>
      <w:r w:rsidRPr="00557B09">
        <w:t xml:space="preserve">, która transponuje dyrektywę </w:t>
      </w:r>
      <w:r>
        <w:t xml:space="preserve">PE </w:t>
      </w:r>
      <w:r w:rsidRPr="00557B09">
        <w:t>i Rady</w:t>
      </w:r>
      <w:r>
        <w:t xml:space="preserve"> (UE) </w:t>
      </w:r>
      <w:r w:rsidR="00630061" w:rsidRPr="00557B09">
        <w:t xml:space="preserve">2001/42/WE </w:t>
      </w:r>
      <w:r w:rsidRPr="00557B09">
        <w:t>z dnia 27 czerwca 2001 r. w sprawie oceny wpływu niektórych planów i programów na środowisko (dyrektywa SEA).</w:t>
      </w:r>
    </w:p>
    <w:p w14:paraId="470403D2" w14:textId="3526B42C" w:rsidR="00CC0BCF" w:rsidRPr="00662F06" w:rsidRDefault="00CC0BCF" w:rsidP="00033BE3">
      <w:r w:rsidRPr="006A0418">
        <w:lastRenderedPageBreak/>
        <w:t xml:space="preserve">Zaproszenie skierowano do szerokiego grona interesariuszy </w:t>
      </w:r>
      <w:r w:rsidR="00A71E9A">
        <w:t xml:space="preserve">od organów administracji publicznej, przez </w:t>
      </w:r>
      <w:r w:rsidRPr="006A0418">
        <w:t>jednostk</w:t>
      </w:r>
      <w:r w:rsidR="00A71E9A">
        <w:t>i</w:t>
      </w:r>
      <w:r w:rsidRPr="006A0418">
        <w:t xml:space="preserve"> samorządu terytorialnego, </w:t>
      </w:r>
      <w:r w:rsidR="006C0525">
        <w:t>podmioty gospodarcze i organizacje</w:t>
      </w:r>
      <w:r w:rsidRPr="006A0418">
        <w:t xml:space="preserve"> branżowe, organizacje pozarządowe, zw</w:t>
      </w:r>
      <w:r>
        <w:t>iązki</w:t>
      </w:r>
      <w:r w:rsidRPr="006A0418">
        <w:t xml:space="preserve"> zawodowe </w:t>
      </w:r>
      <w:r w:rsidR="00A71E9A">
        <w:t xml:space="preserve">po </w:t>
      </w:r>
      <w:r>
        <w:t xml:space="preserve">ogół </w:t>
      </w:r>
      <w:r w:rsidRPr="006A0418">
        <w:t>społeczeństwa. Projekty dokumentów został</w:t>
      </w:r>
      <w:r w:rsidR="006C0525">
        <w:t>y</w:t>
      </w:r>
      <w:r w:rsidRPr="006A0418">
        <w:t xml:space="preserve"> opublikowane na stronie internetowej Ministerstwa Klimatu i Środowiska w zakładce </w:t>
      </w:r>
      <w:r w:rsidRPr="00557B09">
        <w:rPr>
          <w:i/>
          <w:iCs/>
        </w:rPr>
        <w:t>Co robimy</w:t>
      </w:r>
      <w:r>
        <w:t xml:space="preserve">. Istniała również możliwość wglądu do dokumentów w formie papierowej. </w:t>
      </w:r>
      <w:r w:rsidRPr="006A0418">
        <w:t xml:space="preserve">W ramach obu tur konsultacji </w:t>
      </w:r>
      <w:r>
        <w:t>z</w:t>
      </w:r>
      <w:r w:rsidRPr="006A0418">
        <w:t xml:space="preserve">głosiło się </w:t>
      </w:r>
      <w:r>
        <w:t>128</w:t>
      </w:r>
      <w:r w:rsidRPr="00662F06">
        <w:t xml:space="preserve"> </w:t>
      </w:r>
      <w:r w:rsidRPr="006A0418">
        <w:t>podmiotów</w:t>
      </w:r>
      <w:r>
        <w:t>, które przedstawiły</w:t>
      </w:r>
      <w:r w:rsidRPr="006A0418">
        <w:t xml:space="preserve"> </w:t>
      </w:r>
      <w:r>
        <w:t>ponad</w:t>
      </w:r>
      <w:r w:rsidRPr="006A0418">
        <w:t xml:space="preserve"> 4</w:t>
      </w:r>
      <w:r>
        <w:t>0</w:t>
      </w:r>
      <w:r w:rsidRPr="006A0418">
        <w:t>00 uwag i komentarzy.</w:t>
      </w:r>
    </w:p>
    <w:p w14:paraId="001366E2" w14:textId="18AA0542" w:rsidR="00CC0BCF" w:rsidRDefault="00CC0BCF" w:rsidP="00CC0BCF">
      <w:r w:rsidRPr="006A0418">
        <w:t xml:space="preserve">Uwagi dotyczyły szerokiego spektrum zagadnień </w:t>
      </w:r>
      <w:r>
        <w:t xml:space="preserve">– </w:t>
      </w:r>
      <w:r w:rsidRPr="006A0418">
        <w:t xml:space="preserve">zarówno </w:t>
      </w:r>
      <w:r>
        <w:t xml:space="preserve">przyspieszonego </w:t>
      </w:r>
      <w:r w:rsidRPr="006A0418">
        <w:t xml:space="preserve">rozwoju OZE, jak i </w:t>
      </w:r>
      <w:r>
        <w:t xml:space="preserve">dalszego </w:t>
      </w:r>
      <w:r w:rsidRPr="006A0418">
        <w:t>wykorzystania paliw kopalnych</w:t>
      </w:r>
      <w:r>
        <w:t xml:space="preserve">. </w:t>
      </w:r>
      <w:r w:rsidRPr="00166180">
        <w:t>Część uwag wskazywała na zbyt szybkie</w:t>
      </w:r>
      <w:r>
        <w:t xml:space="preserve"> </w:t>
      </w:r>
      <w:r w:rsidRPr="00166180">
        <w:t>tempo niskoemisyjnej transformacji energetycznej</w:t>
      </w:r>
      <w:r>
        <w:t>,</w:t>
      </w:r>
      <w:r w:rsidRPr="00166180">
        <w:t xml:space="preserve"> co powodować będzie </w:t>
      </w:r>
      <w:r>
        <w:t xml:space="preserve">szczególnie </w:t>
      </w:r>
      <w:r w:rsidRPr="00166180">
        <w:t>duże wyzwania finansowe</w:t>
      </w:r>
      <w:r>
        <w:t xml:space="preserve"> i prowadzić </w:t>
      </w:r>
      <w:r w:rsidRPr="00166180">
        <w:t>do znacznego obciążenia krajowej gospodarki oraz potencjalnych negatywnych skutków społeczno-ekonomicznych</w:t>
      </w:r>
      <w:r>
        <w:t>,</w:t>
      </w:r>
      <w:r w:rsidRPr="00166180">
        <w:t xml:space="preserve"> zwłaszcza w regionach górniczych. Inne uwagi zachęcały natomiast do ambitniejszych lub bardziej radykalnych</w:t>
      </w:r>
      <w:r>
        <w:t xml:space="preserve"> </w:t>
      </w:r>
      <w:r w:rsidRPr="00166180">
        <w:t>rozwiązań przyspieszających dążenie do niskoemisyjności</w:t>
      </w:r>
      <w:r w:rsidR="00E67CF1">
        <w:t>, wskazując na korzyści związane z ochroną klimatu, poprawą jakości życia i szans gospodarczych</w:t>
      </w:r>
      <w:r w:rsidRPr="00166180">
        <w:t>.</w:t>
      </w:r>
    </w:p>
    <w:p w14:paraId="035EAC8B" w14:textId="13B883F1" w:rsidR="00CC0BCF" w:rsidRPr="006E2075" w:rsidRDefault="00CC0BCF" w:rsidP="00CC0BCF">
      <w:r>
        <w:rPr>
          <w:szCs w:val="20"/>
        </w:rPr>
        <w:t xml:space="preserve">Duża część uwag miała </w:t>
      </w:r>
      <w:r w:rsidRPr="006E2075">
        <w:rPr>
          <w:szCs w:val="20"/>
        </w:rPr>
        <w:t>charakter redakcyjny</w:t>
      </w:r>
      <w:r w:rsidR="001B26F1">
        <w:rPr>
          <w:szCs w:val="20"/>
        </w:rPr>
        <w:t>. D</w:t>
      </w:r>
      <w:r w:rsidRPr="006E2075">
        <w:rPr>
          <w:szCs w:val="20"/>
        </w:rPr>
        <w:t>otyczył</w:t>
      </w:r>
      <w:r w:rsidR="001B26F1">
        <w:rPr>
          <w:szCs w:val="20"/>
        </w:rPr>
        <w:t>y</w:t>
      </w:r>
      <w:r w:rsidRPr="006E2075">
        <w:rPr>
          <w:szCs w:val="20"/>
        </w:rPr>
        <w:t xml:space="preserve"> aktualizacji danych lub</w:t>
      </w:r>
      <w:r>
        <w:rPr>
          <w:szCs w:val="20"/>
        </w:rPr>
        <w:t xml:space="preserve"> odnosił</w:t>
      </w:r>
      <w:r w:rsidR="001B26F1">
        <w:rPr>
          <w:szCs w:val="20"/>
        </w:rPr>
        <w:t>y</w:t>
      </w:r>
      <w:r>
        <w:rPr>
          <w:szCs w:val="20"/>
        </w:rPr>
        <w:t xml:space="preserve"> się do szczegółowych </w:t>
      </w:r>
      <w:r w:rsidRPr="006E2075">
        <w:rPr>
          <w:szCs w:val="20"/>
        </w:rPr>
        <w:t>zapisów</w:t>
      </w:r>
      <w:r>
        <w:rPr>
          <w:szCs w:val="20"/>
        </w:rPr>
        <w:t xml:space="preserve"> lub wnosił</w:t>
      </w:r>
      <w:r w:rsidR="001B26F1">
        <w:rPr>
          <w:szCs w:val="20"/>
        </w:rPr>
        <w:t>y</w:t>
      </w:r>
      <w:r>
        <w:rPr>
          <w:szCs w:val="20"/>
        </w:rPr>
        <w:t xml:space="preserve"> o zbyt szczegółowe zapisy.</w:t>
      </w:r>
      <w:r w:rsidRPr="006E2075">
        <w:rPr>
          <w:szCs w:val="20"/>
        </w:rPr>
        <w:t xml:space="preserve"> </w:t>
      </w:r>
      <w:r>
        <w:rPr>
          <w:szCs w:val="20"/>
        </w:rPr>
        <w:t>P</w:t>
      </w:r>
      <w:r w:rsidRPr="006E2075">
        <w:rPr>
          <w:szCs w:val="20"/>
        </w:rPr>
        <w:t>roszono także o wyjaśnienia niektórych wyników lub ich weryfikację. Zasadność i możliwość implementacji części uwag wymagała ustalenia dodatkowych szczegółowych kwestii lub weryfikacji.</w:t>
      </w:r>
    </w:p>
    <w:p w14:paraId="4FF1B8D1" w14:textId="184DC60D" w:rsidR="00CC0BCF" w:rsidRPr="006A0418" w:rsidRDefault="00CC0BCF" w:rsidP="00CC0BCF">
      <w:r>
        <w:t>W wyniku konsultacji</w:t>
      </w:r>
      <w:r w:rsidRPr="006A0418">
        <w:t xml:space="preserve"> </w:t>
      </w:r>
      <w:r>
        <w:t xml:space="preserve">dokonano korekt </w:t>
      </w:r>
      <w:r w:rsidRPr="006A0418">
        <w:t>prognoz</w:t>
      </w:r>
      <w:r>
        <w:t xml:space="preserve"> analitycznych</w:t>
      </w:r>
      <w:r w:rsidRPr="006A0418">
        <w:t xml:space="preserve"> w </w:t>
      </w:r>
      <w:r>
        <w:t xml:space="preserve">obu scenariuszach </w:t>
      </w:r>
      <w:r w:rsidRPr="006A0418">
        <w:t>WEM i WAM</w:t>
      </w:r>
      <w:r>
        <w:t xml:space="preserve"> (</w:t>
      </w:r>
      <w:r w:rsidR="001B26F1">
        <w:t>z</w:t>
      </w:r>
      <w:r>
        <w:t>ałącznik 1 i 2) oraz</w:t>
      </w:r>
      <w:r w:rsidRPr="006A0418">
        <w:t xml:space="preserve"> zaktualizowano i</w:t>
      </w:r>
      <w:r w:rsidR="00AE7F59">
        <w:t> </w:t>
      </w:r>
      <w:r w:rsidRPr="006A0418">
        <w:t>poszerzono zakres działań</w:t>
      </w:r>
      <w:r>
        <w:t xml:space="preserve"> w części strategicznej dokumentu. </w:t>
      </w:r>
      <w:r w:rsidR="001B26F1">
        <w:t>P</w:t>
      </w:r>
      <w:r w:rsidRPr="006A0418">
        <w:t>rzeprowadzono głęboką weryfikację działań wskazanych w aKPEiK, jednocześnie toczyły się z prace nad aktualizacją prognoz energetyczno-klimatycznych. Szczególnej uwadze poddano m.in. działania w</w:t>
      </w:r>
      <w:r w:rsidR="00817026">
        <w:t> </w:t>
      </w:r>
      <w:r w:rsidRPr="006A0418">
        <w:t>obszarze termomodernizacji i pokrycia potrzeb cieplnych w gospodarce, dekarbonizacji przemysłu, rolnictwa, transportu, zwiększenia wykorzystania potencjału odnawialnych źródeł energii przy jednoczesnym zachowaniu wystarczalności mocy</w:t>
      </w:r>
      <w:r>
        <w:t xml:space="preserve"> tak</w:t>
      </w:r>
      <w:r w:rsidRPr="006A0418">
        <w:t xml:space="preserve">, by nie pogłębić ubóstwa energetycznego </w:t>
      </w:r>
      <w:r>
        <w:t xml:space="preserve">społeczeństwa </w:t>
      </w:r>
      <w:r w:rsidRPr="006A0418">
        <w:t xml:space="preserve">oraz wzmocnić konkurencyjność przemysłu. </w:t>
      </w:r>
    </w:p>
    <w:p w14:paraId="0B9AD7F9" w14:textId="7AB39579" w:rsidR="00CC0BCF" w:rsidRPr="006A0418" w:rsidRDefault="00CC0BCF" w:rsidP="00CC0BCF">
      <w:r>
        <w:t xml:space="preserve">W odniesieniu do prognozy </w:t>
      </w:r>
      <w:r w:rsidR="00033BE3">
        <w:t>oddziaływania na środowisko</w:t>
      </w:r>
      <w:r>
        <w:t xml:space="preserve"> </w:t>
      </w:r>
      <w:r w:rsidR="00033BE3">
        <w:t>postulowano zmiany lub doprecyzowanie stwierdzeń, ale także zwracano uwagę</w:t>
      </w:r>
      <w:r>
        <w:t xml:space="preserve"> na nieścisłości w zapisach dotyczących stanu środowiska. W części dotyczącej poszczególnych oddziaływań na środowisko wyrażano m.in. wątpliwości dotyczące oceny oddziaływania na środowisko dotyczącej obszarów Natura 2000 oraz odziaływań transgranicznych dla proponowanych działań oraz wskazywano na konieczność zastosowania zasady przezorności w ocenach ww. oddziaływań. Ponadto zwrócono uwagę na błędną lub niekompletną ocenę wpływu, konieczność dodania kolejnych oddziaływań pozytywnych lub negatywnych na poszczególne elementy środowiska czy zmiany kategorii oddziaływania. Postulowano także poddanie ocenie działań z kategorii innej niż infrastrukturalne (np. działania związane z transportem lotniczym oraz dotyczące rolnictwa). Kilka</w:t>
      </w:r>
      <w:r w:rsidR="00817026">
        <w:t> </w:t>
      </w:r>
      <w:r>
        <w:t>podmiotów wskazało na niezasadność ujęcia w poszczególnych oddziaływaniach na środowisko ekonomicznych skutków przyjęcia aKPEiK oraz rekomendowało uwzględnienie w prognozie dalszych dokumentów branżowych lub dotyczących ochrony środowiska.</w:t>
      </w:r>
    </w:p>
    <w:p w14:paraId="4E5C1651" w14:textId="676756B2" w:rsidR="00CC0BCF" w:rsidRPr="006A0418" w:rsidRDefault="00CC0BCF" w:rsidP="00CC0BCF">
      <w:r w:rsidRPr="009B0DFF">
        <w:t>Należy uznać, że wszystkie otrzymane uwagi i opinie przyczyniły się do poprawy i udoskonalenia</w:t>
      </w:r>
      <w:r>
        <w:t xml:space="preserve"> </w:t>
      </w:r>
      <w:r w:rsidR="00033BE3">
        <w:t>projektu</w:t>
      </w:r>
      <w:r>
        <w:t xml:space="preserve"> aktualizacji KPEiK. </w:t>
      </w:r>
      <w:r w:rsidRPr="000B239A">
        <w:t>Trzeba podkreślić, że przeważająca większość uwag miała charakter doprecyzowujący, a nie negujący</w:t>
      </w:r>
      <w:r>
        <w:t xml:space="preserve"> </w:t>
      </w:r>
      <w:r w:rsidRPr="000B239A">
        <w:t xml:space="preserve">priorytetowe </w:t>
      </w:r>
      <w:r>
        <w:t xml:space="preserve">trajektorie </w:t>
      </w:r>
      <w:r w:rsidRPr="000B239A">
        <w:t xml:space="preserve">rozwoju </w:t>
      </w:r>
      <w:r>
        <w:t xml:space="preserve">oraz </w:t>
      </w:r>
      <w:r w:rsidRPr="000B239A">
        <w:t xml:space="preserve">wskazane </w:t>
      </w:r>
      <w:r>
        <w:t>działania w tym kierunku</w:t>
      </w:r>
      <w:r w:rsidRPr="000B239A">
        <w:t>. Choć część uwag nie został</w:t>
      </w:r>
      <w:r w:rsidR="00033BE3">
        <w:t>a</w:t>
      </w:r>
      <w:r w:rsidRPr="000B239A">
        <w:t xml:space="preserve"> zaimplementowan</w:t>
      </w:r>
      <w:r w:rsidR="00033BE3">
        <w:t>a</w:t>
      </w:r>
      <w:r w:rsidRPr="000B239A">
        <w:t xml:space="preserve"> do dokumentu ze względu na nadmierną szczegółowość, pozwoliły one jednak na zbudowanie szerszej bazy analitycznej</w:t>
      </w:r>
      <w:r>
        <w:t xml:space="preserve"> </w:t>
      </w:r>
      <w:r w:rsidRPr="000B239A">
        <w:t xml:space="preserve">poszczególnych zagadnień i stanowią pole </w:t>
      </w:r>
      <w:r>
        <w:t>dl</w:t>
      </w:r>
      <w:r w:rsidR="00033BE3">
        <w:t>a</w:t>
      </w:r>
      <w:r>
        <w:t xml:space="preserve"> </w:t>
      </w:r>
      <w:r w:rsidRPr="000B239A">
        <w:t xml:space="preserve">dalszych prac. Uwagi zgłoszone do </w:t>
      </w:r>
      <w:r>
        <w:t>aKPEiK</w:t>
      </w:r>
      <w:r w:rsidRPr="000B239A">
        <w:t xml:space="preserve"> w trakcie konsultacji publicznych</w:t>
      </w:r>
      <w:r>
        <w:t xml:space="preserve"> </w:t>
      </w:r>
      <w:r w:rsidRPr="000B239A">
        <w:t xml:space="preserve">i opiniowania stanowiły istotny głos w dyskusji nad kierunkami rozwoju </w:t>
      </w:r>
      <w:r>
        <w:t>społeczno-ekonomicznego</w:t>
      </w:r>
      <w:r w:rsidRPr="000B239A">
        <w:t xml:space="preserve"> i planowaną</w:t>
      </w:r>
      <w:r>
        <w:t xml:space="preserve"> </w:t>
      </w:r>
      <w:r w:rsidRPr="000B239A">
        <w:t>transformacją energetyczną</w:t>
      </w:r>
      <w:r>
        <w:t xml:space="preserve"> Polski.</w:t>
      </w:r>
    </w:p>
    <w:p w14:paraId="7EC40F9E" w14:textId="163E85AD" w:rsidR="00E70B73" w:rsidRDefault="00E70B73" w:rsidP="004F539F">
      <w:pPr>
        <w:pStyle w:val="Nagwek3"/>
        <w:numPr>
          <w:ilvl w:val="0"/>
          <w:numId w:val="0"/>
        </w:numPr>
        <w:tabs>
          <w:tab w:val="left" w:pos="567"/>
        </w:tabs>
        <w:spacing w:before="480"/>
        <w:ind w:left="567" w:hanging="567"/>
      </w:pPr>
      <w:bookmarkStart w:id="1465" w:name="_Toc195897411"/>
      <w:bookmarkStart w:id="1466" w:name="_Toc205203241"/>
      <w:r>
        <w:lastRenderedPageBreak/>
        <w:t>C)</w:t>
      </w:r>
      <w:r w:rsidR="006322D4">
        <w:tab/>
      </w:r>
      <w:r>
        <w:t>Instytucje zaangażowane w opracowanie i realizację KPEiK</w:t>
      </w:r>
      <w:bookmarkEnd w:id="1465"/>
      <w:bookmarkEnd w:id="1466"/>
    </w:p>
    <w:p w14:paraId="42981BF5" w14:textId="567A2F01" w:rsidR="00E70B73" w:rsidRDefault="00E70B73" w:rsidP="00E70B73">
      <w:r>
        <w:t xml:space="preserve">Art. 15ab ustawy – </w:t>
      </w:r>
      <w:r w:rsidRPr="00AE6CD0">
        <w:rPr>
          <w:i/>
          <w:iCs/>
        </w:rPr>
        <w:t>Prawo energetyczne</w:t>
      </w:r>
      <w:r>
        <w:t xml:space="preserve"> wskazuje, że za opracowanie zintegrowanego krajowego planu w dziedzinie energii i klimatu, jego aktualizacji i zintegrowanego krajowego planu w dziedzinie energii i klimatu odpowiada </w:t>
      </w:r>
      <w:r w:rsidRPr="00A748EC">
        <w:rPr>
          <w:b/>
          <w:bCs/>
        </w:rPr>
        <w:t>minister właściwy do spraw energii, we współpracy z ministrem właściwym do</w:t>
      </w:r>
      <w:r w:rsidR="00817026">
        <w:rPr>
          <w:b/>
          <w:bCs/>
        </w:rPr>
        <w:t> </w:t>
      </w:r>
      <w:r w:rsidRPr="00A748EC">
        <w:rPr>
          <w:b/>
          <w:bCs/>
        </w:rPr>
        <w:t>spraw klimatu</w:t>
      </w:r>
      <w:r>
        <w:t xml:space="preserve">. W okresie przygotowania bieżącego KPEiK oba działy, jak również dział </w:t>
      </w:r>
      <w:r>
        <w:rPr>
          <w:i/>
          <w:iCs/>
        </w:rPr>
        <w:t>środowisko,</w:t>
      </w:r>
      <w:r>
        <w:t xml:space="preserve"> były w rękach Ministra Klimatu i Środowiska (MKiŚ). </w:t>
      </w:r>
    </w:p>
    <w:p w14:paraId="60754DB5" w14:textId="39D3B1E0" w:rsidR="00E70B73" w:rsidRPr="00A748EC" w:rsidRDefault="00E70B73" w:rsidP="00E70B73">
      <w:r>
        <w:t>Ze względu na przekrojowy charakter dokumentu opracowanie zintegrowanego krajowego plan</w:t>
      </w:r>
      <w:r w:rsidR="003452A5">
        <w:t>u</w:t>
      </w:r>
      <w:r>
        <w:t xml:space="preserve"> wymaga wsparcia MKiŚ przez inne podmioty, a w szczególności przez innych ministrów. Szczególną rolę odegrali ministrowie będący członkami</w:t>
      </w:r>
      <w:r w:rsidRPr="00B758FA">
        <w:rPr>
          <w:i/>
          <w:iCs/>
        </w:rPr>
        <w:t xml:space="preserve"> Zesp</w:t>
      </w:r>
      <w:r>
        <w:rPr>
          <w:i/>
          <w:iCs/>
        </w:rPr>
        <w:t>ołu</w:t>
      </w:r>
      <w:r w:rsidRPr="00B758FA">
        <w:rPr>
          <w:i/>
          <w:iCs/>
        </w:rPr>
        <w:t xml:space="preserve"> do spraw aktualizacji „Krajowego planu na rzecz energii i klimatu na lata 2021–2030” i „Polityki energetycznej Polski do 2040 r.”</w:t>
      </w:r>
      <w:r>
        <w:t>, ale także inne organy i podmioty wykonujące zadania państwa związane z tematyką obejmująca KPEiK.</w:t>
      </w:r>
    </w:p>
    <w:p w14:paraId="0F331271" w14:textId="2509C6BF" w:rsidR="00E70B73" w:rsidRDefault="00E70B73" w:rsidP="00E70B73">
      <w:pPr>
        <w:spacing w:before="360"/>
      </w:pPr>
      <w:r w:rsidRPr="003A3066">
        <w:t>Za wdrażanie</w:t>
      </w:r>
      <w:r>
        <w:t xml:space="preserve"> </w:t>
      </w:r>
      <w:r>
        <w:rPr>
          <w:i/>
        </w:rPr>
        <w:t>Krajowego Planu w dziedzinie Energii i Klimatu do 2030 r.</w:t>
      </w:r>
      <w:r w:rsidR="00B11663">
        <w:rPr>
          <w:i/>
        </w:rPr>
        <w:t xml:space="preserve"> </w:t>
      </w:r>
      <w:r w:rsidR="00B11663" w:rsidRPr="0028369E">
        <w:rPr>
          <w:i/>
          <w:iCs/>
        </w:rPr>
        <w:t>z perspektywą do 2040 r</w:t>
      </w:r>
      <w:r w:rsidR="00B11663">
        <w:rPr>
          <w:i/>
          <w:iCs/>
        </w:rPr>
        <w:t>.</w:t>
      </w:r>
      <w:r w:rsidR="00B11663">
        <w:t xml:space="preserve"> </w:t>
      </w:r>
      <w:r w:rsidRPr="003A3066">
        <w:t xml:space="preserve"> odpowiedzialnych jest</w:t>
      </w:r>
      <w:r>
        <w:t xml:space="preserve"> jeszcze szerszy</w:t>
      </w:r>
      <w:r w:rsidRPr="003A3066">
        <w:t xml:space="preserve"> </w:t>
      </w:r>
      <w:r>
        <w:t xml:space="preserve">krąg </w:t>
      </w:r>
      <w:r w:rsidRPr="003A3066">
        <w:t>podmiotów – organy administracji rządowej i samorządowej, instytucje rządowe, podmioty sektora paliwowo-energetycznego, jak również podmioty gospodarcze, real</w:t>
      </w:r>
      <w:r>
        <w:t>izujące ustawowe obowiązki oraz </w:t>
      </w:r>
      <w:r w:rsidRPr="003A3066">
        <w:t>realizujące dobre praktyki w zakresie wykorzystania energii</w:t>
      </w:r>
      <w:r>
        <w:t>, przeciwdziałania zmianie klimatu oraz adaptacji. We wdrażanie transformacji muszą być zaangażowani także przedsiębiorcy niezwiązani z sektorem energetycznym, gdyż każdej działalności towarzyszy emisja gazów cieplarnianych, choćby w ramach śladu węglowego. Zaangażowanie musi być także po stronie obywateli, którzy</w:t>
      </w:r>
      <w:r w:rsidR="00F25BF1">
        <w:t xml:space="preserve"> w prakty</w:t>
      </w:r>
      <w:r w:rsidR="00FC3575">
        <w:t>ce będą beneficjentami końcowymi prowadzonej transformacji klimatyczno</w:t>
      </w:r>
      <w:r w:rsidR="00B7473A">
        <w:t xml:space="preserve">-energetycznej. </w:t>
      </w:r>
      <w:r w:rsidR="003E2DE5">
        <w:t xml:space="preserve"> </w:t>
      </w:r>
    </w:p>
    <w:p w14:paraId="35572BEE" w14:textId="286A1082" w:rsidR="00E70B73" w:rsidRPr="00B758FA" w:rsidRDefault="00E70B73" w:rsidP="00E70B73">
      <w:r w:rsidRPr="003A3066">
        <w:t xml:space="preserve">Poniżej przedstawiono podmioty szczególnie zaangażowane w </w:t>
      </w:r>
      <w:r w:rsidRPr="00630E93">
        <w:t>realizację KPEiK</w:t>
      </w:r>
      <w:r w:rsidRPr="00630E93">
        <w:rPr>
          <w:iCs/>
        </w:rPr>
        <w:t>.</w:t>
      </w:r>
      <w:r>
        <w:rPr>
          <w:iCs/>
        </w:rPr>
        <w:t xml:space="preserve"> Choć Prezesowi Rady Ministrów nie przypisano poszczególnych zadań – jako </w:t>
      </w:r>
      <w:r w:rsidRPr="002D512A">
        <w:rPr>
          <w:iCs/>
        </w:rPr>
        <w:t>kieruj</w:t>
      </w:r>
      <w:r>
        <w:rPr>
          <w:iCs/>
        </w:rPr>
        <w:t>ący</w:t>
      </w:r>
      <w:r w:rsidRPr="002D512A">
        <w:rPr>
          <w:iCs/>
        </w:rPr>
        <w:t xml:space="preserve"> pracami rządu, reprezentuje go na zewnątrz oraz zapewnia realizację polityki rządowej</w:t>
      </w:r>
      <w:r>
        <w:rPr>
          <w:iCs/>
        </w:rPr>
        <w:t>, a także s</w:t>
      </w:r>
      <w:r w:rsidRPr="002D512A">
        <w:rPr>
          <w:iCs/>
        </w:rPr>
        <w:t>prawuj</w:t>
      </w:r>
      <w:r>
        <w:rPr>
          <w:iCs/>
        </w:rPr>
        <w:t>ący</w:t>
      </w:r>
      <w:r w:rsidRPr="002D512A">
        <w:rPr>
          <w:iCs/>
        </w:rPr>
        <w:t xml:space="preserve"> nadzór nad samorządem terytorialnym i administracją rządową. </w:t>
      </w:r>
      <w:r w:rsidRPr="002D512A">
        <w:rPr>
          <w:rFonts w:ascii="Arial" w:hAnsi="Arial" w:cs="Arial"/>
          <w:iCs/>
        </w:rPr>
        <w:t>​</w:t>
      </w:r>
      <w:r w:rsidRPr="00630E93">
        <w:rPr>
          <w:iCs/>
        </w:rPr>
        <w:t xml:space="preserve"> </w:t>
      </w:r>
      <w:r>
        <w:t xml:space="preserve">W przypadku ewentualnej zmiany ustawy </w:t>
      </w:r>
      <w:r w:rsidRPr="00A711C4">
        <w:rPr>
          <w:i/>
        </w:rPr>
        <w:t>o działach administracji rządowej</w:t>
      </w:r>
      <w:r>
        <w:t xml:space="preserve"> może ulec zmianie właściwość kompetencyjna poszczególnych ministrów. Podmioty będące członkami </w:t>
      </w:r>
      <w:r w:rsidRPr="00B758FA">
        <w:rPr>
          <w:i/>
          <w:iCs/>
        </w:rPr>
        <w:t>Zesp</w:t>
      </w:r>
      <w:r>
        <w:rPr>
          <w:i/>
          <w:iCs/>
        </w:rPr>
        <w:t>ołu</w:t>
      </w:r>
      <w:r w:rsidRPr="00B758FA">
        <w:rPr>
          <w:i/>
          <w:iCs/>
        </w:rPr>
        <w:t xml:space="preserve"> do spraw aktualizacji „Krajowego planu na rzecz energii i klimatu na lata 2021–2030” i</w:t>
      </w:r>
      <w:r w:rsidR="00817026">
        <w:rPr>
          <w:i/>
          <w:iCs/>
        </w:rPr>
        <w:t> </w:t>
      </w:r>
      <w:r w:rsidRPr="00B758FA">
        <w:rPr>
          <w:i/>
          <w:iCs/>
        </w:rPr>
        <w:t>„Polityki energetycznej Polski do 2040 r.”</w:t>
      </w:r>
      <w:r>
        <w:rPr>
          <w:i/>
          <w:iCs/>
        </w:rPr>
        <w:t xml:space="preserve"> </w:t>
      </w:r>
      <w:r w:rsidRPr="002D512A">
        <w:t>zosta</w:t>
      </w:r>
      <w:r>
        <w:t>ły</w:t>
      </w:r>
      <w:r w:rsidRPr="002D512A">
        <w:t xml:space="preserve"> oznacz</w:t>
      </w:r>
      <w:r>
        <w:t>o</w:t>
      </w:r>
      <w:r w:rsidRPr="002D512A">
        <w:t>n</w:t>
      </w:r>
      <w:r>
        <w:t xml:space="preserve">e </w:t>
      </w:r>
      <w:r w:rsidRPr="002D512A">
        <w:t>*</w:t>
      </w:r>
      <w:r>
        <w:t>.</w:t>
      </w:r>
    </w:p>
    <w:p w14:paraId="7CABDEBE" w14:textId="77777777" w:rsidR="00E70B73" w:rsidRDefault="00E70B73" w:rsidP="00E70B73">
      <w:pPr>
        <w:pStyle w:val="tyturys"/>
        <w:spacing w:before="360" w:after="160"/>
      </w:pPr>
      <w:r>
        <w:t>Podmioty wdrażające KPEiK</w:t>
      </w:r>
    </w:p>
    <w:tbl>
      <w:tblPr>
        <w:tblStyle w:val="Tabela-Siatka"/>
        <w:tblW w:w="9201"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CellMar>
          <w:top w:w="57" w:type="dxa"/>
          <w:left w:w="85" w:type="dxa"/>
          <w:bottom w:w="57" w:type="dxa"/>
          <w:right w:w="85" w:type="dxa"/>
        </w:tblCellMar>
        <w:tblLook w:val="04A0" w:firstRow="1" w:lastRow="0" w:firstColumn="1" w:lastColumn="0" w:noHBand="0" w:noVBand="1"/>
      </w:tblPr>
      <w:tblGrid>
        <w:gridCol w:w="4326"/>
        <w:gridCol w:w="2887"/>
        <w:gridCol w:w="567"/>
        <w:gridCol w:w="1421"/>
      </w:tblGrid>
      <w:tr w:rsidR="00E70B73" w:rsidRPr="00FD1D57" w14:paraId="06C61EE9" w14:textId="77777777" w:rsidTr="004F539F">
        <w:trPr>
          <w:trHeight w:val="243"/>
        </w:trPr>
        <w:tc>
          <w:tcPr>
            <w:tcW w:w="9201" w:type="dxa"/>
            <w:gridSpan w:val="4"/>
          </w:tcPr>
          <w:p w14:paraId="688D10B0" w14:textId="77777777" w:rsidR="00E70B73" w:rsidRPr="00FD1D57" w:rsidRDefault="00E70B73">
            <w:pPr>
              <w:jc w:val="center"/>
              <w:rPr>
                <w:b/>
                <w:bCs/>
              </w:rPr>
            </w:pPr>
            <w:r w:rsidRPr="00FD1D57">
              <w:rPr>
                <w:b/>
                <w:bCs/>
              </w:rPr>
              <w:t>Prezes Rady Ministrów</w:t>
            </w:r>
          </w:p>
        </w:tc>
      </w:tr>
      <w:tr w:rsidR="00E70B73" w:rsidRPr="00FD1D57" w14:paraId="34C43DBE" w14:textId="77777777" w:rsidTr="004F539F">
        <w:trPr>
          <w:trHeight w:val="243"/>
        </w:trPr>
        <w:tc>
          <w:tcPr>
            <w:tcW w:w="4326" w:type="dxa"/>
            <w:vMerge w:val="restart"/>
          </w:tcPr>
          <w:p w14:paraId="1148726E" w14:textId="0903B2DF" w:rsidR="0023775B" w:rsidRDefault="00E70B73">
            <w:pPr>
              <w:jc w:val="center"/>
              <w:rPr>
                <w:b/>
                <w:bCs/>
              </w:rPr>
            </w:pPr>
            <w:r w:rsidRPr="00FD1D57">
              <w:rPr>
                <w:b/>
                <w:bCs/>
              </w:rPr>
              <w:t xml:space="preserve">minister właściwy ds. energii </w:t>
            </w:r>
          </w:p>
          <w:p w14:paraId="6D51DC12" w14:textId="77777777" w:rsidR="0023775B" w:rsidRDefault="0023775B">
            <w:pPr>
              <w:jc w:val="center"/>
              <w:rPr>
                <w:b/>
                <w:bCs/>
              </w:rPr>
            </w:pPr>
            <w:r>
              <w:rPr>
                <w:b/>
                <w:bCs/>
              </w:rPr>
              <w:t xml:space="preserve">minister właściwy ds. </w:t>
            </w:r>
            <w:r w:rsidR="00E70B73" w:rsidRPr="00FD1D57">
              <w:rPr>
                <w:b/>
                <w:bCs/>
              </w:rPr>
              <w:t xml:space="preserve">klimatu </w:t>
            </w:r>
          </w:p>
          <w:p w14:paraId="799C847E" w14:textId="32FC35DA" w:rsidR="00E70B73" w:rsidRPr="00FD1D57" w:rsidRDefault="008316C5">
            <w:pPr>
              <w:jc w:val="center"/>
              <w:rPr>
                <w:b/>
                <w:bCs/>
              </w:rPr>
            </w:pPr>
            <w:r>
              <w:rPr>
                <w:b/>
                <w:bCs/>
              </w:rPr>
              <w:t>minister właściwy ds.</w:t>
            </w:r>
            <w:r w:rsidRPr="00FD1D57">
              <w:rPr>
                <w:b/>
                <w:bCs/>
              </w:rPr>
              <w:t> środowiska</w:t>
            </w:r>
          </w:p>
        </w:tc>
        <w:tc>
          <w:tcPr>
            <w:tcW w:w="4874" w:type="dxa"/>
            <w:gridSpan w:val="3"/>
            <w:vAlign w:val="center"/>
          </w:tcPr>
          <w:p w14:paraId="0493CA4A" w14:textId="77777777" w:rsidR="00E70B73" w:rsidRPr="00FD1D57" w:rsidRDefault="00E70B73">
            <w:pPr>
              <w:jc w:val="center"/>
            </w:pPr>
            <w:r w:rsidRPr="00FD1D57">
              <w:t>Pełnomocnik Rządu do spraw Strategicznej Infrastruktury Energetycznej*</w:t>
            </w:r>
          </w:p>
        </w:tc>
      </w:tr>
      <w:tr w:rsidR="008316C5" w:rsidRPr="00FD1D57" w14:paraId="3C4189C7" w14:textId="77777777" w:rsidTr="004F21C0">
        <w:trPr>
          <w:trHeight w:val="266"/>
        </w:trPr>
        <w:tc>
          <w:tcPr>
            <w:tcW w:w="4326" w:type="dxa"/>
            <w:vMerge/>
          </w:tcPr>
          <w:p w14:paraId="31BA070D" w14:textId="77777777" w:rsidR="008316C5" w:rsidRPr="00FD1D57" w:rsidRDefault="008316C5">
            <w:pPr>
              <w:jc w:val="center"/>
              <w:rPr>
                <w:b/>
                <w:bCs/>
              </w:rPr>
            </w:pPr>
          </w:p>
        </w:tc>
        <w:tc>
          <w:tcPr>
            <w:tcW w:w="4874" w:type="dxa"/>
            <w:gridSpan w:val="3"/>
            <w:vMerge w:val="restart"/>
            <w:vAlign w:val="center"/>
          </w:tcPr>
          <w:p w14:paraId="59B87DAB" w14:textId="77777777" w:rsidR="008316C5" w:rsidRPr="00FD1D57" w:rsidRDefault="008316C5">
            <w:pPr>
              <w:jc w:val="center"/>
            </w:pPr>
            <w:r w:rsidRPr="00FD1D57">
              <w:t>Prezes Urzędu Regulacji Energetyki*</w:t>
            </w:r>
          </w:p>
          <w:p w14:paraId="48AD5277" w14:textId="15B9F4F2" w:rsidR="008316C5" w:rsidRPr="00FD1D57" w:rsidRDefault="008316C5">
            <w:pPr>
              <w:jc w:val="center"/>
            </w:pPr>
            <w:r w:rsidRPr="00FD1D57">
              <w:t>Prezes Państwowej Agencji Atomistyki</w:t>
            </w:r>
          </w:p>
        </w:tc>
      </w:tr>
      <w:tr w:rsidR="00E70B73" w:rsidRPr="00FD1D57" w14:paraId="7C55E160" w14:textId="77777777" w:rsidTr="004F21C0">
        <w:trPr>
          <w:trHeight w:val="286"/>
        </w:trPr>
        <w:tc>
          <w:tcPr>
            <w:tcW w:w="4326" w:type="dxa"/>
            <w:vMerge w:val="restart"/>
          </w:tcPr>
          <w:p w14:paraId="67817917" w14:textId="77777777" w:rsidR="00E70B73" w:rsidRPr="00FD1D57" w:rsidRDefault="00E70B73">
            <w:pPr>
              <w:spacing w:before="20" w:after="20"/>
              <w:jc w:val="center"/>
            </w:pPr>
            <w:r w:rsidRPr="00FD1D57">
              <w:t>minister właściwy ds. aktywów państwowych*</w:t>
            </w:r>
          </w:p>
          <w:p w14:paraId="6D0F43BD" w14:textId="77777777" w:rsidR="00E70B73" w:rsidRPr="00FD1D57" w:rsidRDefault="00E70B73">
            <w:pPr>
              <w:spacing w:before="20" w:after="20"/>
              <w:jc w:val="center"/>
            </w:pPr>
            <w:r w:rsidRPr="00FD1D57">
              <w:t>minister właściwy ds. budownictwa, planowania i zagospodarowania przestrzennego oraz mieszkalnictwa*</w:t>
            </w:r>
          </w:p>
          <w:p w14:paraId="7DA6A86F" w14:textId="77777777" w:rsidR="00E70B73" w:rsidRPr="00FD1D57" w:rsidRDefault="00E70B73">
            <w:pPr>
              <w:spacing w:before="20" w:after="20"/>
              <w:jc w:val="center"/>
            </w:pPr>
            <w:r w:rsidRPr="00FD1D57">
              <w:t>minister właściwy ds. edukacji i oświaty</w:t>
            </w:r>
          </w:p>
          <w:p w14:paraId="7D98B769" w14:textId="77777777" w:rsidR="00E70B73" w:rsidRPr="00FD1D57" w:rsidRDefault="00E70B73">
            <w:pPr>
              <w:spacing w:before="20" w:after="20"/>
              <w:jc w:val="center"/>
            </w:pPr>
            <w:r w:rsidRPr="00FD1D57">
              <w:t>minister właściwy ds. finansów publicznych*</w:t>
            </w:r>
          </w:p>
          <w:p w14:paraId="66C1388B" w14:textId="77777777" w:rsidR="00E70B73" w:rsidRPr="00FD1D57" w:rsidRDefault="00E70B73">
            <w:pPr>
              <w:spacing w:before="20" w:after="20"/>
              <w:jc w:val="center"/>
            </w:pPr>
            <w:r w:rsidRPr="00FD1D57">
              <w:t>minister właściwy ds. gospodarki*</w:t>
            </w:r>
          </w:p>
          <w:p w14:paraId="1DA32103" w14:textId="77777777" w:rsidR="00E70B73" w:rsidRPr="00FD1D57" w:rsidRDefault="00E70B73">
            <w:pPr>
              <w:spacing w:before="20" w:after="20"/>
              <w:jc w:val="center"/>
            </w:pPr>
            <w:r w:rsidRPr="00FD1D57">
              <w:t>minister właściwy ds. gospodarki morskiej*</w:t>
            </w:r>
          </w:p>
          <w:p w14:paraId="163634E0" w14:textId="77777777" w:rsidR="00E70B73" w:rsidRPr="00FD1D57" w:rsidRDefault="00E70B73">
            <w:pPr>
              <w:spacing w:before="20" w:after="20"/>
              <w:jc w:val="center"/>
            </w:pPr>
            <w:r w:rsidRPr="00FD1D57">
              <w:t>minister właściwy ds. gospodarki surowcami energetycznymi**</w:t>
            </w:r>
          </w:p>
          <w:p w14:paraId="38974579" w14:textId="77777777" w:rsidR="00E70B73" w:rsidRPr="00FD1D57" w:rsidRDefault="00E70B73">
            <w:pPr>
              <w:spacing w:before="20" w:after="20"/>
              <w:jc w:val="center"/>
            </w:pPr>
            <w:r w:rsidRPr="00FD1D57">
              <w:lastRenderedPageBreak/>
              <w:t>minister właściwy ds. gospodarki złożami kopalin*</w:t>
            </w:r>
          </w:p>
          <w:p w14:paraId="1E511378" w14:textId="77777777" w:rsidR="00E70B73" w:rsidRPr="00FD1D57" w:rsidRDefault="00E70B73">
            <w:pPr>
              <w:spacing w:before="20" w:after="20"/>
              <w:jc w:val="center"/>
            </w:pPr>
            <w:r w:rsidRPr="00FD1D57">
              <w:t>minister właściwy ds. rolnictwa*</w:t>
            </w:r>
          </w:p>
          <w:p w14:paraId="27649446" w14:textId="77777777" w:rsidR="00E70B73" w:rsidRPr="00FD1D57" w:rsidRDefault="00E70B73">
            <w:pPr>
              <w:spacing w:before="20" w:after="20"/>
              <w:jc w:val="center"/>
            </w:pPr>
            <w:r w:rsidRPr="00FD1D57">
              <w:t>minister właściwy ds. rozwoju regionalnego*</w:t>
            </w:r>
          </w:p>
          <w:p w14:paraId="58990550" w14:textId="77777777" w:rsidR="00E70B73" w:rsidRPr="00FD1D57" w:rsidRDefault="00E70B73">
            <w:pPr>
              <w:spacing w:before="20" w:after="20"/>
              <w:jc w:val="center"/>
            </w:pPr>
            <w:r w:rsidRPr="00FD1D57">
              <w:t>minister właściwy ds. szkolnictwa wyższego i nauki</w:t>
            </w:r>
          </w:p>
          <w:p w14:paraId="016DBDA3" w14:textId="77777777" w:rsidR="00E70B73" w:rsidRPr="00FD1D57" w:rsidRDefault="00E70B73">
            <w:pPr>
              <w:spacing w:before="20" w:after="20"/>
              <w:jc w:val="center"/>
            </w:pPr>
            <w:r w:rsidRPr="00FD1D57">
              <w:t>minister właściwy ds. transportu*</w:t>
            </w:r>
          </w:p>
        </w:tc>
        <w:tc>
          <w:tcPr>
            <w:tcW w:w="4874" w:type="dxa"/>
            <w:gridSpan w:val="3"/>
            <w:vMerge/>
            <w:vAlign w:val="center"/>
          </w:tcPr>
          <w:p w14:paraId="1DFFE08A" w14:textId="6188E620" w:rsidR="00E70B73" w:rsidRPr="00FD1D57" w:rsidRDefault="00E70B73">
            <w:pPr>
              <w:jc w:val="center"/>
            </w:pPr>
          </w:p>
        </w:tc>
      </w:tr>
      <w:tr w:rsidR="00E70B73" w:rsidRPr="00FD1D57" w14:paraId="16EE332A" w14:textId="77777777" w:rsidTr="004F539F">
        <w:trPr>
          <w:trHeight w:val="331"/>
        </w:trPr>
        <w:tc>
          <w:tcPr>
            <w:tcW w:w="4326" w:type="dxa"/>
            <w:vMerge/>
          </w:tcPr>
          <w:p w14:paraId="05B41883" w14:textId="77777777" w:rsidR="00E70B73" w:rsidRPr="00FD1D57" w:rsidRDefault="00E70B73">
            <w:pPr>
              <w:jc w:val="center"/>
            </w:pPr>
          </w:p>
        </w:tc>
        <w:tc>
          <w:tcPr>
            <w:tcW w:w="4874" w:type="dxa"/>
            <w:gridSpan w:val="3"/>
            <w:vAlign w:val="center"/>
          </w:tcPr>
          <w:p w14:paraId="691D1E26" w14:textId="77777777" w:rsidR="00E70B73" w:rsidRPr="00FD1D57" w:rsidRDefault="00E70B73">
            <w:pPr>
              <w:spacing w:line="259" w:lineRule="auto"/>
              <w:jc w:val="center"/>
            </w:pPr>
            <w:r w:rsidRPr="00FD1D57">
              <w:t>operatorzy systemów przesyłowych</w:t>
            </w:r>
          </w:p>
          <w:p w14:paraId="1D1A795D" w14:textId="77777777" w:rsidR="00E70B73" w:rsidRPr="00FD1D57" w:rsidRDefault="00E70B73">
            <w:pPr>
              <w:spacing w:line="259" w:lineRule="auto"/>
              <w:jc w:val="center"/>
            </w:pPr>
            <w:r w:rsidRPr="00FD1D57">
              <w:t>operatorzy systemów dystrybucyjnych</w:t>
            </w:r>
          </w:p>
          <w:p w14:paraId="1BAEAB4C" w14:textId="77777777" w:rsidR="00E70B73" w:rsidRPr="00FD1D57" w:rsidRDefault="00E70B73">
            <w:pPr>
              <w:jc w:val="center"/>
            </w:pPr>
            <w:r w:rsidRPr="00FD1D57">
              <w:t>operator systemu magazynowania</w:t>
            </w:r>
          </w:p>
        </w:tc>
      </w:tr>
      <w:tr w:rsidR="00E70B73" w:rsidRPr="00FD1D57" w14:paraId="7E97421E" w14:textId="77777777" w:rsidTr="004F539F">
        <w:trPr>
          <w:trHeight w:val="387"/>
        </w:trPr>
        <w:tc>
          <w:tcPr>
            <w:tcW w:w="4326" w:type="dxa"/>
            <w:vMerge/>
          </w:tcPr>
          <w:p w14:paraId="4B2DA0B5" w14:textId="77777777" w:rsidR="00E70B73" w:rsidRPr="00FD1D57" w:rsidRDefault="00E70B73">
            <w:pPr>
              <w:jc w:val="center"/>
            </w:pPr>
          </w:p>
        </w:tc>
        <w:tc>
          <w:tcPr>
            <w:tcW w:w="4874" w:type="dxa"/>
            <w:gridSpan w:val="3"/>
            <w:vAlign w:val="center"/>
          </w:tcPr>
          <w:p w14:paraId="307B206A" w14:textId="77777777" w:rsidR="00E70B73" w:rsidRPr="00FD1D57" w:rsidRDefault="00E70B73">
            <w:pPr>
              <w:jc w:val="center"/>
            </w:pPr>
            <w:r w:rsidRPr="00FD1D57">
              <w:t>jednostki samorządu terytorialnego</w:t>
            </w:r>
          </w:p>
        </w:tc>
      </w:tr>
      <w:tr w:rsidR="00E70B73" w:rsidRPr="00FD1D57" w14:paraId="5FC80F35" w14:textId="77777777" w:rsidTr="004F539F">
        <w:trPr>
          <w:trHeight w:val="243"/>
        </w:trPr>
        <w:tc>
          <w:tcPr>
            <w:tcW w:w="4326" w:type="dxa"/>
            <w:vMerge/>
          </w:tcPr>
          <w:p w14:paraId="0BD08145" w14:textId="77777777" w:rsidR="00E70B73" w:rsidRPr="00FD1D57" w:rsidRDefault="00E70B73">
            <w:pPr>
              <w:jc w:val="center"/>
            </w:pPr>
          </w:p>
        </w:tc>
        <w:tc>
          <w:tcPr>
            <w:tcW w:w="3454" w:type="dxa"/>
            <w:gridSpan w:val="2"/>
            <w:vAlign w:val="center"/>
          </w:tcPr>
          <w:p w14:paraId="58FBFE05" w14:textId="77777777" w:rsidR="00E70B73" w:rsidRPr="00FD1D57" w:rsidRDefault="00E70B73">
            <w:pPr>
              <w:jc w:val="center"/>
            </w:pPr>
            <w:r w:rsidRPr="00FD1D57">
              <w:t>Narodowy Fundusz Ochrony Środowiska i Gospodarki Wodnej</w:t>
            </w:r>
          </w:p>
        </w:tc>
        <w:tc>
          <w:tcPr>
            <w:tcW w:w="1419" w:type="dxa"/>
            <w:vAlign w:val="center"/>
          </w:tcPr>
          <w:p w14:paraId="564CEA5E" w14:textId="77777777" w:rsidR="00E70B73" w:rsidRPr="00FD1D57" w:rsidRDefault="00E70B73">
            <w:pPr>
              <w:jc w:val="center"/>
            </w:pPr>
            <w:r w:rsidRPr="00FD1D57">
              <w:t>fundusze wojewódzkie</w:t>
            </w:r>
          </w:p>
        </w:tc>
      </w:tr>
      <w:tr w:rsidR="00E70B73" w:rsidRPr="00FD1D57" w14:paraId="3FEBCC9F" w14:textId="77777777" w:rsidTr="004F539F">
        <w:trPr>
          <w:trHeight w:val="331"/>
        </w:trPr>
        <w:tc>
          <w:tcPr>
            <w:tcW w:w="4326" w:type="dxa"/>
            <w:vMerge/>
          </w:tcPr>
          <w:p w14:paraId="18FC5626" w14:textId="77777777" w:rsidR="00E70B73" w:rsidRPr="00FD1D57" w:rsidRDefault="00E70B73">
            <w:pPr>
              <w:jc w:val="center"/>
            </w:pPr>
          </w:p>
        </w:tc>
        <w:tc>
          <w:tcPr>
            <w:tcW w:w="4874" w:type="dxa"/>
            <w:gridSpan w:val="3"/>
            <w:vAlign w:val="center"/>
          </w:tcPr>
          <w:p w14:paraId="2381A6E1" w14:textId="77777777" w:rsidR="00E70B73" w:rsidRPr="00FD1D57" w:rsidRDefault="00E70B73">
            <w:pPr>
              <w:spacing w:line="259" w:lineRule="auto"/>
              <w:jc w:val="center"/>
            </w:pPr>
            <w:r w:rsidRPr="00FD1D57">
              <w:t>banki i instytucje finansowe</w:t>
            </w:r>
          </w:p>
        </w:tc>
      </w:tr>
      <w:tr w:rsidR="00E70B73" w:rsidRPr="00FD1D57" w14:paraId="46658A2C" w14:textId="77777777" w:rsidTr="004F539F">
        <w:trPr>
          <w:trHeight w:val="331"/>
        </w:trPr>
        <w:tc>
          <w:tcPr>
            <w:tcW w:w="4326" w:type="dxa"/>
            <w:vMerge/>
          </w:tcPr>
          <w:p w14:paraId="5415C328" w14:textId="77777777" w:rsidR="00E70B73" w:rsidRPr="00FD1D57" w:rsidRDefault="00E70B73">
            <w:pPr>
              <w:jc w:val="center"/>
            </w:pPr>
          </w:p>
        </w:tc>
        <w:tc>
          <w:tcPr>
            <w:tcW w:w="2887" w:type="dxa"/>
            <w:vAlign w:val="center"/>
          </w:tcPr>
          <w:p w14:paraId="61ECB5BD" w14:textId="77777777" w:rsidR="00E70B73" w:rsidRPr="00FD1D57" w:rsidRDefault="00E70B73">
            <w:pPr>
              <w:jc w:val="center"/>
            </w:pPr>
            <w:r w:rsidRPr="00FD1D57">
              <w:t>jednostki naukowo-badawcze</w:t>
            </w:r>
          </w:p>
        </w:tc>
        <w:tc>
          <w:tcPr>
            <w:tcW w:w="1987" w:type="dxa"/>
            <w:gridSpan w:val="2"/>
            <w:vAlign w:val="center"/>
          </w:tcPr>
          <w:p w14:paraId="5104F631" w14:textId="77777777" w:rsidR="00E70B73" w:rsidRPr="00FD1D57" w:rsidRDefault="00E70B73">
            <w:pPr>
              <w:jc w:val="center"/>
            </w:pPr>
            <w:r w:rsidRPr="00FD1D57">
              <w:t>uczelnie wyższe</w:t>
            </w:r>
          </w:p>
        </w:tc>
      </w:tr>
      <w:tr w:rsidR="00E70B73" w:rsidRPr="00FD1D57" w14:paraId="31CA4B01" w14:textId="77777777" w:rsidTr="004F539F">
        <w:trPr>
          <w:trHeight w:val="331"/>
        </w:trPr>
        <w:tc>
          <w:tcPr>
            <w:tcW w:w="4326" w:type="dxa"/>
            <w:vMerge/>
          </w:tcPr>
          <w:p w14:paraId="407281B1" w14:textId="77777777" w:rsidR="00E70B73" w:rsidRPr="00FD1D57" w:rsidRDefault="00E70B73">
            <w:pPr>
              <w:jc w:val="center"/>
            </w:pPr>
          </w:p>
        </w:tc>
        <w:tc>
          <w:tcPr>
            <w:tcW w:w="4874" w:type="dxa"/>
            <w:gridSpan w:val="3"/>
            <w:vAlign w:val="center"/>
          </w:tcPr>
          <w:p w14:paraId="03E636A0" w14:textId="77777777" w:rsidR="00E70B73" w:rsidRPr="00FD1D57" w:rsidRDefault="00E70B73">
            <w:pPr>
              <w:jc w:val="center"/>
            </w:pPr>
            <w:r w:rsidRPr="00FD1D57">
              <w:t>przedsiębiorcy</w:t>
            </w:r>
          </w:p>
        </w:tc>
      </w:tr>
      <w:tr w:rsidR="00E70B73" w:rsidRPr="00FD1D57" w14:paraId="47BC83FC" w14:textId="77777777" w:rsidTr="004F539F">
        <w:trPr>
          <w:trHeight w:val="331"/>
        </w:trPr>
        <w:tc>
          <w:tcPr>
            <w:tcW w:w="4326" w:type="dxa"/>
            <w:vMerge/>
          </w:tcPr>
          <w:p w14:paraId="38AC25A7" w14:textId="77777777" w:rsidR="00E70B73" w:rsidRPr="00FD1D57" w:rsidRDefault="00E70B73">
            <w:pPr>
              <w:jc w:val="center"/>
            </w:pPr>
          </w:p>
        </w:tc>
        <w:tc>
          <w:tcPr>
            <w:tcW w:w="4874" w:type="dxa"/>
            <w:gridSpan w:val="3"/>
            <w:vAlign w:val="center"/>
          </w:tcPr>
          <w:p w14:paraId="3F2D4BAA" w14:textId="77777777" w:rsidR="00E70B73" w:rsidRPr="00FD1D57" w:rsidRDefault="00E70B73">
            <w:pPr>
              <w:spacing w:line="259" w:lineRule="auto"/>
              <w:jc w:val="center"/>
            </w:pPr>
            <w:r w:rsidRPr="00FD1D57">
              <w:t>obywatele, społeczności energetyczne</w:t>
            </w:r>
          </w:p>
        </w:tc>
      </w:tr>
    </w:tbl>
    <w:p w14:paraId="26204279" w14:textId="77777777" w:rsidR="00E70B73" w:rsidRPr="00A748EC" w:rsidRDefault="00E70B73" w:rsidP="004F539F">
      <w:pPr>
        <w:spacing w:before="80" w:after="0"/>
        <w:rPr>
          <w:i/>
          <w:iCs/>
          <w:sz w:val="18"/>
          <w:szCs w:val="20"/>
        </w:rPr>
      </w:pPr>
      <w:r w:rsidRPr="00A748EC">
        <w:rPr>
          <w:sz w:val="18"/>
          <w:szCs w:val="20"/>
        </w:rPr>
        <w:t xml:space="preserve">* Członkowie </w:t>
      </w:r>
      <w:r>
        <w:rPr>
          <w:sz w:val="18"/>
          <w:szCs w:val="20"/>
        </w:rPr>
        <w:t>Z</w:t>
      </w:r>
      <w:r w:rsidRPr="00A748EC">
        <w:rPr>
          <w:sz w:val="18"/>
          <w:szCs w:val="20"/>
        </w:rPr>
        <w:t xml:space="preserve">espołu </w:t>
      </w:r>
      <w:r w:rsidRPr="00A748EC">
        <w:rPr>
          <w:i/>
          <w:iCs/>
          <w:sz w:val="18"/>
          <w:szCs w:val="20"/>
        </w:rPr>
        <w:t>do spraw aktualizacji „Krajowego planu na rzecz energii i klimatu na lata 2021–2030” i „Polityki energetycznej Polski do 2040 r.”</w:t>
      </w:r>
    </w:p>
    <w:p w14:paraId="3EA2F353" w14:textId="77777777" w:rsidR="00E70B73" w:rsidRPr="00A748EC" w:rsidRDefault="00E70B73" w:rsidP="00E70B73">
      <w:pPr>
        <w:spacing w:before="80" w:after="80"/>
        <w:rPr>
          <w:sz w:val="18"/>
          <w:szCs w:val="20"/>
        </w:rPr>
      </w:pPr>
      <w:r w:rsidRPr="00A748EC">
        <w:rPr>
          <w:sz w:val="18"/>
          <w:szCs w:val="18"/>
        </w:rPr>
        <w:t>** W okresie wydania zarządzania powołującego Zespół podmiot nie był wskazany jako członek Zespołu. Na skutek zmiany ustawy o administracji publicznej z dotychczasowych kompetencji innych ministrów wydzielono nowy dział</w:t>
      </w:r>
      <w:r w:rsidRPr="00A748EC">
        <w:rPr>
          <w:rStyle w:val="Odwoanieprzypisudolnego"/>
          <w:sz w:val="18"/>
          <w:szCs w:val="18"/>
        </w:rPr>
        <w:footnoteReference w:id="146"/>
      </w:r>
      <w:r w:rsidRPr="00A748EC">
        <w:rPr>
          <w:sz w:val="18"/>
          <w:szCs w:val="18"/>
        </w:rPr>
        <w:t xml:space="preserve">. </w:t>
      </w:r>
    </w:p>
    <w:p w14:paraId="714064EF" w14:textId="1380549D" w:rsidR="00271A44" w:rsidRPr="00903A59" w:rsidRDefault="0036032B" w:rsidP="00723EFB">
      <w:pPr>
        <w:pStyle w:val="Nagwek3"/>
        <w:numPr>
          <w:ilvl w:val="0"/>
          <w:numId w:val="0"/>
        </w:numPr>
        <w:tabs>
          <w:tab w:val="left" w:pos="567"/>
        </w:tabs>
        <w:ind w:left="567" w:hanging="567"/>
      </w:pPr>
      <w:bookmarkStart w:id="1467" w:name="_Toc195897412"/>
      <w:bookmarkStart w:id="1468" w:name="_Toc205203242"/>
      <w:r>
        <w:t>D)</w:t>
      </w:r>
      <w:r w:rsidR="006322D4">
        <w:tab/>
      </w:r>
      <w:r w:rsidR="00271A44">
        <w:t>Monitorowanie realizacji aKPEiK</w:t>
      </w:r>
      <w:bookmarkEnd w:id="1467"/>
      <w:bookmarkEnd w:id="1468"/>
    </w:p>
    <w:p w14:paraId="5EABEC31" w14:textId="76EB6BC9" w:rsidR="00AA04C1" w:rsidRDefault="00AA04C1" w:rsidP="004F21C0">
      <w:r>
        <w:t>Zgodnie z art. 17 rozporządzenia 2018/1999</w:t>
      </w:r>
      <w:r w:rsidR="00651075">
        <w:t xml:space="preserve"> oraz art. 15ab ustawy </w:t>
      </w:r>
      <w:r w:rsidR="00630061">
        <w:t xml:space="preserve">– </w:t>
      </w:r>
      <w:r w:rsidR="00D83940" w:rsidRPr="00D83940">
        <w:rPr>
          <w:i/>
          <w:iCs/>
        </w:rPr>
        <w:t>P</w:t>
      </w:r>
      <w:r w:rsidR="00651075" w:rsidRPr="00D83940">
        <w:rPr>
          <w:i/>
          <w:iCs/>
        </w:rPr>
        <w:t>rawo energetyczne</w:t>
      </w:r>
      <w:r>
        <w:t>, zintegrowane krajowe sprawozdania z postępów w dziedzinie energii i klimatu podlegają sprawozdawczości w cyklu 2-</w:t>
      </w:r>
      <w:r w:rsidR="00DA7F6E">
        <w:t> </w:t>
      </w:r>
      <w:r>
        <w:t xml:space="preserve">letnim </w:t>
      </w:r>
      <w:r w:rsidR="009E2DFE" w:rsidRPr="009E2DFE">
        <w:t>nie później niż do dnia 15 marca danego roku raportowego</w:t>
      </w:r>
      <w:r w:rsidR="009E2DFE">
        <w:t xml:space="preserve">. </w:t>
      </w:r>
      <w:r w:rsidR="00F222E3">
        <w:t>Pie</w:t>
      </w:r>
      <w:r w:rsidR="009666AF">
        <w:t xml:space="preserve">rwsze sprawozdanie z </w:t>
      </w:r>
      <w:r w:rsidR="00CB4663">
        <w:t>w</w:t>
      </w:r>
      <w:r w:rsidR="00966B50">
        <w:t xml:space="preserve">drażania </w:t>
      </w:r>
      <w:r w:rsidR="009666AF">
        <w:t xml:space="preserve">niniejszego </w:t>
      </w:r>
      <w:r w:rsidR="00F7712F">
        <w:t>dokumentu</w:t>
      </w:r>
      <w:r w:rsidR="009666AF">
        <w:t xml:space="preserve"> </w:t>
      </w:r>
      <w:r w:rsidR="00966B50">
        <w:t xml:space="preserve">zostanie </w:t>
      </w:r>
      <w:r w:rsidR="009666AF">
        <w:t xml:space="preserve">przygotowane w 2027 r. </w:t>
      </w:r>
      <w:r w:rsidR="00E25DFB">
        <w:t>Struktura, f</w:t>
      </w:r>
      <w:r>
        <w:t xml:space="preserve">ormat i zawartość krajowego sprawozdania wynikają z wymagań zdefiniowanych w rozporządzeniu wykonawczym Komisji (UE) </w:t>
      </w:r>
      <w:bookmarkStart w:id="1469" w:name="_Hlk195796157"/>
      <w:r>
        <w:t>2022/2299</w:t>
      </w:r>
      <w:bookmarkEnd w:id="1469"/>
      <w:r>
        <w:t>. Ponadto, zgodnie z art. 17 ust. 3 rozporządzenia (UE) 2018/1999, sprawozdanie obejmuje treści zawarte w raporcie na temat polityk i środków oraz prognoz dotyczących gazów cieplarnianych, opracowanym na podstawie art. 18 tego rozporządzenia</w:t>
      </w:r>
      <w:r w:rsidR="00630061">
        <w:t>.</w:t>
      </w:r>
    </w:p>
    <w:p w14:paraId="64B70D48" w14:textId="08080839" w:rsidR="00164AEF" w:rsidRDefault="007D6FFD" w:rsidP="00AA04C1">
      <w:pPr>
        <w:autoSpaceDE w:val="0"/>
        <w:autoSpaceDN w:val="0"/>
        <w:adjustRightInd w:val="0"/>
        <w:spacing w:after="0"/>
      </w:pPr>
      <w:r>
        <w:t>Zintegrowane krajowe sprawozdania z postępów w dziedzinie energii i klimatu są opracowywane przez ministra wł. ds. energii we współpracy z ministrem właściwym ds. klimatu; następnie publikowane w</w:t>
      </w:r>
      <w:r w:rsidR="00DA7F6E">
        <w:t> </w:t>
      </w:r>
      <w:r>
        <w:t xml:space="preserve">formie pliku .xls (będącego odwzorowaniem formatu z rozporządzenia </w:t>
      </w:r>
      <w:r w:rsidRPr="00C56C2A">
        <w:t>2022/2299</w:t>
      </w:r>
      <w:r>
        <w:t xml:space="preserve">) na stronie internetowej </w:t>
      </w:r>
      <w:r w:rsidR="003A5F3A">
        <w:t>urzędu</w:t>
      </w:r>
      <w:r w:rsidR="00CA3D04">
        <w:t xml:space="preserve"> obsługującego właściwego ministra (</w:t>
      </w:r>
      <w:r w:rsidR="00141C7E">
        <w:t xml:space="preserve">obecnie </w:t>
      </w:r>
      <w:r w:rsidR="00F17CE5">
        <w:t>na stronie Ministerstwa Klimatu i</w:t>
      </w:r>
      <w:r w:rsidR="00630061">
        <w:t> </w:t>
      </w:r>
      <w:r w:rsidR="00F17CE5">
        <w:t>Środowiska)</w:t>
      </w:r>
      <w:r>
        <w:t xml:space="preserve">. </w:t>
      </w:r>
      <w:r w:rsidR="00AA04C1">
        <w:t>Sprawozdanie jest przekazywane</w:t>
      </w:r>
      <w:r w:rsidR="008D60AB">
        <w:t xml:space="preserve"> do Komisji Europejskiej</w:t>
      </w:r>
      <w:r w:rsidR="00AA04C1">
        <w:t xml:space="preserve"> za pośrednictwem specjalnych platform</w:t>
      </w:r>
      <w:r w:rsidR="009E2DFE">
        <w:t xml:space="preserve"> raportowych: </w:t>
      </w:r>
      <w:r w:rsidR="00AA04C1" w:rsidRPr="009E2DFE">
        <w:rPr>
          <w:b/>
          <w:bCs/>
        </w:rPr>
        <w:t>ReportENER</w:t>
      </w:r>
      <w:r w:rsidR="009E2DFE">
        <w:t>,</w:t>
      </w:r>
      <w:r w:rsidR="00AA04C1">
        <w:t xml:space="preserve"> nadzorowanej przez Dyrekcję Generalną ds. Energii</w:t>
      </w:r>
      <w:r w:rsidR="009E2DFE">
        <w:t xml:space="preserve"> </w:t>
      </w:r>
      <w:r w:rsidR="00AA04C1">
        <w:t xml:space="preserve">oraz </w:t>
      </w:r>
      <w:r w:rsidR="00AA04C1" w:rsidRPr="009E2DFE">
        <w:rPr>
          <w:b/>
          <w:bCs/>
        </w:rPr>
        <w:t>Reportnet3</w:t>
      </w:r>
      <w:r w:rsidR="00AA04C1">
        <w:t xml:space="preserve">, nadzorowanej przez Europejską Agencję Środowiska. Dane przekazywane za pośrednictwem Reportnet3 są udostępniane publicznie, natomiast dane przekazywane ReportENER nie mają charakteru publicznego. </w:t>
      </w:r>
    </w:p>
    <w:p w14:paraId="4DCF0C7E" w14:textId="77777777" w:rsidR="00164AEF" w:rsidRDefault="00164AEF" w:rsidP="00AA04C1">
      <w:pPr>
        <w:autoSpaceDE w:val="0"/>
        <w:autoSpaceDN w:val="0"/>
        <w:adjustRightInd w:val="0"/>
        <w:spacing w:after="0"/>
      </w:pPr>
    </w:p>
    <w:p w14:paraId="14A95566" w14:textId="718E7DF7" w:rsidR="00E70B73" w:rsidRPr="009E2DFE" w:rsidRDefault="009E2DFE" w:rsidP="004F21C0">
      <w:r w:rsidRPr="009E2DFE">
        <w:t xml:space="preserve">Zgodnie z informacjami przekazanymi przez Komisję </w:t>
      </w:r>
      <w:r>
        <w:t>Europejską</w:t>
      </w:r>
      <w:r w:rsidRPr="009E2DFE">
        <w:t xml:space="preserve"> w przyszłości planowane są zmiany zarówno w zakresie formatu zintegrowanego sprawozdania, jak i całego procesu sprawozdawczego. Zmiany te wynikają z konieczności dostosowania formatu do zmieniających się regulacji oraz poprawy jakości przekazywanych danych.</w:t>
      </w:r>
    </w:p>
    <w:p w14:paraId="16DF1955" w14:textId="1464C88E" w:rsidR="003C1B1F" w:rsidRDefault="00416DDC" w:rsidP="00A147C6">
      <w:pPr>
        <w:pStyle w:val="Nagwek1"/>
      </w:pPr>
      <w:bookmarkStart w:id="1470" w:name="_Toc195897413"/>
      <w:bookmarkStart w:id="1471" w:name="_Toc205203243"/>
      <w:bookmarkStart w:id="1472" w:name="_Hlk195003394"/>
      <w:r>
        <w:t xml:space="preserve">Współpraca </w:t>
      </w:r>
      <w:r w:rsidR="007E1E4D">
        <w:t>w regionie europejskim</w:t>
      </w:r>
      <w:bookmarkEnd w:id="1470"/>
      <w:bookmarkEnd w:id="1471"/>
    </w:p>
    <w:p w14:paraId="174B40CE" w14:textId="4FFE9ED7" w:rsidR="00CF6334" w:rsidRDefault="006D3FA3" w:rsidP="00630061">
      <w:r>
        <w:t xml:space="preserve">Zintegrowane krajowe plany w dziedzinie energii i klimatu to drogowskaz w obszarze transformacji energetycznej państwa, ale ideą powstania krajowych planów </w:t>
      </w:r>
      <w:r w:rsidR="00CF6334">
        <w:t xml:space="preserve">jest przede wszystkim </w:t>
      </w:r>
      <w:r w:rsidR="00CF6334" w:rsidRPr="00CF6334">
        <w:t xml:space="preserve">zapewnienie spójności i efektywności działań państw członkowskich </w:t>
      </w:r>
      <w:r w:rsidR="00CF6334">
        <w:t xml:space="preserve">UE </w:t>
      </w:r>
      <w:r w:rsidR="00CF6334" w:rsidRPr="004D470C">
        <w:rPr>
          <w:b/>
          <w:bCs/>
        </w:rPr>
        <w:t>w realizacji celów unii energetycznej</w:t>
      </w:r>
      <w:r w:rsidR="00CF6334" w:rsidRPr="00CF6334">
        <w:t>.</w:t>
      </w:r>
    </w:p>
    <w:p w14:paraId="1C3DA744" w14:textId="54EF540B" w:rsidR="00086C3F" w:rsidRDefault="00CF6334" w:rsidP="00086C3F">
      <w:r>
        <w:lastRenderedPageBreak/>
        <w:t xml:space="preserve">Z tego względu </w:t>
      </w:r>
      <w:r w:rsidR="00405496">
        <w:t xml:space="preserve">istotnym aspektem </w:t>
      </w:r>
      <w:r w:rsidR="00405496" w:rsidRPr="00405496">
        <w:t xml:space="preserve">skutecznego osiągnięcia celów unii energetycznej </w:t>
      </w:r>
      <w:r w:rsidR="00405496">
        <w:t>jest w</w:t>
      </w:r>
      <w:r w:rsidR="00086C3F">
        <w:t xml:space="preserve">spółpraca </w:t>
      </w:r>
      <w:r w:rsidR="00405496">
        <w:t xml:space="preserve">państw </w:t>
      </w:r>
      <w:r w:rsidR="00086C3F">
        <w:t>w</w:t>
      </w:r>
      <w:r w:rsidR="00405496">
        <w:t> </w:t>
      </w:r>
      <w:r w:rsidR="00086C3F">
        <w:t xml:space="preserve">ramach </w:t>
      </w:r>
      <w:r w:rsidR="006D3FA3">
        <w:t>regionu</w:t>
      </w:r>
      <w:r w:rsidR="00405496">
        <w:t xml:space="preserve">. Państwa członkowskie współpracują na różnych polach w i ramach różnorakich formuł. </w:t>
      </w:r>
    </w:p>
    <w:p w14:paraId="2222C0D6" w14:textId="373020A4" w:rsidR="00B5071D" w:rsidRDefault="006F74FC" w:rsidP="004D470C">
      <w:r>
        <w:t>W</w:t>
      </w:r>
      <w:r w:rsidR="00B5071D">
        <w:t xml:space="preserve">ażnym polem współpracy </w:t>
      </w:r>
      <w:r>
        <w:t>regionalnej związany</w:t>
      </w:r>
      <w:r w:rsidR="00385D38">
        <w:t>m</w:t>
      </w:r>
      <w:r>
        <w:t xml:space="preserve"> z tematyką KPEiK </w:t>
      </w:r>
      <w:r w:rsidR="00B5071D">
        <w:t xml:space="preserve">są unijne grupy robocze </w:t>
      </w:r>
      <w:r>
        <w:t>przy Dyrektor</w:t>
      </w:r>
      <w:r w:rsidR="004D470C">
        <w:t>ach</w:t>
      </w:r>
      <w:r>
        <w:t xml:space="preserve"> Generalnych Komisji Europejskiej –</w:t>
      </w:r>
      <w:r w:rsidR="004D470C">
        <w:t xml:space="preserve"> Dyrekcj</w:t>
      </w:r>
      <w:r w:rsidR="00385D38">
        <w:t>i</w:t>
      </w:r>
      <w:r w:rsidR="004D470C">
        <w:t xml:space="preserve"> Generaln</w:t>
      </w:r>
      <w:r w:rsidR="00385D38">
        <w:t>ej</w:t>
      </w:r>
      <w:r w:rsidR="004D470C">
        <w:t xml:space="preserve"> ds. Energii (</w:t>
      </w:r>
      <w:r w:rsidR="004D470C" w:rsidRPr="004D470C">
        <w:rPr>
          <w:i/>
          <w:iCs/>
        </w:rPr>
        <w:t>DG Energy</w:t>
      </w:r>
      <w:r w:rsidR="004D470C">
        <w:t>), Dyrekcj</w:t>
      </w:r>
      <w:r w:rsidR="00385D38">
        <w:t>i</w:t>
      </w:r>
      <w:r w:rsidR="004D470C">
        <w:t xml:space="preserve"> Generaln</w:t>
      </w:r>
      <w:r w:rsidR="00385D38">
        <w:t>ej</w:t>
      </w:r>
      <w:r w:rsidR="004D470C">
        <w:t xml:space="preserve"> ds. Działań na rzecz Klimatu (</w:t>
      </w:r>
      <w:r w:rsidR="004D470C" w:rsidRPr="004D470C">
        <w:rPr>
          <w:i/>
          <w:iCs/>
        </w:rPr>
        <w:t>DG Climate Action</w:t>
      </w:r>
      <w:r w:rsidR="004D470C">
        <w:t>), Dyrekcj</w:t>
      </w:r>
      <w:r w:rsidR="00385D38">
        <w:t>i</w:t>
      </w:r>
      <w:r w:rsidR="004D470C">
        <w:t xml:space="preserve"> Generalna ds. Środowiska (</w:t>
      </w:r>
      <w:r w:rsidR="004D470C" w:rsidRPr="004D470C">
        <w:rPr>
          <w:i/>
          <w:iCs/>
        </w:rPr>
        <w:t>DG</w:t>
      </w:r>
      <w:r w:rsidR="00DA7F6E">
        <w:rPr>
          <w:i/>
          <w:iCs/>
        </w:rPr>
        <w:t> </w:t>
      </w:r>
      <w:r w:rsidR="004D470C" w:rsidRPr="004D470C">
        <w:rPr>
          <w:i/>
          <w:iCs/>
        </w:rPr>
        <w:t>Environment</w:t>
      </w:r>
      <w:r w:rsidR="004D470C">
        <w:t>). Podkreślenia wymaga także działalność stowarzyszenia operatorów systemów przesyłowych energii elektrycznej (</w:t>
      </w:r>
      <w:r w:rsidR="004D470C" w:rsidRPr="004D470C">
        <w:rPr>
          <w:i/>
          <w:iCs/>
        </w:rPr>
        <w:t>European Network of Transmission System Operators for Electricity</w:t>
      </w:r>
      <w:r w:rsidR="004D470C">
        <w:t xml:space="preserve">, </w:t>
      </w:r>
      <w:r w:rsidR="004D470C" w:rsidRPr="004D470C">
        <w:t>ENTSO-E</w:t>
      </w:r>
      <w:r w:rsidR="004D470C">
        <w:t>) oraz gazu ziemnego (</w:t>
      </w:r>
      <w:r w:rsidR="004D470C" w:rsidRPr="004D470C">
        <w:rPr>
          <w:i/>
          <w:iCs/>
        </w:rPr>
        <w:t>European Network of Transmission System Operators for Gas</w:t>
      </w:r>
      <w:r w:rsidR="004D470C">
        <w:t xml:space="preserve">, </w:t>
      </w:r>
      <w:r w:rsidR="004D470C" w:rsidRPr="004D470C">
        <w:t>ENTSO</w:t>
      </w:r>
      <w:r w:rsidR="004D470C">
        <w:t>-</w:t>
      </w:r>
      <w:r w:rsidR="004D470C" w:rsidRPr="004D470C">
        <w:t>G</w:t>
      </w:r>
      <w:r w:rsidR="004D470C">
        <w:t>)</w:t>
      </w:r>
    </w:p>
    <w:p w14:paraId="4CAFB744" w14:textId="0393EE36" w:rsidR="00F80E3C" w:rsidRDefault="00F80E3C" w:rsidP="00086C3F">
      <w:r>
        <w:t xml:space="preserve">W ramach prac nad </w:t>
      </w:r>
      <w:r w:rsidRPr="00F80E3C">
        <w:rPr>
          <w:i/>
          <w:iCs/>
        </w:rPr>
        <w:t>Krajowym Planem w dziedzinie Energii i Klimatu do 2030 r.</w:t>
      </w:r>
      <w:r w:rsidR="00B11663">
        <w:rPr>
          <w:i/>
          <w:iCs/>
        </w:rPr>
        <w:t xml:space="preserve"> </w:t>
      </w:r>
      <w:r w:rsidR="00B11663" w:rsidRPr="0028369E">
        <w:rPr>
          <w:i/>
          <w:iCs/>
        </w:rPr>
        <w:t>z perspektywą do 2040 r</w:t>
      </w:r>
      <w:r w:rsidR="00B11663">
        <w:rPr>
          <w:i/>
          <w:iCs/>
        </w:rPr>
        <w:t>.</w:t>
      </w:r>
      <w:r w:rsidR="00B11663">
        <w:t xml:space="preserve"> </w:t>
      </w:r>
      <w:r>
        <w:t xml:space="preserve"> przedstawiciele Polski uczestniczyli także w</w:t>
      </w:r>
      <w:r w:rsidR="00385D38">
        <w:t xml:space="preserve"> spotkaniach służących wymianie doświadczeń i wiedzy. W okresie opracowania KPEiK przeprowadzono spotkanie zorganizowane przez Litwę z trzema krajami bałtyckim, zorganizowane przez Łotwę spotkanie z państwami regionu bałtyckiego, spotkanie robocze z administracją Niemiec. Skorzystano także z udziału w spotkaniu </w:t>
      </w:r>
      <w:r w:rsidR="00A853DC">
        <w:t xml:space="preserve">poświęconym wymianie doświadczeń w modelowaniu prognostycznym na potrzeby opracowania KPEiK, zorganizowanym przez Międzynarodową Agencję Energii Atomowej. </w:t>
      </w:r>
    </w:p>
    <w:p w14:paraId="24C2D186" w14:textId="1A55DC23" w:rsidR="00385D38" w:rsidRDefault="00385D38" w:rsidP="00385D38">
      <w:pPr>
        <w:spacing w:before="360"/>
      </w:pPr>
      <w:r>
        <w:t>Poniżej zebrano kluczowe fora współpracy lub takie, które ocenia się jako szczególnie interesujące albo perspektywiczne, poza grupami roboczymi KE.</w:t>
      </w:r>
    </w:p>
    <w:p w14:paraId="0CAE67F7" w14:textId="1404C9CB" w:rsidR="00A26106" w:rsidRPr="0002463D" w:rsidRDefault="00A26106" w:rsidP="00A147C6">
      <w:pPr>
        <w:pStyle w:val="Nagwek5"/>
        <w:numPr>
          <w:ilvl w:val="0"/>
          <w:numId w:val="0"/>
        </w:numPr>
        <w:rPr>
          <w:color w:val="336600"/>
        </w:rPr>
      </w:pPr>
      <w:r w:rsidRPr="0002463D">
        <w:rPr>
          <w:color w:val="336600"/>
        </w:rPr>
        <w:t>Adaptacja do zmian klimatu</w:t>
      </w:r>
    </w:p>
    <w:p w14:paraId="19D732B1" w14:textId="77777777" w:rsidR="00A26106" w:rsidRPr="00D361CD" w:rsidRDefault="00A26106" w:rsidP="000625AC">
      <w:pPr>
        <w:pStyle w:val="Akapitzlist"/>
        <w:numPr>
          <w:ilvl w:val="0"/>
          <w:numId w:val="71"/>
        </w:numPr>
      </w:pPr>
      <w:r w:rsidRPr="00D361CD">
        <w:t xml:space="preserve">100 miast neutralnych klimatycznie i inteligentnych do 2030 r. </w:t>
      </w:r>
    </w:p>
    <w:p w14:paraId="6FC08079" w14:textId="5D0486B6" w:rsidR="00A26106" w:rsidRPr="00263009" w:rsidRDefault="00A26106" w:rsidP="00A26106">
      <w:pPr>
        <w:rPr>
          <w:szCs w:val="20"/>
        </w:rPr>
      </w:pPr>
      <w:r w:rsidRPr="005C368E">
        <w:rPr>
          <w:b/>
          <w:bCs/>
          <w:i/>
          <w:iCs/>
          <w:szCs w:val="20"/>
        </w:rPr>
        <w:t>Państwa/podmioty zaangażowane</w:t>
      </w:r>
      <w:r w:rsidRPr="005C368E">
        <w:rPr>
          <w:b/>
          <w:bCs/>
          <w:szCs w:val="20"/>
        </w:rPr>
        <w:t>:</w:t>
      </w:r>
      <w:r w:rsidRPr="00263009">
        <w:rPr>
          <w:szCs w:val="20"/>
        </w:rPr>
        <w:t xml:space="preserve"> 100 miast pochodzących ze wszystkich 27 państw członkowskich UE, a</w:t>
      </w:r>
      <w:r>
        <w:rPr>
          <w:szCs w:val="20"/>
        </w:rPr>
        <w:t> </w:t>
      </w:r>
      <w:r w:rsidRPr="00263009">
        <w:rPr>
          <w:szCs w:val="20"/>
        </w:rPr>
        <w:t>dodatkowo 12 miast z krajów stowarzyszonych lub potencjalnie stowarzyszonych z programem Horyzont Europa (2021</w:t>
      </w:r>
      <w:r>
        <w:rPr>
          <w:szCs w:val="20"/>
        </w:rPr>
        <w:t>–</w:t>
      </w:r>
      <w:r w:rsidRPr="00263009">
        <w:rPr>
          <w:szCs w:val="20"/>
        </w:rPr>
        <w:t xml:space="preserve">2027) w zakresie badań naukowych i innowacji, w tym polskie miasta: Warszawa, Kraków, Łódź, Wrocław i Rzeszów. </w:t>
      </w:r>
    </w:p>
    <w:p w14:paraId="470D896F" w14:textId="4C60F451" w:rsidR="00A26106" w:rsidRPr="00263009" w:rsidRDefault="00A26106" w:rsidP="00A26106">
      <w:pPr>
        <w:rPr>
          <w:szCs w:val="20"/>
        </w:rPr>
      </w:pPr>
      <w:r w:rsidRPr="005C368E">
        <w:rPr>
          <w:b/>
          <w:bCs/>
          <w:i/>
          <w:iCs/>
          <w:szCs w:val="20"/>
        </w:rPr>
        <w:t>Opis i oczekiwane efekty</w:t>
      </w:r>
      <w:r w:rsidRPr="005C368E">
        <w:rPr>
          <w:b/>
          <w:bCs/>
          <w:szCs w:val="20"/>
        </w:rPr>
        <w:t>:</w:t>
      </w:r>
      <w:r w:rsidRPr="00263009">
        <w:rPr>
          <w:szCs w:val="20"/>
        </w:rPr>
        <w:t xml:space="preserve"> </w:t>
      </w:r>
      <w:r>
        <w:rPr>
          <w:szCs w:val="20"/>
        </w:rPr>
        <w:t>M</w:t>
      </w:r>
      <w:r w:rsidRPr="00263009">
        <w:rPr>
          <w:szCs w:val="20"/>
        </w:rPr>
        <w:t xml:space="preserve">iasta </w:t>
      </w:r>
      <w:r>
        <w:rPr>
          <w:szCs w:val="20"/>
        </w:rPr>
        <w:t>u</w:t>
      </w:r>
      <w:r w:rsidRPr="00263009">
        <w:rPr>
          <w:szCs w:val="20"/>
        </w:rPr>
        <w:t>czestniczące w Misji opracują kontrakty klimatyczne Climate City Contract, które będą zawierać ogólny plan dojścia do neutralności klimatycznej we wszystkich sektorach, takich jak: energia, budynki, gospodarka odpadami i transport wraz z powiązanymi planami inwestycyjnymi. W proces będą zaangażowani obywatele, organizacje badawcze, przedsiębiorstwa, inwestorzy oraz władze regionalne i krajowe. Działania podejmowane w ramach Misji będą zmierzać do</w:t>
      </w:r>
      <w:r w:rsidR="00DA7F6E">
        <w:rPr>
          <w:szCs w:val="20"/>
        </w:rPr>
        <w:t> </w:t>
      </w:r>
      <w:r w:rsidRPr="00263009">
        <w:rPr>
          <w:szCs w:val="20"/>
        </w:rPr>
        <w:t>znaczącego obniżenia poziomu emisji gazów cieplarnianych.</w:t>
      </w:r>
    </w:p>
    <w:p w14:paraId="6D5E3B51" w14:textId="77777777" w:rsidR="00A26106" w:rsidRDefault="00A26106" w:rsidP="00A26106">
      <w:pPr>
        <w:rPr>
          <w:szCs w:val="20"/>
        </w:rPr>
      </w:pPr>
      <w:r w:rsidRPr="005C368E">
        <w:rPr>
          <w:b/>
          <w:bCs/>
          <w:i/>
          <w:iCs/>
          <w:szCs w:val="20"/>
        </w:rPr>
        <w:t>Okres współpracy</w:t>
      </w:r>
      <w:r w:rsidRPr="005C368E">
        <w:rPr>
          <w:b/>
          <w:bCs/>
          <w:szCs w:val="20"/>
        </w:rPr>
        <w:t>:</w:t>
      </w:r>
      <w:r w:rsidRPr="00263009">
        <w:rPr>
          <w:szCs w:val="20"/>
        </w:rPr>
        <w:t xml:space="preserve"> 2021–2027</w:t>
      </w:r>
    </w:p>
    <w:p w14:paraId="0D5C82A7" w14:textId="77777777" w:rsidR="00A26106" w:rsidRPr="0002463D" w:rsidRDefault="00A26106" w:rsidP="00A147C6">
      <w:pPr>
        <w:pStyle w:val="Nagwek5"/>
        <w:numPr>
          <w:ilvl w:val="0"/>
          <w:numId w:val="0"/>
        </w:numPr>
        <w:rPr>
          <w:color w:val="336600"/>
        </w:rPr>
      </w:pPr>
      <w:r w:rsidRPr="0002463D">
        <w:rPr>
          <w:color w:val="336600"/>
        </w:rPr>
        <w:t xml:space="preserve">Jakość powietrza </w:t>
      </w:r>
    </w:p>
    <w:p w14:paraId="310D08FA" w14:textId="77777777" w:rsidR="00A26106" w:rsidRPr="002A7033" w:rsidRDefault="00A26106" w:rsidP="000625AC">
      <w:pPr>
        <w:pStyle w:val="Akapitzlist"/>
        <w:numPr>
          <w:ilvl w:val="0"/>
          <w:numId w:val="72"/>
        </w:numPr>
        <w:tabs>
          <w:tab w:val="left" w:pos="1134"/>
        </w:tabs>
        <w:rPr>
          <w:szCs w:val="20"/>
        </w:rPr>
      </w:pPr>
      <w:r w:rsidRPr="002A7033">
        <w:rPr>
          <w:szCs w:val="20"/>
        </w:rPr>
        <w:t xml:space="preserve">Grupy robocze do spraw jakości powietrza </w:t>
      </w:r>
      <w:r>
        <w:rPr>
          <w:szCs w:val="20"/>
        </w:rPr>
        <w:t>(w ramach współpracy międzynarodowej)</w:t>
      </w:r>
    </w:p>
    <w:p w14:paraId="5C1E1D29" w14:textId="77777777" w:rsidR="00A26106" w:rsidRPr="002A7033" w:rsidRDefault="00A26106" w:rsidP="00A26106">
      <w:pPr>
        <w:rPr>
          <w:szCs w:val="20"/>
        </w:rPr>
      </w:pPr>
      <w:r w:rsidRPr="002A7033">
        <w:rPr>
          <w:b/>
          <w:bCs/>
          <w:i/>
          <w:iCs/>
          <w:szCs w:val="20"/>
        </w:rPr>
        <w:t>Państwa</w:t>
      </w:r>
      <w:r>
        <w:rPr>
          <w:b/>
          <w:bCs/>
          <w:i/>
          <w:iCs/>
          <w:szCs w:val="20"/>
        </w:rPr>
        <w:t xml:space="preserve"> </w:t>
      </w:r>
      <w:r w:rsidRPr="002A7033">
        <w:rPr>
          <w:b/>
          <w:bCs/>
          <w:i/>
          <w:iCs/>
          <w:szCs w:val="20"/>
        </w:rPr>
        <w:t>/</w:t>
      </w:r>
      <w:r>
        <w:rPr>
          <w:b/>
          <w:bCs/>
          <w:i/>
          <w:iCs/>
          <w:szCs w:val="20"/>
        </w:rPr>
        <w:t xml:space="preserve"> </w:t>
      </w:r>
      <w:r w:rsidRPr="002A7033">
        <w:rPr>
          <w:b/>
          <w:bCs/>
          <w:i/>
          <w:iCs/>
          <w:szCs w:val="20"/>
        </w:rPr>
        <w:t>podmioty zaangażowane</w:t>
      </w:r>
      <w:r w:rsidRPr="002A7033">
        <w:rPr>
          <w:szCs w:val="20"/>
        </w:rPr>
        <w:t>: Niemcy, Czechy</w:t>
      </w:r>
      <w:r>
        <w:rPr>
          <w:szCs w:val="20"/>
        </w:rPr>
        <w:t>, Polska</w:t>
      </w:r>
    </w:p>
    <w:p w14:paraId="0A518C88" w14:textId="3E899EDE" w:rsidR="00A26106" w:rsidRDefault="00A26106" w:rsidP="00A26106">
      <w:pPr>
        <w:rPr>
          <w:szCs w:val="20"/>
        </w:rPr>
      </w:pPr>
      <w:r w:rsidRPr="002A7033">
        <w:rPr>
          <w:b/>
          <w:bCs/>
          <w:i/>
          <w:iCs/>
          <w:szCs w:val="20"/>
        </w:rPr>
        <w:t>Opis i oczekiwane efekty</w:t>
      </w:r>
      <w:r w:rsidRPr="002A7033">
        <w:rPr>
          <w:szCs w:val="20"/>
        </w:rPr>
        <w:t xml:space="preserve">: Celem współpracy jest </w:t>
      </w:r>
      <w:r>
        <w:rPr>
          <w:szCs w:val="20"/>
        </w:rPr>
        <w:t>dzielenie się wiedzą w zakresie jakości powietrza i</w:t>
      </w:r>
      <w:r w:rsidR="00DA7F6E">
        <w:rPr>
          <w:szCs w:val="20"/>
        </w:rPr>
        <w:t> </w:t>
      </w:r>
      <w:r>
        <w:rPr>
          <w:szCs w:val="20"/>
        </w:rPr>
        <w:t xml:space="preserve">monitoringu, poszukiwanie obszarów wspólnych działań oraz kwestii związanych z transgranicznym zanieczyszczeniem powietrza. Dodatkowo, w ramach tej współpracy Polska i Czechy zawarły specjalne porozumienie </w:t>
      </w:r>
      <w:r>
        <w:t>w sprawie wspólnych wysiłków na rzecz zwalczania transgranicznego zanieczyszczenia powietrza.</w:t>
      </w:r>
      <w:r w:rsidR="00E70B73" w:rsidRPr="00E70B73">
        <w:t xml:space="preserve"> Współpraca ma charakter stały.</w:t>
      </w:r>
    </w:p>
    <w:p w14:paraId="0E920FD2" w14:textId="77777777" w:rsidR="00A26106" w:rsidRPr="0002463D" w:rsidRDefault="00A26106" w:rsidP="00A147C6">
      <w:pPr>
        <w:pStyle w:val="Nagwek5"/>
        <w:numPr>
          <w:ilvl w:val="0"/>
          <w:numId w:val="0"/>
        </w:numPr>
        <w:rPr>
          <w:color w:val="336600"/>
        </w:rPr>
      </w:pPr>
      <w:r w:rsidRPr="0002463D">
        <w:rPr>
          <w:color w:val="336600"/>
        </w:rPr>
        <w:lastRenderedPageBreak/>
        <w:t>Technologie środowiskowe</w:t>
      </w:r>
    </w:p>
    <w:p w14:paraId="14759FAB" w14:textId="77777777" w:rsidR="00A26106" w:rsidRPr="00D361CD" w:rsidRDefault="00A26106" w:rsidP="000625AC">
      <w:pPr>
        <w:pStyle w:val="Akapitzlist"/>
        <w:numPr>
          <w:ilvl w:val="0"/>
          <w:numId w:val="71"/>
        </w:numPr>
        <w:rPr>
          <w:szCs w:val="20"/>
        </w:rPr>
      </w:pPr>
      <w:r w:rsidRPr="00D361CD">
        <w:rPr>
          <w:szCs w:val="20"/>
        </w:rPr>
        <w:t xml:space="preserve">GreenEvo </w:t>
      </w:r>
      <w:r>
        <w:rPr>
          <w:szCs w:val="20"/>
        </w:rPr>
        <w:t>–</w:t>
      </w:r>
      <w:r w:rsidRPr="00D361CD">
        <w:rPr>
          <w:szCs w:val="20"/>
        </w:rPr>
        <w:t xml:space="preserve"> Akcelerator Zielonych Technologii</w:t>
      </w:r>
    </w:p>
    <w:p w14:paraId="7F7B1552" w14:textId="261CB38D" w:rsidR="00A26106" w:rsidRPr="00D361CD" w:rsidRDefault="00A26106" w:rsidP="00A26106">
      <w:pPr>
        <w:rPr>
          <w:rFonts w:cs="Lato-Italic"/>
          <w:szCs w:val="20"/>
        </w:rPr>
      </w:pPr>
      <w:r w:rsidRPr="002A7033">
        <w:rPr>
          <w:rFonts w:cs="Lato-Italic"/>
          <w:b/>
          <w:bCs/>
          <w:i/>
          <w:iCs/>
          <w:szCs w:val="20"/>
        </w:rPr>
        <w:t xml:space="preserve">Państwa/podmioty zaangażowane: </w:t>
      </w:r>
      <w:r w:rsidRPr="00D361CD">
        <w:rPr>
          <w:rFonts w:cs="Lato-Italic"/>
          <w:szCs w:val="20"/>
        </w:rPr>
        <w:t xml:space="preserve">potencjalnie wszystkie państwa członkowskie UE, polskie firmy oferujące zielone technologie – laureaci programu </w:t>
      </w:r>
      <w:r w:rsidRPr="0002463D">
        <w:rPr>
          <w:rFonts w:cs="Lato-Italic"/>
          <w:i/>
          <w:iCs/>
          <w:szCs w:val="20"/>
        </w:rPr>
        <w:t>GreenEvo – Akcelerator Zielonych Technologii</w:t>
      </w:r>
      <w:r w:rsidRPr="00D361CD">
        <w:rPr>
          <w:rFonts w:cs="Lato-Italic"/>
          <w:szCs w:val="20"/>
        </w:rPr>
        <w:t xml:space="preserve">, realizowanego przez MKiŚ we współpracy z placówkami dyplomatycznymi </w:t>
      </w:r>
      <w:r w:rsidR="0002463D">
        <w:rPr>
          <w:rFonts w:cs="Lato-Italic"/>
          <w:szCs w:val="20"/>
        </w:rPr>
        <w:t>Polski</w:t>
      </w:r>
      <w:r w:rsidRPr="00D361CD">
        <w:rPr>
          <w:rFonts w:cs="Lato-Italic"/>
          <w:szCs w:val="20"/>
        </w:rPr>
        <w:t xml:space="preserve"> na całym świecie.</w:t>
      </w:r>
    </w:p>
    <w:p w14:paraId="2FEDDF74" w14:textId="40A08384" w:rsidR="00A26106" w:rsidRPr="00D361CD" w:rsidRDefault="00A26106" w:rsidP="00A26106">
      <w:pPr>
        <w:rPr>
          <w:szCs w:val="20"/>
        </w:rPr>
      </w:pPr>
      <w:r w:rsidRPr="00CF6DE2">
        <w:rPr>
          <w:rFonts w:cs="Lato-Italic"/>
          <w:b/>
          <w:bCs/>
          <w:i/>
          <w:iCs/>
          <w:szCs w:val="20"/>
        </w:rPr>
        <w:t>Opis i oczekiwane efekty</w:t>
      </w:r>
      <w:r w:rsidRPr="00D361CD">
        <w:rPr>
          <w:szCs w:val="20"/>
        </w:rPr>
        <w:t xml:space="preserve">: </w:t>
      </w:r>
      <w:r>
        <w:rPr>
          <w:szCs w:val="20"/>
        </w:rPr>
        <w:t xml:space="preserve">Projekt GreenEvo dotyczy </w:t>
      </w:r>
      <w:r w:rsidRPr="00D361CD">
        <w:rPr>
          <w:szCs w:val="20"/>
        </w:rPr>
        <w:t>gospodark</w:t>
      </w:r>
      <w:r>
        <w:rPr>
          <w:szCs w:val="20"/>
        </w:rPr>
        <w:t>i</w:t>
      </w:r>
      <w:r w:rsidRPr="00D361CD">
        <w:rPr>
          <w:szCs w:val="20"/>
        </w:rPr>
        <w:t xml:space="preserve"> odpadami, gospodark</w:t>
      </w:r>
      <w:r>
        <w:rPr>
          <w:szCs w:val="20"/>
        </w:rPr>
        <w:t>i</w:t>
      </w:r>
      <w:r w:rsidRPr="00D361CD">
        <w:rPr>
          <w:szCs w:val="20"/>
        </w:rPr>
        <w:t xml:space="preserve"> wodno-ściekow</w:t>
      </w:r>
      <w:r>
        <w:rPr>
          <w:szCs w:val="20"/>
        </w:rPr>
        <w:t>ej</w:t>
      </w:r>
      <w:r w:rsidRPr="00D361CD">
        <w:rPr>
          <w:szCs w:val="20"/>
        </w:rPr>
        <w:t>, odnawialn</w:t>
      </w:r>
      <w:r>
        <w:rPr>
          <w:szCs w:val="20"/>
        </w:rPr>
        <w:t>ych</w:t>
      </w:r>
      <w:r w:rsidRPr="00D361CD">
        <w:rPr>
          <w:szCs w:val="20"/>
        </w:rPr>
        <w:t xml:space="preserve"> źród</w:t>
      </w:r>
      <w:r>
        <w:rPr>
          <w:szCs w:val="20"/>
        </w:rPr>
        <w:t>e</w:t>
      </w:r>
      <w:r w:rsidRPr="00D361CD">
        <w:rPr>
          <w:szCs w:val="20"/>
        </w:rPr>
        <w:t>ł energii, oszczędnoś</w:t>
      </w:r>
      <w:r>
        <w:rPr>
          <w:szCs w:val="20"/>
        </w:rPr>
        <w:t>ci</w:t>
      </w:r>
      <w:r w:rsidRPr="00D361CD">
        <w:rPr>
          <w:szCs w:val="20"/>
        </w:rPr>
        <w:t xml:space="preserve"> energii, ochron</w:t>
      </w:r>
      <w:r>
        <w:rPr>
          <w:szCs w:val="20"/>
        </w:rPr>
        <w:t>y</w:t>
      </w:r>
      <w:r w:rsidRPr="00D361CD">
        <w:rPr>
          <w:szCs w:val="20"/>
        </w:rPr>
        <w:t xml:space="preserve"> powietrza, ochron</w:t>
      </w:r>
      <w:r>
        <w:rPr>
          <w:szCs w:val="20"/>
        </w:rPr>
        <w:t>y</w:t>
      </w:r>
      <w:r w:rsidRPr="00D361CD">
        <w:rPr>
          <w:szCs w:val="20"/>
        </w:rPr>
        <w:t xml:space="preserve"> bioróżnorodności.</w:t>
      </w:r>
      <w:r>
        <w:rPr>
          <w:szCs w:val="20"/>
        </w:rPr>
        <w:t xml:space="preserve"> GreenEvo</w:t>
      </w:r>
      <w:r w:rsidRPr="00D361CD">
        <w:rPr>
          <w:szCs w:val="20"/>
        </w:rPr>
        <w:t xml:space="preserve"> ma na celu wspieranie transferu polskich, sprawdzonych technologii środowiskowych na rynki zagraniczne. Realizacja projektu stanowi ważne narzędzie wspierające proces kształtowania zrównoważonego rozwoju w Polsce i na świecie. Technologie wspierane w projekcie GreenEvo to</w:t>
      </w:r>
      <w:r w:rsidR="00DA7F6E">
        <w:rPr>
          <w:szCs w:val="20"/>
        </w:rPr>
        <w:t> </w:t>
      </w:r>
      <w:r w:rsidRPr="00D361CD">
        <w:rPr>
          <w:szCs w:val="20"/>
        </w:rPr>
        <w:t>gwarantowanej jakości, sprawdzone rozwiązania, wykazujące pozytywny efekt środowiskowy. Często są kompleksową odpowiedzią na specyficzne problemy środowiskowe. Cechują się konkurencyjnością w stosunku do istniejących rozwiązań, dlatego mają istotny potencjał pod kątem ekspansji do krajów rozwijających się, zmagających się z problemami w obszarze ochrony środowiska. Projekt stymuluje przejście w kierunku gospodarki o obiegu zamkniętym, w szczególności poprzez wspieranie oraz promowanie innowacji ekologicznych i technologii środowiskowych we wszystkich kluczowych obszarach gospodarki.</w:t>
      </w:r>
    </w:p>
    <w:p w14:paraId="53A237EF" w14:textId="77777777" w:rsidR="00A26106" w:rsidRPr="00D361CD" w:rsidRDefault="00A26106" w:rsidP="00A26106">
      <w:pPr>
        <w:rPr>
          <w:szCs w:val="20"/>
        </w:rPr>
      </w:pPr>
      <w:r w:rsidRPr="00D361CD">
        <w:rPr>
          <w:szCs w:val="20"/>
        </w:rPr>
        <w:t>GreenEvo wspiera głównie małych i średnich przedsiębiorców oferujących zielone technologie, którzy często nie mają wystarczających możliwości rozwoju swojej działalności poza granicami Polski. Ministerstwo wspiera firmy w procesie wejścia na zagraniczne rynki, jednocześnie promując ideę rozwoju gospodarczego z poszanowaniem środowiska.</w:t>
      </w:r>
    </w:p>
    <w:p w14:paraId="1148C104" w14:textId="6B2D4EC2" w:rsidR="00A26106" w:rsidRPr="00D361CD" w:rsidRDefault="00A26106" w:rsidP="00A26106">
      <w:pPr>
        <w:rPr>
          <w:szCs w:val="20"/>
        </w:rPr>
      </w:pPr>
      <w:r w:rsidRPr="002A7033">
        <w:rPr>
          <w:rFonts w:cs="Lato-Italic"/>
          <w:b/>
          <w:bCs/>
          <w:i/>
          <w:iCs/>
          <w:szCs w:val="20"/>
        </w:rPr>
        <w:t>Okres współpracy</w:t>
      </w:r>
      <w:r w:rsidRPr="002A7033">
        <w:rPr>
          <w:szCs w:val="20"/>
        </w:rPr>
        <w:t>:</w:t>
      </w:r>
      <w:r w:rsidRPr="00D361CD">
        <w:rPr>
          <w:szCs w:val="20"/>
        </w:rPr>
        <w:t xml:space="preserve"> obecna edycja programu realizowana jest w latach 2024–2026</w:t>
      </w:r>
    </w:p>
    <w:p w14:paraId="45158DE5" w14:textId="77777777" w:rsidR="00A26106" w:rsidRPr="0002463D" w:rsidRDefault="00A26106" w:rsidP="00A147C6">
      <w:pPr>
        <w:pStyle w:val="Nagwek5"/>
        <w:numPr>
          <w:ilvl w:val="0"/>
          <w:numId w:val="0"/>
        </w:numPr>
        <w:rPr>
          <w:color w:val="336600"/>
        </w:rPr>
      </w:pPr>
      <w:r w:rsidRPr="0002463D">
        <w:rPr>
          <w:color w:val="336600"/>
        </w:rPr>
        <w:t>Bezpieczeństwo energetyczne</w:t>
      </w:r>
    </w:p>
    <w:p w14:paraId="66F15E09" w14:textId="77777777" w:rsidR="00A26106" w:rsidRDefault="00A26106" w:rsidP="000625AC">
      <w:pPr>
        <w:pStyle w:val="Akapitzlist"/>
        <w:numPr>
          <w:ilvl w:val="0"/>
          <w:numId w:val="75"/>
        </w:numPr>
      </w:pPr>
      <w:bookmarkStart w:id="1473" w:name="_Hlk195811225"/>
      <w:r>
        <w:t xml:space="preserve">Współpraca energetyczna w ramach Grupy Wyszehradzkiej (V4) </w:t>
      </w:r>
    </w:p>
    <w:bookmarkEnd w:id="1473"/>
    <w:p w14:paraId="54B162EC" w14:textId="77777777" w:rsidR="00A26106" w:rsidRDefault="00A26106" w:rsidP="00A26106">
      <w:r w:rsidRPr="002A7033">
        <w:rPr>
          <w:b/>
          <w:bCs/>
          <w:i/>
          <w:iCs/>
          <w:szCs w:val="20"/>
        </w:rPr>
        <w:t>Państwa/podmioty zaangażowane</w:t>
      </w:r>
      <w:r w:rsidRPr="00D361CD">
        <w:rPr>
          <w:szCs w:val="20"/>
        </w:rPr>
        <w:t>:</w:t>
      </w:r>
      <w:r>
        <w:rPr>
          <w:szCs w:val="20"/>
        </w:rPr>
        <w:t xml:space="preserve"> Czechy, Polska, Słowacja,</w:t>
      </w:r>
      <w:r w:rsidRPr="0039646E">
        <w:rPr>
          <w:szCs w:val="20"/>
        </w:rPr>
        <w:t xml:space="preserve"> </w:t>
      </w:r>
      <w:r>
        <w:rPr>
          <w:szCs w:val="20"/>
        </w:rPr>
        <w:t>Węgry</w:t>
      </w:r>
    </w:p>
    <w:p w14:paraId="342CE7E7" w14:textId="68E222C3" w:rsidR="00A26106" w:rsidRDefault="00A26106" w:rsidP="00A26106">
      <w:r w:rsidRPr="00706D80">
        <w:rPr>
          <w:b/>
          <w:bCs/>
          <w:i/>
          <w:iCs/>
        </w:rPr>
        <w:t>Opis i oczekiwane efekty</w:t>
      </w:r>
      <w:r>
        <w:rPr>
          <w:b/>
          <w:bCs/>
          <w:i/>
          <w:iCs/>
        </w:rPr>
        <w:t>:</w:t>
      </w:r>
      <w:r>
        <w:t xml:space="preserve"> Współpraca w ramach Grupy Wyszehradzkiej. W ramach gazowego projektu korytarza północ–południe, zrealizowano gazowe połączenia międzysystemowe: Polska – Słowacja oraz Słowacja – Węgry. Wszystkie cztery kraje grupy zajmują solidarne stanowisko w związku z</w:t>
      </w:r>
      <w:r w:rsidR="00DA7F6E">
        <w:t> </w:t>
      </w:r>
      <w:r>
        <w:t>wykorzystaniem energii jądrowej i współpracują w obszarze elektroenergetyki. Działania te sprzyjają budowaniu bezpieczeństwa energetycznego i niezależności państw V4. Spójne zdefiniowanie celów oraz ich solidarna realizacja sprzyjają tworzeniu integracji Unii Europejskiej i harmonizacji jej poziomu rozwoju.</w:t>
      </w:r>
    </w:p>
    <w:p w14:paraId="7D62E3B5" w14:textId="77777777" w:rsidR="00A26106" w:rsidRPr="00DE0C04" w:rsidRDefault="00A26106" w:rsidP="000625AC">
      <w:pPr>
        <w:pStyle w:val="Akapitzlist"/>
        <w:numPr>
          <w:ilvl w:val="0"/>
          <w:numId w:val="71"/>
        </w:numPr>
        <w:spacing w:before="360"/>
        <w:rPr>
          <w:i/>
          <w:iCs/>
        </w:rPr>
      </w:pPr>
      <w:r w:rsidRPr="00DE0C04">
        <w:t>Formuła Pokoju</w:t>
      </w:r>
    </w:p>
    <w:p w14:paraId="55C687E5" w14:textId="465C7B71" w:rsidR="00A26106" w:rsidRPr="00653AC1" w:rsidRDefault="00A26106" w:rsidP="00A26106">
      <w:r w:rsidRPr="00706D80">
        <w:rPr>
          <w:b/>
          <w:bCs/>
          <w:i/>
          <w:iCs/>
        </w:rPr>
        <w:t>Państwa</w:t>
      </w:r>
      <w:r>
        <w:rPr>
          <w:b/>
          <w:bCs/>
          <w:i/>
          <w:iCs/>
        </w:rPr>
        <w:t xml:space="preserve"> / </w:t>
      </w:r>
      <w:r w:rsidRPr="00706D80">
        <w:rPr>
          <w:b/>
          <w:bCs/>
          <w:i/>
          <w:iCs/>
        </w:rPr>
        <w:t>podmioty zaangażowane</w:t>
      </w:r>
      <w:r w:rsidRPr="00653AC1">
        <w:t>: Polska, Dania, Norwegia, Ukraina, Kanada, Republika Korei, Wielka Brytania, UAS, Malezja, Mołdawia, ZEA, Katar, Portugalia, Włochy, Chorwacja, Francja, Niemcy, Słowacja, Bułgaria Słowenia, Japonia, Malezja, Kuwejt, Luksemburg, Litwa, przedstawiciele KE, instytucje UE i</w:t>
      </w:r>
      <w:r w:rsidR="00DA7F6E">
        <w:t> </w:t>
      </w:r>
      <w:r w:rsidRPr="00653AC1">
        <w:t>organizacji międzynarodowe jak, IAEA, EEAS, IEA, Energy Community, ENTSO</w:t>
      </w:r>
      <w:r>
        <w:t>-</w:t>
      </w:r>
      <w:r w:rsidRPr="00653AC1">
        <w:t>E, UN.</w:t>
      </w:r>
    </w:p>
    <w:p w14:paraId="3C5840D2" w14:textId="77777777" w:rsidR="00A26106" w:rsidRPr="00653AC1" w:rsidRDefault="00A26106" w:rsidP="00A26106">
      <w:r w:rsidRPr="00706D80">
        <w:rPr>
          <w:b/>
          <w:bCs/>
          <w:i/>
          <w:iCs/>
        </w:rPr>
        <w:t>Opis i oczekiwane efekty</w:t>
      </w:r>
      <w:r w:rsidRPr="00653AC1">
        <w:t>: Polska wraz z Danią, Norwegią i Ukrainą współprzewodniczą w realizacji punktu 3</w:t>
      </w:r>
      <w:r>
        <w:t xml:space="preserve">. </w:t>
      </w:r>
      <w:r w:rsidRPr="00FF3596">
        <w:rPr>
          <w:i/>
          <w:iCs/>
        </w:rPr>
        <w:t>bezpieczeństwo energetyczne</w:t>
      </w:r>
      <w:r w:rsidRPr="00653AC1">
        <w:t xml:space="preserve"> Formuły Pokoju</w:t>
      </w:r>
      <w:r>
        <w:t>, będącej inicjatywą prezydenta</w:t>
      </w:r>
      <w:r w:rsidRPr="00653AC1">
        <w:t xml:space="preserve"> Ukrainy. W ramach prac grupy roboczej uzgodniono </w:t>
      </w:r>
      <w:r>
        <w:t xml:space="preserve">tzw. </w:t>
      </w:r>
      <w:r w:rsidRPr="00E65C76">
        <w:rPr>
          <w:i/>
        </w:rPr>
        <w:t>Concept Note</w:t>
      </w:r>
      <w:r>
        <w:t xml:space="preserve"> </w:t>
      </w:r>
      <w:r w:rsidRPr="00653AC1">
        <w:t>do</w:t>
      </w:r>
      <w:r>
        <w:t>tyczący</w:t>
      </w:r>
      <w:r w:rsidRPr="00653AC1">
        <w:t xml:space="preserve"> działań, jakie społeczność międzynarodowa może przedsięwziąć w celu opracowania modelu odporności energetycznej jako części wspólnej strategii ograniczania ryzyka zakłóceń bezpieczeństwa energetycznego, a także kolejnych kroków mających na celu realizację tych działań. Trzy główne filary osiągnięcia </w:t>
      </w:r>
      <w:r>
        <w:t>tego</w:t>
      </w:r>
      <w:r w:rsidRPr="00653AC1">
        <w:t xml:space="preserve"> celu to: </w:t>
      </w:r>
    </w:p>
    <w:p w14:paraId="20BB8FF5" w14:textId="77777777" w:rsidR="00A26106" w:rsidRPr="00653AC1" w:rsidRDefault="00A26106" w:rsidP="000625AC">
      <w:pPr>
        <w:pStyle w:val="Akapitzlist"/>
        <w:numPr>
          <w:ilvl w:val="0"/>
          <w:numId w:val="74"/>
        </w:numPr>
      </w:pPr>
      <w:r w:rsidRPr="00653AC1">
        <w:lastRenderedPageBreak/>
        <w:t>zapewnienie niezawodności dostaw energii (krótkoterminowy) w tym m.in. bieżące naprawy sieci, optymalizacja zużycia energii, inwestycje w sieć grzewczą, tworzenie nowych zapasów energii;</w:t>
      </w:r>
    </w:p>
    <w:p w14:paraId="568E7169" w14:textId="28A3D3F4" w:rsidR="00A26106" w:rsidRPr="00653AC1" w:rsidRDefault="00A26106" w:rsidP="000625AC">
      <w:pPr>
        <w:pStyle w:val="Akapitzlist"/>
        <w:numPr>
          <w:ilvl w:val="0"/>
          <w:numId w:val="74"/>
        </w:numPr>
      </w:pPr>
      <w:r w:rsidRPr="00653AC1">
        <w:t>opracowanie długoterminowego, odpornego systemu energetycznego w tym m.in. przebudowa sieci energetycznych, decentralizacja produkcji energii, integracja z sieciami UE, inwestycje w</w:t>
      </w:r>
      <w:r w:rsidR="00DA7F6E">
        <w:t> </w:t>
      </w:r>
      <w:r w:rsidRPr="00653AC1">
        <w:t>energetykę gazową, zwiększenie efektywności energetycznej, stopniowe wycofywanie się z</w:t>
      </w:r>
      <w:r w:rsidR="00DA7F6E">
        <w:t> </w:t>
      </w:r>
      <w:r w:rsidRPr="00653AC1">
        <w:t>węgla, samowystarczalność energetyczna, transformacja energetyczna i dywersyfikacja źródeł zaopatrzenia;</w:t>
      </w:r>
    </w:p>
    <w:p w14:paraId="31A1A6F5" w14:textId="77777777" w:rsidR="00A26106" w:rsidRPr="00653AC1" w:rsidRDefault="00A26106" w:rsidP="000625AC">
      <w:pPr>
        <w:pStyle w:val="Akapitzlist"/>
        <w:numPr>
          <w:ilvl w:val="0"/>
          <w:numId w:val="74"/>
        </w:numPr>
      </w:pPr>
      <w:r w:rsidRPr="00653AC1">
        <w:t>promowanie międzynarodowego bezpieczeństwa energetycznego, w tym m.in. przystąpienie U</w:t>
      </w:r>
      <w:r>
        <w:t>krainy</w:t>
      </w:r>
      <w:r w:rsidRPr="00653AC1">
        <w:t xml:space="preserve"> do międzynarodowych konwencji i umów dotyczących bezpieczeństwa energetycznego, zawieranie sojuszy energetycznych.</w:t>
      </w:r>
    </w:p>
    <w:p w14:paraId="4427A237" w14:textId="4915EFD2" w:rsidR="00A26106" w:rsidRPr="002C15A3" w:rsidRDefault="00A26106" w:rsidP="00A147C6">
      <w:pPr>
        <w:pStyle w:val="Nagwek5"/>
        <w:numPr>
          <w:ilvl w:val="0"/>
          <w:numId w:val="0"/>
        </w:numPr>
        <w:rPr>
          <w:color w:val="336600"/>
        </w:rPr>
      </w:pPr>
      <w:r w:rsidRPr="002C15A3">
        <w:rPr>
          <w:color w:val="336600"/>
        </w:rPr>
        <w:t xml:space="preserve">Infrastruktura energetyczna </w:t>
      </w:r>
    </w:p>
    <w:p w14:paraId="3F86E4EF" w14:textId="77777777" w:rsidR="00A26106" w:rsidRPr="00D07426" w:rsidRDefault="00A26106" w:rsidP="000625AC">
      <w:pPr>
        <w:pStyle w:val="Akapitzlist"/>
        <w:numPr>
          <w:ilvl w:val="0"/>
          <w:numId w:val="71"/>
        </w:numPr>
        <w:rPr>
          <w:szCs w:val="20"/>
          <w:lang w:val="en-US"/>
        </w:rPr>
      </w:pPr>
      <w:r w:rsidRPr="00D07426">
        <w:rPr>
          <w:szCs w:val="20"/>
          <w:lang w:val="en-US"/>
        </w:rPr>
        <w:t>BEMIP – The Baltic Energy Market Interconnection Plan</w:t>
      </w:r>
    </w:p>
    <w:p w14:paraId="35096D35" w14:textId="77777777" w:rsidR="00A26106" w:rsidRPr="00D361CD" w:rsidRDefault="00A26106" w:rsidP="00A26106">
      <w:pPr>
        <w:rPr>
          <w:szCs w:val="20"/>
        </w:rPr>
      </w:pPr>
      <w:r w:rsidRPr="002A7033">
        <w:rPr>
          <w:b/>
          <w:bCs/>
          <w:i/>
          <w:iCs/>
          <w:szCs w:val="20"/>
        </w:rPr>
        <w:t>Państwa/podmioty zaangażowane</w:t>
      </w:r>
      <w:r w:rsidRPr="00D361CD">
        <w:rPr>
          <w:szCs w:val="20"/>
        </w:rPr>
        <w:t xml:space="preserve">: </w:t>
      </w:r>
      <w:r w:rsidRPr="00076132">
        <w:rPr>
          <w:szCs w:val="20"/>
        </w:rPr>
        <w:t>Dania, Niemcy, Estonia, Łotwa, Litwa, Polska, Finlandia i Szwecja. Norwegia uczestniczy w charakterze obserwatora</w:t>
      </w:r>
    </w:p>
    <w:p w14:paraId="45AF4F90" w14:textId="300702F2" w:rsidR="00A26106" w:rsidRDefault="00A26106" w:rsidP="00A26106">
      <w:pPr>
        <w:rPr>
          <w:szCs w:val="20"/>
        </w:rPr>
      </w:pPr>
      <w:r w:rsidRPr="002A7033">
        <w:rPr>
          <w:b/>
          <w:bCs/>
          <w:i/>
          <w:iCs/>
          <w:szCs w:val="20"/>
        </w:rPr>
        <w:t>Opis i oczekiwane efekty</w:t>
      </w:r>
      <w:r w:rsidRPr="00D361CD">
        <w:rPr>
          <w:szCs w:val="20"/>
        </w:rPr>
        <w:t>:</w:t>
      </w:r>
      <w:r>
        <w:rPr>
          <w:szCs w:val="20"/>
        </w:rPr>
        <w:t xml:space="preserve"> BEMIP to g</w:t>
      </w:r>
      <w:r w:rsidRPr="00076132">
        <w:rPr>
          <w:szCs w:val="20"/>
        </w:rPr>
        <w:t xml:space="preserve">rupa </w:t>
      </w:r>
      <w:r>
        <w:rPr>
          <w:szCs w:val="20"/>
        </w:rPr>
        <w:t>w</w:t>
      </w:r>
      <w:r w:rsidRPr="00076132">
        <w:rPr>
          <w:szCs w:val="20"/>
        </w:rPr>
        <w:t xml:space="preserve">ysokiego </w:t>
      </w:r>
      <w:r>
        <w:rPr>
          <w:szCs w:val="20"/>
        </w:rPr>
        <w:t>s</w:t>
      </w:r>
      <w:r w:rsidRPr="00076132">
        <w:rPr>
          <w:szCs w:val="20"/>
        </w:rPr>
        <w:t>zczebla</w:t>
      </w:r>
      <w:r>
        <w:rPr>
          <w:szCs w:val="20"/>
        </w:rPr>
        <w:t>, która</w:t>
      </w:r>
      <w:r w:rsidRPr="00076132">
        <w:rPr>
          <w:szCs w:val="20"/>
        </w:rPr>
        <w:t xml:space="preserve"> wspiera transformację energetyczną w regionie Morza Bałtyckiego </w:t>
      </w:r>
      <w:r>
        <w:rPr>
          <w:szCs w:val="20"/>
        </w:rPr>
        <w:t>oraz</w:t>
      </w:r>
      <w:r w:rsidRPr="00076132">
        <w:rPr>
          <w:szCs w:val="20"/>
        </w:rPr>
        <w:t xml:space="preserve"> dąży do osiągnięcia otwartego i zintegrowanego rynku energii wśród krajów UE w regionie Morza Bałtyckiego.</w:t>
      </w:r>
      <w:r>
        <w:rPr>
          <w:szCs w:val="20"/>
        </w:rPr>
        <w:t xml:space="preserve"> To jedna z najstarszych i najbardziej zaawansowanych form współpracy regionalnej w obszarze infrastruktury energetycznej. </w:t>
      </w:r>
      <w:r w:rsidRPr="00113E03">
        <w:rPr>
          <w:szCs w:val="20"/>
        </w:rPr>
        <w:t>W</w:t>
      </w:r>
      <w:r>
        <w:rPr>
          <w:szCs w:val="20"/>
        </w:rPr>
        <w:t xml:space="preserve"> obszarze szczególnego zainteresowania BEMIP można zaliczyć w ostatnich latach następujące </w:t>
      </w:r>
      <w:r w:rsidRPr="00113E03">
        <w:rPr>
          <w:szCs w:val="20"/>
        </w:rPr>
        <w:t xml:space="preserve">wysiłki mające na celu dokończenie synchronizacji trzech </w:t>
      </w:r>
      <w:r w:rsidR="00D67A90">
        <w:rPr>
          <w:szCs w:val="20"/>
        </w:rPr>
        <w:t>krajów</w:t>
      </w:r>
      <w:r w:rsidR="00D67A90" w:rsidRPr="00113E03">
        <w:rPr>
          <w:szCs w:val="20"/>
        </w:rPr>
        <w:t xml:space="preserve"> </w:t>
      </w:r>
      <w:r w:rsidRPr="00113E03">
        <w:rPr>
          <w:szCs w:val="20"/>
        </w:rPr>
        <w:t>bałtyckich</w:t>
      </w:r>
      <w:r w:rsidR="00D67A90">
        <w:rPr>
          <w:szCs w:val="20"/>
        </w:rPr>
        <w:t xml:space="preserve"> (Litwa, Łotwa, Estonia)</w:t>
      </w:r>
      <w:r w:rsidRPr="00113E03">
        <w:rPr>
          <w:szCs w:val="20"/>
        </w:rPr>
        <w:t xml:space="preserve"> z sieciami europejskimi, zwiększenie zdolności przesyłowych w odległym obszarze nordyckim, rozwój regionalnego rynku gazu zdekarbonizowanego, działania na rzecz dekarbonizacji systemów gazowych w regionie oraz jak najlepsze wykorzystanie potencjału regionu w zakresie efektywności energetycznej i energii odnawialnej</w:t>
      </w:r>
      <w:r>
        <w:rPr>
          <w:szCs w:val="20"/>
        </w:rPr>
        <w:t>,</w:t>
      </w:r>
      <w:r w:rsidRPr="00113E03">
        <w:rPr>
          <w:szCs w:val="20"/>
        </w:rPr>
        <w:t xml:space="preserve"> zarówno na lądzie, jak i</w:t>
      </w:r>
      <w:r w:rsidR="00827E69">
        <w:rPr>
          <w:szCs w:val="20"/>
        </w:rPr>
        <w:t> </w:t>
      </w:r>
      <w:r w:rsidRPr="00113E03">
        <w:rPr>
          <w:szCs w:val="20"/>
        </w:rPr>
        <w:t>na morzu.</w:t>
      </w:r>
    </w:p>
    <w:p w14:paraId="718C21D3" w14:textId="1808C673" w:rsidR="00A26106" w:rsidRDefault="00A26106" w:rsidP="000625AC">
      <w:pPr>
        <w:pStyle w:val="Akapitzlist"/>
        <w:numPr>
          <w:ilvl w:val="0"/>
          <w:numId w:val="73"/>
        </w:numPr>
      </w:pPr>
      <w:r>
        <w:t>i</w:t>
      </w:r>
      <w:r w:rsidRPr="00D2562D">
        <w:t>nfrastruktura elektroenergetyczna</w:t>
      </w:r>
      <w:r>
        <w:t xml:space="preserve"> </w:t>
      </w:r>
      <w:r w:rsidR="00827E69">
        <w:t>–</w:t>
      </w:r>
      <w:r>
        <w:t xml:space="preserve"> s</w:t>
      </w:r>
      <w:r w:rsidRPr="00D2562D">
        <w:t xml:space="preserve">ynchronizacja </w:t>
      </w:r>
      <w:r>
        <w:t xml:space="preserve">trzech </w:t>
      </w:r>
      <w:r w:rsidR="00D67A90">
        <w:t xml:space="preserve">krajów </w:t>
      </w:r>
      <w:r>
        <w:t>b</w:t>
      </w:r>
      <w:r w:rsidRPr="00D2562D">
        <w:t>ałtyck</w:t>
      </w:r>
      <w:r>
        <w:t>ich z systemem nordyckim i Europy kontynentalnej</w:t>
      </w:r>
      <w:r w:rsidRPr="005E6F4C">
        <w:rPr>
          <w:szCs w:val="20"/>
        </w:rPr>
        <w:t>, zwiększenie zdolności przesyłowych w odległym obszarze nordyckim</w:t>
      </w:r>
      <w:r w:rsidR="00827E69">
        <w:rPr>
          <w:szCs w:val="20"/>
        </w:rPr>
        <w:t>,</w:t>
      </w:r>
    </w:p>
    <w:p w14:paraId="27FA85AD" w14:textId="27A8C864" w:rsidR="00A26106" w:rsidRPr="005E6F4C" w:rsidRDefault="00A26106" w:rsidP="000625AC">
      <w:pPr>
        <w:pStyle w:val="Akapitzlist"/>
        <w:numPr>
          <w:ilvl w:val="0"/>
          <w:numId w:val="73"/>
        </w:numPr>
        <w:rPr>
          <w:szCs w:val="20"/>
        </w:rPr>
      </w:pPr>
      <w:r>
        <w:rPr>
          <w:szCs w:val="20"/>
        </w:rPr>
        <w:t>r</w:t>
      </w:r>
      <w:r w:rsidRPr="005E6F4C">
        <w:rPr>
          <w:szCs w:val="20"/>
        </w:rPr>
        <w:t>ozwój OZE – w ostatnim czasie szczególnie w odniesieniu do morskiej energetyki wiatrowej</w:t>
      </w:r>
      <w:r w:rsidR="00827E69">
        <w:rPr>
          <w:szCs w:val="20"/>
        </w:rPr>
        <w:t>,</w:t>
      </w:r>
    </w:p>
    <w:p w14:paraId="50E71896" w14:textId="205F8FF4" w:rsidR="00A26106" w:rsidRPr="005E6F4C" w:rsidRDefault="00A26106" w:rsidP="000625AC">
      <w:pPr>
        <w:pStyle w:val="Akapitzlist"/>
        <w:numPr>
          <w:ilvl w:val="0"/>
          <w:numId w:val="73"/>
        </w:numPr>
        <w:rPr>
          <w:szCs w:val="20"/>
        </w:rPr>
      </w:pPr>
      <w:r>
        <w:rPr>
          <w:szCs w:val="20"/>
        </w:rPr>
        <w:t>i</w:t>
      </w:r>
      <w:r w:rsidRPr="005E6F4C">
        <w:rPr>
          <w:szCs w:val="20"/>
        </w:rPr>
        <w:t>nfrastruktura gazowa i dekarbonizacja gazów w regionie Morza Bałtyckiego – zapewnianie bezpiecznych dostaw gazu ziemnego oraz realizacja projektów wodorowych będących przedmiotem wspólnego zainteresowania (PCI)</w:t>
      </w:r>
      <w:r w:rsidR="00827E69">
        <w:rPr>
          <w:szCs w:val="20"/>
        </w:rPr>
        <w:t>.</w:t>
      </w:r>
    </w:p>
    <w:p w14:paraId="5C4C1D51" w14:textId="77777777" w:rsidR="00E70B73" w:rsidRPr="009065D5" w:rsidRDefault="00E70B73" w:rsidP="00E70B73">
      <w:pPr>
        <w:pStyle w:val="Akapitzlist"/>
        <w:spacing w:before="360"/>
        <w:rPr>
          <w:szCs w:val="20"/>
        </w:rPr>
      </w:pPr>
    </w:p>
    <w:p w14:paraId="364F5E7B" w14:textId="67F27A56" w:rsidR="00827E69" w:rsidRPr="00D07426" w:rsidRDefault="00827E69" w:rsidP="000625AC">
      <w:pPr>
        <w:pStyle w:val="Akapitzlist"/>
        <w:numPr>
          <w:ilvl w:val="0"/>
          <w:numId w:val="71"/>
        </w:numPr>
        <w:spacing w:before="360"/>
        <w:rPr>
          <w:szCs w:val="20"/>
          <w:lang w:val="en-US"/>
        </w:rPr>
      </w:pPr>
      <w:r w:rsidRPr="00D07426">
        <w:rPr>
          <w:szCs w:val="20"/>
          <w:lang w:val="en-US"/>
        </w:rPr>
        <w:t>CESEC – Central and South-Eastern Europe Energy Connectivity</w:t>
      </w:r>
    </w:p>
    <w:p w14:paraId="6CACB8EE" w14:textId="23B1D6A9" w:rsidR="00827E69" w:rsidRPr="00D361CD" w:rsidRDefault="00827E69" w:rsidP="00827E69">
      <w:pPr>
        <w:rPr>
          <w:szCs w:val="20"/>
        </w:rPr>
      </w:pPr>
      <w:r w:rsidRPr="002A7033">
        <w:rPr>
          <w:b/>
          <w:bCs/>
          <w:i/>
          <w:iCs/>
          <w:szCs w:val="20"/>
        </w:rPr>
        <w:t>Państwa/podmioty zaangażowane</w:t>
      </w:r>
      <w:r w:rsidRPr="00D361CD">
        <w:rPr>
          <w:szCs w:val="20"/>
        </w:rPr>
        <w:t xml:space="preserve">: </w:t>
      </w:r>
      <w:r w:rsidR="008D0942" w:rsidRPr="008D0942">
        <w:rPr>
          <w:szCs w:val="20"/>
        </w:rPr>
        <w:t>Austria, Bułgaria, Chorwacja, Grecja, Węgry, Włochy, Rumunia i</w:t>
      </w:r>
      <w:r w:rsidR="003825E7">
        <w:rPr>
          <w:szCs w:val="20"/>
        </w:rPr>
        <w:t> </w:t>
      </w:r>
      <w:r w:rsidR="008D0942" w:rsidRPr="008D0942">
        <w:rPr>
          <w:szCs w:val="20"/>
        </w:rPr>
        <w:t>Słowenia</w:t>
      </w:r>
      <w:r w:rsidR="008D0942">
        <w:rPr>
          <w:szCs w:val="20"/>
        </w:rPr>
        <w:t>, a także</w:t>
      </w:r>
      <w:r w:rsidR="008D0942" w:rsidRPr="008D0942">
        <w:rPr>
          <w:szCs w:val="20"/>
        </w:rPr>
        <w:t xml:space="preserve"> Albania, Bośnia i Hercegowina, Kosowo, Czarnogóra, Republika Mołdawii, Republika Macedonii Północnej, Serbia i Ukraina jako </w:t>
      </w:r>
      <w:hyperlink r:id="rId121" w:history="1">
        <w:r w:rsidR="008D0942" w:rsidRPr="008D0942">
          <w:rPr>
            <w:rStyle w:val="Hipercze"/>
            <w:szCs w:val="20"/>
          </w:rPr>
          <w:t xml:space="preserve"> strony </w:t>
        </w:r>
      </w:hyperlink>
      <w:r w:rsidR="008D0942" w:rsidRPr="008D0942">
        <w:rPr>
          <w:szCs w:val="20"/>
        </w:rPr>
        <w:t>Wspólnoty Energetycznej</w:t>
      </w:r>
    </w:p>
    <w:p w14:paraId="5C8D2DBF" w14:textId="317B70A2" w:rsidR="008831D2" w:rsidRDefault="00827E69" w:rsidP="00827E69">
      <w:pPr>
        <w:rPr>
          <w:szCs w:val="20"/>
        </w:rPr>
      </w:pPr>
      <w:r w:rsidRPr="002A7033">
        <w:rPr>
          <w:b/>
          <w:bCs/>
          <w:i/>
          <w:iCs/>
          <w:szCs w:val="20"/>
        </w:rPr>
        <w:t>Opis i oczekiwane efekty</w:t>
      </w:r>
      <w:r w:rsidRPr="00D361CD">
        <w:rPr>
          <w:szCs w:val="20"/>
        </w:rPr>
        <w:t>:</w:t>
      </w:r>
      <w:r w:rsidR="008D0942">
        <w:rPr>
          <w:szCs w:val="20"/>
        </w:rPr>
        <w:t xml:space="preserve"> </w:t>
      </w:r>
      <w:r w:rsidR="008831D2">
        <w:rPr>
          <w:szCs w:val="20"/>
        </w:rPr>
        <w:t xml:space="preserve">CESEC to platforma </w:t>
      </w:r>
      <w:r w:rsidR="008831D2" w:rsidRPr="008831D2">
        <w:rPr>
          <w:szCs w:val="20"/>
        </w:rPr>
        <w:t xml:space="preserve">mająca na celu poprawę integracji rynków energetycznych, rozwój odnawialnych źródeł energii oraz </w:t>
      </w:r>
      <w:r w:rsidR="008831D2">
        <w:rPr>
          <w:szCs w:val="20"/>
        </w:rPr>
        <w:t xml:space="preserve">poprawy efektywności energetycznej </w:t>
      </w:r>
      <w:r w:rsidR="008831D2" w:rsidRPr="008831D2">
        <w:rPr>
          <w:szCs w:val="20"/>
        </w:rPr>
        <w:t>w regionie Europy Środkowo-Wschodniej i Południowo-Wschodniej. Została utworzona w 2015 r</w:t>
      </w:r>
      <w:r w:rsidR="008831D2">
        <w:rPr>
          <w:szCs w:val="20"/>
        </w:rPr>
        <w:t>.</w:t>
      </w:r>
      <w:r w:rsidR="008831D2" w:rsidRPr="008831D2">
        <w:rPr>
          <w:szCs w:val="20"/>
        </w:rPr>
        <w:t xml:space="preserve">, a jej celem jest koordynacja projektów transgranicznych, które umożliwią dywersyfikację źródeł gazu i </w:t>
      </w:r>
      <w:r w:rsidR="008831D2">
        <w:rPr>
          <w:szCs w:val="20"/>
        </w:rPr>
        <w:t>energii elektrycznej</w:t>
      </w:r>
      <w:r w:rsidR="008831D2" w:rsidRPr="008831D2">
        <w:rPr>
          <w:szCs w:val="20"/>
        </w:rPr>
        <w:t>, a także zwiększą efektywność energetyczną i inwestycje w odnawialne źródła energii. CESEC dąży do budowy zintegrowanych rynków energii elektrycznej i gazowej, a także wsparcia rozwoju infrastruktury energetycznej w regionie.</w:t>
      </w:r>
    </w:p>
    <w:p w14:paraId="6E595372" w14:textId="58DBBAC6" w:rsidR="00FC64C9" w:rsidRPr="00D361CD" w:rsidRDefault="00827E69" w:rsidP="00FC64C9">
      <w:pPr>
        <w:rPr>
          <w:szCs w:val="20"/>
        </w:rPr>
      </w:pPr>
      <w:r w:rsidRPr="002A7033">
        <w:rPr>
          <w:b/>
          <w:bCs/>
          <w:i/>
          <w:iCs/>
          <w:szCs w:val="20"/>
        </w:rPr>
        <w:t xml:space="preserve">Okres </w:t>
      </w:r>
      <w:r w:rsidR="00FC64C9">
        <w:rPr>
          <w:b/>
          <w:bCs/>
          <w:i/>
          <w:iCs/>
          <w:szCs w:val="20"/>
        </w:rPr>
        <w:t>wdrażania:</w:t>
      </w:r>
      <w:r w:rsidR="008831D2">
        <w:rPr>
          <w:szCs w:val="20"/>
        </w:rPr>
        <w:t xml:space="preserve"> </w:t>
      </w:r>
      <w:r w:rsidR="00FC64C9">
        <w:rPr>
          <w:szCs w:val="20"/>
        </w:rPr>
        <w:t xml:space="preserve">aktualnie podejmowane inicjatywy mają perspektywę 2030 r., szczególnie w oparciu o Memoranum of Understanding z 2017 r. </w:t>
      </w:r>
    </w:p>
    <w:p w14:paraId="271D45D2" w14:textId="77777777" w:rsidR="00A26106" w:rsidRPr="002C15A3" w:rsidRDefault="00A26106" w:rsidP="00A147C6">
      <w:pPr>
        <w:pStyle w:val="Nagwek5"/>
        <w:numPr>
          <w:ilvl w:val="0"/>
          <w:numId w:val="0"/>
        </w:numPr>
        <w:rPr>
          <w:color w:val="336600"/>
        </w:rPr>
      </w:pPr>
      <w:r w:rsidRPr="002C15A3">
        <w:rPr>
          <w:color w:val="336600"/>
        </w:rPr>
        <w:lastRenderedPageBreak/>
        <w:t>Ciepłownictwo</w:t>
      </w:r>
    </w:p>
    <w:p w14:paraId="290C5A4A" w14:textId="77777777" w:rsidR="00A26106" w:rsidRPr="003A1DC0" w:rsidRDefault="00A26106" w:rsidP="000625AC">
      <w:pPr>
        <w:pStyle w:val="Akapitzlist"/>
        <w:numPr>
          <w:ilvl w:val="0"/>
          <w:numId w:val="76"/>
        </w:numPr>
        <w:rPr>
          <w:b/>
          <w:bCs/>
          <w:i/>
          <w:iCs/>
          <w:szCs w:val="20"/>
        </w:rPr>
      </w:pPr>
      <w:r>
        <w:rPr>
          <w:szCs w:val="20"/>
        </w:rPr>
        <w:t xml:space="preserve">Projekt transgraniczny </w:t>
      </w:r>
      <w:r w:rsidRPr="00C612F1">
        <w:t>United Heat</w:t>
      </w:r>
    </w:p>
    <w:p w14:paraId="59F089EB" w14:textId="77777777" w:rsidR="00A26106" w:rsidRPr="00D361CD" w:rsidRDefault="00A26106" w:rsidP="00A26106">
      <w:pPr>
        <w:rPr>
          <w:szCs w:val="20"/>
        </w:rPr>
      </w:pPr>
      <w:r w:rsidRPr="002A7033">
        <w:rPr>
          <w:b/>
          <w:bCs/>
          <w:i/>
          <w:iCs/>
          <w:szCs w:val="20"/>
        </w:rPr>
        <w:t>Państwa/podmioty zaangażowane</w:t>
      </w:r>
      <w:r w:rsidRPr="00D361CD">
        <w:rPr>
          <w:szCs w:val="20"/>
        </w:rPr>
        <w:t xml:space="preserve">: </w:t>
      </w:r>
      <w:r>
        <w:rPr>
          <w:szCs w:val="20"/>
        </w:rPr>
        <w:t>Zgorzelec w Polsce, Gorlitz w Niemczech</w:t>
      </w:r>
    </w:p>
    <w:p w14:paraId="516A6997" w14:textId="7884E3AA" w:rsidR="00A26106" w:rsidRDefault="00A26106" w:rsidP="00A26106">
      <w:r w:rsidRPr="002A7033">
        <w:rPr>
          <w:b/>
          <w:bCs/>
          <w:i/>
          <w:iCs/>
          <w:szCs w:val="20"/>
        </w:rPr>
        <w:t>Opis i oczekiwane efekty</w:t>
      </w:r>
      <w:r w:rsidRPr="00D361CD">
        <w:rPr>
          <w:szCs w:val="20"/>
        </w:rPr>
        <w:t>:</w:t>
      </w:r>
      <w:r>
        <w:rPr>
          <w:szCs w:val="20"/>
        </w:rPr>
        <w:t xml:space="preserve"> Realizacja porozumienia dotyczącego dwóch miejscowości pogranicza Polski i Niemiec ma niewielką skalę w ujęciu krajowym czy regionalnym, ale zasługuje na dostrzeżenie, ze</w:t>
      </w:r>
      <w:r w:rsidR="003825E7">
        <w:rPr>
          <w:szCs w:val="20"/>
        </w:rPr>
        <w:t> </w:t>
      </w:r>
      <w:r>
        <w:rPr>
          <w:szCs w:val="20"/>
        </w:rPr>
        <w:t xml:space="preserve">względu na dobrą praktykę. </w:t>
      </w:r>
      <w:r w:rsidRPr="003A1DC0">
        <w:t xml:space="preserve">Współpraca </w:t>
      </w:r>
      <w:r>
        <w:t xml:space="preserve">Polski i Niemiec odbywa się </w:t>
      </w:r>
      <w:r w:rsidRPr="003A1DC0">
        <w:t>w ramach</w:t>
      </w:r>
      <w:r>
        <w:t xml:space="preserve"> </w:t>
      </w:r>
      <w:r w:rsidRPr="003A1DC0">
        <w:t>porozumienia dwustronnego, w którym poparły projekt</w:t>
      </w:r>
      <w:r>
        <w:t xml:space="preserve"> </w:t>
      </w:r>
      <w:r w:rsidRPr="003A1DC0">
        <w:t>transgraniczny Gorlitz-Zgorzelec. Spółka SEC Zgorzelec</w:t>
      </w:r>
      <w:r>
        <w:t xml:space="preserve"> </w:t>
      </w:r>
      <w:r w:rsidRPr="003A1DC0">
        <w:t xml:space="preserve">i jej partner Stadtwerke Goerlitz </w:t>
      </w:r>
      <w:r>
        <w:t xml:space="preserve">zaaplikowały </w:t>
      </w:r>
      <w:r w:rsidRPr="003A1DC0">
        <w:t>o dofinansowanie ze środków unijny</w:t>
      </w:r>
      <w:r>
        <w:t xml:space="preserve">ch na </w:t>
      </w:r>
      <w:r w:rsidRPr="00C612F1">
        <w:t>budowę nowej ciepłowni biomasowej</w:t>
      </w:r>
      <w:r>
        <w:t xml:space="preserve">, </w:t>
      </w:r>
      <w:r w:rsidRPr="00C612F1">
        <w:t xml:space="preserve">instalację </w:t>
      </w:r>
      <w:r>
        <w:t xml:space="preserve">instalacji </w:t>
      </w:r>
      <w:r w:rsidRPr="00C612F1">
        <w:t>solar</w:t>
      </w:r>
      <w:r>
        <w:t xml:space="preserve">nej do podgrzewania ciepłej wody, z magazynem ciepła. </w:t>
      </w:r>
      <w:r w:rsidRPr="00071345">
        <w:t>Celem jest stworzenie ekologicznej, neutralnej dla klimatu sieci ciepłowniczej, która pozwoli na redukcję emisji</w:t>
      </w:r>
      <w:r>
        <w:t xml:space="preserve"> G</w:t>
      </w:r>
      <w:r w:rsidR="00630061">
        <w:t>HG</w:t>
      </w:r>
      <w:r>
        <w:t xml:space="preserve">, a od 2027 r. umożliwi odejście od węgla w tych przedsiębiorstwach. </w:t>
      </w:r>
    </w:p>
    <w:p w14:paraId="7A61B6C5" w14:textId="77777777" w:rsidR="00A26106" w:rsidRPr="007B0DD2" w:rsidRDefault="00A26106" w:rsidP="00A147C6">
      <w:pPr>
        <w:pStyle w:val="Nagwek5"/>
        <w:numPr>
          <w:ilvl w:val="0"/>
          <w:numId w:val="0"/>
        </w:numPr>
        <w:rPr>
          <w:color w:val="336600"/>
        </w:rPr>
      </w:pPr>
      <w:r w:rsidRPr="007B0DD2">
        <w:rPr>
          <w:color w:val="336600"/>
        </w:rPr>
        <w:t>Energetyka jądrowa</w:t>
      </w:r>
    </w:p>
    <w:p w14:paraId="11AD9982" w14:textId="1D1EDB88" w:rsidR="00A26106" w:rsidRDefault="00A26106" w:rsidP="000625AC">
      <w:pPr>
        <w:pStyle w:val="Akapitzlist"/>
        <w:numPr>
          <w:ilvl w:val="0"/>
          <w:numId w:val="71"/>
        </w:numPr>
      </w:pPr>
      <w:r>
        <w:t>Współpraca międzynarodowa w zakresie energetyki jądrowej realizowana jest w ramach stosunkowo wielu formuł, należą do nich przede wszystkim: Europejska Wspólnota Energii Atomowej (Euratom), Międzynarodowa Agencja Energii Atomowej (IAEA), Agencja Energii Jądrowej Organizacji Współpracy Gospodarczej i Rozwoju (NEA OECD), Grupa Szefów Europejskich Urzędów Dozoru Radiologicznego (HERCA), Zachodnioeuropejskie Stowarzyszenie Dozorów Jądrowych (WENRA), Rada Państw Morza Bałtyckiego (RPMB), Europejskie Stowarzyszenie Regulatorów Ochrony Fizycznej (ENSRA), Europejskie Towarzystwo Badań i</w:t>
      </w:r>
      <w:r w:rsidR="003825E7">
        <w:t> </w:t>
      </w:r>
      <w:r>
        <w:t>Rozwoju Zabezpieczeń Materiałów Jądrowych (ESARDA). Współpraca w ramach tych organizacji służy zwiększaniu kompetencji oraz wdrażaniu dobrych praktyk poprzez wymianę wiedzy i doświadczeń.</w:t>
      </w:r>
    </w:p>
    <w:p w14:paraId="4BE6C01B" w14:textId="77777777" w:rsidR="00A26106" w:rsidRDefault="00A26106" w:rsidP="000625AC">
      <w:pPr>
        <w:pStyle w:val="Akapitzlist"/>
        <w:numPr>
          <w:ilvl w:val="0"/>
          <w:numId w:val="71"/>
        </w:numPr>
      </w:pPr>
      <w:r>
        <w:t>Ze względu na eksploatację elektrowni jądrowych w bliskim sąsiedztwie granic Polski, a także planowaną inwestycją w Polsce, kluczowa jest współpraca z dozorami jądrowymi krajów sąsiadujących, realizowana na podstawie międzyrządowych umów dotyczących wczesnego powiadamiania o awarii jądrowej i współpracy w dziedzinie bezpieczeństwa jądrowego i ochrony radiologicznej. Z tego względu Państwowa Agencja Atomistyki zawarła umowy ze wszystkimi krajami graniczącymi z Polską, a także z Austrią, Danią i Norwegią.</w:t>
      </w:r>
    </w:p>
    <w:p w14:paraId="282FA36C" w14:textId="6D8EA8D1" w:rsidR="007E1E4D" w:rsidRPr="00E70B73" w:rsidRDefault="00A26106" w:rsidP="000625AC">
      <w:pPr>
        <w:pStyle w:val="Akapitzlist"/>
        <w:numPr>
          <w:ilvl w:val="0"/>
          <w:numId w:val="71"/>
        </w:numPr>
      </w:pPr>
      <w:r>
        <w:t>W ramach Unii Europejskiej Polska bierze udział w pracach Grupy Roboczej Rady UE ds.</w:t>
      </w:r>
      <w:r w:rsidR="003825E7">
        <w:t> </w:t>
      </w:r>
      <w:r>
        <w:t>Jądrowych, na której dyskutowane są dokumenty legislacyjne i pozalegislacyjne w zakresie Wspólnoty Euratom. Polska uczestniczy w koalicji państw projądrowych i występuje ze</w:t>
      </w:r>
      <w:r w:rsidR="003825E7">
        <w:t> </w:t>
      </w:r>
      <w:r>
        <w:t>stanowiskami wspierającymi rozwój energetyki jądrowej w UE, warunki inwestycyjne w</w:t>
      </w:r>
      <w:r w:rsidR="003825E7">
        <w:t> </w:t>
      </w:r>
      <w:r>
        <w:t>sektorze oraz zwiększenie środków na badania i rozwój jądrowy. Monitorowane są również i</w:t>
      </w:r>
      <w:r w:rsidR="003825E7">
        <w:t> </w:t>
      </w:r>
      <w:r>
        <w:t>w</w:t>
      </w:r>
      <w:r w:rsidR="003825E7">
        <w:t> </w:t>
      </w:r>
      <w:r>
        <w:t>razie potrzeby podejmowane interwencje w ramach prac pozostałych grup roboczych Rady UE w sprawach istotnych dla rozwoju energetyki jądrowej, np. ds. środowiskowych.</w:t>
      </w:r>
      <w:r w:rsidR="007E1E4D">
        <w:br w:type="page"/>
      </w:r>
    </w:p>
    <w:p w14:paraId="55FAF96C" w14:textId="796EBC02" w:rsidR="006C6123" w:rsidRPr="0085601A" w:rsidRDefault="006C6123" w:rsidP="006C6123">
      <w:pPr>
        <w:pStyle w:val="Nagwek1"/>
        <w:numPr>
          <w:ilvl w:val="0"/>
          <w:numId w:val="0"/>
        </w:numPr>
        <w:ind w:left="432" w:hanging="432"/>
      </w:pPr>
      <w:bookmarkStart w:id="1474" w:name="_Toc195897414"/>
      <w:bookmarkStart w:id="1475" w:name="_Toc205203244"/>
      <w:bookmarkEnd w:id="1472"/>
      <w:r w:rsidRPr="0085601A">
        <w:lastRenderedPageBreak/>
        <w:t>Wykaz regulacji UE</w:t>
      </w:r>
      <w:r w:rsidR="00517CE9" w:rsidRPr="0085601A">
        <w:t xml:space="preserve"> (i nazwy </w:t>
      </w:r>
      <w:r w:rsidR="00D84AAA" w:rsidRPr="0085601A">
        <w:t>zwyczajowe</w:t>
      </w:r>
      <w:r w:rsidR="00517CE9" w:rsidRPr="0085601A">
        <w:t>)</w:t>
      </w:r>
      <w:bookmarkEnd w:id="1459"/>
      <w:bookmarkEnd w:id="1474"/>
      <w:bookmarkEnd w:id="1475"/>
    </w:p>
    <w:p w14:paraId="1AD96DB4" w14:textId="449A2AA2" w:rsidR="00917DCD" w:rsidRPr="0085601A" w:rsidRDefault="00917DCD" w:rsidP="00917DCD">
      <w:bookmarkStart w:id="1476" w:name="_Hlk195806391"/>
      <w:r w:rsidRPr="0085601A">
        <w:rPr>
          <w:b/>
          <w:bCs/>
        </w:rPr>
        <w:t>dyrektywa 94/62/WE</w:t>
      </w:r>
      <w:r w:rsidRPr="0085601A">
        <w:t xml:space="preserve"> </w:t>
      </w:r>
      <w:r w:rsidRPr="00B10343">
        <w:rPr>
          <w:b/>
          <w:bCs/>
        </w:rPr>
        <w:t>w sprawie opakowań i odpadów opakowaniowych</w:t>
      </w:r>
      <w:r w:rsidRPr="0085601A">
        <w:t xml:space="preserve"> – dyrektywa 94/62/WE </w:t>
      </w:r>
      <w:r w:rsidR="00B67916">
        <w:t>Parlamentu Europejskiego</w:t>
      </w:r>
      <w:r w:rsidRPr="0085601A">
        <w:t xml:space="preserve"> i</w:t>
      </w:r>
      <w:r w:rsidR="00B67916">
        <w:t xml:space="preserve"> </w:t>
      </w:r>
      <w:r w:rsidRPr="0085601A">
        <w:t xml:space="preserve">Rady z dnia 20 grudnia 1994 r. w sprawie opakowań i odpadów opakowaniowych, </w:t>
      </w:r>
      <w:hyperlink r:id="rId122" w:history="1">
        <w:r w:rsidRPr="0085601A">
          <w:rPr>
            <w:rStyle w:val="Hipercze"/>
          </w:rPr>
          <w:t>link</w:t>
        </w:r>
      </w:hyperlink>
      <w:r w:rsidR="00A777C2">
        <w:t>,</w:t>
      </w:r>
      <w:r w:rsidR="00A777C2" w:rsidRPr="00A777C2">
        <w:t xml:space="preserve"> </w:t>
      </w:r>
      <w:r w:rsidR="00A777C2">
        <w:t xml:space="preserve">częściowo straci moc z dniem 12 sierpnia 2026 r. w związku z obowiązywaniem rozporządzenia </w:t>
      </w:r>
      <w:r w:rsidR="00B67916">
        <w:t>Parlamentu Europejskiego</w:t>
      </w:r>
      <w:r w:rsidR="00A777C2" w:rsidRPr="00F26158">
        <w:t xml:space="preserve"> i Rady (UE) 2025/40 z dnia 19 grudnia 2024 r. w sprawie opakowań i odpadów opakowaniowych, zmiany rozporządzenia (UE) 2019/1020 i dyrektywy (UE) 2019/904 oraz uchylenia dyrektywy 94/62/WE</w:t>
      </w:r>
      <w:r w:rsidR="00A777C2">
        <w:t xml:space="preserve">, </w:t>
      </w:r>
      <w:hyperlink r:id="rId123" w:history="1">
        <w:r w:rsidR="00A777C2" w:rsidRPr="00801EC9">
          <w:rPr>
            <w:rStyle w:val="Hipercze"/>
          </w:rPr>
          <w:t>link</w:t>
        </w:r>
      </w:hyperlink>
    </w:p>
    <w:p w14:paraId="17B01464" w14:textId="7E0976A0" w:rsidR="00DA6E66" w:rsidRDefault="00DA6E66" w:rsidP="00DA6E66">
      <w:r w:rsidRPr="0085601A">
        <w:rPr>
          <w:b/>
          <w:bCs/>
        </w:rPr>
        <w:t>dyrektywa 1999/31/WE</w:t>
      </w:r>
      <w:r w:rsidRPr="0085601A">
        <w:t xml:space="preserve"> </w:t>
      </w:r>
      <w:r w:rsidRPr="00B10343">
        <w:rPr>
          <w:b/>
          <w:bCs/>
        </w:rPr>
        <w:t>w sprawie składowania odpadów</w:t>
      </w:r>
      <w:r w:rsidRPr="0085601A">
        <w:t xml:space="preserve"> – dyrektywa 1999/31/WE Rady z dnia 26 kwietnia 1999 r. w sprawie składowania</w:t>
      </w:r>
      <w:r>
        <w:t xml:space="preserve"> odpadów, </w:t>
      </w:r>
      <w:hyperlink r:id="rId124" w:history="1">
        <w:r w:rsidRPr="003A6111">
          <w:rPr>
            <w:rStyle w:val="Hipercze"/>
          </w:rPr>
          <w:t>link</w:t>
        </w:r>
      </w:hyperlink>
      <w:r>
        <w:t xml:space="preserve"> </w:t>
      </w:r>
    </w:p>
    <w:p w14:paraId="4D997EE2" w14:textId="14EF50C4" w:rsidR="00DA6E66" w:rsidRPr="00282168" w:rsidRDefault="00DA6E66" w:rsidP="00DA6E66">
      <w:r w:rsidRPr="00A87EED">
        <w:rPr>
          <w:b/>
          <w:bCs/>
        </w:rPr>
        <w:t>dyrektywa 2000/53/WE</w:t>
      </w:r>
      <w:r>
        <w:t xml:space="preserve"> </w:t>
      </w:r>
      <w:r w:rsidRPr="00B10343">
        <w:rPr>
          <w:b/>
          <w:bCs/>
        </w:rPr>
        <w:t>w sprawie pojazdów wycofanych z eksploatacji</w:t>
      </w:r>
      <w:r>
        <w:t xml:space="preserve"> – dyr</w:t>
      </w:r>
      <w:r w:rsidRPr="003A6111">
        <w:t xml:space="preserve">ektywa </w:t>
      </w:r>
      <w:r>
        <w:t xml:space="preserve">2000/53/WE </w:t>
      </w:r>
      <w:r w:rsidR="00B67916">
        <w:t xml:space="preserve">Parlamentu Europejskiego </w:t>
      </w:r>
      <w:r>
        <w:t>i</w:t>
      </w:r>
      <w:r w:rsidR="00B67916">
        <w:t xml:space="preserve"> </w:t>
      </w:r>
      <w:r>
        <w:t>Rady z dnia 18 września 2000 r. w sprawie pojazdów wycofanych z</w:t>
      </w:r>
      <w:r w:rsidR="003825E7">
        <w:t> </w:t>
      </w:r>
      <w:r>
        <w:t xml:space="preserve">eksploatacji, </w:t>
      </w:r>
      <w:hyperlink r:id="rId125" w:history="1">
        <w:r w:rsidRPr="00282168">
          <w:rPr>
            <w:rStyle w:val="Hipercze"/>
          </w:rPr>
          <w:t>link</w:t>
        </w:r>
      </w:hyperlink>
    </w:p>
    <w:p w14:paraId="7AF815E9" w14:textId="731E5020" w:rsidR="007D7C94" w:rsidRDefault="007D7C94" w:rsidP="00CB6433">
      <w:r w:rsidRPr="007D7C94">
        <w:rPr>
          <w:b/>
          <w:bCs/>
        </w:rPr>
        <w:t>ramowa dyrektywa wodna</w:t>
      </w:r>
      <w:r>
        <w:t xml:space="preserve"> – dyrektywa 2000/60/WE </w:t>
      </w:r>
      <w:r w:rsidR="00B67916">
        <w:t>Parlamentu Europejskiego</w:t>
      </w:r>
      <w:r>
        <w:t xml:space="preserve"> i</w:t>
      </w:r>
      <w:r w:rsidR="00917DCD">
        <w:t xml:space="preserve"> </w:t>
      </w:r>
      <w:r>
        <w:t xml:space="preserve">Rady z dnia 23 października 2000 r. </w:t>
      </w:r>
      <w:r w:rsidRPr="006E2A5E">
        <w:t>ustanawiająca ramy wspólnotowego działania w dziedzinie polityki wodnej</w:t>
      </w:r>
      <w:r>
        <w:t xml:space="preserve">, </w:t>
      </w:r>
      <w:hyperlink r:id="rId126" w:history="1">
        <w:r w:rsidRPr="007D7C94">
          <w:rPr>
            <w:rStyle w:val="Hipercze"/>
          </w:rPr>
          <w:t>link</w:t>
        </w:r>
      </w:hyperlink>
    </w:p>
    <w:p w14:paraId="56974AC0" w14:textId="3BFA25FA" w:rsidR="00933839" w:rsidRPr="00933839" w:rsidRDefault="00933839" w:rsidP="00933839">
      <w:r w:rsidRPr="00B97958">
        <w:rPr>
          <w:b/>
          <w:bCs/>
        </w:rPr>
        <w:t xml:space="preserve">dyrektywa </w:t>
      </w:r>
      <w:r w:rsidR="00EF7343" w:rsidRPr="00B97958">
        <w:rPr>
          <w:b/>
          <w:bCs/>
        </w:rPr>
        <w:t xml:space="preserve">2004/107/WE </w:t>
      </w:r>
      <w:r w:rsidR="00D82112" w:rsidRPr="00B97958">
        <w:rPr>
          <w:b/>
          <w:bCs/>
        </w:rPr>
        <w:t>w sprawie jakości powietrza</w:t>
      </w:r>
      <w:r w:rsidR="00EF7343">
        <w:t xml:space="preserve"> – dyrektywa</w:t>
      </w:r>
      <w:r w:rsidR="00D82112">
        <w:t xml:space="preserve"> </w:t>
      </w:r>
      <w:r w:rsidRPr="00933839">
        <w:t xml:space="preserve">2004/107/WE </w:t>
      </w:r>
      <w:r w:rsidR="00B67916">
        <w:t>Parlamentu Europejskiego</w:t>
      </w:r>
      <w:r w:rsidR="00EF7343">
        <w:t xml:space="preserve"> </w:t>
      </w:r>
      <w:r w:rsidRPr="00933839">
        <w:t>i Rady z dnia 15</w:t>
      </w:r>
      <w:r w:rsidR="00EF7343">
        <w:t> </w:t>
      </w:r>
      <w:r w:rsidRPr="00933839">
        <w:t>grudnia 2004 r. w sprawie arsenu, kadmu, rtęci, niklu i</w:t>
      </w:r>
      <w:r w:rsidR="003825E7">
        <w:t> </w:t>
      </w:r>
      <w:r w:rsidRPr="00933839">
        <w:t xml:space="preserve">wielopierścieniowych węglowodorów aromatycznych w otaczającym powietrzu, </w:t>
      </w:r>
      <w:hyperlink r:id="rId127" w:history="1">
        <w:r w:rsidR="00EF7343" w:rsidRPr="00B10343">
          <w:rPr>
            <w:rStyle w:val="Hipercze"/>
          </w:rPr>
          <w:t>link</w:t>
        </w:r>
      </w:hyperlink>
    </w:p>
    <w:p w14:paraId="2660B673" w14:textId="05D84FCC" w:rsidR="00917DCD" w:rsidRDefault="00917DCD" w:rsidP="00CB6433">
      <w:pPr>
        <w:rPr>
          <w:rStyle w:val="Hipercze"/>
        </w:rPr>
      </w:pPr>
      <w:r w:rsidRPr="00A87EED">
        <w:rPr>
          <w:b/>
          <w:bCs/>
        </w:rPr>
        <w:t>dyrektywa 2006/66/UE</w:t>
      </w:r>
      <w:r>
        <w:t xml:space="preserve"> </w:t>
      </w:r>
      <w:r w:rsidRPr="00B10343">
        <w:rPr>
          <w:b/>
          <w:bCs/>
        </w:rPr>
        <w:t>w sprawie baterii i akumulatorów oraz zużytych baterii</w:t>
      </w:r>
      <w:r>
        <w:t xml:space="preserve"> – dyrektywa </w:t>
      </w:r>
      <w:r w:rsidRPr="003A6111">
        <w:t xml:space="preserve">2006/66/UE </w:t>
      </w:r>
      <w:r w:rsidR="00B67916">
        <w:t>Parlamentu Europejskiego</w:t>
      </w:r>
      <w:r>
        <w:t xml:space="preserve"> i Rady </w:t>
      </w:r>
      <w:r w:rsidRPr="003A6111">
        <w:t>z dnia 6 września 2006 r. w sprawie baterii i akumulatorów oraz zużytych baterii i akumulatorów oraz uchylająca dyrektywę 91/157/EWG</w:t>
      </w:r>
      <w:r>
        <w:t>,</w:t>
      </w:r>
      <w:r w:rsidR="00A034EC">
        <w:t xml:space="preserve"> </w:t>
      </w:r>
      <w:r w:rsidR="00DB230A">
        <w:t xml:space="preserve">częściowo straci moc z dniem 18 sierpnia 2025 r. w związku z obowiązywaniem </w:t>
      </w:r>
      <w:r w:rsidR="00DB230A" w:rsidRPr="000B5801">
        <w:t>rozporządzeni</w:t>
      </w:r>
      <w:r w:rsidR="00DB230A">
        <w:t xml:space="preserve">a 2023/1542 </w:t>
      </w:r>
      <w:r w:rsidR="00B67916">
        <w:t>Parlamentu Europejskiego</w:t>
      </w:r>
      <w:r w:rsidR="00DB230A">
        <w:t xml:space="preserve"> i Rady (UE) </w:t>
      </w:r>
      <w:r w:rsidR="00DB230A" w:rsidRPr="003A6111">
        <w:t>z dnia 12 lipca 2023 r. w sprawie baterii i zużytych baterii, zmieniające dyrektywę 2008/98/WE i rozporządzenie (UE) 2019/1020 oraz uchylające dyrektywę 2006/66/WE</w:t>
      </w:r>
      <w:r w:rsidR="00A034EC">
        <w:t>,</w:t>
      </w:r>
      <w:r>
        <w:t xml:space="preserve"> </w:t>
      </w:r>
      <w:hyperlink r:id="rId128" w:history="1">
        <w:r w:rsidRPr="003A6111">
          <w:rPr>
            <w:rStyle w:val="Hipercze"/>
          </w:rPr>
          <w:t>link</w:t>
        </w:r>
      </w:hyperlink>
    </w:p>
    <w:p w14:paraId="7DC5767C" w14:textId="068FB932" w:rsidR="00CB6433" w:rsidRDefault="006A7033" w:rsidP="00CB6433">
      <w:r w:rsidRPr="006A7033">
        <w:rPr>
          <w:b/>
          <w:bCs/>
        </w:rPr>
        <w:t>dyrektywa odpadowa</w:t>
      </w:r>
      <w:r w:rsidR="00D3701E">
        <w:rPr>
          <w:b/>
          <w:bCs/>
        </w:rPr>
        <w:t>, RDW</w:t>
      </w:r>
      <w:r>
        <w:t xml:space="preserve"> – </w:t>
      </w:r>
      <w:r w:rsidR="00CB6433">
        <w:t xml:space="preserve">dyrektywa </w:t>
      </w:r>
      <w:r w:rsidR="00B67916">
        <w:t>Parlamentu Europejskiego</w:t>
      </w:r>
      <w:r w:rsidR="00CB6433">
        <w:t xml:space="preserve"> i Rady (UE) 2008/98/WE z dnia 19</w:t>
      </w:r>
      <w:r w:rsidR="003825E7">
        <w:t> </w:t>
      </w:r>
      <w:r w:rsidR="00CB6433">
        <w:t>listopada 2008 r. w</w:t>
      </w:r>
      <w:r w:rsidR="008D6531">
        <w:t> </w:t>
      </w:r>
      <w:r w:rsidR="00CB6433">
        <w:t>sprawie odpadów oraz uchylającą niektóre dyrektywy</w:t>
      </w:r>
      <w:r w:rsidR="00917DCD">
        <w:t>,</w:t>
      </w:r>
      <w:r w:rsidR="00917DCD" w:rsidRPr="00917DCD">
        <w:t xml:space="preserve"> </w:t>
      </w:r>
      <w:hyperlink r:id="rId129" w:history="1">
        <w:r w:rsidR="00CB6433" w:rsidRPr="00DA6E66">
          <w:rPr>
            <w:rStyle w:val="Hipercze"/>
          </w:rPr>
          <w:t>link</w:t>
        </w:r>
      </w:hyperlink>
    </w:p>
    <w:p w14:paraId="5C9E25FC" w14:textId="52C070AE" w:rsidR="008D6531" w:rsidRPr="00A64AE3" w:rsidRDefault="00752614" w:rsidP="008D6531">
      <w:r w:rsidRPr="00752614">
        <w:rPr>
          <w:b/>
          <w:bCs/>
        </w:rPr>
        <w:t>dyrektywa dotycząca ekoprojektu</w:t>
      </w:r>
      <w:r>
        <w:t xml:space="preserve"> – </w:t>
      </w:r>
      <w:r w:rsidR="008D6531">
        <w:t xml:space="preserve">dyrektywa </w:t>
      </w:r>
      <w:r w:rsidR="00B67916">
        <w:t>Parlamentu Europejskiego</w:t>
      </w:r>
      <w:r w:rsidR="008D6531">
        <w:t xml:space="preserve"> i Rady (UE) 2009/125/WE z</w:t>
      </w:r>
      <w:r w:rsidR="003825E7">
        <w:t> </w:t>
      </w:r>
      <w:r w:rsidR="008D6531">
        <w:t>dnia 21 października 2009 r. ustanawiająca ogólne zasady ustalania wymogów dotyczących ekoprojektu dla produktów związanych z energią</w:t>
      </w:r>
      <w:r w:rsidR="003E18B9">
        <w:t xml:space="preserve">, </w:t>
      </w:r>
      <w:hyperlink r:id="rId130" w:history="1">
        <w:r w:rsidR="003E18B9" w:rsidRPr="00842AEA">
          <w:rPr>
            <w:rStyle w:val="Hipercze"/>
          </w:rPr>
          <w:t>link</w:t>
        </w:r>
      </w:hyperlink>
    </w:p>
    <w:p w14:paraId="2BC70F0D" w14:textId="49F72E51" w:rsidR="006A7033" w:rsidRDefault="006A7033" w:rsidP="006A7033">
      <w:r w:rsidRPr="006A7033">
        <w:rPr>
          <w:b/>
          <w:bCs/>
        </w:rPr>
        <w:t>dyrektywa WEEE</w:t>
      </w:r>
      <w:r>
        <w:t xml:space="preserve"> – dyrektywa </w:t>
      </w:r>
      <w:r w:rsidR="00B67916">
        <w:t>Parlamentu Europejskiego</w:t>
      </w:r>
      <w:r>
        <w:t xml:space="preserve"> i Rady (UE) 2012/19/UE z dnia 4 lipca 2012 r. w sprawie zużytego sprzętu elektrycznego i elektronicznego, </w:t>
      </w:r>
      <w:hyperlink r:id="rId131" w:history="1">
        <w:r w:rsidRPr="006A7033">
          <w:rPr>
            <w:rStyle w:val="Hipercze"/>
          </w:rPr>
          <w:t>link</w:t>
        </w:r>
      </w:hyperlink>
    </w:p>
    <w:p w14:paraId="79DA59A5" w14:textId="0AFB86CB" w:rsidR="00A64AE3" w:rsidRPr="00246AF5" w:rsidRDefault="00A64AE3" w:rsidP="00A64AE3">
      <w:r w:rsidRPr="00212281">
        <w:rPr>
          <w:b/>
          <w:bCs/>
        </w:rPr>
        <w:t>dyrektywa NEC</w:t>
      </w:r>
      <w:r>
        <w:t xml:space="preserve"> – dyrektywa </w:t>
      </w:r>
      <w:r w:rsidR="00B67916">
        <w:t>Parlamentu Europejskiego</w:t>
      </w:r>
      <w:r>
        <w:t xml:space="preserve"> i Rady (UE) 2016/2284 z dnia 14 grudnia 2016 r. w sprawie redukcji krajowych emisji niektórych rodzajów zanieczyszczeń atmosferycznych, zmiany dyrektywy 2003/35/WE o</w:t>
      </w:r>
      <w:r w:rsidRPr="00246AF5">
        <w:t xml:space="preserve">raz uchylenia dyrektywy 2001/81/WE, </w:t>
      </w:r>
      <w:hyperlink r:id="rId132" w:history="1">
        <w:r w:rsidRPr="00F14F6A">
          <w:rPr>
            <w:rStyle w:val="Hipercze"/>
          </w:rPr>
          <w:t>link</w:t>
        </w:r>
      </w:hyperlink>
    </w:p>
    <w:p w14:paraId="37D37014" w14:textId="2AD81FFC" w:rsidR="004B160D" w:rsidRPr="00246AF5" w:rsidRDefault="004B160D" w:rsidP="004B160D">
      <w:r w:rsidRPr="00246AF5">
        <w:rPr>
          <w:b/>
          <w:bCs/>
        </w:rPr>
        <w:t>dyrektywa RED II</w:t>
      </w:r>
      <w:r w:rsidRPr="00246AF5">
        <w:t xml:space="preserve"> – dyrektywa </w:t>
      </w:r>
      <w:r w:rsidR="00B67916">
        <w:t>Parlamentu Europejskiego</w:t>
      </w:r>
      <w:r w:rsidRPr="00246AF5">
        <w:t xml:space="preserve"> i Rady (UE) 2018/2001 z dnia 11 grudnia 2018 r. w sprawie promowania stosowania energii ze źródeł odnawialnych, </w:t>
      </w:r>
      <w:hyperlink r:id="rId133" w:history="1">
        <w:r w:rsidRPr="00246AF5">
          <w:rPr>
            <w:rStyle w:val="Hipercze"/>
            <w:color w:val="auto"/>
          </w:rPr>
          <w:t>link</w:t>
        </w:r>
      </w:hyperlink>
    </w:p>
    <w:p w14:paraId="72320AAF" w14:textId="52351516" w:rsidR="00A41A3E" w:rsidRPr="00246AF5" w:rsidRDefault="00A41A3E" w:rsidP="004B160D">
      <w:r w:rsidRPr="00A41A3E">
        <w:rPr>
          <w:b/>
          <w:bCs/>
        </w:rPr>
        <w:t>dyrektywa SUP -</w:t>
      </w:r>
      <w:r>
        <w:t xml:space="preserve"> </w:t>
      </w:r>
      <w:r w:rsidRPr="00A41A3E">
        <w:t xml:space="preserve">dyrektywa </w:t>
      </w:r>
      <w:r w:rsidR="00B67916">
        <w:t>Parlamentu Europejskiego</w:t>
      </w:r>
      <w:r w:rsidRPr="00A41A3E">
        <w:t xml:space="preserve"> i Rady (UE) 2019/904 w sprawie zmniejszenia wpływu niektórych produktów z tworzyw sztucznych na środowisko</w:t>
      </w:r>
      <w:r>
        <w:t xml:space="preserve">, </w:t>
      </w:r>
      <w:hyperlink r:id="rId134" w:history="1">
        <w:r w:rsidRPr="003E3F43">
          <w:rPr>
            <w:rStyle w:val="Hipercze"/>
          </w:rPr>
          <w:t>link</w:t>
        </w:r>
      </w:hyperlink>
    </w:p>
    <w:p w14:paraId="462AEC26" w14:textId="3DA26072" w:rsidR="00CB6433" w:rsidRDefault="00960D12" w:rsidP="00CB6433">
      <w:r w:rsidRPr="00960D12">
        <w:rPr>
          <w:b/>
          <w:bCs/>
        </w:rPr>
        <w:t>dyrektywa rynkowa</w:t>
      </w:r>
      <w:r>
        <w:t xml:space="preserve"> </w:t>
      </w:r>
      <w:r w:rsidR="00AC3BAF">
        <w:t>–</w:t>
      </w:r>
      <w:r>
        <w:t xml:space="preserve"> </w:t>
      </w:r>
      <w:bookmarkStart w:id="1477" w:name="_Hlk195877186"/>
      <w:r w:rsidR="00CB6433">
        <w:t xml:space="preserve">dyrektywa </w:t>
      </w:r>
      <w:r w:rsidR="00B67916">
        <w:t>Parlamentu Europejskiego</w:t>
      </w:r>
      <w:r w:rsidR="00CB6433">
        <w:t xml:space="preserve"> i Rady (UE) </w:t>
      </w:r>
      <w:bookmarkEnd w:id="1477"/>
      <w:r w:rsidR="00CB6433">
        <w:t xml:space="preserve">2019/944 z dnia 5 czerwca 2019 r. </w:t>
      </w:r>
      <w:bookmarkStart w:id="1478" w:name="_Hlk159087356"/>
      <w:r w:rsidR="00CB6433">
        <w:t xml:space="preserve">w sprawie wspólnych zasad rynku wewnętrznego energii elektrycznej </w:t>
      </w:r>
      <w:bookmarkEnd w:id="1478"/>
      <w:r w:rsidR="00CB6433">
        <w:t xml:space="preserve">oraz zmieniającą dyrektywę 2012/27/UE, </w:t>
      </w:r>
      <w:hyperlink r:id="rId135" w:history="1">
        <w:r w:rsidR="00CB6433" w:rsidRPr="00960D12">
          <w:rPr>
            <w:rStyle w:val="Hipercze"/>
          </w:rPr>
          <w:t>link</w:t>
        </w:r>
      </w:hyperlink>
    </w:p>
    <w:p w14:paraId="1743E3BF" w14:textId="3BAFA1EC" w:rsidR="007D7C94" w:rsidRDefault="007D7C94" w:rsidP="006C6123">
      <w:pPr>
        <w:rPr>
          <w:b/>
          <w:bCs/>
        </w:rPr>
      </w:pPr>
      <w:r w:rsidRPr="007D7C94">
        <w:rPr>
          <w:b/>
          <w:bCs/>
        </w:rPr>
        <w:t>dyrektywa CVD</w:t>
      </w:r>
      <w:r>
        <w:t xml:space="preserve"> – dyrektywa </w:t>
      </w:r>
      <w:r w:rsidR="00B67916">
        <w:t>Parlamentu Europejskiego</w:t>
      </w:r>
      <w:r>
        <w:t xml:space="preserve"> i Rady (UE) 2019/1161 z dnia 20 czerwca 2019 r. zmieniająca dyrektywę 2009/33/WE w sprawie promowania ekologicznie czystych i</w:t>
      </w:r>
      <w:r w:rsidR="003825E7">
        <w:t> </w:t>
      </w:r>
      <w:r>
        <w:t xml:space="preserve">energooszczędnych pojazdów transportu drogowego, </w:t>
      </w:r>
      <w:hyperlink r:id="rId136" w:history="1">
        <w:r w:rsidRPr="007D7C94">
          <w:rPr>
            <w:rStyle w:val="Hipercze"/>
          </w:rPr>
          <w:t>link</w:t>
        </w:r>
      </w:hyperlink>
    </w:p>
    <w:p w14:paraId="1BE559AC" w14:textId="54DDE286" w:rsidR="00D2384C" w:rsidRPr="009F1149" w:rsidRDefault="009F1149" w:rsidP="006C6123">
      <w:r w:rsidRPr="009F1149">
        <w:rPr>
          <w:b/>
          <w:bCs/>
        </w:rPr>
        <w:lastRenderedPageBreak/>
        <w:t>d</w:t>
      </w:r>
      <w:r w:rsidR="00D2384C" w:rsidRPr="009F1149">
        <w:rPr>
          <w:b/>
          <w:bCs/>
        </w:rPr>
        <w:t>yrektywa</w:t>
      </w:r>
      <w:r w:rsidRPr="009F1149">
        <w:rPr>
          <w:b/>
          <w:bCs/>
        </w:rPr>
        <w:t xml:space="preserve"> 2020/2184</w:t>
      </w:r>
      <w:r w:rsidRPr="009F1149">
        <w:t xml:space="preserve"> </w:t>
      </w:r>
      <w:r>
        <w:t xml:space="preserve">– dyrektywa </w:t>
      </w:r>
      <w:r w:rsidR="00B67916">
        <w:t>Parlamentu Europejskiego</w:t>
      </w:r>
      <w:r w:rsidR="00D2384C" w:rsidRPr="009F1149">
        <w:t xml:space="preserve"> i Rady (UE) 2020/2184 z dnia 16 grudnia 2020 r. w sprawie jakości wody przeznaczonej do spożycia przez ludzi</w:t>
      </w:r>
      <w:r>
        <w:t xml:space="preserve">, </w:t>
      </w:r>
      <w:hyperlink r:id="rId137" w:history="1">
        <w:r w:rsidRPr="00321B68">
          <w:rPr>
            <w:rStyle w:val="Hipercze"/>
          </w:rPr>
          <w:t>link</w:t>
        </w:r>
      </w:hyperlink>
    </w:p>
    <w:p w14:paraId="1CC341AB" w14:textId="6A8F9B92" w:rsidR="007021F5" w:rsidRDefault="007021F5" w:rsidP="006C6123">
      <w:pPr>
        <w:rPr>
          <w:b/>
          <w:bCs/>
        </w:rPr>
      </w:pPr>
      <w:r>
        <w:rPr>
          <w:b/>
          <w:bCs/>
        </w:rPr>
        <w:t xml:space="preserve">dyrektywa NIS2 </w:t>
      </w:r>
      <w:r w:rsidRPr="007021F5">
        <w:t xml:space="preserve">– dyrektywa </w:t>
      </w:r>
      <w:r w:rsidR="00B67916">
        <w:t>Parlamentu Europejskiego</w:t>
      </w:r>
      <w:r w:rsidRPr="007021F5">
        <w:t xml:space="preserve"> i Rady (UE) 2022/2555 z dnia 14 grudnia 2022 r. w sprawie środków na rzecz wysokiego wspólnego poziomu cyberbezpieczeństwa na terytorium Unii, zmieniająca rozporządzenie (UE) nr 910/2014 i dyrektywę (UE) 2018/1972 oraz uchylająca dyrektywę (UE) 2016/1148</w:t>
      </w:r>
      <w:r w:rsidR="001B27C6">
        <w:t xml:space="preserve">, </w:t>
      </w:r>
      <w:hyperlink r:id="rId138" w:history="1">
        <w:r w:rsidR="001B27C6" w:rsidRPr="001B27C6">
          <w:rPr>
            <w:rStyle w:val="Hipercze"/>
          </w:rPr>
          <w:t>link</w:t>
        </w:r>
      </w:hyperlink>
    </w:p>
    <w:p w14:paraId="3C1E8EB6" w14:textId="777A61A9" w:rsidR="00B078E7" w:rsidRPr="00B078E7" w:rsidRDefault="00B078E7" w:rsidP="006C6123">
      <w:r w:rsidRPr="00B078E7">
        <w:rPr>
          <w:b/>
          <w:bCs/>
        </w:rPr>
        <w:t>dyrektywa 2023/958</w:t>
      </w:r>
      <w:r>
        <w:t xml:space="preserve"> – d</w:t>
      </w:r>
      <w:r w:rsidRPr="00B078E7">
        <w:t xml:space="preserve">yrektywa </w:t>
      </w:r>
      <w:r w:rsidR="00B67916">
        <w:t>Parlamentu Europejskiego</w:t>
      </w:r>
      <w:r w:rsidRPr="00B078E7">
        <w:t xml:space="preserve"> i Rady (UE) 2023/958 z dnia 10 maja 2023 r. zmieniająca dyrektywę 2003/87/WE w odniesieniu do wkładu lotnictwa w unijny cel zmniejszenia emisji w całej gospodarce i</w:t>
      </w:r>
      <w:r>
        <w:t> </w:t>
      </w:r>
      <w:r w:rsidRPr="00B078E7">
        <w:t>odpowiedniego wdrożenia globalnego środka rynkowego</w:t>
      </w:r>
      <w:r>
        <w:t xml:space="preserve">, </w:t>
      </w:r>
      <w:hyperlink r:id="rId139" w:history="1">
        <w:r w:rsidRPr="00B078E7">
          <w:rPr>
            <w:rStyle w:val="Hipercze"/>
          </w:rPr>
          <w:t>link</w:t>
        </w:r>
      </w:hyperlink>
    </w:p>
    <w:p w14:paraId="6ACEEBDB" w14:textId="2F0C9B3A" w:rsidR="006C6123" w:rsidRDefault="00212281" w:rsidP="006C6123">
      <w:r w:rsidRPr="00212281">
        <w:rPr>
          <w:b/>
          <w:bCs/>
        </w:rPr>
        <w:t>dyrektywa EU ETS</w:t>
      </w:r>
      <w:r>
        <w:t xml:space="preserve"> – d</w:t>
      </w:r>
      <w:r w:rsidR="006C6123">
        <w:t xml:space="preserve">yrektywa </w:t>
      </w:r>
      <w:r w:rsidR="00B67916">
        <w:t>Parlamentu Europejskiego</w:t>
      </w:r>
      <w:r w:rsidR="006C6123">
        <w:t xml:space="preserve"> i Rady </w:t>
      </w:r>
      <w:r w:rsidR="00246140">
        <w:t>(</w:t>
      </w:r>
      <w:r w:rsidR="006C6123">
        <w:t>UE</w:t>
      </w:r>
      <w:r w:rsidR="00246140">
        <w:t>)</w:t>
      </w:r>
      <w:r w:rsidR="006C6123">
        <w:t xml:space="preserve"> 2023/959</w:t>
      </w:r>
      <w:r w:rsidR="00246140">
        <w:t xml:space="preserve"> </w:t>
      </w:r>
      <w:r w:rsidR="00246140" w:rsidRPr="00246140">
        <w:t>z dnia 10 maja 2023 r. zmieniająca dyrektywę 2003/87/WE ustanawiającą system handlu przydziałami emisji gazów cieplarnianych w Unii oraz decyzję (UE) 2015/1814 w sprawie ustanowienia i funkcjonowania rezerwy stabilności rynkowej dla unijnego systemu handlu uprawnieniami do emisji gazów cieplarnianych</w:t>
      </w:r>
      <w:r w:rsidR="00246140">
        <w:t xml:space="preserve">, </w:t>
      </w:r>
      <w:hyperlink r:id="rId140" w:history="1">
        <w:r w:rsidR="00246140" w:rsidRPr="00136584">
          <w:rPr>
            <w:rStyle w:val="Hipercze"/>
          </w:rPr>
          <w:t>link</w:t>
        </w:r>
      </w:hyperlink>
    </w:p>
    <w:p w14:paraId="3A3F4541" w14:textId="09212DD4" w:rsidR="003F21E8" w:rsidRDefault="003F21E8" w:rsidP="003F21E8">
      <w:pPr>
        <w:rPr>
          <w:rStyle w:val="Hipercze"/>
        </w:rPr>
      </w:pPr>
      <w:r w:rsidRPr="00817D26">
        <w:rPr>
          <w:b/>
          <w:bCs/>
        </w:rPr>
        <w:t>dyrektywa EED</w:t>
      </w:r>
      <w:r>
        <w:t xml:space="preserve"> – dyrektywa </w:t>
      </w:r>
      <w:r w:rsidR="00B67916">
        <w:t>Parlamentu Europejskiego</w:t>
      </w:r>
      <w:r>
        <w:t xml:space="preserve"> i Rady (UE) 2023/1791 dnia 13 września 2023 r. w sprawie efektywności energetycznej oraz zmieniająca rozporządzenie (UE) 2023/955, </w:t>
      </w:r>
      <w:hyperlink r:id="rId141" w:history="1">
        <w:r w:rsidRPr="00817D26">
          <w:rPr>
            <w:rStyle w:val="Hipercze"/>
          </w:rPr>
          <w:t>link</w:t>
        </w:r>
      </w:hyperlink>
    </w:p>
    <w:p w14:paraId="197A68CB" w14:textId="50DDFAA0" w:rsidR="00282168" w:rsidRDefault="00212281" w:rsidP="00246140">
      <w:pPr>
        <w:rPr>
          <w:rStyle w:val="Hipercze"/>
        </w:rPr>
      </w:pPr>
      <w:r w:rsidRPr="00212281">
        <w:rPr>
          <w:b/>
          <w:bCs/>
        </w:rPr>
        <w:t>dyrektywa RED III</w:t>
      </w:r>
      <w:r>
        <w:t xml:space="preserve"> – d</w:t>
      </w:r>
      <w:r w:rsidR="00517CE9">
        <w:t>yrektywa</w:t>
      </w:r>
      <w:r w:rsidR="00246140">
        <w:t xml:space="preserve"> </w:t>
      </w:r>
      <w:r w:rsidR="00B67916">
        <w:t>Parlamentu Europejskiego</w:t>
      </w:r>
      <w:r w:rsidR="00246140">
        <w:t xml:space="preserve"> i Rady (UE) 2023/2413 z dnia 18 października 2023 r. zmieniająca dyrektywę (UE) 2018/2001, rozporządzenie (UE) 2018/1999 i dyrektywę 98/70/WE w odniesieniu do promowania energii ze źródeł odnawialnych oraz uchylająca dyrektywę Rady (UE) 2015/652, </w:t>
      </w:r>
      <w:hyperlink r:id="rId142">
        <w:r w:rsidR="00246140" w:rsidRPr="3E8BE0CB">
          <w:rPr>
            <w:rStyle w:val="Hipercze"/>
          </w:rPr>
          <w:t>link</w:t>
        </w:r>
      </w:hyperlink>
    </w:p>
    <w:p w14:paraId="2C0CD72A" w14:textId="55A2DC2F" w:rsidR="0089149D" w:rsidRDefault="0089149D" w:rsidP="0089149D">
      <w:r w:rsidRPr="00473F79">
        <w:rPr>
          <w:rStyle w:val="Hipercze"/>
          <w:b/>
          <w:bCs/>
          <w:color w:val="auto"/>
          <w:u w:val="none"/>
        </w:rPr>
        <w:t>dyrektywa budynkowa, EPBD</w:t>
      </w:r>
      <w:r w:rsidRPr="00473F79">
        <w:rPr>
          <w:rStyle w:val="Hipercze"/>
          <w:color w:val="auto"/>
          <w:u w:val="none"/>
        </w:rPr>
        <w:t xml:space="preserve"> – </w:t>
      </w:r>
      <w:r w:rsidRPr="00473F79">
        <w:t xml:space="preserve">dyrektywa </w:t>
      </w:r>
      <w:r w:rsidR="00B67916">
        <w:t>Parlamentu Europejskiego i Rady</w:t>
      </w:r>
      <w:r w:rsidRPr="00473F79">
        <w:t xml:space="preserve"> (UE) 2024/1275 z dnia 24 kwietnia 2024 r. </w:t>
      </w:r>
      <w:r>
        <w:t xml:space="preserve">w sprawie charakterystyki energetycznej budynków, </w:t>
      </w:r>
      <w:hyperlink r:id="rId143">
        <w:r w:rsidRPr="3E8BE0CB">
          <w:rPr>
            <w:rStyle w:val="Hipercze"/>
          </w:rPr>
          <w:t>link</w:t>
        </w:r>
      </w:hyperlink>
      <w:r>
        <w:t xml:space="preserve"> </w:t>
      </w:r>
    </w:p>
    <w:p w14:paraId="0FD6AEB2" w14:textId="05721151" w:rsidR="006967ED" w:rsidRDefault="008F3813" w:rsidP="0089149D">
      <w:pPr>
        <w:rPr>
          <w:rFonts w:eastAsia="Lato" w:cs="Lato"/>
          <w:szCs w:val="20"/>
        </w:rPr>
      </w:pPr>
      <w:r w:rsidRPr="008F3813">
        <w:rPr>
          <w:rFonts w:eastAsia="Lato" w:cs="Lato"/>
          <w:b/>
          <w:bCs/>
          <w:szCs w:val="20"/>
        </w:rPr>
        <w:t>dyrektywa 2024/1788</w:t>
      </w:r>
      <w:r>
        <w:rPr>
          <w:rFonts w:eastAsia="Lato" w:cs="Lato"/>
          <w:szCs w:val="20"/>
        </w:rPr>
        <w:t xml:space="preserve"> – dyrektywa </w:t>
      </w:r>
      <w:r w:rsidRPr="76317B2B">
        <w:rPr>
          <w:rFonts w:eastAsia="Lato" w:cs="Lato"/>
          <w:szCs w:val="20"/>
        </w:rPr>
        <w:t>Parlamentu Europejskiego i Rady (UE)</w:t>
      </w:r>
      <w:r>
        <w:rPr>
          <w:rFonts w:eastAsia="Lato" w:cs="Lato"/>
          <w:szCs w:val="20"/>
        </w:rPr>
        <w:t xml:space="preserve"> 2024/1788</w:t>
      </w:r>
      <w:r w:rsidRPr="76317B2B">
        <w:rPr>
          <w:rFonts w:eastAsia="Lato" w:cs="Lato"/>
          <w:szCs w:val="20"/>
        </w:rPr>
        <w:t xml:space="preserve"> w sprawie wspólnych zasad rynków wewnętrznych gazu odnawialnego, gazu ziemnego i wodoru</w:t>
      </w:r>
      <w:r w:rsidR="006967ED">
        <w:rPr>
          <w:rFonts w:eastAsia="Lato" w:cs="Lato"/>
          <w:szCs w:val="20"/>
        </w:rPr>
        <w:t xml:space="preserve">, </w:t>
      </w:r>
      <w:hyperlink r:id="rId144" w:history="1">
        <w:r w:rsidR="006967ED" w:rsidRPr="006967ED">
          <w:rPr>
            <w:rStyle w:val="Hipercze"/>
            <w:rFonts w:eastAsia="Lato" w:cs="Lato"/>
            <w:szCs w:val="20"/>
          </w:rPr>
          <w:t>link</w:t>
        </w:r>
      </w:hyperlink>
    </w:p>
    <w:p w14:paraId="42C7EFD5" w14:textId="0DC9F57F" w:rsidR="00881C90" w:rsidRPr="00933839" w:rsidRDefault="00B4563F" w:rsidP="00B4563F">
      <w:r w:rsidRPr="00EF7343">
        <w:rPr>
          <w:b/>
          <w:bCs/>
        </w:rPr>
        <w:t xml:space="preserve">dyrektywa </w:t>
      </w:r>
      <w:r w:rsidRPr="00B97958">
        <w:rPr>
          <w:b/>
          <w:bCs/>
        </w:rPr>
        <w:t>w sprawie jakości powietrza</w:t>
      </w:r>
      <w:r>
        <w:rPr>
          <w:b/>
          <w:bCs/>
        </w:rPr>
        <w:t xml:space="preserve"> i czystszego powietrza dla Europy</w:t>
      </w:r>
      <w:r>
        <w:t xml:space="preserve"> – </w:t>
      </w:r>
      <w:r w:rsidRPr="00B10343">
        <w:t xml:space="preserve">dyrektywa </w:t>
      </w:r>
      <w:r w:rsidRPr="0089149D">
        <w:t>2024/2881</w:t>
      </w:r>
      <w:r w:rsidR="00974007">
        <w:rPr>
          <w:b/>
          <w:bCs/>
        </w:rPr>
        <w:t xml:space="preserve"> </w:t>
      </w:r>
      <w:r w:rsidR="00974007" w:rsidRPr="00CD4286">
        <w:rPr>
          <w:b/>
        </w:rPr>
        <w:t xml:space="preserve"> </w:t>
      </w:r>
      <w:r w:rsidR="00B67916">
        <w:t>Parlamentu Europejskiego i Rady</w:t>
      </w:r>
      <w:r w:rsidRPr="00933839">
        <w:t xml:space="preserve"> </w:t>
      </w:r>
      <w:r>
        <w:t xml:space="preserve">(UE) </w:t>
      </w:r>
      <w:r w:rsidRPr="00933839">
        <w:t xml:space="preserve">z dnia </w:t>
      </w:r>
      <w:r>
        <w:t>23 października 2024</w:t>
      </w:r>
      <w:r w:rsidRPr="00933839">
        <w:t xml:space="preserve"> r., </w:t>
      </w:r>
      <w:hyperlink r:id="rId145" w:history="1">
        <w:r w:rsidRPr="003E18B9">
          <w:rPr>
            <w:rStyle w:val="Hipercze"/>
          </w:rPr>
          <w:t>link</w:t>
        </w:r>
      </w:hyperlink>
    </w:p>
    <w:p w14:paraId="1FA1ECF9" w14:textId="7EA5A37F" w:rsidR="00752614" w:rsidRPr="00A64AE3" w:rsidRDefault="00752614" w:rsidP="00881C90">
      <w:r w:rsidRPr="00752614">
        <w:rPr>
          <w:b/>
          <w:bCs/>
        </w:rPr>
        <w:t>rozporządzenie dot</w:t>
      </w:r>
      <w:r>
        <w:rPr>
          <w:b/>
          <w:bCs/>
        </w:rPr>
        <w:t>yczące</w:t>
      </w:r>
      <w:r w:rsidRPr="00752614">
        <w:rPr>
          <w:b/>
          <w:bCs/>
        </w:rPr>
        <w:t xml:space="preserve"> etykietowania</w:t>
      </w:r>
      <w:r>
        <w:t xml:space="preserve"> – </w:t>
      </w:r>
      <w:r w:rsidRPr="00A64AE3">
        <w:t xml:space="preserve">rozporządzenie </w:t>
      </w:r>
      <w:r w:rsidR="00B67916">
        <w:t>Parlamentu Europejskiego</w:t>
      </w:r>
      <w:r w:rsidRPr="00A64AE3">
        <w:t xml:space="preserve"> i Rady (UE) 2017/1369 z dnia 4 lipca 2017</w:t>
      </w:r>
      <w:r>
        <w:t> </w:t>
      </w:r>
      <w:r w:rsidRPr="00A64AE3">
        <w:t>r. ustanawiające ramy etykietowania energetycznego i uchylające dyrektywę 2010/30/UE</w:t>
      </w:r>
      <w:r w:rsidR="00177297">
        <w:t xml:space="preserve">, </w:t>
      </w:r>
      <w:hyperlink r:id="rId146" w:history="1">
        <w:r w:rsidR="00177297" w:rsidRPr="00177297">
          <w:rPr>
            <w:rStyle w:val="Hipercze"/>
          </w:rPr>
          <w:t>link</w:t>
        </w:r>
      </w:hyperlink>
    </w:p>
    <w:p w14:paraId="56F2A21A" w14:textId="23FFA13E" w:rsidR="006E6AC8" w:rsidRDefault="006E6AC8" w:rsidP="00A2100A">
      <w:pPr>
        <w:rPr>
          <w:rStyle w:val="Hipercze"/>
        </w:rPr>
      </w:pPr>
      <w:r w:rsidRPr="00A2100A">
        <w:rPr>
          <w:b/>
          <w:bCs/>
        </w:rPr>
        <w:t>rozporządzenie LULUCF</w:t>
      </w:r>
      <w:r>
        <w:t xml:space="preserve"> </w:t>
      </w:r>
      <w:r w:rsidR="00A24E12">
        <w:t xml:space="preserve">– </w:t>
      </w:r>
      <w:r>
        <w:t xml:space="preserve">rozporządzenie </w:t>
      </w:r>
      <w:r w:rsidR="00B67916">
        <w:t>Parlamentu Europejskiego</w:t>
      </w:r>
      <w:r>
        <w:t xml:space="preserve"> i Rady (UE) 2018/841 z dnia 30 maja 2018 r. w sprawie włączenia emisji i pochłaniania gazów cieplarnianych w wyniku działalności związanej z użytkowaniem gruntów, zmianą użytkowania gruntów i leśnictwem do ram polityki klimatyczno-energetycznej do roku 2030 i zmieniające rozporządzenie (UE) nr 525/2013 oraz decyzję nr</w:t>
      </w:r>
      <w:r w:rsidR="003825E7">
        <w:t> </w:t>
      </w:r>
      <w:r>
        <w:t xml:space="preserve">529/2013/UE, </w:t>
      </w:r>
      <w:hyperlink r:id="rId147" w:history="1">
        <w:r w:rsidRPr="006E6AC8">
          <w:rPr>
            <w:rStyle w:val="Hipercze"/>
          </w:rPr>
          <w:t>link</w:t>
        </w:r>
      </w:hyperlink>
    </w:p>
    <w:p w14:paraId="5A6FF833" w14:textId="3EB8C37B" w:rsidR="005A55CD" w:rsidRPr="00C50C06" w:rsidRDefault="005A55CD" w:rsidP="003F21E8">
      <w:r>
        <w:rPr>
          <w:b/>
          <w:bCs/>
        </w:rPr>
        <w:t xml:space="preserve">rozporządzenie governance </w:t>
      </w:r>
      <w:r w:rsidRPr="005A55CD">
        <w:t xml:space="preserve">– </w:t>
      </w:r>
      <w:r>
        <w:t>r</w:t>
      </w:r>
      <w:r w:rsidRPr="005A55CD">
        <w:t xml:space="preserve">ozporządzenie </w:t>
      </w:r>
      <w:r w:rsidR="00B67916">
        <w:t>Parlamentu Europejskiego</w:t>
      </w:r>
      <w:r w:rsidRPr="005A55CD">
        <w:t xml:space="preserve"> i Rady (UE) 2018/1999 z dnia 11 grudnia 2018 r. w</w:t>
      </w:r>
      <w:r>
        <w:t> </w:t>
      </w:r>
      <w:r w:rsidRPr="005A55CD">
        <w:t xml:space="preserve">sprawie zarządzania unią energetyczną i działaniami w dziedzinie klimatu, zmiany rozporządzeń </w:t>
      </w:r>
      <w:r w:rsidR="00DD5F88">
        <w:t>PE i</w:t>
      </w:r>
      <w:r w:rsidR="0067383A">
        <w:t> </w:t>
      </w:r>
      <w:r w:rsidRPr="005A55CD">
        <w:t xml:space="preserve">Rady (WE) nr 663/2009 i (WE) nr 715/2009, dyrektyw </w:t>
      </w:r>
      <w:r w:rsidR="00DD5F88">
        <w:t>PE i</w:t>
      </w:r>
      <w:r w:rsidRPr="005A55CD">
        <w:t xml:space="preserve"> Rady 94/22/WE, 98/70/WE, 2009/31/WE, 2009/73/WE, 2010/31/UE, 2012/27/UE i</w:t>
      </w:r>
      <w:r w:rsidR="007274ED">
        <w:t> </w:t>
      </w:r>
      <w:r w:rsidRPr="005A55CD">
        <w:t xml:space="preserve">2013/30/UE, dyrektyw Rady 2009/119/WE i (EU) 2015/652 oraz uchylenia rozporządzenia </w:t>
      </w:r>
      <w:r w:rsidR="00DD5F88">
        <w:t>PE i</w:t>
      </w:r>
      <w:r w:rsidRPr="005A55CD">
        <w:t xml:space="preserve"> Rady (UE) nr 525/2013</w:t>
      </w:r>
      <w:r>
        <w:t xml:space="preserve">, </w:t>
      </w:r>
      <w:hyperlink r:id="rId148" w:history="1">
        <w:r w:rsidRPr="005A55CD">
          <w:rPr>
            <w:rStyle w:val="Hipercze"/>
          </w:rPr>
          <w:t>link</w:t>
        </w:r>
      </w:hyperlink>
    </w:p>
    <w:p w14:paraId="3AD9DB1A" w14:textId="3DC60E65" w:rsidR="00C50C06" w:rsidRDefault="00C50C06" w:rsidP="00C50C06">
      <w:pPr>
        <w:rPr>
          <w:b/>
          <w:bCs/>
        </w:rPr>
      </w:pPr>
      <w:r w:rsidRPr="00C50C06">
        <w:rPr>
          <w:b/>
          <w:bCs/>
        </w:rPr>
        <w:t xml:space="preserve">rozporządzenie </w:t>
      </w:r>
      <w:r>
        <w:rPr>
          <w:b/>
          <w:bCs/>
        </w:rPr>
        <w:t xml:space="preserve">ALC </w:t>
      </w:r>
      <w:r>
        <w:t>– rozporządzenie wykonawcze Komisji (UE) 2019/1842 z dnia 31 października 2019</w:t>
      </w:r>
      <w:r w:rsidR="0067383A">
        <w:t> </w:t>
      </w:r>
      <w:r>
        <w:t>r. ustanawiające zasady stosowania dyrektywy 2003/87/WE Parlamentu Europejskiego i Rady w</w:t>
      </w:r>
      <w:r w:rsidR="0067383A">
        <w:t> </w:t>
      </w:r>
      <w:r>
        <w:t>odniesieniu do dalszych ustaleń dotyczących dostosowań przydziału bezpłatnych uprawnień do emisji ze względu na zmiany w poziomie działalności</w:t>
      </w:r>
      <w:r w:rsidR="00CF7040">
        <w:t>,</w:t>
      </w:r>
      <w:r w:rsidR="00483F68">
        <w:t xml:space="preserve"> </w:t>
      </w:r>
      <w:hyperlink r:id="rId149" w:history="1">
        <w:r w:rsidR="00483F68" w:rsidRPr="00483F68">
          <w:rPr>
            <w:rStyle w:val="Hipercze"/>
          </w:rPr>
          <w:t>link</w:t>
        </w:r>
      </w:hyperlink>
    </w:p>
    <w:p w14:paraId="2CC3699E" w14:textId="4790514F" w:rsidR="00C50C06" w:rsidRPr="00C50C06" w:rsidRDefault="00C50C06" w:rsidP="003F21E8">
      <w:r w:rsidRPr="00C50C06">
        <w:rPr>
          <w:b/>
          <w:bCs/>
        </w:rPr>
        <w:t xml:space="preserve">rozporządzenie </w:t>
      </w:r>
      <w:r>
        <w:rPr>
          <w:b/>
          <w:bCs/>
        </w:rPr>
        <w:t xml:space="preserve">FAR </w:t>
      </w:r>
      <w:r>
        <w:t>– r</w:t>
      </w:r>
      <w:r w:rsidRPr="00C50C06">
        <w:t>ozporządzenie delegowane Komisji (UE) 2019/331 z</w:t>
      </w:r>
      <w:r>
        <w:t> </w:t>
      </w:r>
      <w:r w:rsidRPr="00C50C06">
        <w:t>dnia 19 grudnia 2018 r. w</w:t>
      </w:r>
      <w:r w:rsidR="0067383A">
        <w:t> </w:t>
      </w:r>
      <w:r w:rsidRPr="00C50C06">
        <w:t>sprawie ustanowienia przejściowych zasad dotyczących zharmonizowanego przydziału bezpłatnych uprawnień do emisji w całej Unii na podstawie art. 10a dyrektywy 2003/87/WE Parlamentu Europejskiego i Rady</w:t>
      </w:r>
      <w:r w:rsidR="00CF7040">
        <w:t>,</w:t>
      </w:r>
      <w:r w:rsidR="00483F68">
        <w:t xml:space="preserve"> </w:t>
      </w:r>
      <w:hyperlink r:id="rId150" w:history="1">
        <w:r w:rsidR="007D09CF" w:rsidRPr="007D09CF">
          <w:rPr>
            <w:rStyle w:val="Hipercze"/>
          </w:rPr>
          <w:t>link</w:t>
        </w:r>
      </w:hyperlink>
    </w:p>
    <w:p w14:paraId="262790CB" w14:textId="49923A94" w:rsidR="003F21E8" w:rsidRDefault="003F21E8" w:rsidP="003F21E8">
      <w:r w:rsidRPr="004B160D">
        <w:rPr>
          <w:b/>
          <w:bCs/>
        </w:rPr>
        <w:lastRenderedPageBreak/>
        <w:t>Europejskie prawo o klimacie</w:t>
      </w:r>
      <w:r>
        <w:t xml:space="preserve"> – rozporządzenie </w:t>
      </w:r>
      <w:r w:rsidR="00B67916">
        <w:t>Parlamentu Europejskiego</w:t>
      </w:r>
      <w:r>
        <w:t xml:space="preserve"> i</w:t>
      </w:r>
      <w:r w:rsidR="00B67916">
        <w:t xml:space="preserve"> </w:t>
      </w:r>
      <w:r>
        <w:t xml:space="preserve">Rady (UE) 2021/1119 z dnia 30 czerwca 2021 r. w sprawie ustanowienia ram na potrzeby osiągnięcia neutralności klimatycznej i zmiany rozporządzeń (WE) nr 401/2009 i (UE) 2018/1999, </w:t>
      </w:r>
      <w:hyperlink r:id="rId151" w:history="1">
        <w:r w:rsidRPr="00CF7040">
          <w:rPr>
            <w:rStyle w:val="Hipercze"/>
          </w:rPr>
          <w:t>link</w:t>
        </w:r>
      </w:hyperlink>
      <w:r>
        <w:t xml:space="preserve"> </w:t>
      </w:r>
    </w:p>
    <w:p w14:paraId="1D699B72" w14:textId="2986159A" w:rsidR="009B5123" w:rsidRDefault="009B5123" w:rsidP="004B160D">
      <w:r w:rsidRPr="009B5123">
        <w:rPr>
          <w:b/>
          <w:bCs/>
        </w:rPr>
        <w:t>rozporządzenie 2022/869</w:t>
      </w:r>
      <w:r>
        <w:t xml:space="preserve"> – r</w:t>
      </w:r>
      <w:r w:rsidRPr="009B5123">
        <w:t xml:space="preserve">ozporządzenie </w:t>
      </w:r>
      <w:r w:rsidR="00B67916">
        <w:t>Parlamentu Europejskiego</w:t>
      </w:r>
      <w:r>
        <w:t xml:space="preserve"> </w:t>
      </w:r>
      <w:r w:rsidRPr="009B5123">
        <w:t>i Rady (UE) 2022/869 z dnia 30 maja 2022 r. w sprawie wytycznych dotyczących transeuropejskiej infrastruktury energetycznej, zmiany rozporządzeń (WE) nr</w:t>
      </w:r>
      <w:r>
        <w:t> </w:t>
      </w:r>
      <w:r w:rsidRPr="009B5123">
        <w:t>715/2009, (UE) 2019/942 i (UE) 2019/943 oraz dyrektyw 2009/73/WE i (UE) 2019/944 oraz uchylenia rozporządzenia (UE) nr 347/2013</w:t>
      </w:r>
      <w:r>
        <w:t xml:space="preserve">, </w:t>
      </w:r>
      <w:hyperlink r:id="rId152" w:history="1">
        <w:r w:rsidRPr="009B5123">
          <w:rPr>
            <w:rStyle w:val="Hipercze"/>
          </w:rPr>
          <w:t>link</w:t>
        </w:r>
      </w:hyperlink>
    </w:p>
    <w:p w14:paraId="5CAE48C7" w14:textId="0C816579" w:rsidR="00B1387A" w:rsidRPr="00CF57ED" w:rsidRDefault="00CF57ED" w:rsidP="004B160D">
      <w:pPr>
        <w:rPr>
          <w:iCs/>
        </w:rPr>
      </w:pPr>
      <w:r w:rsidRPr="00CF57ED">
        <w:rPr>
          <w:b/>
          <w:bCs/>
          <w:iCs/>
        </w:rPr>
        <w:t>rozporządzenie 2022/2299</w:t>
      </w:r>
      <w:r w:rsidRPr="00CF57ED">
        <w:rPr>
          <w:iCs/>
        </w:rPr>
        <w:t xml:space="preserve"> </w:t>
      </w:r>
      <w:r w:rsidR="007D471E">
        <w:rPr>
          <w:iCs/>
        </w:rPr>
        <w:t xml:space="preserve">- </w:t>
      </w:r>
      <w:r w:rsidR="007D471E" w:rsidRPr="007D471E">
        <w:rPr>
          <w:iCs/>
        </w:rPr>
        <w:t>rozporządzeni</w:t>
      </w:r>
      <w:r w:rsidR="00024B97">
        <w:rPr>
          <w:iCs/>
        </w:rPr>
        <w:t>e</w:t>
      </w:r>
      <w:r w:rsidR="007D471E" w:rsidRPr="007D471E">
        <w:rPr>
          <w:iCs/>
        </w:rPr>
        <w:t xml:space="preserve"> wykonawcz</w:t>
      </w:r>
      <w:r w:rsidR="007D471E">
        <w:rPr>
          <w:iCs/>
        </w:rPr>
        <w:t>e</w:t>
      </w:r>
      <w:r w:rsidR="007D471E" w:rsidRPr="007D471E">
        <w:rPr>
          <w:iCs/>
        </w:rPr>
        <w:t xml:space="preserve"> Komisji (UE) 2022/2299</w:t>
      </w:r>
      <w:r w:rsidR="007D471E">
        <w:rPr>
          <w:iCs/>
        </w:rPr>
        <w:t xml:space="preserve"> </w:t>
      </w:r>
      <w:r w:rsidRPr="00CF57ED">
        <w:rPr>
          <w:iCs/>
        </w:rPr>
        <w:t xml:space="preserve">z dnia 15 listopada 2022 r. </w:t>
      </w:r>
      <w:r w:rsidRPr="00CF57ED">
        <w:rPr>
          <w:i/>
          <w:iCs/>
        </w:rPr>
        <w:t>ustanawiając</w:t>
      </w:r>
      <w:r w:rsidR="007D471E">
        <w:rPr>
          <w:i/>
          <w:iCs/>
        </w:rPr>
        <w:t>e</w:t>
      </w:r>
      <w:r w:rsidRPr="00CF57ED">
        <w:rPr>
          <w:i/>
          <w:iCs/>
        </w:rPr>
        <w:t xml:space="preserve"> zasady stosowania rozporządzenia Parlamentu Europejskiego i Rady (UE) 2018/1999 w odniesieniu do struktury, formatu, szczegółów technicznych i procedury dotyczących zintegrowanych krajowych sprawozdań z postępów</w:t>
      </w:r>
      <w:r w:rsidR="00B060FE">
        <w:rPr>
          <w:i/>
          <w:iCs/>
        </w:rPr>
        <w:t xml:space="preserve">, </w:t>
      </w:r>
      <w:hyperlink r:id="rId153" w:history="1">
        <w:r w:rsidR="00B060FE" w:rsidRPr="00AF4136">
          <w:rPr>
            <w:rStyle w:val="Hipercze"/>
          </w:rPr>
          <w:t>link</w:t>
        </w:r>
      </w:hyperlink>
      <w:r w:rsidR="00B060FE" w:rsidRPr="00AF4136">
        <w:t xml:space="preserve"> </w:t>
      </w:r>
    </w:p>
    <w:p w14:paraId="4846ADDC" w14:textId="20D97AC7" w:rsidR="004B160D" w:rsidRDefault="004B160D" w:rsidP="004B160D">
      <w:r w:rsidRPr="00A2100A">
        <w:rPr>
          <w:b/>
          <w:bCs/>
        </w:rPr>
        <w:t>rozporządzenie LULUCF</w:t>
      </w:r>
      <w:r>
        <w:t xml:space="preserve"> </w:t>
      </w:r>
      <w:r w:rsidRPr="00CA5D28">
        <w:rPr>
          <w:b/>
          <w:bCs/>
        </w:rPr>
        <w:t xml:space="preserve">II </w:t>
      </w:r>
      <w:r>
        <w:t xml:space="preserve">– rozporządzenie </w:t>
      </w:r>
      <w:r w:rsidR="00B67916">
        <w:t>Parlamentu Europejskiego</w:t>
      </w:r>
      <w:r>
        <w:t xml:space="preserve"> i Rady (UE) 2023/839 z dnia 19</w:t>
      </w:r>
      <w:r w:rsidR="003825E7">
        <w:t> </w:t>
      </w:r>
      <w:r>
        <w:t xml:space="preserve">kwietnia 2023 r. w sprawie zmiany rozporządzenia (UE) 2018/841 w odniesieniu do zakresu stosowania, uproszczenia przepisów dotyczących sprawozdawczości i zgodności oraz określenia celów państw członkowskich na 2030 r., a także zmiany rozporządzenia (UE) 2018/1999 w odniesieniu do poprawy monitorowania, sprawozdawczości, śledzenia postępów i przeglądu, </w:t>
      </w:r>
      <w:hyperlink r:id="rId154" w:history="1">
        <w:r w:rsidRPr="00A2100A">
          <w:rPr>
            <w:rStyle w:val="Hipercze"/>
          </w:rPr>
          <w:t>link</w:t>
        </w:r>
      </w:hyperlink>
    </w:p>
    <w:p w14:paraId="78A9C1DA" w14:textId="20F28D5B" w:rsidR="002279C6" w:rsidRDefault="003F21E8" w:rsidP="003F21E8">
      <w:pPr>
        <w:rPr>
          <w:rStyle w:val="Hipercze"/>
        </w:rPr>
      </w:pPr>
      <w:r w:rsidRPr="00212281">
        <w:rPr>
          <w:b/>
          <w:bCs/>
        </w:rPr>
        <w:t>rozporządzenie ESR – wspólny wysiłek redukcyjny</w:t>
      </w:r>
      <w:r>
        <w:t xml:space="preserve"> – rozporządzenie </w:t>
      </w:r>
      <w:r w:rsidR="00B67916">
        <w:t>Parlamentu Europejskiego</w:t>
      </w:r>
      <w:r>
        <w:t xml:space="preserve"> i</w:t>
      </w:r>
      <w:r w:rsidR="00B67916">
        <w:t xml:space="preserve"> </w:t>
      </w:r>
      <w:r>
        <w:t xml:space="preserve">Rady (UE) 2023/857 z dnia 19 kwietnia 2023 r. zmieniające rozporządzenie (UE) 2018/842 w sprawie wiążących rocznych redukcji emisji gazów cieplarnianych przez państwa członkowskie od 2021 r. do 2030 r. przyczyniających się do działań na rzecz klimatu w celu wywiązania się z zobowiązań wynikających z porozumienia paryskiego oraz zmieniające rozporządzenie (UE) 2018/1999, </w:t>
      </w:r>
      <w:hyperlink r:id="rId155" w:history="1">
        <w:r w:rsidRPr="00D84AAA">
          <w:rPr>
            <w:rStyle w:val="Hipercze"/>
          </w:rPr>
          <w:t>link</w:t>
        </w:r>
      </w:hyperlink>
    </w:p>
    <w:p w14:paraId="6636EFDB" w14:textId="5247E10F" w:rsidR="00FF5DB1" w:rsidRDefault="00FF5DB1" w:rsidP="00FF5DB1">
      <w:pPr>
        <w:rPr>
          <w:rStyle w:val="Hipercze"/>
        </w:rPr>
      </w:pPr>
      <w:r w:rsidRPr="00FF5DB1">
        <w:rPr>
          <w:b/>
          <w:bCs/>
        </w:rPr>
        <w:t>rozporządzenie AFIR</w:t>
      </w:r>
      <w:r>
        <w:t xml:space="preserve"> – r</w:t>
      </w:r>
      <w:r w:rsidRPr="00FF5DB1">
        <w:t xml:space="preserve">ozporządzenie </w:t>
      </w:r>
      <w:r w:rsidR="00B67916">
        <w:t>Parlamentu Europejskiego</w:t>
      </w:r>
      <w:r>
        <w:t xml:space="preserve"> i Rady (UE)</w:t>
      </w:r>
      <w:r w:rsidRPr="00FF5DB1">
        <w:t xml:space="preserve"> 2023/1804 z dnia 13</w:t>
      </w:r>
      <w:r w:rsidR="003825E7">
        <w:t> </w:t>
      </w:r>
      <w:r w:rsidRPr="00FF5DB1">
        <w:t>września 2023 r. w sprawie rozwoju infrastruktury paliw alternatywnych i uchylenia dyrektywy 2014/94/UE</w:t>
      </w:r>
      <w:r>
        <w:t xml:space="preserve">, </w:t>
      </w:r>
      <w:hyperlink r:id="rId156" w:history="1">
        <w:r w:rsidRPr="00FF5DB1">
          <w:rPr>
            <w:rStyle w:val="Hipercze"/>
          </w:rPr>
          <w:t>link</w:t>
        </w:r>
      </w:hyperlink>
    </w:p>
    <w:p w14:paraId="3B3E8338" w14:textId="02D14BAE" w:rsidR="00282168" w:rsidRDefault="00A87EED" w:rsidP="00282168">
      <w:r w:rsidRPr="003A6111">
        <w:rPr>
          <w:b/>
          <w:bCs/>
        </w:rPr>
        <w:t xml:space="preserve">rozporządzenie </w:t>
      </w:r>
      <w:r w:rsidRPr="008733FF">
        <w:rPr>
          <w:b/>
          <w:bCs/>
        </w:rPr>
        <w:t>w sprawie baterii i zużytych baterii</w:t>
      </w:r>
      <w:r w:rsidR="003A6111">
        <w:t xml:space="preserve"> – rozporządzenie </w:t>
      </w:r>
      <w:r w:rsidR="00B67916">
        <w:t>Parlamentu Europejskiego</w:t>
      </w:r>
      <w:r w:rsidR="003A6111">
        <w:t xml:space="preserve"> i Rady </w:t>
      </w:r>
      <w:r w:rsidR="008733FF">
        <w:t xml:space="preserve">(UE) </w:t>
      </w:r>
      <w:r w:rsidR="00B10343">
        <w:t xml:space="preserve">2023/1542 </w:t>
      </w:r>
      <w:r w:rsidR="003A6111" w:rsidRPr="003A6111">
        <w:t>z dnia 12 lipca 2023 r. w sprawie baterii i zużytych baterii, zmieniające dyrektywę 2008/98/WE i rozporządzenie (UE) 2019/1020 oraz uchylające dyrektywę 2006/66/WE (Tekst mający znaczenie dla EOG)</w:t>
      </w:r>
      <w:r>
        <w:t>,</w:t>
      </w:r>
      <w:r w:rsidR="003A6111">
        <w:t xml:space="preserve"> </w:t>
      </w:r>
      <w:hyperlink r:id="rId157" w:history="1">
        <w:r w:rsidR="003A6111" w:rsidRPr="003A6111">
          <w:rPr>
            <w:rStyle w:val="Hipercze"/>
          </w:rPr>
          <w:t>link</w:t>
        </w:r>
      </w:hyperlink>
    </w:p>
    <w:p w14:paraId="6155DA14" w14:textId="68263030" w:rsidR="009D48CB" w:rsidRDefault="008D6531" w:rsidP="00282168">
      <w:pPr>
        <w:rPr>
          <w:rStyle w:val="Hipercze"/>
          <w:rFonts w:cs="Calibri"/>
          <w:kern w:val="0"/>
          <w:szCs w:val="20"/>
          <w14:ligatures w14:val="none"/>
        </w:rPr>
      </w:pPr>
      <w:r>
        <w:rPr>
          <w:rFonts w:cs="Calibri"/>
          <w:b/>
          <w:bCs/>
          <w:kern w:val="0"/>
          <w:szCs w:val="20"/>
          <w14:ligatures w14:val="none"/>
        </w:rPr>
        <w:t xml:space="preserve">rozporządzenie </w:t>
      </w:r>
      <w:r w:rsidR="00282168" w:rsidRPr="000A6EB6">
        <w:rPr>
          <w:rFonts w:cs="Calibri"/>
          <w:b/>
          <w:bCs/>
          <w:kern w:val="0"/>
          <w:szCs w:val="20"/>
          <w14:ligatures w14:val="none"/>
        </w:rPr>
        <w:t>ReFuelEU Aviation</w:t>
      </w:r>
      <w:r w:rsidR="00282168" w:rsidRPr="009D61DE">
        <w:rPr>
          <w:rFonts w:cs="Calibri"/>
          <w:kern w:val="0"/>
          <w:szCs w:val="20"/>
          <w14:ligatures w14:val="none"/>
        </w:rPr>
        <w:t xml:space="preserve"> </w:t>
      </w:r>
      <w:r w:rsidR="00282168">
        <w:rPr>
          <w:rFonts w:cs="Calibri"/>
          <w:kern w:val="0"/>
          <w:szCs w:val="20"/>
          <w14:ligatures w14:val="none"/>
        </w:rPr>
        <w:t xml:space="preserve">– </w:t>
      </w:r>
      <w:r w:rsidR="00282168" w:rsidRPr="009D61DE">
        <w:rPr>
          <w:rFonts w:cs="Calibri"/>
          <w:kern w:val="0"/>
          <w:szCs w:val="20"/>
          <w14:ligatures w14:val="none"/>
        </w:rPr>
        <w:t>rozporządzeni</w:t>
      </w:r>
      <w:r w:rsidR="00282168">
        <w:rPr>
          <w:rFonts w:cs="Calibri"/>
          <w:kern w:val="0"/>
          <w:szCs w:val="20"/>
          <w14:ligatures w14:val="none"/>
        </w:rPr>
        <w:t>e</w:t>
      </w:r>
      <w:r w:rsidR="00282168" w:rsidRPr="009D61DE">
        <w:rPr>
          <w:rFonts w:cs="Calibri"/>
          <w:kern w:val="0"/>
          <w:szCs w:val="20"/>
          <w14:ligatures w14:val="none"/>
        </w:rPr>
        <w:t xml:space="preserve"> </w:t>
      </w:r>
      <w:r w:rsidR="00B67916">
        <w:rPr>
          <w:rFonts w:cs="Calibri"/>
          <w:kern w:val="0"/>
          <w:szCs w:val="20"/>
          <w14:ligatures w14:val="none"/>
        </w:rPr>
        <w:t>Parlamentu Europejskiego</w:t>
      </w:r>
      <w:r w:rsidR="00282168">
        <w:rPr>
          <w:rFonts w:cs="Calibri"/>
          <w:kern w:val="0"/>
          <w:szCs w:val="20"/>
          <w14:ligatures w14:val="none"/>
        </w:rPr>
        <w:t xml:space="preserve"> </w:t>
      </w:r>
      <w:r w:rsidR="00282168" w:rsidRPr="009D61DE">
        <w:rPr>
          <w:rFonts w:cs="Calibri"/>
          <w:kern w:val="0"/>
          <w:szCs w:val="20"/>
          <w14:ligatures w14:val="none"/>
        </w:rPr>
        <w:t>i Rady (UE) 2023/2405 z dnia 18 października 2023 r. w sprawie zapewnienia równych warunków działania dla zrównoważonego transportu lotniczego</w:t>
      </w:r>
      <w:r w:rsidR="00282168">
        <w:rPr>
          <w:rFonts w:cs="Calibri"/>
          <w:kern w:val="0"/>
          <w:szCs w:val="20"/>
          <w14:ligatures w14:val="none"/>
        </w:rPr>
        <w:t xml:space="preserve">, </w:t>
      </w:r>
      <w:hyperlink r:id="rId158" w:history="1">
        <w:r w:rsidR="00282168" w:rsidRPr="000A6EB6">
          <w:rPr>
            <w:rStyle w:val="Hipercze"/>
            <w:rFonts w:cs="Calibri"/>
            <w:kern w:val="0"/>
            <w:szCs w:val="20"/>
            <w14:ligatures w14:val="none"/>
          </w:rPr>
          <w:t>link</w:t>
        </w:r>
      </w:hyperlink>
    </w:p>
    <w:p w14:paraId="36DC38F0" w14:textId="2A91E234" w:rsidR="009D48CB" w:rsidRPr="00465FA4" w:rsidRDefault="009D48CB" w:rsidP="009D48CB">
      <w:pPr>
        <w:rPr>
          <w:rFonts w:cs="Calibri"/>
          <w:color w:val="0563C1" w:themeColor="hyperlink"/>
          <w:kern w:val="0"/>
          <w:szCs w:val="20"/>
          <w:u w:val="single"/>
          <w14:ligatures w14:val="none"/>
        </w:rPr>
      </w:pPr>
      <w:r w:rsidRPr="009D48CB">
        <w:rPr>
          <w:rFonts w:cs="Calibri"/>
          <w:b/>
          <w:bCs/>
          <w:color w:val="000000" w:themeColor="text1"/>
          <w:kern w:val="0"/>
          <w:szCs w:val="20"/>
          <w14:ligatures w14:val="none"/>
        </w:rPr>
        <w:t>rozporządzenie FuelEU Maritime</w:t>
      </w:r>
      <w:r w:rsidRPr="009D48CB">
        <w:rPr>
          <w:rFonts w:cs="Calibri"/>
          <w:color w:val="000000" w:themeColor="text1"/>
          <w:kern w:val="0"/>
          <w:szCs w:val="20"/>
          <w14:ligatures w14:val="none"/>
        </w:rPr>
        <w:t xml:space="preserve"> – rozporządzenie </w:t>
      </w:r>
      <w:r w:rsidR="00B67916">
        <w:rPr>
          <w:rFonts w:cs="Calibri"/>
          <w:color w:val="000000" w:themeColor="text1"/>
          <w:kern w:val="0"/>
          <w:szCs w:val="20"/>
          <w14:ligatures w14:val="none"/>
        </w:rPr>
        <w:t>Parlamentu Europejskiego</w:t>
      </w:r>
      <w:r w:rsidRPr="009D48CB">
        <w:rPr>
          <w:rFonts w:cs="Calibri"/>
          <w:color w:val="000000" w:themeColor="text1"/>
          <w:kern w:val="0"/>
          <w:szCs w:val="20"/>
          <w14:ligatures w14:val="none"/>
        </w:rPr>
        <w:t xml:space="preserve"> i Rady (UE) 2023/1805 z</w:t>
      </w:r>
      <w:r w:rsidR="003825E7">
        <w:rPr>
          <w:rFonts w:cs="Calibri"/>
          <w:color w:val="000000" w:themeColor="text1"/>
          <w:kern w:val="0"/>
          <w:szCs w:val="20"/>
          <w14:ligatures w14:val="none"/>
        </w:rPr>
        <w:t> </w:t>
      </w:r>
      <w:r w:rsidRPr="009D48CB">
        <w:rPr>
          <w:rFonts w:cs="Calibri"/>
          <w:color w:val="000000" w:themeColor="text1"/>
          <w:kern w:val="0"/>
          <w:szCs w:val="20"/>
          <w14:ligatures w14:val="none"/>
        </w:rPr>
        <w:t>dnia 13 września 2023 r. w sprawie stosowania paliw odnawialnych i niskoemisyjnych w transporcie morskim oraz zmiany dyrektywy 2009/16/WE,</w:t>
      </w:r>
      <w:r w:rsidRPr="009D48CB">
        <w:rPr>
          <w:rFonts w:cs="Calibri"/>
          <w:color w:val="000000" w:themeColor="text1"/>
          <w:kern w:val="0"/>
          <w:szCs w:val="20"/>
          <w:u w:val="single"/>
          <w14:ligatures w14:val="none"/>
        </w:rPr>
        <w:t xml:space="preserve"> </w:t>
      </w:r>
      <w:hyperlink r:id="rId159" w:history="1">
        <w:r w:rsidRPr="00465FA4">
          <w:rPr>
            <w:rStyle w:val="Hipercze"/>
            <w:rFonts w:cs="Calibri"/>
            <w:kern w:val="0"/>
            <w:szCs w:val="20"/>
            <w14:ligatures w14:val="none"/>
          </w:rPr>
          <w:t>link</w:t>
        </w:r>
      </w:hyperlink>
      <w:r w:rsidRPr="00465FA4">
        <w:rPr>
          <w:rFonts w:cs="Calibri"/>
          <w:color w:val="0563C1" w:themeColor="hyperlink"/>
          <w:kern w:val="0"/>
          <w:szCs w:val="20"/>
          <w:u w:val="single"/>
          <w14:ligatures w14:val="none"/>
        </w:rPr>
        <w:t xml:space="preserve"> </w:t>
      </w:r>
    </w:p>
    <w:p w14:paraId="52ACC235" w14:textId="42BE3604" w:rsidR="00750B01" w:rsidRPr="00750B01" w:rsidRDefault="00750B01" w:rsidP="00C50C06">
      <w:r w:rsidRPr="00D051E5">
        <w:rPr>
          <w:b/>
          <w:bCs/>
        </w:rPr>
        <w:t>rozporządzenie dotyczące SFK</w:t>
      </w:r>
      <w:r>
        <w:t xml:space="preserve"> – rozporządzenie </w:t>
      </w:r>
      <w:r w:rsidR="00B67916">
        <w:t>Parlamentu Europejskiego</w:t>
      </w:r>
      <w:r>
        <w:t xml:space="preserve"> i Rady (UE) 2023/955 z dnia 10 maja 2023 r. w sprawie ustanowienia Społecznego Funduszu Klimatycznego i zmieniające rozporządzenie (UE) 2021/1060, </w:t>
      </w:r>
      <w:hyperlink r:id="rId160" w:history="1">
        <w:r w:rsidRPr="00CC35DA">
          <w:rPr>
            <w:rStyle w:val="Hipercze"/>
          </w:rPr>
          <w:t>link</w:t>
        </w:r>
      </w:hyperlink>
    </w:p>
    <w:p w14:paraId="39811699" w14:textId="0C8B4433" w:rsidR="009D48CB" w:rsidRDefault="009D48CB" w:rsidP="009D48CB">
      <w:pPr>
        <w:rPr>
          <w:rStyle w:val="Hipercze"/>
          <w:rFonts w:cs="Calibri"/>
          <w:bCs/>
          <w:kern w:val="0"/>
          <w:szCs w:val="20"/>
          <w14:ligatures w14:val="none"/>
        </w:rPr>
      </w:pPr>
      <w:r w:rsidRPr="009D48CB">
        <w:rPr>
          <w:rFonts w:cs="Calibri"/>
          <w:b/>
          <w:bCs/>
          <w:color w:val="000000" w:themeColor="text1"/>
          <w:kern w:val="0"/>
          <w:szCs w:val="20"/>
          <w14:ligatures w14:val="none"/>
        </w:rPr>
        <w:t>rozporządzenie MRV</w:t>
      </w:r>
      <w:r w:rsidRPr="009D48CB">
        <w:rPr>
          <w:rFonts w:cs="Calibri"/>
          <w:color w:val="000000" w:themeColor="text1"/>
          <w:kern w:val="0"/>
          <w:szCs w:val="20"/>
          <w14:ligatures w14:val="none"/>
        </w:rPr>
        <w:t xml:space="preserve"> </w:t>
      </w:r>
      <w:r w:rsidR="00AC3BAF">
        <w:rPr>
          <w:rFonts w:cs="Calibri"/>
          <w:color w:val="000000" w:themeColor="text1"/>
          <w:kern w:val="0"/>
          <w:szCs w:val="20"/>
          <w14:ligatures w14:val="none"/>
        </w:rPr>
        <w:t>–</w:t>
      </w:r>
      <w:r w:rsidRPr="009D48CB">
        <w:rPr>
          <w:rFonts w:cs="Calibri"/>
          <w:color w:val="000000" w:themeColor="text1"/>
          <w:kern w:val="0"/>
          <w:szCs w:val="20"/>
          <w14:ligatures w14:val="none"/>
        </w:rPr>
        <w:t xml:space="preserve"> </w:t>
      </w:r>
      <w:r w:rsidRPr="009D48CB">
        <w:rPr>
          <w:rFonts w:cs="Calibri"/>
          <w:bCs/>
          <w:color w:val="000000" w:themeColor="text1"/>
          <w:kern w:val="0"/>
          <w:szCs w:val="20"/>
          <w14:ligatures w14:val="none"/>
        </w:rPr>
        <w:t xml:space="preserve">rozporządzenie </w:t>
      </w:r>
      <w:r w:rsidR="00B67916">
        <w:rPr>
          <w:rFonts w:cs="Calibri"/>
          <w:bCs/>
          <w:color w:val="000000" w:themeColor="text1"/>
          <w:kern w:val="0"/>
          <w:szCs w:val="20"/>
          <w14:ligatures w14:val="none"/>
        </w:rPr>
        <w:t>Parlamentu Europejskiego</w:t>
      </w:r>
      <w:r w:rsidRPr="009D48CB">
        <w:rPr>
          <w:rFonts w:cs="Calibri"/>
          <w:bCs/>
          <w:color w:val="000000" w:themeColor="text1"/>
          <w:kern w:val="0"/>
          <w:szCs w:val="20"/>
          <w14:ligatures w14:val="none"/>
        </w:rPr>
        <w:t xml:space="preserve"> i</w:t>
      </w:r>
      <w:r w:rsidR="00B67916">
        <w:rPr>
          <w:rFonts w:cs="Calibri"/>
          <w:bCs/>
          <w:color w:val="000000" w:themeColor="text1"/>
          <w:kern w:val="0"/>
          <w:szCs w:val="20"/>
          <w14:ligatures w14:val="none"/>
        </w:rPr>
        <w:t xml:space="preserve"> </w:t>
      </w:r>
      <w:r w:rsidRPr="009D48CB">
        <w:rPr>
          <w:rFonts w:cs="Calibri"/>
          <w:bCs/>
          <w:color w:val="000000" w:themeColor="text1"/>
          <w:kern w:val="0"/>
          <w:szCs w:val="20"/>
          <w14:ligatures w14:val="none"/>
        </w:rPr>
        <w:t>Rady (UE) 2023/957 z dnia 10 maja 2023 r. zm</w:t>
      </w:r>
      <w:r w:rsidR="00950CAE">
        <w:rPr>
          <w:rFonts w:cs="Calibri"/>
          <w:bCs/>
          <w:color w:val="000000" w:themeColor="text1"/>
          <w:kern w:val="0"/>
          <w:szCs w:val="20"/>
          <w14:ligatures w14:val="none"/>
        </w:rPr>
        <w:t>ieniające</w:t>
      </w:r>
      <w:r w:rsidRPr="009D48CB">
        <w:rPr>
          <w:rFonts w:cs="Calibri"/>
          <w:bCs/>
          <w:color w:val="000000" w:themeColor="text1"/>
          <w:kern w:val="0"/>
          <w:szCs w:val="20"/>
          <w14:ligatures w14:val="none"/>
        </w:rPr>
        <w:t xml:space="preserve"> rozporządzenie (UE) 2015/757 w celu włączenia transportu morskiego do unijnego systemu handlu uprawnieniami do emisji oraz monitorowania, raportowania i weryfikacji emisji dodatkowych gazów cieplarnianych i emisji z dodatkowych typów statków,</w:t>
      </w:r>
      <w:r w:rsidRPr="009D48CB">
        <w:rPr>
          <w:rFonts w:cs="Calibri"/>
          <w:bCs/>
          <w:color w:val="000000" w:themeColor="text1"/>
          <w:kern w:val="0"/>
          <w:szCs w:val="20"/>
          <w:u w:val="single"/>
          <w14:ligatures w14:val="none"/>
        </w:rPr>
        <w:t xml:space="preserve"> </w:t>
      </w:r>
      <w:hyperlink r:id="rId161" w:history="1">
        <w:r w:rsidRPr="00465FA4">
          <w:rPr>
            <w:rStyle w:val="Hipercze"/>
            <w:rFonts w:cs="Calibri"/>
            <w:bCs/>
            <w:kern w:val="0"/>
            <w:szCs w:val="20"/>
            <w14:ligatures w14:val="none"/>
          </w:rPr>
          <w:t>link</w:t>
        </w:r>
      </w:hyperlink>
    </w:p>
    <w:p w14:paraId="4D0FB6F0" w14:textId="3E7C3397" w:rsidR="000F0F23" w:rsidRDefault="00882052" w:rsidP="007B5CE2">
      <w:pPr>
        <w:rPr>
          <w:rStyle w:val="Hipercze"/>
          <w:rFonts w:cs="Calibri"/>
          <w:kern w:val="0"/>
          <w:szCs w:val="20"/>
          <w14:ligatures w14:val="none"/>
        </w:rPr>
      </w:pPr>
      <w:r w:rsidRPr="00B7441F">
        <w:rPr>
          <w:rFonts w:cs="Calibri"/>
          <w:b/>
          <w:kern w:val="0"/>
          <w:szCs w:val="20"/>
          <w14:ligatures w14:val="none"/>
        </w:rPr>
        <w:t>rozporządzenie UE dotyczące surowców krytycznych</w:t>
      </w:r>
      <w:r w:rsidRPr="00B7441F">
        <w:rPr>
          <w:rFonts w:cs="Calibri"/>
          <w:bCs/>
          <w:kern w:val="0"/>
          <w:szCs w:val="20"/>
          <w14:ligatures w14:val="none"/>
        </w:rPr>
        <w:t xml:space="preserve"> </w:t>
      </w:r>
      <w:bookmarkStart w:id="1479" w:name="_Hlk184912585"/>
      <w:r w:rsidRPr="00B7441F">
        <w:rPr>
          <w:rFonts w:cs="Calibri"/>
          <w:bCs/>
          <w:kern w:val="0"/>
          <w:szCs w:val="20"/>
          <w14:ligatures w14:val="none"/>
        </w:rPr>
        <w:t>–</w:t>
      </w:r>
      <w:bookmarkEnd w:id="1479"/>
      <w:r w:rsidRPr="00B7441F">
        <w:rPr>
          <w:rFonts w:cs="Calibri"/>
          <w:bCs/>
          <w:kern w:val="0"/>
          <w:szCs w:val="20"/>
          <w14:ligatures w14:val="none"/>
        </w:rPr>
        <w:t xml:space="preserve"> </w:t>
      </w:r>
      <w:r w:rsidR="000F0F23" w:rsidRPr="00B7441F">
        <w:rPr>
          <w:rFonts w:cs="Calibri"/>
          <w:bCs/>
          <w:kern w:val="0"/>
          <w:szCs w:val="20"/>
          <w14:ligatures w14:val="none"/>
        </w:rPr>
        <w:t xml:space="preserve">rozporządzenie </w:t>
      </w:r>
      <w:r w:rsidR="00B67916">
        <w:rPr>
          <w:rFonts w:cs="Calibri"/>
          <w:bCs/>
          <w:kern w:val="0"/>
          <w:szCs w:val="20"/>
          <w14:ligatures w14:val="none"/>
        </w:rPr>
        <w:t>Parlamentu Europejskiego</w:t>
      </w:r>
      <w:r w:rsidR="000F0F23" w:rsidRPr="00B7441F">
        <w:rPr>
          <w:rFonts w:cs="Calibri"/>
          <w:bCs/>
          <w:kern w:val="0"/>
          <w:szCs w:val="20"/>
          <w14:ligatures w14:val="none"/>
        </w:rPr>
        <w:t xml:space="preserve"> i</w:t>
      </w:r>
      <w:r w:rsidR="003825E7">
        <w:rPr>
          <w:rFonts w:cs="Calibri"/>
          <w:bCs/>
          <w:kern w:val="0"/>
          <w:szCs w:val="20"/>
          <w14:ligatures w14:val="none"/>
        </w:rPr>
        <w:t> </w:t>
      </w:r>
      <w:r w:rsidR="000F0F23" w:rsidRPr="00B7441F">
        <w:rPr>
          <w:rFonts w:cs="Calibri"/>
          <w:bCs/>
          <w:kern w:val="0"/>
          <w:szCs w:val="20"/>
          <w14:ligatures w14:val="none"/>
        </w:rPr>
        <w:t>Rady (UE) 2024/1252 z dnia 11 kwietnia 2024 r. w sprawie ustanowienia ram na potrzeby zapewnienia bezpiecznych i zrównoważonych dostaw surowców krytycznych oraz zmiany rozporządzeń (UE) nr</w:t>
      </w:r>
      <w:r w:rsidR="003825E7">
        <w:rPr>
          <w:rFonts w:cs="Calibri"/>
          <w:bCs/>
          <w:kern w:val="0"/>
          <w:szCs w:val="20"/>
          <w14:ligatures w14:val="none"/>
        </w:rPr>
        <w:t> </w:t>
      </w:r>
      <w:r w:rsidR="000F0F23" w:rsidRPr="00B7441F">
        <w:rPr>
          <w:rFonts w:cs="Calibri"/>
          <w:bCs/>
          <w:kern w:val="0"/>
          <w:szCs w:val="20"/>
          <w14:ligatures w14:val="none"/>
        </w:rPr>
        <w:t>168/2013, (UE) 2018/858, (UE) 2018/1724 i (UE) 2019/1020,</w:t>
      </w:r>
      <w:r w:rsidR="000F0F23" w:rsidRPr="00B7441F">
        <w:rPr>
          <w:rFonts w:cs="Calibri"/>
          <w:bCs/>
          <w:kern w:val="0"/>
          <w:szCs w:val="20"/>
          <w:u w:val="single"/>
          <w14:ligatures w14:val="none"/>
        </w:rPr>
        <w:t xml:space="preserve"> </w:t>
      </w:r>
      <w:hyperlink r:id="rId162" w:history="1">
        <w:r w:rsidR="000F0F23" w:rsidRPr="000F0F23">
          <w:rPr>
            <w:rStyle w:val="Hipercze"/>
            <w:rFonts w:cs="Calibri"/>
            <w:bCs/>
            <w:kern w:val="0"/>
            <w:szCs w:val="20"/>
            <w14:ligatures w14:val="none"/>
          </w:rPr>
          <w:t>link</w:t>
        </w:r>
      </w:hyperlink>
    </w:p>
    <w:p w14:paraId="2C31877A" w14:textId="3DD40B49" w:rsidR="005917F5" w:rsidRDefault="007D2E74" w:rsidP="004E7361">
      <w:pPr>
        <w:rPr>
          <w:rFonts w:cs="Calibri"/>
          <w:b/>
          <w:kern w:val="0"/>
          <w:szCs w:val="20"/>
          <w14:ligatures w14:val="none"/>
        </w:rPr>
      </w:pPr>
      <w:r w:rsidRPr="00B67916">
        <w:rPr>
          <w:b/>
          <w:bCs/>
        </w:rPr>
        <w:lastRenderedPageBreak/>
        <w:t>kodeks sieci NCSS</w:t>
      </w:r>
      <w:r>
        <w:t xml:space="preserve"> – </w:t>
      </w:r>
      <w:r w:rsidR="005917F5">
        <w:t>r</w:t>
      </w:r>
      <w:r w:rsidR="005917F5" w:rsidRPr="001062BA">
        <w:t xml:space="preserve">ozporządzenie delegowane Komisji (UE) 2024/1366 z dnia 11 marca 2024 r. uzupełniające rozporządzenie </w:t>
      </w:r>
      <w:r w:rsidR="00B67916">
        <w:t>Parlamentu Europejskiego i Rady</w:t>
      </w:r>
      <w:r w:rsidR="005917F5" w:rsidRPr="001062BA">
        <w:t xml:space="preserve"> (UE) 2019/943 poprzez ustanowienie kodeksu sieci dotyczącego zasad sektorowych w zakresie aspektów cyberbezpieczeństwa w</w:t>
      </w:r>
      <w:r w:rsidR="003825E7">
        <w:t> </w:t>
      </w:r>
      <w:r w:rsidR="005917F5" w:rsidRPr="001062BA">
        <w:t>transgranicznych przepływach energii elektrycznej</w:t>
      </w:r>
    </w:p>
    <w:p w14:paraId="27A61597" w14:textId="3657516D" w:rsidR="00D35778" w:rsidRPr="00D35778" w:rsidRDefault="000C0224" w:rsidP="004E7361">
      <w:pPr>
        <w:rPr>
          <w:rFonts w:cs="Calibri"/>
          <w:bCs/>
          <w:kern w:val="0"/>
          <w:szCs w:val="20"/>
          <w14:ligatures w14:val="none"/>
        </w:rPr>
      </w:pPr>
      <w:r>
        <w:rPr>
          <w:rFonts w:cs="Calibri"/>
          <w:b/>
          <w:kern w:val="0"/>
          <w:szCs w:val="20"/>
          <w14:ligatures w14:val="none"/>
        </w:rPr>
        <w:t>rozporządzenie</w:t>
      </w:r>
      <w:r w:rsidR="00D35778">
        <w:rPr>
          <w:rFonts w:cs="Calibri"/>
          <w:b/>
          <w:kern w:val="0"/>
          <w:szCs w:val="20"/>
          <w14:ligatures w14:val="none"/>
        </w:rPr>
        <w:t xml:space="preserve"> TEN-T </w:t>
      </w:r>
      <w:r w:rsidR="00D35778" w:rsidRPr="00D35778">
        <w:rPr>
          <w:rFonts w:cs="Calibri"/>
          <w:bCs/>
          <w:kern w:val="0"/>
          <w:szCs w:val="20"/>
          <w14:ligatures w14:val="none"/>
        </w:rPr>
        <w:t xml:space="preserve">– rozporządzenie </w:t>
      </w:r>
      <w:r w:rsidR="00B67916">
        <w:rPr>
          <w:rFonts w:cs="Calibri"/>
          <w:bCs/>
          <w:kern w:val="0"/>
          <w:szCs w:val="20"/>
          <w14:ligatures w14:val="none"/>
        </w:rPr>
        <w:t>Parlamentu Europejskiego</w:t>
      </w:r>
      <w:r w:rsidR="00D35778" w:rsidRPr="00D35778">
        <w:rPr>
          <w:rFonts w:cs="Calibri"/>
          <w:bCs/>
          <w:kern w:val="0"/>
          <w:szCs w:val="20"/>
          <w14:ligatures w14:val="none"/>
        </w:rPr>
        <w:t xml:space="preserve"> i Rady (UE) 2024/1679 z dnia 13 czerwca 2024 r. w sprawie wytycznych Unii dotyczących rozwoju transeuropejskiej sieci transportowej (TEN-T)</w:t>
      </w:r>
      <w:r>
        <w:rPr>
          <w:rFonts w:cs="Calibri"/>
          <w:bCs/>
          <w:kern w:val="0"/>
          <w:szCs w:val="20"/>
          <w14:ligatures w14:val="none"/>
        </w:rPr>
        <w:t xml:space="preserve">, </w:t>
      </w:r>
      <w:hyperlink r:id="rId163" w:history="1">
        <w:r w:rsidRPr="000C0224">
          <w:rPr>
            <w:rStyle w:val="Hipercze"/>
            <w:rFonts w:cs="Calibri"/>
            <w:bCs/>
            <w:kern w:val="0"/>
            <w:szCs w:val="20"/>
            <w14:ligatures w14:val="none"/>
          </w:rPr>
          <w:t>link</w:t>
        </w:r>
      </w:hyperlink>
    </w:p>
    <w:p w14:paraId="414DEB0A" w14:textId="5A63827A" w:rsidR="004E7361" w:rsidRPr="00B7441F" w:rsidRDefault="004E7361" w:rsidP="004E7361">
      <w:pPr>
        <w:rPr>
          <w:rFonts w:cs="Calibri"/>
          <w:bCs/>
          <w:color w:val="0563C1" w:themeColor="hyperlink"/>
          <w:kern w:val="0"/>
          <w:szCs w:val="20"/>
          <w14:ligatures w14:val="none"/>
        </w:rPr>
      </w:pPr>
      <w:r w:rsidRPr="00B7441F">
        <w:rPr>
          <w:rFonts w:cs="Calibri"/>
          <w:b/>
          <w:kern w:val="0"/>
          <w:szCs w:val="20"/>
          <w14:ligatures w14:val="none"/>
        </w:rPr>
        <w:t>rozporządzenie Net Zero Industry Act, NZIA</w:t>
      </w:r>
      <w:r w:rsidRPr="00B7441F">
        <w:rPr>
          <w:rFonts w:cs="Calibri"/>
          <w:bCs/>
          <w:kern w:val="0"/>
          <w:szCs w:val="20"/>
          <w14:ligatures w14:val="none"/>
        </w:rPr>
        <w:t xml:space="preserve"> – rozporządzenie </w:t>
      </w:r>
      <w:r w:rsidR="00B67916">
        <w:rPr>
          <w:rFonts w:cs="Calibri"/>
          <w:bCs/>
          <w:kern w:val="0"/>
          <w:szCs w:val="20"/>
          <w14:ligatures w14:val="none"/>
        </w:rPr>
        <w:t>Parlamentu Europejskiego</w:t>
      </w:r>
      <w:r w:rsidRPr="00B7441F">
        <w:rPr>
          <w:rFonts w:cs="Calibri"/>
          <w:bCs/>
          <w:kern w:val="0"/>
          <w:szCs w:val="20"/>
          <w14:ligatures w14:val="none"/>
        </w:rPr>
        <w:t xml:space="preserve"> i Rady (UE) 2024/1735 z dnia</w:t>
      </w:r>
      <w:r w:rsidR="00F10FDD">
        <w:rPr>
          <w:rFonts w:cs="Calibri"/>
          <w:bCs/>
          <w:kern w:val="0"/>
          <w:szCs w:val="20"/>
          <w14:ligatures w14:val="none"/>
        </w:rPr>
        <w:t xml:space="preserve"> </w:t>
      </w:r>
      <w:r w:rsidRPr="00B7441F">
        <w:rPr>
          <w:rFonts w:cs="Calibri"/>
          <w:bCs/>
          <w:kern w:val="0"/>
          <w:szCs w:val="20"/>
          <w14:ligatures w14:val="none"/>
        </w:rPr>
        <w:t xml:space="preserve">13 czerwca 2024 r. w sprawie ustanowienia ram środków na rzecz wzmocnienia europejskiego ekosystemu produkcji produktów technologii neutralnych emisyjnie, </w:t>
      </w:r>
      <w:hyperlink r:id="rId164" w:history="1">
        <w:r w:rsidRPr="00B7441F">
          <w:rPr>
            <w:rStyle w:val="Hipercze"/>
            <w:rFonts w:cs="Calibri"/>
            <w:bCs/>
            <w:kern w:val="0"/>
            <w:szCs w:val="20"/>
            <w:u w:val="none"/>
            <w14:ligatures w14:val="none"/>
          </w:rPr>
          <w:t>link</w:t>
        </w:r>
      </w:hyperlink>
    </w:p>
    <w:p w14:paraId="3A5AD119" w14:textId="05F02FE0" w:rsidR="00576F93" w:rsidRPr="0015570E" w:rsidRDefault="00AA5267" w:rsidP="007B5CE2">
      <w:r>
        <w:rPr>
          <w:rFonts w:cs="Calibri"/>
          <w:b/>
          <w:color w:val="000000" w:themeColor="text1"/>
          <w:kern w:val="0"/>
          <w:szCs w:val="20"/>
          <w14:ligatures w14:val="none"/>
        </w:rPr>
        <w:t>r</w:t>
      </w:r>
      <w:r w:rsidR="00576F93" w:rsidRPr="00452718">
        <w:rPr>
          <w:rFonts w:cs="Calibri"/>
          <w:b/>
          <w:color w:val="000000" w:themeColor="text1"/>
          <w:kern w:val="0"/>
          <w:szCs w:val="20"/>
          <w14:ligatures w14:val="none"/>
        </w:rPr>
        <w:t xml:space="preserve">ozporządzenie UE dotyczące emisji metanu </w:t>
      </w:r>
      <w:r w:rsidR="00576F93" w:rsidRPr="00452718">
        <w:rPr>
          <w:rFonts w:cs="Calibri"/>
          <w:bCs/>
          <w:color w:val="000000" w:themeColor="text1"/>
          <w:kern w:val="0"/>
          <w:szCs w:val="20"/>
          <w14:ligatures w14:val="none"/>
        </w:rPr>
        <w:t>–</w:t>
      </w:r>
      <w:r w:rsidR="00AF3E6E" w:rsidRPr="00452718">
        <w:rPr>
          <w:rFonts w:cs="Calibri"/>
          <w:b/>
          <w:color w:val="000000" w:themeColor="text1"/>
          <w:kern w:val="0"/>
          <w:szCs w:val="20"/>
          <w14:ligatures w14:val="none"/>
        </w:rPr>
        <w:t xml:space="preserve"> </w:t>
      </w:r>
      <w:r w:rsidR="00AF3E6E" w:rsidRPr="00452718">
        <w:rPr>
          <w:rFonts w:cs="Calibri"/>
          <w:bCs/>
          <w:color w:val="000000" w:themeColor="text1"/>
          <w:kern w:val="0"/>
          <w:szCs w:val="20"/>
          <w14:ligatures w14:val="none"/>
        </w:rPr>
        <w:t xml:space="preserve">rozporządzenie </w:t>
      </w:r>
      <w:r w:rsidR="00B67916">
        <w:rPr>
          <w:rFonts w:cs="Calibri"/>
          <w:bCs/>
          <w:color w:val="000000" w:themeColor="text1"/>
          <w:kern w:val="0"/>
          <w:szCs w:val="20"/>
          <w14:ligatures w14:val="none"/>
        </w:rPr>
        <w:t>Parlamentu Europejskiego</w:t>
      </w:r>
      <w:r w:rsidR="00AF3E6E" w:rsidRPr="00452718">
        <w:rPr>
          <w:rFonts w:cs="Calibri"/>
          <w:bCs/>
          <w:color w:val="000000" w:themeColor="text1"/>
          <w:kern w:val="0"/>
          <w:szCs w:val="20"/>
          <w14:ligatures w14:val="none"/>
        </w:rPr>
        <w:t xml:space="preserve"> i Rady (UE) 2024/1787 z dnia 13 czerwca 2024 r. w sprawie redukcji emisji metanu w sektorze energetycznym oraz zmieniające rozporządzenie (UE) 2019/942</w:t>
      </w:r>
      <w:r w:rsidR="006B59F4">
        <w:rPr>
          <w:rFonts w:cs="Calibri"/>
          <w:bCs/>
          <w:color w:val="000000" w:themeColor="text1"/>
          <w:kern w:val="0"/>
          <w:szCs w:val="20"/>
          <w14:ligatures w14:val="none"/>
        </w:rPr>
        <w:t xml:space="preserve">, </w:t>
      </w:r>
      <w:hyperlink r:id="rId165" w:history="1">
        <w:r w:rsidR="006B59F4" w:rsidRPr="006D2C1D">
          <w:rPr>
            <w:rStyle w:val="Hipercze"/>
            <w:rFonts w:cs="Calibri"/>
            <w:bCs/>
            <w:kern w:val="0"/>
            <w:szCs w:val="20"/>
            <w14:ligatures w14:val="none"/>
          </w:rPr>
          <w:t>link</w:t>
        </w:r>
      </w:hyperlink>
    </w:p>
    <w:p w14:paraId="2FF045E2" w14:textId="0AC1CAC9" w:rsidR="004E7361" w:rsidRPr="004E7361" w:rsidRDefault="00D25B0C" w:rsidP="007B5CE2">
      <w:pPr>
        <w:rPr>
          <w:rFonts w:cs="Calibri"/>
          <w:bCs/>
          <w:color w:val="000000" w:themeColor="text1"/>
          <w:kern w:val="0"/>
          <w:szCs w:val="20"/>
          <w14:ligatures w14:val="none"/>
        </w:rPr>
      </w:pPr>
      <w:r w:rsidRPr="00D25B0C">
        <w:rPr>
          <w:rFonts w:eastAsia="Lato" w:cs="Lato"/>
          <w:b/>
          <w:bCs/>
          <w:szCs w:val="20"/>
        </w:rPr>
        <w:t>rozporządzenie</w:t>
      </w:r>
      <w:r>
        <w:rPr>
          <w:rFonts w:eastAsia="Lato" w:cs="Lato"/>
          <w:szCs w:val="20"/>
        </w:rPr>
        <w:t xml:space="preserve"> </w:t>
      </w:r>
      <w:r w:rsidRPr="00D25B0C">
        <w:rPr>
          <w:rFonts w:eastAsia="Lato" w:cs="Lato"/>
          <w:b/>
          <w:bCs/>
          <w:szCs w:val="20"/>
        </w:rPr>
        <w:t>2024/1789</w:t>
      </w:r>
      <w:r>
        <w:rPr>
          <w:rFonts w:eastAsia="Lato" w:cs="Lato"/>
          <w:szCs w:val="20"/>
        </w:rPr>
        <w:t xml:space="preserve"> – </w:t>
      </w:r>
      <w:r w:rsidR="00F10FDD" w:rsidRPr="76317B2B">
        <w:rPr>
          <w:rFonts w:eastAsia="Lato" w:cs="Lato"/>
          <w:szCs w:val="20"/>
        </w:rPr>
        <w:t>rozporządzenie Parlamentu Europejskiego i Rady (UE) 2024/1789 z dnia 13</w:t>
      </w:r>
      <w:r>
        <w:rPr>
          <w:rFonts w:eastAsia="Lato" w:cs="Lato"/>
          <w:szCs w:val="20"/>
        </w:rPr>
        <w:t> </w:t>
      </w:r>
      <w:r w:rsidR="00F10FDD" w:rsidRPr="76317B2B">
        <w:rPr>
          <w:rFonts w:eastAsia="Lato" w:cs="Lato"/>
          <w:szCs w:val="20"/>
        </w:rPr>
        <w:t>czerwca 2024 r. w sprawie rynków wewnętrznych gazu odnawialnego, gazu ziemnego i wodoru</w:t>
      </w:r>
      <w:r>
        <w:rPr>
          <w:rFonts w:eastAsia="Lato" w:cs="Lato"/>
          <w:szCs w:val="20"/>
        </w:rPr>
        <w:t xml:space="preserve">, </w:t>
      </w:r>
      <w:hyperlink r:id="rId166" w:history="1">
        <w:r w:rsidRPr="002E3794">
          <w:rPr>
            <w:rStyle w:val="Hipercze"/>
            <w:rFonts w:eastAsia="Lato" w:cs="Lato"/>
            <w:szCs w:val="20"/>
          </w:rPr>
          <w:t>link</w:t>
        </w:r>
      </w:hyperlink>
      <w:r>
        <w:rPr>
          <w:rFonts w:eastAsia="Lato" w:cs="Lato"/>
          <w:szCs w:val="20"/>
        </w:rPr>
        <w:t xml:space="preserve"> </w:t>
      </w:r>
      <w:r w:rsidR="004E7361" w:rsidRPr="004E7361">
        <w:rPr>
          <w:rFonts w:cs="Calibri"/>
          <w:b/>
          <w:color w:val="000000" w:themeColor="text1"/>
          <w:kern w:val="0"/>
          <w:szCs w:val="20"/>
          <w14:ligatures w14:val="none"/>
        </w:rPr>
        <w:t>rozporządzenie Nat</w:t>
      </w:r>
      <w:r w:rsidR="000C0224">
        <w:rPr>
          <w:rFonts w:cs="Calibri"/>
          <w:b/>
          <w:color w:val="000000" w:themeColor="text1"/>
          <w:kern w:val="0"/>
          <w:szCs w:val="20"/>
          <w14:ligatures w14:val="none"/>
        </w:rPr>
        <w:t>ur</w:t>
      </w:r>
      <w:r w:rsidR="004F21C0">
        <w:rPr>
          <w:rFonts w:cs="Calibri"/>
          <w:b/>
          <w:color w:val="000000" w:themeColor="text1"/>
          <w:kern w:val="0"/>
          <w:szCs w:val="20"/>
          <w14:ligatures w14:val="none"/>
        </w:rPr>
        <w:t>e</w:t>
      </w:r>
      <w:r w:rsidR="004E7361" w:rsidRPr="004E7361">
        <w:rPr>
          <w:rFonts w:cs="Calibri"/>
          <w:b/>
          <w:color w:val="000000" w:themeColor="text1"/>
          <w:kern w:val="0"/>
          <w:szCs w:val="20"/>
          <w14:ligatures w14:val="none"/>
        </w:rPr>
        <w:t xml:space="preserve"> Restoration Law, NRL</w:t>
      </w:r>
      <w:r w:rsidR="004E7361">
        <w:rPr>
          <w:rFonts w:cs="Calibri"/>
          <w:bCs/>
          <w:color w:val="000000" w:themeColor="text1"/>
          <w:kern w:val="0"/>
          <w:szCs w:val="20"/>
          <w14:ligatures w14:val="none"/>
        </w:rPr>
        <w:t xml:space="preserve"> – r</w:t>
      </w:r>
      <w:r w:rsidR="004E7361" w:rsidRPr="004E7361">
        <w:rPr>
          <w:rFonts w:cs="Calibri"/>
          <w:bCs/>
          <w:color w:val="000000" w:themeColor="text1"/>
          <w:kern w:val="0"/>
          <w:szCs w:val="20"/>
          <w14:ligatures w14:val="none"/>
        </w:rPr>
        <w:t>ozporządzenie (UE) 2024/1991 Parlamentu Europejskiego i Rady z dnia 24 czerwca 2024 r. w sprawie odbudowy zasobów przyrodniczych i zmiany rozporządzenia (UE) 2022/869</w:t>
      </w:r>
      <w:r w:rsidR="004E7361">
        <w:rPr>
          <w:rFonts w:cs="Calibri"/>
          <w:bCs/>
          <w:color w:val="000000" w:themeColor="text1"/>
          <w:kern w:val="0"/>
          <w:szCs w:val="20"/>
          <w14:ligatures w14:val="none"/>
        </w:rPr>
        <w:t xml:space="preserve">, </w:t>
      </w:r>
      <w:hyperlink r:id="rId167" w:history="1">
        <w:r w:rsidR="004E7361" w:rsidRPr="004E7361">
          <w:rPr>
            <w:rStyle w:val="Hipercze"/>
            <w:rFonts w:cs="Calibri"/>
            <w:bCs/>
            <w:kern w:val="0"/>
            <w:szCs w:val="20"/>
            <w14:ligatures w14:val="none"/>
          </w:rPr>
          <w:t>link</w:t>
        </w:r>
      </w:hyperlink>
    </w:p>
    <w:p w14:paraId="54C97B8E" w14:textId="340F0403" w:rsidR="009759B7" w:rsidRPr="004E7361" w:rsidRDefault="00F20EDC" w:rsidP="007B5CE2">
      <w:pPr>
        <w:rPr>
          <w:rFonts w:cs="Calibri"/>
          <w:bCs/>
          <w:color w:val="000000" w:themeColor="text1"/>
          <w:kern w:val="0"/>
          <w:szCs w:val="20"/>
          <w14:ligatures w14:val="none"/>
        </w:rPr>
      </w:pPr>
      <w:r>
        <w:rPr>
          <w:b/>
          <w:bCs/>
        </w:rPr>
        <w:t xml:space="preserve">rozporządzenie </w:t>
      </w:r>
      <w:r w:rsidRPr="00B43289">
        <w:rPr>
          <w:b/>
          <w:bCs/>
        </w:rPr>
        <w:t xml:space="preserve">ws. ram certyfikacji </w:t>
      </w:r>
      <w:r w:rsidR="00B43289" w:rsidRPr="00B43289">
        <w:rPr>
          <w:b/>
          <w:bCs/>
        </w:rPr>
        <w:t xml:space="preserve">pochłaniania </w:t>
      </w:r>
      <w:r w:rsidRPr="00B43289">
        <w:rPr>
          <w:b/>
          <w:bCs/>
        </w:rPr>
        <w:t>CO</w:t>
      </w:r>
      <w:r w:rsidRPr="00B43289">
        <w:rPr>
          <w:b/>
          <w:bCs/>
          <w:vertAlign w:val="subscript"/>
        </w:rPr>
        <w:t>2</w:t>
      </w:r>
      <w:r w:rsidR="00B43289">
        <w:t xml:space="preserve"> </w:t>
      </w:r>
      <w:r w:rsidR="00D35778">
        <w:t>–</w:t>
      </w:r>
      <w:r>
        <w:t xml:space="preserve"> </w:t>
      </w:r>
      <w:r w:rsidR="009759B7">
        <w:t>r</w:t>
      </w:r>
      <w:r w:rsidR="009759B7" w:rsidRPr="00CB6B30">
        <w:t xml:space="preserve">ozporządzenie </w:t>
      </w:r>
      <w:r w:rsidR="00B67916">
        <w:t>Parlamentu Europejskiego</w:t>
      </w:r>
      <w:r w:rsidR="009759B7" w:rsidRPr="00CB6B30">
        <w:t xml:space="preserve"> i</w:t>
      </w:r>
      <w:r w:rsidR="00473117">
        <w:t> </w:t>
      </w:r>
      <w:r w:rsidR="009759B7" w:rsidRPr="00CB6B30">
        <w:t>Rady (UE) 2024/3012 z dnia 27 listopada 2024 r. w sprawie ustanowienia unijnych ram certyfikacji trwałego pochłaniania dwutlenku węgla, technik węglochłonnych oraz składowania dwutlenku węgla w</w:t>
      </w:r>
      <w:r w:rsidR="003825E7">
        <w:t> </w:t>
      </w:r>
      <w:r w:rsidR="009759B7" w:rsidRPr="00CB6B30">
        <w:t>produktach</w:t>
      </w:r>
      <w:r w:rsidR="009759B7">
        <w:t xml:space="preserve">, </w:t>
      </w:r>
      <w:hyperlink r:id="rId168" w:history="1">
        <w:r w:rsidR="009759B7" w:rsidRPr="00F5286E">
          <w:rPr>
            <w:rStyle w:val="Hipercze"/>
          </w:rPr>
          <w:t>link</w:t>
        </w:r>
      </w:hyperlink>
    </w:p>
    <w:p w14:paraId="5A9E1961" w14:textId="3FE4C70E" w:rsidR="00FC6B1B" w:rsidRPr="00FC6B1B" w:rsidRDefault="00547217" w:rsidP="00FC6B1B">
      <w:r w:rsidRPr="00B7441F">
        <w:rPr>
          <w:rFonts w:cs="Calibri"/>
          <w:b/>
          <w:kern w:val="0"/>
          <w:szCs w:val="20"/>
          <w14:ligatures w14:val="none"/>
        </w:rPr>
        <w:t>Europejski Zielony Ład</w:t>
      </w:r>
      <w:r w:rsidRPr="00B7441F">
        <w:rPr>
          <w:rFonts w:cs="Calibri"/>
          <w:bCs/>
          <w:kern w:val="0"/>
          <w:szCs w:val="20"/>
          <w14:ligatures w14:val="none"/>
        </w:rPr>
        <w:t xml:space="preserve"> – </w:t>
      </w:r>
      <w:r w:rsidR="006D2C1D" w:rsidRPr="00B7441F">
        <w:rPr>
          <w:rFonts w:cs="Calibri"/>
          <w:bCs/>
          <w:kern w:val="0"/>
          <w:szCs w:val="20"/>
          <w14:ligatures w14:val="none"/>
        </w:rPr>
        <w:t>Komunikat Komisji do Parlamentu Europejskiego, Rady, Europejskiego Komitetu Ekonomiczno-Społecznego i Komitetu Regionów „Europejski Zielony Ład” (COM(2019) 640 final),</w:t>
      </w:r>
      <w:bookmarkStart w:id="1480" w:name="_Hlk184912748"/>
      <w:r w:rsidR="006D2C1D" w:rsidRPr="00B7441F">
        <w:rPr>
          <w:rFonts w:cs="Calibri"/>
          <w:bCs/>
          <w:kern w:val="0"/>
          <w:szCs w:val="20"/>
          <w14:ligatures w14:val="none"/>
        </w:rPr>
        <w:t xml:space="preserve"> </w:t>
      </w:r>
      <w:hyperlink r:id="rId169" w:history="1">
        <w:r w:rsidR="006D2C1D" w:rsidRPr="006D2C1D">
          <w:rPr>
            <w:rStyle w:val="Hipercze"/>
            <w:rFonts w:cs="Calibri"/>
            <w:bCs/>
            <w:kern w:val="0"/>
            <w:szCs w:val="20"/>
            <w14:ligatures w14:val="none"/>
          </w:rPr>
          <w:t>link</w:t>
        </w:r>
      </w:hyperlink>
      <w:bookmarkEnd w:id="1460"/>
      <w:bookmarkEnd w:id="1476"/>
      <w:bookmarkEnd w:id="1480"/>
    </w:p>
    <w:p w14:paraId="185D44B7" w14:textId="77777777" w:rsidR="00FC6B1B" w:rsidRPr="00FC6B1B" w:rsidRDefault="00FC6B1B" w:rsidP="00FC6B1B"/>
    <w:p w14:paraId="5C27F939" w14:textId="44252DAB" w:rsidR="00626342" w:rsidRPr="00282168" w:rsidRDefault="00626342" w:rsidP="00282168">
      <w:pPr>
        <w:rPr>
          <w:rFonts w:cs="Calibri"/>
          <w:color w:val="0563C1" w:themeColor="hyperlink"/>
          <w:kern w:val="0"/>
          <w:szCs w:val="20"/>
          <w:u w:val="single"/>
          <w14:ligatures w14:val="none"/>
        </w:rPr>
      </w:pPr>
      <w:r>
        <w:br w:type="page"/>
      </w:r>
    </w:p>
    <w:p w14:paraId="63A2098C" w14:textId="25FC53CF" w:rsidR="007D5D1D" w:rsidRDefault="00DE72EA" w:rsidP="00626342">
      <w:pPr>
        <w:pStyle w:val="Nagwek1"/>
        <w:numPr>
          <w:ilvl w:val="0"/>
          <w:numId w:val="0"/>
        </w:numPr>
        <w:spacing w:before="600"/>
        <w:ind w:left="432" w:hanging="432"/>
      </w:pPr>
      <w:bookmarkStart w:id="1481" w:name="_Toc159598369"/>
      <w:bookmarkStart w:id="1482" w:name="_Toc195897415"/>
      <w:bookmarkStart w:id="1483" w:name="_Toc205203245"/>
      <w:r>
        <w:lastRenderedPageBreak/>
        <w:t>Wykaz skrótów</w:t>
      </w:r>
      <w:bookmarkEnd w:id="1481"/>
      <w:bookmarkEnd w:id="1482"/>
      <w:bookmarkEnd w:id="1483"/>
    </w:p>
    <w:tbl>
      <w:tblPr>
        <w:tblStyle w:val="Tabela-Siatka"/>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964"/>
        <w:gridCol w:w="283"/>
        <w:gridCol w:w="7881"/>
      </w:tblGrid>
      <w:tr w:rsidR="002E2342" w:rsidRPr="00CE3606" w14:paraId="7A2F3F2B" w14:textId="77777777" w:rsidTr="00CC5BCB">
        <w:trPr>
          <w:trHeight w:val="57"/>
        </w:trPr>
        <w:tc>
          <w:tcPr>
            <w:tcW w:w="964" w:type="dxa"/>
          </w:tcPr>
          <w:p w14:paraId="09F1E893" w14:textId="219EA5CF" w:rsidR="002E2342" w:rsidRDefault="002E2342" w:rsidP="000608EA">
            <w:pPr>
              <w:jc w:val="left"/>
              <w:rPr>
                <w:b/>
                <w:szCs w:val="20"/>
              </w:rPr>
            </w:pPr>
            <w:r>
              <w:rPr>
                <w:b/>
                <w:szCs w:val="20"/>
              </w:rPr>
              <w:t>aKPEiK</w:t>
            </w:r>
          </w:p>
        </w:tc>
        <w:tc>
          <w:tcPr>
            <w:tcW w:w="283" w:type="dxa"/>
          </w:tcPr>
          <w:p w14:paraId="2073FCF6" w14:textId="31D2E039" w:rsidR="002E2342" w:rsidRDefault="002E2342" w:rsidP="000608EA">
            <w:pPr>
              <w:jc w:val="left"/>
              <w:rPr>
                <w:szCs w:val="20"/>
              </w:rPr>
            </w:pPr>
            <w:r>
              <w:rPr>
                <w:szCs w:val="20"/>
              </w:rPr>
              <w:t>–</w:t>
            </w:r>
          </w:p>
        </w:tc>
        <w:tc>
          <w:tcPr>
            <w:tcW w:w="7881" w:type="dxa"/>
          </w:tcPr>
          <w:p w14:paraId="1CBC2DA1" w14:textId="22C46D54" w:rsidR="002E2342" w:rsidRPr="002E2342" w:rsidRDefault="002E2342" w:rsidP="000608EA">
            <w:pPr>
              <w:jc w:val="left"/>
              <w:rPr>
                <w:szCs w:val="20"/>
              </w:rPr>
            </w:pPr>
            <w:r>
              <w:rPr>
                <w:szCs w:val="20"/>
              </w:rPr>
              <w:t xml:space="preserve">aktualizacja </w:t>
            </w:r>
            <w:r>
              <w:rPr>
                <w:i/>
                <w:iCs/>
                <w:szCs w:val="20"/>
              </w:rPr>
              <w:t xml:space="preserve">Krajowego planu na rzecz energii i </w:t>
            </w:r>
            <w:r w:rsidR="000E2778">
              <w:rPr>
                <w:i/>
                <w:iCs/>
                <w:szCs w:val="20"/>
              </w:rPr>
              <w:t>klimatu</w:t>
            </w:r>
            <w:r>
              <w:rPr>
                <w:i/>
                <w:iCs/>
                <w:szCs w:val="20"/>
              </w:rPr>
              <w:t xml:space="preserve"> na lata 2021–2030</w:t>
            </w:r>
          </w:p>
        </w:tc>
      </w:tr>
      <w:tr w:rsidR="00867D22" w:rsidRPr="00CE3606" w14:paraId="561CED7C" w14:textId="77777777" w:rsidTr="00CC5BCB">
        <w:trPr>
          <w:trHeight w:val="57"/>
        </w:trPr>
        <w:tc>
          <w:tcPr>
            <w:tcW w:w="964" w:type="dxa"/>
          </w:tcPr>
          <w:p w14:paraId="6F17CA54" w14:textId="1764E476" w:rsidR="00867D22" w:rsidRDefault="00867D22" w:rsidP="000608EA">
            <w:pPr>
              <w:jc w:val="left"/>
              <w:rPr>
                <w:b/>
                <w:szCs w:val="20"/>
              </w:rPr>
            </w:pPr>
            <w:r>
              <w:rPr>
                <w:b/>
                <w:szCs w:val="20"/>
              </w:rPr>
              <w:t>BGK</w:t>
            </w:r>
          </w:p>
        </w:tc>
        <w:tc>
          <w:tcPr>
            <w:tcW w:w="283" w:type="dxa"/>
          </w:tcPr>
          <w:p w14:paraId="7EB9E41C" w14:textId="379D9ABF" w:rsidR="00867D22" w:rsidRDefault="00867D22" w:rsidP="000608EA">
            <w:pPr>
              <w:jc w:val="left"/>
              <w:rPr>
                <w:szCs w:val="20"/>
              </w:rPr>
            </w:pPr>
            <w:r>
              <w:rPr>
                <w:szCs w:val="20"/>
              </w:rPr>
              <w:t>–</w:t>
            </w:r>
          </w:p>
        </w:tc>
        <w:tc>
          <w:tcPr>
            <w:tcW w:w="7881" w:type="dxa"/>
          </w:tcPr>
          <w:p w14:paraId="3C710015" w14:textId="7AEF940A" w:rsidR="00867D22" w:rsidRDefault="00867D22" w:rsidP="000608EA">
            <w:pPr>
              <w:jc w:val="left"/>
              <w:rPr>
                <w:szCs w:val="20"/>
              </w:rPr>
            </w:pPr>
            <w:r>
              <w:rPr>
                <w:szCs w:val="20"/>
              </w:rPr>
              <w:t>Bank Gospodarstwa Krajowego</w:t>
            </w:r>
          </w:p>
        </w:tc>
      </w:tr>
      <w:tr w:rsidR="00194ABD" w:rsidRPr="00CE3606" w14:paraId="4F9B1E7D" w14:textId="77777777" w:rsidTr="00CC5BCB">
        <w:trPr>
          <w:trHeight w:val="57"/>
        </w:trPr>
        <w:tc>
          <w:tcPr>
            <w:tcW w:w="964" w:type="dxa"/>
          </w:tcPr>
          <w:p w14:paraId="613C0081" w14:textId="781200A5" w:rsidR="00194ABD" w:rsidRDefault="00194ABD" w:rsidP="000608EA">
            <w:pPr>
              <w:jc w:val="left"/>
              <w:rPr>
                <w:b/>
                <w:szCs w:val="20"/>
              </w:rPr>
            </w:pPr>
            <w:r>
              <w:rPr>
                <w:b/>
                <w:szCs w:val="20"/>
              </w:rPr>
              <w:t>B+R</w:t>
            </w:r>
          </w:p>
        </w:tc>
        <w:tc>
          <w:tcPr>
            <w:tcW w:w="283" w:type="dxa"/>
          </w:tcPr>
          <w:p w14:paraId="55EC3AD7" w14:textId="63F82CC1" w:rsidR="00194ABD" w:rsidRDefault="00194ABD" w:rsidP="000608EA">
            <w:pPr>
              <w:jc w:val="left"/>
              <w:rPr>
                <w:szCs w:val="20"/>
              </w:rPr>
            </w:pPr>
            <w:r>
              <w:rPr>
                <w:szCs w:val="20"/>
              </w:rPr>
              <w:t>–</w:t>
            </w:r>
          </w:p>
        </w:tc>
        <w:tc>
          <w:tcPr>
            <w:tcW w:w="7881" w:type="dxa"/>
          </w:tcPr>
          <w:p w14:paraId="629A2C1C" w14:textId="773950B2" w:rsidR="00194ABD" w:rsidRDefault="00740A3A" w:rsidP="000608EA">
            <w:pPr>
              <w:jc w:val="left"/>
              <w:rPr>
                <w:szCs w:val="20"/>
              </w:rPr>
            </w:pPr>
            <w:r>
              <w:rPr>
                <w:szCs w:val="20"/>
              </w:rPr>
              <w:t>d</w:t>
            </w:r>
            <w:r w:rsidR="00194ABD">
              <w:rPr>
                <w:szCs w:val="20"/>
              </w:rPr>
              <w:t>ziałalność badawczo-rozwojowa</w:t>
            </w:r>
          </w:p>
        </w:tc>
      </w:tr>
      <w:tr w:rsidR="007345EB" w:rsidRPr="00181EC1" w14:paraId="3406D243" w14:textId="77777777" w:rsidTr="00CC5BCB">
        <w:trPr>
          <w:trHeight w:val="57"/>
        </w:trPr>
        <w:tc>
          <w:tcPr>
            <w:tcW w:w="964" w:type="dxa"/>
          </w:tcPr>
          <w:p w14:paraId="13A3468F" w14:textId="514C27A6" w:rsidR="007345EB" w:rsidRDefault="007345EB" w:rsidP="000608EA">
            <w:pPr>
              <w:jc w:val="left"/>
              <w:rPr>
                <w:b/>
                <w:szCs w:val="20"/>
              </w:rPr>
            </w:pPr>
            <w:r>
              <w:rPr>
                <w:b/>
                <w:szCs w:val="20"/>
              </w:rPr>
              <w:t>CCS</w:t>
            </w:r>
          </w:p>
        </w:tc>
        <w:tc>
          <w:tcPr>
            <w:tcW w:w="283" w:type="dxa"/>
          </w:tcPr>
          <w:p w14:paraId="79D688C1" w14:textId="094F84C3" w:rsidR="007345EB" w:rsidRDefault="007A6307" w:rsidP="000608EA">
            <w:pPr>
              <w:jc w:val="left"/>
              <w:rPr>
                <w:szCs w:val="20"/>
              </w:rPr>
            </w:pPr>
            <w:r>
              <w:rPr>
                <w:szCs w:val="20"/>
              </w:rPr>
              <w:t>–</w:t>
            </w:r>
          </w:p>
        </w:tc>
        <w:tc>
          <w:tcPr>
            <w:tcW w:w="7881" w:type="dxa"/>
          </w:tcPr>
          <w:p w14:paraId="364945C8" w14:textId="50952F4D" w:rsidR="007345EB" w:rsidRPr="00181EC1" w:rsidRDefault="00740A3A" w:rsidP="000608EA">
            <w:pPr>
              <w:jc w:val="left"/>
              <w:rPr>
                <w:szCs w:val="20"/>
              </w:rPr>
            </w:pPr>
            <w:r>
              <w:rPr>
                <w:szCs w:val="20"/>
              </w:rPr>
              <w:t>t</w:t>
            </w:r>
            <w:r w:rsidR="00FB1CBC" w:rsidRPr="00FB1CBC">
              <w:rPr>
                <w:szCs w:val="20"/>
              </w:rPr>
              <w:t xml:space="preserve">echnologia wychwytywania i magazynowania </w:t>
            </w:r>
            <w:r w:rsidR="00A352EE">
              <w:rPr>
                <w:szCs w:val="20"/>
              </w:rPr>
              <w:t>dwutlenku węgla</w:t>
            </w:r>
            <w:r w:rsidR="0045591B">
              <w:rPr>
                <w:szCs w:val="20"/>
              </w:rPr>
              <w:t xml:space="preserve">, </w:t>
            </w:r>
            <w:r w:rsidR="007345EB" w:rsidRPr="002348EE">
              <w:rPr>
                <w:szCs w:val="20"/>
              </w:rPr>
              <w:t xml:space="preserve">ang. </w:t>
            </w:r>
            <w:r w:rsidR="007345EB" w:rsidRPr="00E3649A">
              <w:rPr>
                <w:i/>
                <w:szCs w:val="20"/>
              </w:rPr>
              <w:t>Carbon Capture and Storage</w:t>
            </w:r>
          </w:p>
        </w:tc>
      </w:tr>
      <w:tr w:rsidR="002348EE" w:rsidRPr="007345EB" w14:paraId="6AAC6068" w14:textId="77777777" w:rsidTr="00CC5BCB">
        <w:trPr>
          <w:trHeight w:val="57"/>
        </w:trPr>
        <w:tc>
          <w:tcPr>
            <w:tcW w:w="964" w:type="dxa"/>
          </w:tcPr>
          <w:p w14:paraId="4D891D53" w14:textId="608891A1" w:rsidR="002348EE" w:rsidRDefault="002348EE" w:rsidP="000608EA">
            <w:pPr>
              <w:jc w:val="left"/>
              <w:rPr>
                <w:b/>
                <w:szCs w:val="20"/>
              </w:rPr>
            </w:pPr>
            <w:r>
              <w:rPr>
                <w:b/>
                <w:szCs w:val="20"/>
              </w:rPr>
              <w:t>CCU</w:t>
            </w:r>
          </w:p>
        </w:tc>
        <w:tc>
          <w:tcPr>
            <w:tcW w:w="283" w:type="dxa"/>
          </w:tcPr>
          <w:p w14:paraId="2036C954" w14:textId="04FC1EB1" w:rsidR="002348EE" w:rsidRDefault="007A6307" w:rsidP="000608EA">
            <w:pPr>
              <w:jc w:val="left"/>
              <w:rPr>
                <w:szCs w:val="20"/>
              </w:rPr>
            </w:pPr>
            <w:r>
              <w:rPr>
                <w:szCs w:val="20"/>
              </w:rPr>
              <w:t>–</w:t>
            </w:r>
          </w:p>
        </w:tc>
        <w:tc>
          <w:tcPr>
            <w:tcW w:w="7881" w:type="dxa"/>
          </w:tcPr>
          <w:p w14:paraId="70D65CA0" w14:textId="1633E4DC" w:rsidR="002348EE" w:rsidRPr="00564E17" w:rsidRDefault="00740A3A" w:rsidP="000608EA">
            <w:pPr>
              <w:jc w:val="left"/>
              <w:rPr>
                <w:szCs w:val="20"/>
              </w:rPr>
            </w:pPr>
            <w:r>
              <w:rPr>
                <w:szCs w:val="20"/>
              </w:rPr>
              <w:t>t</w:t>
            </w:r>
            <w:r w:rsidR="002F1FAE">
              <w:rPr>
                <w:szCs w:val="20"/>
              </w:rPr>
              <w:t>echnologia w</w:t>
            </w:r>
            <w:r w:rsidR="002F1FAE" w:rsidRPr="002F1FAE">
              <w:rPr>
                <w:szCs w:val="20"/>
              </w:rPr>
              <w:t>ychwytywani</w:t>
            </w:r>
            <w:r w:rsidR="002F1FAE">
              <w:rPr>
                <w:szCs w:val="20"/>
              </w:rPr>
              <w:t>a</w:t>
            </w:r>
            <w:r w:rsidR="002F1FAE" w:rsidRPr="002F1FAE">
              <w:rPr>
                <w:szCs w:val="20"/>
              </w:rPr>
              <w:t xml:space="preserve"> i utylizacj</w:t>
            </w:r>
            <w:r w:rsidR="002F1FAE">
              <w:rPr>
                <w:szCs w:val="20"/>
              </w:rPr>
              <w:t>i</w:t>
            </w:r>
            <w:r w:rsidR="002F1FAE" w:rsidRPr="002F1FAE">
              <w:rPr>
                <w:szCs w:val="20"/>
              </w:rPr>
              <w:t xml:space="preserve"> dwutlenku węgla, </w:t>
            </w:r>
            <w:r w:rsidR="002348EE" w:rsidRPr="002F1FAE">
              <w:rPr>
                <w:szCs w:val="20"/>
              </w:rPr>
              <w:t xml:space="preserve">ang. </w:t>
            </w:r>
            <w:r w:rsidR="002348EE" w:rsidRPr="00E3649A">
              <w:rPr>
                <w:i/>
                <w:szCs w:val="20"/>
              </w:rPr>
              <w:t>Carbon Capture and Utilization</w:t>
            </w:r>
          </w:p>
        </w:tc>
      </w:tr>
      <w:tr w:rsidR="008C1B21" w:rsidRPr="007345EB" w14:paraId="5AB1AA0B" w14:textId="77777777" w:rsidTr="00CC5BCB">
        <w:trPr>
          <w:trHeight w:val="57"/>
        </w:trPr>
        <w:tc>
          <w:tcPr>
            <w:tcW w:w="964" w:type="dxa"/>
          </w:tcPr>
          <w:p w14:paraId="18829A80" w14:textId="00FE1D1D" w:rsidR="008C1B21" w:rsidRDefault="008C1B21" w:rsidP="000608EA">
            <w:pPr>
              <w:jc w:val="left"/>
              <w:rPr>
                <w:b/>
                <w:szCs w:val="20"/>
              </w:rPr>
            </w:pPr>
            <w:r>
              <w:rPr>
                <w:b/>
                <w:szCs w:val="20"/>
              </w:rPr>
              <w:t>CCUS</w:t>
            </w:r>
          </w:p>
        </w:tc>
        <w:tc>
          <w:tcPr>
            <w:tcW w:w="283" w:type="dxa"/>
          </w:tcPr>
          <w:p w14:paraId="656DE1C3" w14:textId="0E5758FE" w:rsidR="008C1B21" w:rsidRDefault="007A6307" w:rsidP="000608EA">
            <w:pPr>
              <w:jc w:val="left"/>
              <w:rPr>
                <w:szCs w:val="20"/>
              </w:rPr>
            </w:pPr>
            <w:r>
              <w:rPr>
                <w:szCs w:val="20"/>
              </w:rPr>
              <w:t>–</w:t>
            </w:r>
          </w:p>
        </w:tc>
        <w:tc>
          <w:tcPr>
            <w:tcW w:w="7881" w:type="dxa"/>
          </w:tcPr>
          <w:p w14:paraId="437AD7B2" w14:textId="1F9F2B87" w:rsidR="008C1B21" w:rsidRPr="00564E17" w:rsidRDefault="00740A3A" w:rsidP="000608EA">
            <w:pPr>
              <w:jc w:val="left"/>
              <w:rPr>
                <w:szCs w:val="20"/>
              </w:rPr>
            </w:pPr>
            <w:r>
              <w:rPr>
                <w:szCs w:val="20"/>
              </w:rPr>
              <w:t>t</w:t>
            </w:r>
            <w:r w:rsidR="007A6307" w:rsidRPr="007A6307">
              <w:rPr>
                <w:szCs w:val="20"/>
              </w:rPr>
              <w:t>echnologi</w:t>
            </w:r>
            <w:r w:rsidR="007A6307">
              <w:rPr>
                <w:szCs w:val="20"/>
              </w:rPr>
              <w:t>a</w:t>
            </w:r>
            <w:r w:rsidR="007A6307" w:rsidRPr="007A6307">
              <w:rPr>
                <w:szCs w:val="20"/>
              </w:rPr>
              <w:t xml:space="preserve"> wychwytu, składowania i wykorzystania dwutlenku węgla</w:t>
            </w:r>
            <w:r w:rsidR="007A6307">
              <w:rPr>
                <w:szCs w:val="20"/>
              </w:rPr>
              <w:t xml:space="preserve">, </w:t>
            </w:r>
            <w:r w:rsidR="008C1B21" w:rsidRPr="007A6307">
              <w:rPr>
                <w:szCs w:val="20"/>
              </w:rPr>
              <w:t xml:space="preserve">ang. </w:t>
            </w:r>
            <w:r w:rsidR="008C1B21" w:rsidRPr="00E3649A">
              <w:rPr>
                <w:i/>
                <w:szCs w:val="20"/>
              </w:rPr>
              <w:t>Carbon Capture, Utilization and Storage</w:t>
            </w:r>
          </w:p>
        </w:tc>
      </w:tr>
      <w:tr w:rsidR="00833BB7" w:rsidRPr="00CE3606" w14:paraId="04754834" w14:textId="77777777" w:rsidTr="00CC5BCB">
        <w:trPr>
          <w:trHeight w:val="57"/>
        </w:trPr>
        <w:tc>
          <w:tcPr>
            <w:tcW w:w="964" w:type="dxa"/>
          </w:tcPr>
          <w:p w14:paraId="0B25AA6C" w14:textId="4DA4B74E" w:rsidR="00833BB7" w:rsidRPr="00CE3606" w:rsidRDefault="00C51BA4" w:rsidP="000608EA">
            <w:pPr>
              <w:jc w:val="left"/>
              <w:rPr>
                <w:b/>
                <w:szCs w:val="20"/>
              </w:rPr>
            </w:pPr>
            <w:r>
              <w:rPr>
                <w:b/>
                <w:szCs w:val="20"/>
              </w:rPr>
              <w:t>CEEB</w:t>
            </w:r>
          </w:p>
        </w:tc>
        <w:tc>
          <w:tcPr>
            <w:tcW w:w="283" w:type="dxa"/>
          </w:tcPr>
          <w:p w14:paraId="3F07B21F" w14:textId="4C57A828" w:rsidR="00833BB7" w:rsidRPr="00CE3606" w:rsidRDefault="00C51BA4" w:rsidP="000608EA">
            <w:pPr>
              <w:jc w:val="left"/>
              <w:rPr>
                <w:szCs w:val="20"/>
              </w:rPr>
            </w:pPr>
            <w:r>
              <w:rPr>
                <w:szCs w:val="20"/>
              </w:rPr>
              <w:t>–</w:t>
            </w:r>
          </w:p>
        </w:tc>
        <w:tc>
          <w:tcPr>
            <w:tcW w:w="7881" w:type="dxa"/>
          </w:tcPr>
          <w:p w14:paraId="254934A4" w14:textId="0A9460FB" w:rsidR="00833BB7" w:rsidRPr="00CE3606" w:rsidRDefault="00C51BA4" w:rsidP="000608EA">
            <w:pPr>
              <w:jc w:val="left"/>
              <w:rPr>
                <w:szCs w:val="20"/>
              </w:rPr>
            </w:pPr>
            <w:r>
              <w:rPr>
                <w:szCs w:val="20"/>
              </w:rPr>
              <w:t>Centraln</w:t>
            </w:r>
            <w:r w:rsidR="001C450F">
              <w:rPr>
                <w:szCs w:val="20"/>
              </w:rPr>
              <w:t>a</w:t>
            </w:r>
            <w:r>
              <w:rPr>
                <w:szCs w:val="20"/>
              </w:rPr>
              <w:t xml:space="preserve"> Ewidencja Emisyjności Budynków</w:t>
            </w:r>
          </w:p>
        </w:tc>
      </w:tr>
      <w:tr w:rsidR="0050622B" w:rsidRPr="00CE3606" w14:paraId="0BA61EC6" w14:textId="77777777" w:rsidTr="00CC5BCB">
        <w:trPr>
          <w:trHeight w:val="57"/>
        </w:trPr>
        <w:tc>
          <w:tcPr>
            <w:tcW w:w="964" w:type="dxa"/>
          </w:tcPr>
          <w:p w14:paraId="562E8801" w14:textId="0D8BD728" w:rsidR="0050622B" w:rsidRDefault="0050622B" w:rsidP="000608EA">
            <w:pPr>
              <w:jc w:val="left"/>
              <w:rPr>
                <w:b/>
                <w:szCs w:val="20"/>
              </w:rPr>
            </w:pPr>
            <w:r>
              <w:rPr>
                <w:b/>
                <w:szCs w:val="20"/>
              </w:rPr>
              <w:t>CEF</w:t>
            </w:r>
          </w:p>
        </w:tc>
        <w:tc>
          <w:tcPr>
            <w:tcW w:w="283" w:type="dxa"/>
          </w:tcPr>
          <w:p w14:paraId="52246FB2" w14:textId="5BE3F112" w:rsidR="0050622B" w:rsidRDefault="0050622B" w:rsidP="000608EA">
            <w:pPr>
              <w:jc w:val="left"/>
              <w:rPr>
                <w:szCs w:val="20"/>
              </w:rPr>
            </w:pPr>
            <w:r>
              <w:rPr>
                <w:szCs w:val="20"/>
              </w:rPr>
              <w:t>–</w:t>
            </w:r>
          </w:p>
        </w:tc>
        <w:tc>
          <w:tcPr>
            <w:tcW w:w="7881" w:type="dxa"/>
          </w:tcPr>
          <w:p w14:paraId="5ADDD7A1" w14:textId="7954C188" w:rsidR="0050622B" w:rsidRDefault="0050622B" w:rsidP="000608EA">
            <w:pPr>
              <w:jc w:val="left"/>
              <w:rPr>
                <w:szCs w:val="20"/>
              </w:rPr>
            </w:pPr>
            <w:r>
              <w:rPr>
                <w:szCs w:val="20"/>
              </w:rPr>
              <w:t>Instrument „Łącząc Europę”</w:t>
            </w:r>
          </w:p>
        </w:tc>
      </w:tr>
      <w:tr w:rsidR="003B4135" w:rsidRPr="00CE3606" w14:paraId="75F8215E" w14:textId="77777777" w:rsidTr="00CC5BCB">
        <w:trPr>
          <w:trHeight w:val="57"/>
        </w:trPr>
        <w:tc>
          <w:tcPr>
            <w:tcW w:w="964" w:type="dxa"/>
          </w:tcPr>
          <w:p w14:paraId="6610772C" w14:textId="29036C10" w:rsidR="003B4135" w:rsidRPr="00CE3606" w:rsidRDefault="003B4135" w:rsidP="000608EA">
            <w:pPr>
              <w:jc w:val="left"/>
              <w:rPr>
                <w:b/>
                <w:szCs w:val="20"/>
              </w:rPr>
            </w:pPr>
            <w:r w:rsidRPr="00CE3606">
              <w:rPr>
                <w:b/>
                <w:szCs w:val="20"/>
              </w:rPr>
              <w:t>CEPS</w:t>
            </w:r>
          </w:p>
        </w:tc>
        <w:tc>
          <w:tcPr>
            <w:tcW w:w="283" w:type="dxa"/>
          </w:tcPr>
          <w:p w14:paraId="20B8CB19" w14:textId="550E9DEC" w:rsidR="003B4135" w:rsidRPr="00CE3606" w:rsidRDefault="000C3472" w:rsidP="000608EA">
            <w:pPr>
              <w:jc w:val="left"/>
              <w:rPr>
                <w:szCs w:val="20"/>
              </w:rPr>
            </w:pPr>
            <w:r w:rsidRPr="00CE3606">
              <w:rPr>
                <w:szCs w:val="20"/>
              </w:rPr>
              <w:t>–</w:t>
            </w:r>
          </w:p>
        </w:tc>
        <w:tc>
          <w:tcPr>
            <w:tcW w:w="7881" w:type="dxa"/>
          </w:tcPr>
          <w:p w14:paraId="6C543813" w14:textId="167ED243" w:rsidR="003B4135" w:rsidRPr="00CE3606" w:rsidRDefault="003B4135" w:rsidP="000608EA">
            <w:pPr>
              <w:jc w:val="left"/>
              <w:rPr>
                <w:szCs w:val="20"/>
              </w:rPr>
            </w:pPr>
            <w:r w:rsidRPr="00CE3606">
              <w:rPr>
                <w:szCs w:val="20"/>
              </w:rPr>
              <w:t xml:space="preserve">Europejska Sieć Rurociągów Paliwowych, ang. </w:t>
            </w:r>
            <w:r w:rsidRPr="00CE3606">
              <w:rPr>
                <w:i/>
                <w:iCs/>
                <w:szCs w:val="20"/>
              </w:rPr>
              <w:t>Central Europe Pipeline System</w:t>
            </w:r>
          </w:p>
        </w:tc>
      </w:tr>
      <w:tr w:rsidR="00C51BA4" w:rsidRPr="00CE3606" w14:paraId="07C8A0A6" w14:textId="77777777" w:rsidTr="00CC5BCB">
        <w:trPr>
          <w:trHeight w:val="57"/>
        </w:trPr>
        <w:tc>
          <w:tcPr>
            <w:tcW w:w="964" w:type="dxa"/>
          </w:tcPr>
          <w:p w14:paraId="1B2C9517" w14:textId="5A869824" w:rsidR="00C51BA4" w:rsidRPr="00630061" w:rsidRDefault="00C51BA4" w:rsidP="00C51BA4">
            <w:pPr>
              <w:jc w:val="left"/>
              <w:rPr>
                <w:b/>
                <w:szCs w:val="20"/>
              </w:rPr>
            </w:pPr>
            <w:r w:rsidRPr="00630061">
              <w:rPr>
                <w:b/>
                <w:szCs w:val="20"/>
              </w:rPr>
              <w:t>CRChEB</w:t>
            </w:r>
          </w:p>
        </w:tc>
        <w:tc>
          <w:tcPr>
            <w:tcW w:w="283" w:type="dxa"/>
          </w:tcPr>
          <w:p w14:paraId="186045C9" w14:textId="78877591" w:rsidR="00C51BA4" w:rsidRPr="00CE3606" w:rsidRDefault="00C51BA4" w:rsidP="00C51BA4">
            <w:pPr>
              <w:jc w:val="left"/>
              <w:rPr>
                <w:szCs w:val="20"/>
              </w:rPr>
            </w:pPr>
            <w:r>
              <w:rPr>
                <w:szCs w:val="20"/>
              </w:rPr>
              <w:t>–</w:t>
            </w:r>
          </w:p>
        </w:tc>
        <w:tc>
          <w:tcPr>
            <w:tcW w:w="7881" w:type="dxa"/>
          </w:tcPr>
          <w:p w14:paraId="4061ECDD" w14:textId="7FB6295E" w:rsidR="00C51BA4" w:rsidRPr="00CE3606" w:rsidRDefault="00C51BA4" w:rsidP="00C51BA4">
            <w:pPr>
              <w:jc w:val="left"/>
              <w:rPr>
                <w:szCs w:val="20"/>
              </w:rPr>
            </w:pPr>
            <w:r w:rsidRPr="00833BB7">
              <w:rPr>
                <w:szCs w:val="20"/>
              </w:rPr>
              <w:t>Centralny Rejestr Charakterystyki Energetycznej Budynków</w:t>
            </w:r>
          </w:p>
        </w:tc>
      </w:tr>
      <w:tr w:rsidR="008F13F6" w:rsidRPr="00CE3606" w14:paraId="5BAC6A54" w14:textId="77777777" w:rsidTr="00CC5BCB">
        <w:trPr>
          <w:trHeight w:val="57"/>
        </w:trPr>
        <w:tc>
          <w:tcPr>
            <w:tcW w:w="964" w:type="dxa"/>
          </w:tcPr>
          <w:p w14:paraId="4C576F63" w14:textId="3BE3F046" w:rsidR="008F13F6" w:rsidRPr="00630061" w:rsidRDefault="008F13F6" w:rsidP="008F13F6">
            <w:pPr>
              <w:jc w:val="left"/>
              <w:rPr>
                <w:b/>
                <w:szCs w:val="20"/>
              </w:rPr>
            </w:pPr>
            <w:r w:rsidRPr="00630061">
              <w:rPr>
                <w:b/>
                <w:szCs w:val="20"/>
              </w:rPr>
              <w:t>CSIRE</w:t>
            </w:r>
          </w:p>
        </w:tc>
        <w:tc>
          <w:tcPr>
            <w:tcW w:w="283" w:type="dxa"/>
          </w:tcPr>
          <w:p w14:paraId="5159178F" w14:textId="5115D9E4" w:rsidR="008F13F6" w:rsidRDefault="008F13F6" w:rsidP="008F13F6">
            <w:pPr>
              <w:jc w:val="left"/>
              <w:rPr>
                <w:szCs w:val="20"/>
              </w:rPr>
            </w:pPr>
            <w:r>
              <w:rPr>
                <w:szCs w:val="20"/>
              </w:rPr>
              <w:t>–</w:t>
            </w:r>
          </w:p>
        </w:tc>
        <w:tc>
          <w:tcPr>
            <w:tcW w:w="7881" w:type="dxa"/>
          </w:tcPr>
          <w:p w14:paraId="61E9A6AF" w14:textId="02BFC355" w:rsidR="008F13F6" w:rsidRPr="00833BB7" w:rsidRDefault="008F13F6" w:rsidP="008F13F6">
            <w:pPr>
              <w:jc w:val="left"/>
              <w:rPr>
                <w:szCs w:val="20"/>
              </w:rPr>
            </w:pPr>
            <w:r w:rsidRPr="00847DCA">
              <w:rPr>
                <w:szCs w:val="20"/>
              </w:rPr>
              <w:t xml:space="preserve">Centralny </w:t>
            </w:r>
            <w:r>
              <w:rPr>
                <w:szCs w:val="20"/>
              </w:rPr>
              <w:t>S</w:t>
            </w:r>
            <w:r w:rsidRPr="00847DCA">
              <w:rPr>
                <w:szCs w:val="20"/>
              </w:rPr>
              <w:t xml:space="preserve">ystem </w:t>
            </w:r>
            <w:r>
              <w:rPr>
                <w:szCs w:val="20"/>
              </w:rPr>
              <w:t>I</w:t>
            </w:r>
            <w:r w:rsidRPr="00847DCA">
              <w:rPr>
                <w:szCs w:val="20"/>
              </w:rPr>
              <w:t xml:space="preserve">nformacji </w:t>
            </w:r>
            <w:r>
              <w:rPr>
                <w:szCs w:val="20"/>
              </w:rPr>
              <w:t>R</w:t>
            </w:r>
            <w:r w:rsidRPr="00847DCA">
              <w:rPr>
                <w:szCs w:val="20"/>
              </w:rPr>
              <w:t xml:space="preserve">ynku </w:t>
            </w:r>
            <w:r>
              <w:rPr>
                <w:szCs w:val="20"/>
              </w:rPr>
              <w:t>E</w:t>
            </w:r>
            <w:r w:rsidRPr="00847DCA">
              <w:rPr>
                <w:szCs w:val="20"/>
              </w:rPr>
              <w:t>nergii</w:t>
            </w:r>
          </w:p>
        </w:tc>
      </w:tr>
      <w:tr w:rsidR="00545483" w:rsidRPr="00CE3606" w14:paraId="1E06EB36" w14:textId="77777777" w:rsidTr="00CC5BCB">
        <w:trPr>
          <w:trHeight w:val="57"/>
        </w:trPr>
        <w:tc>
          <w:tcPr>
            <w:tcW w:w="964" w:type="dxa"/>
          </w:tcPr>
          <w:p w14:paraId="24E47016" w14:textId="7F0B76E6" w:rsidR="00545483" w:rsidRPr="00545483" w:rsidRDefault="00545483" w:rsidP="008F13F6">
            <w:pPr>
              <w:jc w:val="left"/>
              <w:rPr>
                <w:b/>
                <w:bCs/>
                <w:szCs w:val="20"/>
              </w:rPr>
            </w:pPr>
            <w:r w:rsidRPr="00545483">
              <w:rPr>
                <w:b/>
                <w:bCs/>
              </w:rPr>
              <w:t>CSIRT</w:t>
            </w:r>
          </w:p>
        </w:tc>
        <w:tc>
          <w:tcPr>
            <w:tcW w:w="283" w:type="dxa"/>
          </w:tcPr>
          <w:p w14:paraId="6AACBDC7" w14:textId="77777777" w:rsidR="00545483" w:rsidRDefault="00545483" w:rsidP="008F13F6">
            <w:pPr>
              <w:jc w:val="left"/>
              <w:rPr>
                <w:szCs w:val="20"/>
              </w:rPr>
            </w:pPr>
          </w:p>
        </w:tc>
        <w:tc>
          <w:tcPr>
            <w:tcW w:w="7881" w:type="dxa"/>
          </w:tcPr>
          <w:p w14:paraId="7FF96790" w14:textId="41567974" w:rsidR="00545483" w:rsidRPr="00545483" w:rsidRDefault="00545483" w:rsidP="008F13F6">
            <w:pPr>
              <w:jc w:val="left"/>
              <w:rPr>
                <w:szCs w:val="20"/>
                <w:u w:val="single"/>
              </w:rPr>
            </w:pPr>
            <w:r>
              <w:t>zesp</w:t>
            </w:r>
            <w:r w:rsidRPr="00AB17F8">
              <w:t xml:space="preserve">ół </w:t>
            </w:r>
            <w:r>
              <w:t>r</w:t>
            </w:r>
            <w:r w:rsidRPr="00AB17F8">
              <w:t xml:space="preserve">eagowania na </w:t>
            </w:r>
            <w:r>
              <w:t>i</w:t>
            </w:r>
            <w:r w:rsidRPr="00AB17F8">
              <w:t xml:space="preserve">ncydenty </w:t>
            </w:r>
            <w:r>
              <w:t>b</w:t>
            </w:r>
            <w:r w:rsidRPr="00AB17F8">
              <w:t xml:space="preserve">ezpieczeństwa </w:t>
            </w:r>
            <w:r>
              <w:t>k</w:t>
            </w:r>
            <w:r w:rsidRPr="00AB17F8">
              <w:t>omputerowego</w:t>
            </w:r>
            <w:r>
              <w:t xml:space="preserve">, ang. </w:t>
            </w:r>
            <w:r w:rsidRPr="00545483">
              <w:rPr>
                <w:i/>
                <w:iCs/>
              </w:rPr>
              <w:t>Computer Security Incident Response Team</w:t>
            </w:r>
            <w:r>
              <w:t xml:space="preserve"> (</w:t>
            </w:r>
            <w:r w:rsidR="00AE22BC">
              <w:t>rozwini</w:t>
            </w:r>
            <w:r w:rsidR="00AD7F39">
              <w:t>ę</w:t>
            </w:r>
            <w:r w:rsidR="00AE22BC">
              <w:t xml:space="preserve">cie </w:t>
            </w:r>
            <w:r w:rsidR="008B0E0F">
              <w:t xml:space="preserve">w zależności od tematyki </w:t>
            </w:r>
            <w:r w:rsidR="004126C6">
              <w:t>np. CSIRT Energia</w:t>
            </w:r>
            <w:r w:rsidR="00AE22BC">
              <w:t>)</w:t>
            </w:r>
          </w:p>
        </w:tc>
      </w:tr>
      <w:tr w:rsidR="008F13F6" w:rsidRPr="00CE3606" w14:paraId="6B22B936" w14:textId="77777777" w:rsidTr="00CC5BCB">
        <w:trPr>
          <w:trHeight w:val="57"/>
        </w:trPr>
        <w:tc>
          <w:tcPr>
            <w:tcW w:w="964" w:type="dxa"/>
          </w:tcPr>
          <w:p w14:paraId="39D7D297" w14:textId="2A2CA639" w:rsidR="008F13F6" w:rsidRPr="0015570E" w:rsidRDefault="008F13F6" w:rsidP="008F13F6">
            <w:pPr>
              <w:jc w:val="left"/>
              <w:rPr>
                <w:b/>
              </w:rPr>
            </w:pPr>
            <w:r w:rsidRPr="0015570E">
              <w:rPr>
                <w:b/>
              </w:rPr>
              <w:t>CWTE</w:t>
            </w:r>
          </w:p>
        </w:tc>
        <w:tc>
          <w:tcPr>
            <w:tcW w:w="283" w:type="dxa"/>
          </w:tcPr>
          <w:p w14:paraId="27B6CF43" w14:textId="2BC13821" w:rsidR="008F13F6" w:rsidRDefault="008F13F6" w:rsidP="008F13F6">
            <w:pPr>
              <w:jc w:val="left"/>
              <w:rPr>
                <w:szCs w:val="20"/>
              </w:rPr>
            </w:pPr>
            <w:r>
              <w:rPr>
                <w:szCs w:val="20"/>
              </w:rPr>
              <w:t>–</w:t>
            </w:r>
          </w:p>
        </w:tc>
        <w:tc>
          <w:tcPr>
            <w:tcW w:w="7881" w:type="dxa"/>
          </w:tcPr>
          <w:p w14:paraId="2B3A001A" w14:textId="40E350AD" w:rsidR="008F13F6" w:rsidRPr="00833BB7" w:rsidRDefault="008F13F6" w:rsidP="008F13F6">
            <w:pPr>
              <w:jc w:val="left"/>
              <w:rPr>
                <w:szCs w:val="20"/>
              </w:rPr>
            </w:pPr>
            <w:r>
              <w:rPr>
                <w:szCs w:val="20"/>
              </w:rPr>
              <w:t>Centrum Wsparcia Transformacji Energetycznej (podmiot nie istnieje w chwili przyjęcia aKPEiK, jego powstanie jest jednym z planowanych działań)</w:t>
            </w:r>
          </w:p>
        </w:tc>
      </w:tr>
      <w:tr w:rsidR="00002E9B" w:rsidRPr="00A02813" w14:paraId="033598CF" w14:textId="77777777" w:rsidTr="00CC5BCB">
        <w:trPr>
          <w:trHeight w:val="57"/>
        </w:trPr>
        <w:tc>
          <w:tcPr>
            <w:tcW w:w="964" w:type="dxa"/>
          </w:tcPr>
          <w:p w14:paraId="5D59A42A" w14:textId="7FF8B91B" w:rsidR="00002E9B" w:rsidRPr="0015570E" w:rsidRDefault="00002E9B" w:rsidP="00002E9B">
            <w:pPr>
              <w:jc w:val="left"/>
              <w:rPr>
                <w:b/>
              </w:rPr>
            </w:pPr>
            <w:r w:rsidRPr="00630061">
              <w:rPr>
                <w:b/>
                <w:szCs w:val="20"/>
              </w:rPr>
              <w:t>DKR</w:t>
            </w:r>
          </w:p>
        </w:tc>
        <w:tc>
          <w:tcPr>
            <w:tcW w:w="283" w:type="dxa"/>
          </w:tcPr>
          <w:p w14:paraId="52FBC11D" w14:textId="77777777" w:rsidR="00002E9B" w:rsidRDefault="00002E9B" w:rsidP="00002E9B">
            <w:pPr>
              <w:jc w:val="left"/>
              <w:rPr>
                <w:szCs w:val="20"/>
              </w:rPr>
            </w:pPr>
          </w:p>
        </w:tc>
        <w:tc>
          <w:tcPr>
            <w:tcW w:w="7881" w:type="dxa"/>
          </w:tcPr>
          <w:p w14:paraId="1F2C57EB" w14:textId="03E23DCB" w:rsidR="00002E9B" w:rsidRPr="004A29D2" w:rsidRDefault="00002E9B" w:rsidP="00002E9B">
            <w:pPr>
              <w:jc w:val="left"/>
              <w:rPr>
                <w:szCs w:val="20"/>
                <w:lang w:val="en-US"/>
              </w:rPr>
            </w:pPr>
            <w:r w:rsidRPr="00B23D99">
              <w:t>norm</w:t>
            </w:r>
            <w:r>
              <w:t>y</w:t>
            </w:r>
            <w:r w:rsidRPr="00B23D99">
              <w:t xml:space="preserve"> dobrej kultury rolnej</w:t>
            </w:r>
            <w:r>
              <w:t>,</w:t>
            </w:r>
            <w:r w:rsidRPr="00B23D99">
              <w:t xml:space="preserve"> </w:t>
            </w:r>
            <w:r>
              <w:t xml:space="preserve">ang. </w:t>
            </w:r>
            <w:r w:rsidRPr="00D07426">
              <w:rPr>
                <w:i/>
                <w:lang w:val="en-US"/>
              </w:rPr>
              <w:t>Good Agricultural and Environmental Condition</w:t>
            </w:r>
            <w:r w:rsidRPr="00D07426">
              <w:rPr>
                <w:lang w:val="en-US"/>
              </w:rPr>
              <w:t>s</w:t>
            </w:r>
          </w:p>
        </w:tc>
      </w:tr>
      <w:tr w:rsidR="00A62AF3" w:rsidRPr="00A62AF3" w14:paraId="06EB69A3" w14:textId="77777777" w:rsidTr="00CC5BCB">
        <w:trPr>
          <w:trHeight w:val="57"/>
        </w:trPr>
        <w:tc>
          <w:tcPr>
            <w:tcW w:w="964" w:type="dxa"/>
          </w:tcPr>
          <w:p w14:paraId="2E1D1980" w14:textId="010265F1" w:rsidR="00A62AF3" w:rsidRPr="0015570E" w:rsidRDefault="00A62AF3" w:rsidP="00A62AF3">
            <w:pPr>
              <w:jc w:val="left"/>
              <w:rPr>
                <w:b/>
              </w:rPr>
            </w:pPr>
            <w:r w:rsidRPr="0015570E">
              <w:rPr>
                <w:b/>
              </w:rPr>
              <w:t>DRI</w:t>
            </w:r>
          </w:p>
        </w:tc>
        <w:tc>
          <w:tcPr>
            <w:tcW w:w="283" w:type="dxa"/>
          </w:tcPr>
          <w:p w14:paraId="2D6818EB" w14:textId="2502F6A9" w:rsidR="00A62AF3" w:rsidRDefault="00A62AF3" w:rsidP="00A62AF3">
            <w:pPr>
              <w:jc w:val="left"/>
              <w:rPr>
                <w:szCs w:val="20"/>
              </w:rPr>
            </w:pPr>
            <w:r>
              <w:rPr>
                <w:szCs w:val="20"/>
              </w:rPr>
              <w:t>–</w:t>
            </w:r>
          </w:p>
        </w:tc>
        <w:tc>
          <w:tcPr>
            <w:tcW w:w="7881" w:type="dxa"/>
          </w:tcPr>
          <w:p w14:paraId="0D90CBE9" w14:textId="0509C248" w:rsidR="00A62AF3" w:rsidRPr="00CB7D6C" w:rsidRDefault="00002E9B" w:rsidP="00A62AF3">
            <w:pPr>
              <w:jc w:val="left"/>
              <w:rPr>
                <w:szCs w:val="20"/>
              </w:rPr>
            </w:pPr>
            <w:r>
              <w:rPr>
                <w:szCs w:val="20"/>
              </w:rPr>
              <w:t>b</w:t>
            </w:r>
            <w:r w:rsidRPr="00EF49A7">
              <w:rPr>
                <w:szCs w:val="20"/>
              </w:rPr>
              <w:t>ezpośrednia</w:t>
            </w:r>
            <w:r w:rsidR="00421383" w:rsidRPr="00EF49A7">
              <w:rPr>
                <w:szCs w:val="20"/>
              </w:rPr>
              <w:t xml:space="preserve"> redukcja żelaza</w:t>
            </w:r>
            <w:r w:rsidR="00EF49A7" w:rsidRPr="00EF49A7">
              <w:rPr>
                <w:szCs w:val="20"/>
              </w:rPr>
              <w:t xml:space="preserve"> umożliwiająca produkcję żelaza z rudy żelaza przy użyciu wodoru</w:t>
            </w:r>
            <w:r w:rsidR="00EF49A7">
              <w:rPr>
                <w:szCs w:val="20"/>
              </w:rPr>
              <w:t>,</w:t>
            </w:r>
            <w:r w:rsidR="00A62AF3" w:rsidRPr="00EF49A7">
              <w:rPr>
                <w:szCs w:val="20"/>
              </w:rPr>
              <w:t xml:space="preserve"> ang. </w:t>
            </w:r>
            <w:r w:rsidR="00A62AF3" w:rsidRPr="00EF49A7">
              <w:rPr>
                <w:i/>
                <w:iCs/>
                <w:szCs w:val="20"/>
                <w:lang w:val="en-US"/>
              </w:rPr>
              <w:t>Direct Reduced Iron</w:t>
            </w:r>
          </w:p>
        </w:tc>
      </w:tr>
      <w:tr w:rsidR="00C51BA4" w:rsidRPr="00CE3606" w14:paraId="5F084075" w14:textId="77777777" w:rsidTr="00CC5BCB">
        <w:trPr>
          <w:trHeight w:val="57"/>
        </w:trPr>
        <w:tc>
          <w:tcPr>
            <w:tcW w:w="964" w:type="dxa"/>
          </w:tcPr>
          <w:p w14:paraId="2E87BB03" w14:textId="77777777" w:rsidR="00C51BA4" w:rsidRPr="00CE3606" w:rsidRDefault="00C51BA4" w:rsidP="00C51BA4">
            <w:pPr>
              <w:jc w:val="left"/>
              <w:rPr>
                <w:b/>
                <w:szCs w:val="20"/>
              </w:rPr>
            </w:pPr>
            <w:r w:rsidRPr="00CE3606">
              <w:rPr>
                <w:b/>
                <w:szCs w:val="20"/>
              </w:rPr>
              <w:t>DSR</w:t>
            </w:r>
          </w:p>
        </w:tc>
        <w:tc>
          <w:tcPr>
            <w:tcW w:w="283" w:type="dxa"/>
          </w:tcPr>
          <w:p w14:paraId="281E3962" w14:textId="77777777" w:rsidR="00C51BA4" w:rsidRPr="00CE3606" w:rsidRDefault="00C51BA4" w:rsidP="00C51BA4">
            <w:pPr>
              <w:jc w:val="left"/>
              <w:rPr>
                <w:szCs w:val="20"/>
              </w:rPr>
            </w:pPr>
            <w:r w:rsidRPr="00CE3606">
              <w:rPr>
                <w:szCs w:val="20"/>
              </w:rPr>
              <w:t>–</w:t>
            </w:r>
          </w:p>
        </w:tc>
        <w:tc>
          <w:tcPr>
            <w:tcW w:w="7881" w:type="dxa"/>
          </w:tcPr>
          <w:p w14:paraId="2A8C2F88" w14:textId="77777777" w:rsidR="00C51BA4" w:rsidRPr="00CE3606" w:rsidRDefault="00C51BA4" w:rsidP="00C51BA4">
            <w:pPr>
              <w:jc w:val="left"/>
              <w:rPr>
                <w:szCs w:val="20"/>
              </w:rPr>
            </w:pPr>
            <w:r w:rsidRPr="00CE3606">
              <w:rPr>
                <w:szCs w:val="20"/>
              </w:rPr>
              <w:t xml:space="preserve">zarządzanie popytem, odpowiedź strony popytowej, ang. </w:t>
            </w:r>
            <w:r w:rsidRPr="00CE3606">
              <w:rPr>
                <w:i/>
                <w:szCs w:val="20"/>
              </w:rPr>
              <w:t>demand side response</w:t>
            </w:r>
          </w:p>
        </w:tc>
      </w:tr>
      <w:tr w:rsidR="00C51BA4" w:rsidRPr="008D3509" w14:paraId="05F3ABAA" w14:textId="77777777" w:rsidTr="00CC5BCB">
        <w:trPr>
          <w:trHeight w:val="57"/>
        </w:trPr>
        <w:tc>
          <w:tcPr>
            <w:tcW w:w="964" w:type="dxa"/>
          </w:tcPr>
          <w:p w14:paraId="303F93FD" w14:textId="77777777" w:rsidR="00C51BA4" w:rsidRPr="00CE3606" w:rsidRDefault="00C51BA4" w:rsidP="00C51BA4">
            <w:pPr>
              <w:jc w:val="left"/>
              <w:rPr>
                <w:b/>
                <w:szCs w:val="20"/>
              </w:rPr>
            </w:pPr>
            <w:r w:rsidRPr="00CE3606">
              <w:rPr>
                <w:b/>
                <w:szCs w:val="20"/>
              </w:rPr>
              <w:t>EU ETS</w:t>
            </w:r>
          </w:p>
        </w:tc>
        <w:tc>
          <w:tcPr>
            <w:tcW w:w="283" w:type="dxa"/>
          </w:tcPr>
          <w:p w14:paraId="121D14CC" w14:textId="77777777" w:rsidR="00C51BA4" w:rsidRPr="00CE3606" w:rsidRDefault="00C51BA4" w:rsidP="00C51BA4">
            <w:pPr>
              <w:jc w:val="left"/>
              <w:rPr>
                <w:szCs w:val="20"/>
              </w:rPr>
            </w:pPr>
            <w:r w:rsidRPr="00CE3606">
              <w:rPr>
                <w:szCs w:val="20"/>
              </w:rPr>
              <w:t>–</w:t>
            </w:r>
          </w:p>
        </w:tc>
        <w:tc>
          <w:tcPr>
            <w:tcW w:w="7881" w:type="dxa"/>
          </w:tcPr>
          <w:p w14:paraId="00B39F52" w14:textId="1E067A82" w:rsidR="00C51BA4" w:rsidRPr="00A064FE" w:rsidRDefault="00C51BA4" w:rsidP="00C51BA4">
            <w:pPr>
              <w:rPr>
                <w:szCs w:val="20"/>
              </w:rPr>
            </w:pPr>
            <w:r w:rsidRPr="00CE3606">
              <w:rPr>
                <w:szCs w:val="20"/>
              </w:rPr>
              <w:t>europejski system handlu uprawnieniami do emisji</w:t>
            </w:r>
            <w:r w:rsidR="000C48A5">
              <w:rPr>
                <w:szCs w:val="20"/>
              </w:rPr>
              <w:t xml:space="preserve"> gazów cieplarnianych</w:t>
            </w:r>
            <w:r w:rsidRPr="00CE3606">
              <w:rPr>
                <w:szCs w:val="20"/>
              </w:rPr>
              <w:t xml:space="preserve">, ang. </w:t>
            </w:r>
            <w:r w:rsidRPr="00A064FE">
              <w:rPr>
                <w:i/>
                <w:szCs w:val="20"/>
              </w:rPr>
              <w:t>European Union Emissions Trading System</w:t>
            </w:r>
          </w:p>
        </w:tc>
      </w:tr>
      <w:tr w:rsidR="00A62AF3" w:rsidRPr="008D3509" w14:paraId="7355DA36" w14:textId="77777777" w:rsidTr="00CC5BCB">
        <w:trPr>
          <w:trHeight w:val="57"/>
        </w:trPr>
        <w:tc>
          <w:tcPr>
            <w:tcW w:w="964" w:type="dxa"/>
          </w:tcPr>
          <w:p w14:paraId="1DF6880A" w14:textId="72575DC4" w:rsidR="00A62AF3" w:rsidRPr="00CE3606" w:rsidRDefault="00A62AF3" w:rsidP="00A62AF3">
            <w:pPr>
              <w:jc w:val="left"/>
              <w:rPr>
                <w:b/>
                <w:szCs w:val="20"/>
              </w:rPr>
            </w:pPr>
            <w:r>
              <w:rPr>
                <w:b/>
                <w:szCs w:val="20"/>
              </w:rPr>
              <w:t>FEnIKS</w:t>
            </w:r>
          </w:p>
        </w:tc>
        <w:tc>
          <w:tcPr>
            <w:tcW w:w="283" w:type="dxa"/>
          </w:tcPr>
          <w:p w14:paraId="15CDB38A" w14:textId="26A8370E" w:rsidR="00A62AF3" w:rsidRPr="00CE3606" w:rsidRDefault="00A62AF3" w:rsidP="00A62AF3">
            <w:pPr>
              <w:jc w:val="left"/>
              <w:rPr>
                <w:szCs w:val="20"/>
              </w:rPr>
            </w:pPr>
            <w:r w:rsidRPr="00CE3606">
              <w:rPr>
                <w:szCs w:val="20"/>
              </w:rPr>
              <w:t>–</w:t>
            </w:r>
          </w:p>
        </w:tc>
        <w:tc>
          <w:tcPr>
            <w:tcW w:w="7881" w:type="dxa"/>
          </w:tcPr>
          <w:p w14:paraId="0F6D68B0" w14:textId="19B96B98" w:rsidR="00A62AF3" w:rsidRPr="00CE3606" w:rsidRDefault="00A62AF3" w:rsidP="00A62AF3">
            <w:pPr>
              <w:rPr>
                <w:szCs w:val="20"/>
              </w:rPr>
            </w:pPr>
            <w:r w:rsidRPr="00047F2B">
              <w:rPr>
                <w:szCs w:val="20"/>
              </w:rPr>
              <w:t>Fundusz</w:t>
            </w:r>
            <w:r>
              <w:rPr>
                <w:szCs w:val="20"/>
              </w:rPr>
              <w:t>e</w:t>
            </w:r>
            <w:r w:rsidRPr="00047F2B">
              <w:rPr>
                <w:szCs w:val="20"/>
              </w:rPr>
              <w:t xml:space="preserve"> Europejski</w:t>
            </w:r>
            <w:r>
              <w:rPr>
                <w:szCs w:val="20"/>
              </w:rPr>
              <w:t>e</w:t>
            </w:r>
            <w:r w:rsidRPr="00047F2B">
              <w:rPr>
                <w:szCs w:val="20"/>
              </w:rPr>
              <w:t xml:space="preserve"> na Infrastrukturę, Klimat, Środowisko 2021-2027</w:t>
            </w:r>
          </w:p>
        </w:tc>
      </w:tr>
      <w:tr w:rsidR="002069B0" w:rsidRPr="008D3509" w14:paraId="44A69302" w14:textId="77777777" w:rsidTr="00CC5BCB">
        <w:trPr>
          <w:trHeight w:val="57"/>
        </w:trPr>
        <w:tc>
          <w:tcPr>
            <w:tcW w:w="964" w:type="dxa"/>
          </w:tcPr>
          <w:p w14:paraId="298CADA0" w14:textId="117F2881" w:rsidR="002069B0" w:rsidRDefault="002069B0" w:rsidP="00A62AF3">
            <w:pPr>
              <w:jc w:val="left"/>
              <w:rPr>
                <w:b/>
                <w:szCs w:val="20"/>
              </w:rPr>
            </w:pPr>
            <w:r>
              <w:rPr>
                <w:b/>
                <w:szCs w:val="20"/>
              </w:rPr>
              <w:t>FM</w:t>
            </w:r>
          </w:p>
        </w:tc>
        <w:tc>
          <w:tcPr>
            <w:tcW w:w="283" w:type="dxa"/>
          </w:tcPr>
          <w:p w14:paraId="14ED8B40" w14:textId="0030DAE4" w:rsidR="002069B0" w:rsidRPr="00CE3606" w:rsidRDefault="002069B0" w:rsidP="00A62AF3">
            <w:pPr>
              <w:jc w:val="left"/>
              <w:rPr>
                <w:szCs w:val="20"/>
              </w:rPr>
            </w:pPr>
            <w:r w:rsidRPr="00CE3606">
              <w:rPr>
                <w:szCs w:val="20"/>
              </w:rPr>
              <w:t>–</w:t>
            </w:r>
          </w:p>
        </w:tc>
        <w:tc>
          <w:tcPr>
            <w:tcW w:w="7881" w:type="dxa"/>
          </w:tcPr>
          <w:p w14:paraId="7803CB99" w14:textId="5DDB1064" w:rsidR="002069B0" w:rsidRPr="00047F2B" w:rsidRDefault="002069B0" w:rsidP="00A62AF3">
            <w:pPr>
              <w:rPr>
                <w:szCs w:val="20"/>
              </w:rPr>
            </w:pPr>
            <w:r>
              <w:rPr>
                <w:szCs w:val="20"/>
              </w:rPr>
              <w:t>Fundusz Modernizacyjny</w:t>
            </w:r>
          </w:p>
        </w:tc>
      </w:tr>
      <w:tr w:rsidR="00C51BA4" w:rsidRPr="00CE3606" w14:paraId="2981AAA7" w14:textId="77777777" w:rsidTr="00CC5BCB">
        <w:trPr>
          <w:trHeight w:val="57"/>
        </w:trPr>
        <w:tc>
          <w:tcPr>
            <w:tcW w:w="964" w:type="dxa"/>
          </w:tcPr>
          <w:p w14:paraId="021857E5" w14:textId="77777777" w:rsidR="00C51BA4" w:rsidRPr="00CE3606" w:rsidRDefault="00C51BA4" w:rsidP="00C51BA4">
            <w:pPr>
              <w:jc w:val="left"/>
              <w:rPr>
                <w:b/>
                <w:szCs w:val="20"/>
              </w:rPr>
            </w:pPr>
            <w:r w:rsidRPr="00CE3606">
              <w:rPr>
                <w:b/>
                <w:szCs w:val="20"/>
              </w:rPr>
              <w:t>FSRU</w:t>
            </w:r>
          </w:p>
        </w:tc>
        <w:tc>
          <w:tcPr>
            <w:tcW w:w="283" w:type="dxa"/>
          </w:tcPr>
          <w:p w14:paraId="7AF09EA7" w14:textId="77777777" w:rsidR="00C51BA4" w:rsidRPr="00CE3606" w:rsidRDefault="00C51BA4" w:rsidP="00C51BA4">
            <w:pPr>
              <w:jc w:val="left"/>
              <w:rPr>
                <w:szCs w:val="20"/>
              </w:rPr>
            </w:pPr>
            <w:r w:rsidRPr="00CE3606">
              <w:rPr>
                <w:szCs w:val="20"/>
              </w:rPr>
              <w:t>–</w:t>
            </w:r>
          </w:p>
        </w:tc>
        <w:tc>
          <w:tcPr>
            <w:tcW w:w="7881" w:type="dxa"/>
          </w:tcPr>
          <w:p w14:paraId="7C03668A" w14:textId="528F8B49" w:rsidR="00C51BA4" w:rsidRPr="00CE3606" w:rsidRDefault="00C51BA4" w:rsidP="00C51BA4">
            <w:pPr>
              <w:jc w:val="left"/>
              <w:rPr>
                <w:i/>
                <w:szCs w:val="20"/>
              </w:rPr>
            </w:pPr>
            <w:r w:rsidRPr="00CE3606">
              <w:rPr>
                <w:szCs w:val="20"/>
              </w:rPr>
              <w:t>pływający terminal regazyfikacyjny gazu ziemnego, ang.</w:t>
            </w:r>
            <w:r w:rsidRPr="00CE3606">
              <w:rPr>
                <w:i/>
                <w:szCs w:val="20"/>
              </w:rPr>
              <w:t xml:space="preserve"> floating storage regasification unit</w:t>
            </w:r>
          </w:p>
        </w:tc>
      </w:tr>
      <w:tr w:rsidR="00F70C27" w:rsidRPr="00CE3606" w14:paraId="4E7F5557" w14:textId="77777777" w:rsidTr="00CC5BCB">
        <w:trPr>
          <w:trHeight w:val="57"/>
        </w:trPr>
        <w:tc>
          <w:tcPr>
            <w:tcW w:w="964" w:type="dxa"/>
          </w:tcPr>
          <w:p w14:paraId="13E97798" w14:textId="15280670" w:rsidR="00F70C27" w:rsidRPr="00CE3606" w:rsidRDefault="00F70C27" w:rsidP="00A62AF3">
            <w:pPr>
              <w:jc w:val="left"/>
              <w:rPr>
                <w:b/>
                <w:szCs w:val="20"/>
              </w:rPr>
            </w:pPr>
            <w:r>
              <w:rPr>
                <w:b/>
                <w:szCs w:val="20"/>
              </w:rPr>
              <w:t>FS</w:t>
            </w:r>
            <w:r w:rsidR="00DA7C8A">
              <w:rPr>
                <w:b/>
                <w:szCs w:val="20"/>
              </w:rPr>
              <w:t>T</w:t>
            </w:r>
          </w:p>
        </w:tc>
        <w:tc>
          <w:tcPr>
            <w:tcW w:w="283" w:type="dxa"/>
          </w:tcPr>
          <w:p w14:paraId="7E9DAC66" w14:textId="0189B0B5" w:rsidR="00F70C27" w:rsidRPr="00CE3606" w:rsidRDefault="00F70C27" w:rsidP="00A62AF3">
            <w:pPr>
              <w:jc w:val="left"/>
              <w:rPr>
                <w:szCs w:val="20"/>
              </w:rPr>
            </w:pPr>
            <w:r w:rsidRPr="00CE3606">
              <w:rPr>
                <w:szCs w:val="20"/>
              </w:rPr>
              <w:t>–</w:t>
            </w:r>
          </w:p>
        </w:tc>
        <w:tc>
          <w:tcPr>
            <w:tcW w:w="7881" w:type="dxa"/>
          </w:tcPr>
          <w:p w14:paraId="01EBCF60" w14:textId="01F99551" w:rsidR="00F70C27" w:rsidRPr="00CE3606" w:rsidRDefault="00F70C27" w:rsidP="00A62AF3">
            <w:pPr>
              <w:jc w:val="left"/>
              <w:rPr>
                <w:szCs w:val="20"/>
              </w:rPr>
            </w:pPr>
            <w:r w:rsidRPr="00F70C27">
              <w:rPr>
                <w:szCs w:val="20"/>
              </w:rPr>
              <w:t>Fundusz na rzecz Sprawiedliwej Transformacji</w:t>
            </w:r>
          </w:p>
        </w:tc>
      </w:tr>
      <w:tr w:rsidR="00A371E1" w:rsidRPr="00A02813" w14:paraId="5F8C23BB" w14:textId="77777777" w:rsidTr="00CC5BCB">
        <w:trPr>
          <w:trHeight w:val="57"/>
        </w:trPr>
        <w:tc>
          <w:tcPr>
            <w:tcW w:w="964" w:type="dxa"/>
          </w:tcPr>
          <w:p w14:paraId="448AC83F" w14:textId="7034AE4A" w:rsidR="00A371E1" w:rsidRDefault="00A371E1" w:rsidP="00C51BA4">
            <w:pPr>
              <w:jc w:val="left"/>
              <w:rPr>
                <w:b/>
                <w:szCs w:val="20"/>
              </w:rPr>
            </w:pPr>
            <w:r>
              <w:rPr>
                <w:b/>
                <w:szCs w:val="20"/>
              </w:rPr>
              <w:t>GAEC</w:t>
            </w:r>
          </w:p>
        </w:tc>
        <w:tc>
          <w:tcPr>
            <w:tcW w:w="283" w:type="dxa"/>
          </w:tcPr>
          <w:p w14:paraId="1B31029D" w14:textId="35B5E906" w:rsidR="00A371E1" w:rsidRDefault="00A371E1" w:rsidP="00C51BA4">
            <w:pPr>
              <w:jc w:val="left"/>
              <w:rPr>
                <w:szCs w:val="20"/>
              </w:rPr>
            </w:pPr>
            <w:r>
              <w:rPr>
                <w:szCs w:val="20"/>
              </w:rPr>
              <w:t>–</w:t>
            </w:r>
          </w:p>
        </w:tc>
        <w:tc>
          <w:tcPr>
            <w:tcW w:w="7881" w:type="dxa"/>
          </w:tcPr>
          <w:p w14:paraId="423DFFD3" w14:textId="0E213FB6" w:rsidR="00A371E1" w:rsidRPr="006633F9" w:rsidRDefault="00237E69" w:rsidP="00C51BA4">
            <w:pPr>
              <w:jc w:val="left"/>
              <w:rPr>
                <w:lang w:val="pt-BR"/>
              </w:rPr>
            </w:pPr>
            <w:r w:rsidRPr="00237E69">
              <w:rPr>
                <w:rFonts w:eastAsia="Lato" w:cs="Lato"/>
                <w:szCs w:val="20"/>
              </w:rPr>
              <w:t>norm</w:t>
            </w:r>
            <w:r>
              <w:rPr>
                <w:rFonts w:eastAsia="Lato" w:cs="Lato"/>
                <w:szCs w:val="20"/>
              </w:rPr>
              <w:t>y</w:t>
            </w:r>
            <w:r w:rsidRPr="00237E69">
              <w:rPr>
                <w:rFonts w:eastAsia="Lato" w:cs="Lato"/>
                <w:szCs w:val="20"/>
              </w:rPr>
              <w:t xml:space="preserve"> dobrej kultury rolnej</w:t>
            </w:r>
            <w:r>
              <w:rPr>
                <w:rFonts w:eastAsia="Lato" w:cs="Lato"/>
                <w:szCs w:val="20"/>
              </w:rPr>
              <w:t>,</w:t>
            </w:r>
            <w:r w:rsidR="00A371E1">
              <w:rPr>
                <w:rFonts w:eastAsia="Lato" w:cs="Lato"/>
                <w:szCs w:val="20"/>
              </w:rPr>
              <w:t xml:space="preserve"> a</w:t>
            </w:r>
            <w:r w:rsidR="00A371E1" w:rsidRPr="00A371E1">
              <w:rPr>
                <w:rFonts w:eastAsia="Lato" w:cs="Lato"/>
                <w:szCs w:val="20"/>
              </w:rPr>
              <w:t xml:space="preserve">ng. </w:t>
            </w:r>
            <w:r w:rsidR="00A371E1" w:rsidRPr="006633F9">
              <w:rPr>
                <w:rFonts w:eastAsia="Lato" w:cs="Lato"/>
                <w:i/>
                <w:iCs/>
                <w:szCs w:val="20"/>
                <w:lang w:val="pt-BR"/>
              </w:rPr>
              <w:t>Good Agricultural and Environmental Conditions</w:t>
            </w:r>
          </w:p>
        </w:tc>
      </w:tr>
      <w:tr w:rsidR="00326D75" w:rsidRPr="003D295D" w14:paraId="13224F69" w14:textId="77777777" w:rsidTr="00CC5BCB">
        <w:trPr>
          <w:trHeight w:val="57"/>
        </w:trPr>
        <w:tc>
          <w:tcPr>
            <w:tcW w:w="964" w:type="dxa"/>
          </w:tcPr>
          <w:p w14:paraId="5A68E942" w14:textId="04D0972C" w:rsidR="00326D75" w:rsidRDefault="00326D75" w:rsidP="00C51BA4">
            <w:pPr>
              <w:jc w:val="left"/>
              <w:rPr>
                <w:b/>
                <w:szCs w:val="20"/>
              </w:rPr>
            </w:pPr>
            <w:r>
              <w:rPr>
                <w:b/>
                <w:szCs w:val="20"/>
              </w:rPr>
              <w:t>GIOŚ</w:t>
            </w:r>
          </w:p>
        </w:tc>
        <w:tc>
          <w:tcPr>
            <w:tcW w:w="283" w:type="dxa"/>
          </w:tcPr>
          <w:p w14:paraId="05C95DB9" w14:textId="7C8877A0" w:rsidR="00326D75" w:rsidRPr="00CE3606" w:rsidRDefault="00326D75" w:rsidP="00C51BA4">
            <w:pPr>
              <w:jc w:val="left"/>
              <w:rPr>
                <w:szCs w:val="20"/>
              </w:rPr>
            </w:pPr>
            <w:r>
              <w:rPr>
                <w:szCs w:val="20"/>
              </w:rPr>
              <w:t>–</w:t>
            </w:r>
          </w:p>
        </w:tc>
        <w:tc>
          <w:tcPr>
            <w:tcW w:w="7881" w:type="dxa"/>
          </w:tcPr>
          <w:p w14:paraId="191D4665" w14:textId="4F9E1594" w:rsidR="00326D75" w:rsidRPr="00CE3606" w:rsidRDefault="00326D75" w:rsidP="00C51BA4">
            <w:pPr>
              <w:jc w:val="left"/>
              <w:rPr>
                <w:szCs w:val="20"/>
                <w:lang w:val="en-GB"/>
              </w:rPr>
            </w:pPr>
            <w:r>
              <w:t>Główny Inspektorat Ochrony Środowiska</w:t>
            </w:r>
          </w:p>
        </w:tc>
      </w:tr>
      <w:tr w:rsidR="00C51BA4" w:rsidRPr="00986124" w14:paraId="62D12FC5" w14:textId="77777777" w:rsidTr="00CC5BCB">
        <w:trPr>
          <w:trHeight w:val="57"/>
        </w:trPr>
        <w:tc>
          <w:tcPr>
            <w:tcW w:w="964" w:type="dxa"/>
          </w:tcPr>
          <w:p w14:paraId="6E7C9F82" w14:textId="36D36952" w:rsidR="00C51BA4" w:rsidRPr="00CE3606" w:rsidRDefault="00C51BA4" w:rsidP="00C51BA4">
            <w:pPr>
              <w:jc w:val="left"/>
              <w:rPr>
                <w:b/>
                <w:szCs w:val="20"/>
              </w:rPr>
            </w:pPr>
            <w:r>
              <w:rPr>
                <w:b/>
                <w:szCs w:val="20"/>
              </w:rPr>
              <w:t>GHG</w:t>
            </w:r>
          </w:p>
        </w:tc>
        <w:tc>
          <w:tcPr>
            <w:tcW w:w="283" w:type="dxa"/>
          </w:tcPr>
          <w:p w14:paraId="3E002C12" w14:textId="77777777" w:rsidR="00C51BA4" w:rsidRPr="00CE3606" w:rsidRDefault="00C51BA4" w:rsidP="00C51BA4">
            <w:pPr>
              <w:jc w:val="left"/>
              <w:rPr>
                <w:szCs w:val="20"/>
              </w:rPr>
            </w:pPr>
            <w:r w:rsidRPr="00CE3606">
              <w:rPr>
                <w:szCs w:val="20"/>
              </w:rPr>
              <w:t>–</w:t>
            </w:r>
          </w:p>
        </w:tc>
        <w:tc>
          <w:tcPr>
            <w:tcW w:w="7881" w:type="dxa"/>
          </w:tcPr>
          <w:p w14:paraId="27A79378" w14:textId="77777777" w:rsidR="00C51BA4" w:rsidRPr="00CE3606" w:rsidRDefault="00C51BA4" w:rsidP="00C51BA4">
            <w:pPr>
              <w:jc w:val="left"/>
              <w:rPr>
                <w:i/>
                <w:szCs w:val="20"/>
                <w:lang w:val="en-GB"/>
              </w:rPr>
            </w:pPr>
            <w:r w:rsidRPr="00CE3606">
              <w:rPr>
                <w:szCs w:val="20"/>
                <w:lang w:val="en-GB"/>
              </w:rPr>
              <w:t xml:space="preserve">gazy cieplarniane, ang. </w:t>
            </w:r>
            <w:r w:rsidRPr="00CE3606">
              <w:rPr>
                <w:i/>
                <w:szCs w:val="20"/>
                <w:lang w:val="en-GB"/>
              </w:rPr>
              <w:t>greenhouse gases</w:t>
            </w:r>
          </w:p>
        </w:tc>
      </w:tr>
      <w:tr w:rsidR="00BF0E5F" w:rsidRPr="0040625B" w14:paraId="2072D0AC" w14:textId="77777777" w:rsidTr="00CC5BCB">
        <w:trPr>
          <w:trHeight w:val="57"/>
        </w:trPr>
        <w:tc>
          <w:tcPr>
            <w:tcW w:w="964" w:type="dxa"/>
          </w:tcPr>
          <w:p w14:paraId="52E650AC" w14:textId="02BD9A2E" w:rsidR="00BF0E5F" w:rsidRDefault="00BF0E5F" w:rsidP="00A62AF3">
            <w:pPr>
              <w:jc w:val="left"/>
              <w:rPr>
                <w:b/>
                <w:szCs w:val="20"/>
              </w:rPr>
            </w:pPr>
            <w:r>
              <w:rPr>
                <w:b/>
                <w:szCs w:val="20"/>
              </w:rPr>
              <w:t>GOZ</w:t>
            </w:r>
          </w:p>
        </w:tc>
        <w:tc>
          <w:tcPr>
            <w:tcW w:w="283" w:type="dxa"/>
          </w:tcPr>
          <w:p w14:paraId="68B1B352" w14:textId="234650E9" w:rsidR="00BF0E5F" w:rsidRPr="00CE3606" w:rsidRDefault="00263F08" w:rsidP="00A62AF3">
            <w:pPr>
              <w:jc w:val="left"/>
              <w:rPr>
                <w:szCs w:val="20"/>
              </w:rPr>
            </w:pPr>
            <w:r w:rsidRPr="00CE3606">
              <w:rPr>
                <w:szCs w:val="20"/>
              </w:rPr>
              <w:t>–</w:t>
            </w:r>
          </w:p>
        </w:tc>
        <w:tc>
          <w:tcPr>
            <w:tcW w:w="7881" w:type="dxa"/>
          </w:tcPr>
          <w:p w14:paraId="04392CA8" w14:textId="78773F16" w:rsidR="00BF0E5F" w:rsidRPr="00CE3606" w:rsidRDefault="00740A3A" w:rsidP="00A62AF3">
            <w:pPr>
              <w:jc w:val="left"/>
              <w:rPr>
                <w:szCs w:val="20"/>
                <w:lang w:val="en-GB"/>
              </w:rPr>
            </w:pPr>
            <w:r>
              <w:rPr>
                <w:szCs w:val="20"/>
                <w:lang w:val="en-GB"/>
              </w:rPr>
              <w:t>g</w:t>
            </w:r>
            <w:r w:rsidR="00BF0E5F">
              <w:rPr>
                <w:szCs w:val="20"/>
                <w:lang w:val="en-GB"/>
              </w:rPr>
              <w:t xml:space="preserve">ospodarka </w:t>
            </w:r>
            <w:r w:rsidR="00263F08">
              <w:rPr>
                <w:szCs w:val="20"/>
                <w:lang w:val="en-GB"/>
              </w:rPr>
              <w:t>o obiegu zamkniętym</w:t>
            </w:r>
          </w:p>
        </w:tc>
      </w:tr>
      <w:tr w:rsidR="00C51BA4" w:rsidRPr="00CE3606" w14:paraId="7CE2BA79" w14:textId="77777777" w:rsidTr="00CC5BCB">
        <w:trPr>
          <w:trHeight w:val="57"/>
        </w:trPr>
        <w:tc>
          <w:tcPr>
            <w:tcW w:w="964" w:type="dxa"/>
          </w:tcPr>
          <w:p w14:paraId="78624093" w14:textId="77777777" w:rsidR="00C51BA4" w:rsidRPr="00CE3606" w:rsidRDefault="00C51BA4" w:rsidP="00C51BA4">
            <w:pPr>
              <w:jc w:val="left"/>
              <w:rPr>
                <w:b/>
                <w:szCs w:val="20"/>
              </w:rPr>
            </w:pPr>
            <w:r w:rsidRPr="00CE3606">
              <w:rPr>
                <w:b/>
                <w:szCs w:val="20"/>
              </w:rPr>
              <w:t>GUS</w:t>
            </w:r>
          </w:p>
        </w:tc>
        <w:tc>
          <w:tcPr>
            <w:tcW w:w="283" w:type="dxa"/>
          </w:tcPr>
          <w:p w14:paraId="6C5444FB" w14:textId="77777777" w:rsidR="00C51BA4" w:rsidRPr="00CE3606" w:rsidRDefault="00C51BA4" w:rsidP="00C51BA4">
            <w:pPr>
              <w:jc w:val="left"/>
              <w:rPr>
                <w:szCs w:val="20"/>
              </w:rPr>
            </w:pPr>
            <w:r w:rsidRPr="00CE3606">
              <w:rPr>
                <w:szCs w:val="20"/>
              </w:rPr>
              <w:t>–</w:t>
            </w:r>
          </w:p>
        </w:tc>
        <w:tc>
          <w:tcPr>
            <w:tcW w:w="7881" w:type="dxa"/>
          </w:tcPr>
          <w:p w14:paraId="77E73B81" w14:textId="77777777" w:rsidR="00C51BA4" w:rsidRPr="00CE3606" w:rsidRDefault="00C51BA4" w:rsidP="00C51BA4">
            <w:pPr>
              <w:jc w:val="left"/>
              <w:rPr>
                <w:szCs w:val="20"/>
              </w:rPr>
            </w:pPr>
            <w:r w:rsidRPr="00CE3606">
              <w:rPr>
                <w:szCs w:val="20"/>
              </w:rPr>
              <w:t>Główny Urząd Statystyczny</w:t>
            </w:r>
          </w:p>
        </w:tc>
      </w:tr>
      <w:tr w:rsidR="00C51BA4" w:rsidRPr="00A02813" w14:paraId="00ED0D0C" w14:textId="77777777" w:rsidTr="00CC5BCB">
        <w:trPr>
          <w:trHeight w:val="57"/>
        </w:trPr>
        <w:tc>
          <w:tcPr>
            <w:tcW w:w="964" w:type="dxa"/>
          </w:tcPr>
          <w:p w14:paraId="5CDA6AEB" w14:textId="0DB7575C" w:rsidR="00C51BA4" w:rsidRPr="00CE3606" w:rsidRDefault="00C51BA4" w:rsidP="00C51BA4">
            <w:pPr>
              <w:jc w:val="left"/>
              <w:rPr>
                <w:b/>
                <w:szCs w:val="20"/>
              </w:rPr>
            </w:pPr>
            <w:r w:rsidRPr="00CE3606">
              <w:rPr>
                <w:b/>
                <w:szCs w:val="20"/>
              </w:rPr>
              <w:t>IPCC</w:t>
            </w:r>
          </w:p>
        </w:tc>
        <w:tc>
          <w:tcPr>
            <w:tcW w:w="283" w:type="dxa"/>
          </w:tcPr>
          <w:p w14:paraId="42449C47" w14:textId="4D9F24BF" w:rsidR="00C51BA4" w:rsidRPr="00CE3606" w:rsidRDefault="00C51BA4" w:rsidP="00C51BA4">
            <w:pPr>
              <w:jc w:val="left"/>
              <w:rPr>
                <w:szCs w:val="20"/>
              </w:rPr>
            </w:pPr>
            <w:r w:rsidRPr="00CE3606">
              <w:rPr>
                <w:szCs w:val="20"/>
              </w:rPr>
              <w:t>–</w:t>
            </w:r>
          </w:p>
        </w:tc>
        <w:tc>
          <w:tcPr>
            <w:tcW w:w="7881" w:type="dxa"/>
          </w:tcPr>
          <w:p w14:paraId="5D2C20A4" w14:textId="47D25613" w:rsidR="00C51BA4" w:rsidRPr="00CE3606" w:rsidRDefault="00C51BA4" w:rsidP="00C51BA4">
            <w:pPr>
              <w:rPr>
                <w:szCs w:val="20"/>
                <w:lang w:val="en-US"/>
              </w:rPr>
            </w:pPr>
            <w:r w:rsidRPr="00CE3606">
              <w:rPr>
                <w:szCs w:val="20"/>
              </w:rPr>
              <w:t xml:space="preserve">Międzyrządowy Zespół ds. Zmian Klimatu, ang. </w:t>
            </w:r>
            <w:r w:rsidRPr="00CE3606">
              <w:rPr>
                <w:i/>
                <w:iCs/>
                <w:szCs w:val="20"/>
                <w:lang w:val="en-US"/>
              </w:rPr>
              <w:t>Intergovernmental Panel on Climate Change</w:t>
            </w:r>
          </w:p>
        </w:tc>
      </w:tr>
      <w:tr w:rsidR="007C6CD7" w:rsidRPr="00CE3606" w14:paraId="2ABBB2CC" w14:textId="77777777" w:rsidTr="00CC5BCB">
        <w:trPr>
          <w:trHeight w:val="57"/>
        </w:trPr>
        <w:tc>
          <w:tcPr>
            <w:tcW w:w="964" w:type="dxa"/>
          </w:tcPr>
          <w:p w14:paraId="22AC00FF" w14:textId="6FA2780D" w:rsidR="007C6CD7" w:rsidRDefault="007C6CD7" w:rsidP="00C51BA4">
            <w:pPr>
              <w:jc w:val="left"/>
              <w:rPr>
                <w:b/>
                <w:szCs w:val="20"/>
              </w:rPr>
            </w:pPr>
            <w:r>
              <w:rPr>
                <w:b/>
                <w:szCs w:val="20"/>
              </w:rPr>
              <w:t>JST</w:t>
            </w:r>
          </w:p>
        </w:tc>
        <w:tc>
          <w:tcPr>
            <w:tcW w:w="283" w:type="dxa"/>
          </w:tcPr>
          <w:p w14:paraId="3BAEFE92" w14:textId="1ACE72FE" w:rsidR="007C6CD7" w:rsidRDefault="007C6CD7" w:rsidP="00C51BA4">
            <w:pPr>
              <w:jc w:val="left"/>
              <w:rPr>
                <w:szCs w:val="20"/>
              </w:rPr>
            </w:pPr>
            <w:r>
              <w:rPr>
                <w:szCs w:val="20"/>
              </w:rPr>
              <w:t>–</w:t>
            </w:r>
          </w:p>
        </w:tc>
        <w:tc>
          <w:tcPr>
            <w:tcW w:w="7881" w:type="dxa"/>
          </w:tcPr>
          <w:p w14:paraId="4368E8E7" w14:textId="76E016F8" w:rsidR="007C6CD7" w:rsidRPr="007C6CD7" w:rsidRDefault="007C6CD7" w:rsidP="00C51BA4">
            <w:pPr>
              <w:jc w:val="left"/>
              <w:rPr>
                <w:szCs w:val="20"/>
              </w:rPr>
            </w:pPr>
            <w:r>
              <w:rPr>
                <w:szCs w:val="20"/>
              </w:rPr>
              <w:t xml:space="preserve">jednostki </w:t>
            </w:r>
            <w:r w:rsidR="00287B8C">
              <w:rPr>
                <w:szCs w:val="20"/>
              </w:rPr>
              <w:t>samorządu terytorialnego</w:t>
            </w:r>
          </w:p>
        </w:tc>
      </w:tr>
      <w:tr w:rsidR="002E2342" w:rsidRPr="00CE3606" w14:paraId="79C55029" w14:textId="77777777" w:rsidTr="00CC5BCB">
        <w:trPr>
          <w:trHeight w:val="57"/>
        </w:trPr>
        <w:tc>
          <w:tcPr>
            <w:tcW w:w="964" w:type="dxa"/>
          </w:tcPr>
          <w:p w14:paraId="3619A7DD" w14:textId="669A8EDB" w:rsidR="002E2342" w:rsidRDefault="002E2342" w:rsidP="00C51BA4">
            <w:pPr>
              <w:jc w:val="left"/>
              <w:rPr>
                <w:b/>
                <w:szCs w:val="20"/>
              </w:rPr>
            </w:pPr>
            <w:r>
              <w:rPr>
                <w:b/>
                <w:szCs w:val="20"/>
              </w:rPr>
              <w:t>KPEiK</w:t>
            </w:r>
          </w:p>
        </w:tc>
        <w:tc>
          <w:tcPr>
            <w:tcW w:w="283" w:type="dxa"/>
          </w:tcPr>
          <w:p w14:paraId="1149975D" w14:textId="7DF27EA2" w:rsidR="002E2342" w:rsidRDefault="002E2342" w:rsidP="00C51BA4">
            <w:pPr>
              <w:jc w:val="left"/>
              <w:rPr>
                <w:szCs w:val="20"/>
              </w:rPr>
            </w:pPr>
            <w:r>
              <w:rPr>
                <w:szCs w:val="20"/>
              </w:rPr>
              <w:t>–</w:t>
            </w:r>
          </w:p>
        </w:tc>
        <w:tc>
          <w:tcPr>
            <w:tcW w:w="7881" w:type="dxa"/>
          </w:tcPr>
          <w:p w14:paraId="4F40889A" w14:textId="615F9D9D" w:rsidR="002E2342" w:rsidRPr="002E2342" w:rsidRDefault="002E2342" w:rsidP="00C51BA4">
            <w:pPr>
              <w:jc w:val="left"/>
              <w:rPr>
                <w:szCs w:val="20"/>
              </w:rPr>
            </w:pPr>
            <w:r>
              <w:rPr>
                <w:i/>
                <w:iCs/>
                <w:szCs w:val="20"/>
              </w:rPr>
              <w:t>Krajowy Plan w dziedzinie Energii Klimatu do 2030 r.;</w:t>
            </w:r>
            <w:r>
              <w:rPr>
                <w:szCs w:val="20"/>
              </w:rPr>
              <w:t xml:space="preserve"> zintegrowany plan w dziedzinie energii i klimatu</w:t>
            </w:r>
            <w:r w:rsidR="00752073">
              <w:rPr>
                <w:szCs w:val="20"/>
              </w:rPr>
              <w:t xml:space="preserve"> </w:t>
            </w:r>
            <w:r>
              <w:rPr>
                <w:szCs w:val="20"/>
              </w:rPr>
              <w:t xml:space="preserve"> – jako nazwa rodzajowa dokumentu</w:t>
            </w:r>
          </w:p>
        </w:tc>
      </w:tr>
      <w:tr w:rsidR="00C51BA4" w:rsidRPr="00CE3606" w14:paraId="17213440" w14:textId="77777777" w:rsidTr="00CC5BCB">
        <w:trPr>
          <w:trHeight w:val="57"/>
        </w:trPr>
        <w:tc>
          <w:tcPr>
            <w:tcW w:w="964" w:type="dxa"/>
          </w:tcPr>
          <w:p w14:paraId="78C93A27" w14:textId="7C841BAB" w:rsidR="00C51BA4" w:rsidRPr="00CE3606" w:rsidRDefault="00C51BA4" w:rsidP="00C51BA4">
            <w:pPr>
              <w:jc w:val="left"/>
              <w:rPr>
                <w:b/>
                <w:szCs w:val="20"/>
              </w:rPr>
            </w:pPr>
            <w:r>
              <w:rPr>
                <w:b/>
                <w:szCs w:val="20"/>
              </w:rPr>
              <w:t>KPK OZE</w:t>
            </w:r>
          </w:p>
        </w:tc>
        <w:tc>
          <w:tcPr>
            <w:tcW w:w="283" w:type="dxa"/>
          </w:tcPr>
          <w:p w14:paraId="5AC8DE01" w14:textId="4615B69F" w:rsidR="00C51BA4" w:rsidRPr="00CE3606" w:rsidRDefault="00C51BA4" w:rsidP="00C51BA4">
            <w:pPr>
              <w:jc w:val="left"/>
              <w:rPr>
                <w:szCs w:val="20"/>
              </w:rPr>
            </w:pPr>
            <w:r>
              <w:rPr>
                <w:szCs w:val="20"/>
              </w:rPr>
              <w:t>–</w:t>
            </w:r>
          </w:p>
        </w:tc>
        <w:tc>
          <w:tcPr>
            <w:tcW w:w="7881" w:type="dxa"/>
          </w:tcPr>
          <w:p w14:paraId="66F9C5AC" w14:textId="5E88DE58" w:rsidR="00C51BA4" w:rsidRPr="00CE3606" w:rsidRDefault="00C51BA4" w:rsidP="00C51BA4">
            <w:pPr>
              <w:jc w:val="left"/>
              <w:rPr>
                <w:szCs w:val="20"/>
              </w:rPr>
            </w:pPr>
            <w:r>
              <w:rPr>
                <w:szCs w:val="20"/>
              </w:rPr>
              <w:t xml:space="preserve">Krajowy Punkt Kontaktowy </w:t>
            </w:r>
            <w:r w:rsidR="0090433E" w:rsidRPr="0090433E">
              <w:rPr>
                <w:szCs w:val="20"/>
              </w:rPr>
              <w:t>do spraw odnawialnych źródeł energii</w:t>
            </w:r>
          </w:p>
        </w:tc>
      </w:tr>
      <w:tr w:rsidR="00A62AF3" w:rsidRPr="00CE3606" w14:paraId="128B6A8A" w14:textId="77777777" w:rsidTr="00CC5BCB">
        <w:trPr>
          <w:trHeight w:val="57"/>
        </w:trPr>
        <w:tc>
          <w:tcPr>
            <w:tcW w:w="964" w:type="dxa"/>
          </w:tcPr>
          <w:p w14:paraId="02657AAD" w14:textId="3C7A06B4" w:rsidR="00A62AF3" w:rsidRDefault="00A62AF3" w:rsidP="00A62AF3">
            <w:pPr>
              <w:jc w:val="left"/>
              <w:rPr>
                <w:b/>
                <w:szCs w:val="20"/>
              </w:rPr>
            </w:pPr>
            <w:r>
              <w:rPr>
                <w:b/>
                <w:szCs w:val="20"/>
              </w:rPr>
              <w:t>KPO</w:t>
            </w:r>
          </w:p>
        </w:tc>
        <w:tc>
          <w:tcPr>
            <w:tcW w:w="283" w:type="dxa"/>
          </w:tcPr>
          <w:p w14:paraId="0A1FF4BA" w14:textId="4E637B61" w:rsidR="00A62AF3" w:rsidRDefault="00A62AF3" w:rsidP="00A62AF3">
            <w:pPr>
              <w:jc w:val="left"/>
              <w:rPr>
                <w:szCs w:val="20"/>
              </w:rPr>
            </w:pPr>
            <w:r>
              <w:rPr>
                <w:szCs w:val="20"/>
              </w:rPr>
              <w:t>–</w:t>
            </w:r>
          </w:p>
        </w:tc>
        <w:tc>
          <w:tcPr>
            <w:tcW w:w="7881" w:type="dxa"/>
          </w:tcPr>
          <w:p w14:paraId="06FC27B1" w14:textId="77A8CC01" w:rsidR="00A62AF3" w:rsidRDefault="00A62AF3" w:rsidP="00A62AF3">
            <w:pPr>
              <w:jc w:val="left"/>
              <w:rPr>
                <w:szCs w:val="20"/>
              </w:rPr>
            </w:pPr>
            <w:r w:rsidRPr="000D2CE3">
              <w:rPr>
                <w:szCs w:val="20"/>
              </w:rPr>
              <w:t>Krajow</w:t>
            </w:r>
            <w:r>
              <w:rPr>
                <w:szCs w:val="20"/>
              </w:rPr>
              <w:t>y</w:t>
            </w:r>
            <w:r w:rsidRPr="000D2CE3">
              <w:rPr>
                <w:szCs w:val="20"/>
              </w:rPr>
              <w:t xml:space="preserve"> Plan Odbudowy i Zwiększania Odporności</w:t>
            </w:r>
          </w:p>
        </w:tc>
      </w:tr>
      <w:tr w:rsidR="00C51BA4" w:rsidRPr="00CE3606" w14:paraId="6F2D2E6A" w14:textId="77777777" w:rsidTr="00CC5BCB">
        <w:trPr>
          <w:trHeight w:val="57"/>
        </w:trPr>
        <w:tc>
          <w:tcPr>
            <w:tcW w:w="964" w:type="dxa"/>
          </w:tcPr>
          <w:p w14:paraId="72072873" w14:textId="77777777" w:rsidR="00C51BA4" w:rsidRPr="00CE3606" w:rsidRDefault="00C51BA4" w:rsidP="00C51BA4">
            <w:pPr>
              <w:jc w:val="left"/>
              <w:rPr>
                <w:b/>
                <w:szCs w:val="20"/>
              </w:rPr>
            </w:pPr>
            <w:r w:rsidRPr="00CE3606">
              <w:rPr>
                <w:b/>
                <w:szCs w:val="20"/>
              </w:rPr>
              <w:t>KSE</w:t>
            </w:r>
          </w:p>
        </w:tc>
        <w:tc>
          <w:tcPr>
            <w:tcW w:w="283" w:type="dxa"/>
          </w:tcPr>
          <w:p w14:paraId="17A7CA6D" w14:textId="77777777" w:rsidR="00C51BA4" w:rsidRPr="00CE3606" w:rsidRDefault="00C51BA4" w:rsidP="00C51BA4">
            <w:pPr>
              <w:jc w:val="left"/>
              <w:rPr>
                <w:szCs w:val="20"/>
              </w:rPr>
            </w:pPr>
            <w:r w:rsidRPr="00CE3606">
              <w:rPr>
                <w:szCs w:val="20"/>
              </w:rPr>
              <w:t>–</w:t>
            </w:r>
          </w:p>
        </w:tc>
        <w:tc>
          <w:tcPr>
            <w:tcW w:w="7881" w:type="dxa"/>
          </w:tcPr>
          <w:p w14:paraId="1B0D7AD0" w14:textId="77777777" w:rsidR="00C51BA4" w:rsidRPr="00CE3606" w:rsidRDefault="00C51BA4" w:rsidP="00C51BA4">
            <w:pPr>
              <w:jc w:val="left"/>
              <w:rPr>
                <w:szCs w:val="20"/>
              </w:rPr>
            </w:pPr>
            <w:r w:rsidRPr="00CE3606">
              <w:rPr>
                <w:szCs w:val="20"/>
              </w:rPr>
              <w:t>krajowy system elektroenergetyczny</w:t>
            </w:r>
          </w:p>
        </w:tc>
      </w:tr>
      <w:tr w:rsidR="00C51BA4" w:rsidRPr="00CE3606" w14:paraId="017B000E" w14:textId="77777777" w:rsidTr="00CC5BCB">
        <w:trPr>
          <w:trHeight w:val="57"/>
        </w:trPr>
        <w:tc>
          <w:tcPr>
            <w:tcW w:w="964" w:type="dxa"/>
          </w:tcPr>
          <w:p w14:paraId="0563C850" w14:textId="711E9A54" w:rsidR="00C51BA4" w:rsidRPr="00CE3606" w:rsidRDefault="00C51BA4" w:rsidP="00C51BA4">
            <w:pPr>
              <w:jc w:val="left"/>
              <w:rPr>
                <w:b/>
                <w:szCs w:val="20"/>
              </w:rPr>
            </w:pPr>
            <w:r>
              <w:rPr>
                <w:b/>
                <w:szCs w:val="20"/>
              </w:rPr>
              <w:t>KWK</w:t>
            </w:r>
          </w:p>
        </w:tc>
        <w:tc>
          <w:tcPr>
            <w:tcW w:w="283" w:type="dxa"/>
          </w:tcPr>
          <w:p w14:paraId="6008511E" w14:textId="5AAE9565" w:rsidR="00C51BA4" w:rsidRPr="00CE3606" w:rsidRDefault="00C51BA4" w:rsidP="00C51BA4">
            <w:pPr>
              <w:jc w:val="left"/>
              <w:rPr>
                <w:szCs w:val="20"/>
              </w:rPr>
            </w:pPr>
            <w:r>
              <w:rPr>
                <w:szCs w:val="20"/>
              </w:rPr>
              <w:t>–</w:t>
            </w:r>
          </w:p>
        </w:tc>
        <w:tc>
          <w:tcPr>
            <w:tcW w:w="7881" w:type="dxa"/>
          </w:tcPr>
          <w:p w14:paraId="3A1CE49C" w14:textId="7FBDFE71" w:rsidR="00C51BA4" w:rsidRPr="00CE3606" w:rsidRDefault="00805DC6" w:rsidP="00C51BA4">
            <w:pPr>
              <w:jc w:val="left"/>
              <w:rPr>
                <w:szCs w:val="20"/>
              </w:rPr>
            </w:pPr>
            <w:r>
              <w:rPr>
                <w:szCs w:val="20"/>
              </w:rPr>
              <w:t>k</w:t>
            </w:r>
            <w:r w:rsidR="00C51BA4">
              <w:rPr>
                <w:szCs w:val="20"/>
              </w:rPr>
              <w:t>opalnia węgla kamiennego</w:t>
            </w:r>
          </w:p>
        </w:tc>
      </w:tr>
      <w:tr w:rsidR="00C51BA4" w:rsidRPr="00CE3606" w14:paraId="16656720" w14:textId="77777777" w:rsidTr="00CC5BCB">
        <w:trPr>
          <w:trHeight w:val="57"/>
        </w:trPr>
        <w:tc>
          <w:tcPr>
            <w:tcW w:w="964" w:type="dxa"/>
          </w:tcPr>
          <w:p w14:paraId="48E92B8E" w14:textId="1BBFF31B" w:rsidR="00C51BA4" w:rsidRPr="00CE3606" w:rsidRDefault="00C51BA4" w:rsidP="00C51BA4">
            <w:pPr>
              <w:jc w:val="left"/>
              <w:rPr>
                <w:b/>
                <w:szCs w:val="20"/>
              </w:rPr>
            </w:pPr>
            <w:r w:rsidRPr="00CE3606">
              <w:rPr>
                <w:b/>
                <w:szCs w:val="20"/>
              </w:rPr>
              <w:t>LNG</w:t>
            </w:r>
          </w:p>
        </w:tc>
        <w:tc>
          <w:tcPr>
            <w:tcW w:w="283" w:type="dxa"/>
          </w:tcPr>
          <w:p w14:paraId="3438B70F" w14:textId="2DDE0264" w:rsidR="00C51BA4" w:rsidRPr="00CE3606" w:rsidRDefault="00C51BA4" w:rsidP="00C51BA4">
            <w:pPr>
              <w:jc w:val="left"/>
              <w:rPr>
                <w:szCs w:val="20"/>
              </w:rPr>
            </w:pPr>
            <w:r w:rsidRPr="00CE3606">
              <w:rPr>
                <w:szCs w:val="20"/>
              </w:rPr>
              <w:t>–</w:t>
            </w:r>
          </w:p>
        </w:tc>
        <w:tc>
          <w:tcPr>
            <w:tcW w:w="7881" w:type="dxa"/>
          </w:tcPr>
          <w:p w14:paraId="7ED3976F" w14:textId="390E76EB" w:rsidR="00C51BA4" w:rsidRPr="00CE3606" w:rsidRDefault="00C51BA4" w:rsidP="00C51BA4">
            <w:pPr>
              <w:rPr>
                <w:szCs w:val="20"/>
              </w:rPr>
            </w:pPr>
            <w:r w:rsidRPr="00CE3606">
              <w:rPr>
                <w:szCs w:val="20"/>
              </w:rPr>
              <w:t xml:space="preserve">gaz ziemny w postaci skroplonej, ang. </w:t>
            </w:r>
            <w:r w:rsidRPr="00CE3606">
              <w:rPr>
                <w:i/>
                <w:szCs w:val="20"/>
              </w:rPr>
              <w:t>liquefied natural gas</w:t>
            </w:r>
          </w:p>
        </w:tc>
      </w:tr>
      <w:tr w:rsidR="00C51BA4" w:rsidRPr="00CE3606" w14:paraId="5D88295E" w14:textId="77777777" w:rsidTr="00CC5BCB">
        <w:trPr>
          <w:trHeight w:val="57"/>
        </w:trPr>
        <w:tc>
          <w:tcPr>
            <w:tcW w:w="964" w:type="dxa"/>
          </w:tcPr>
          <w:p w14:paraId="1B3B7E39" w14:textId="1F17187C" w:rsidR="00C51BA4" w:rsidRPr="00CE3606" w:rsidRDefault="00C51BA4" w:rsidP="00C51BA4">
            <w:pPr>
              <w:jc w:val="left"/>
              <w:rPr>
                <w:b/>
                <w:szCs w:val="20"/>
              </w:rPr>
            </w:pPr>
            <w:r w:rsidRPr="00CE3606">
              <w:rPr>
                <w:b/>
                <w:szCs w:val="20"/>
              </w:rPr>
              <w:t>LULUCF</w:t>
            </w:r>
          </w:p>
        </w:tc>
        <w:tc>
          <w:tcPr>
            <w:tcW w:w="283" w:type="dxa"/>
          </w:tcPr>
          <w:p w14:paraId="54660109" w14:textId="1B10B818" w:rsidR="00C51BA4" w:rsidRPr="00CE3606" w:rsidRDefault="00C51BA4" w:rsidP="00C51BA4">
            <w:pPr>
              <w:jc w:val="left"/>
              <w:rPr>
                <w:szCs w:val="20"/>
              </w:rPr>
            </w:pPr>
            <w:r w:rsidRPr="00CE3606">
              <w:rPr>
                <w:szCs w:val="20"/>
              </w:rPr>
              <w:t>–</w:t>
            </w:r>
          </w:p>
        </w:tc>
        <w:tc>
          <w:tcPr>
            <w:tcW w:w="7881" w:type="dxa"/>
          </w:tcPr>
          <w:p w14:paraId="6842962D" w14:textId="16C7D4CB" w:rsidR="00C51BA4" w:rsidRPr="00CE3606" w:rsidRDefault="00C51BA4" w:rsidP="00C51BA4">
            <w:pPr>
              <w:rPr>
                <w:szCs w:val="20"/>
              </w:rPr>
            </w:pPr>
            <w:r w:rsidRPr="00CE3606">
              <w:rPr>
                <w:szCs w:val="20"/>
              </w:rPr>
              <w:t xml:space="preserve">użytkowanie gruntów i zmiany użytkowania gruntów i leśnictwo, ang. </w:t>
            </w:r>
            <w:r w:rsidRPr="00CE3606">
              <w:rPr>
                <w:i/>
                <w:iCs/>
                <w:szCs w:val="20"/>
              </w:rPr>
              <w:t>land use, land-use change, and forestry</w:t>
            </w:r>
          </w:p>
        </w:tc>
      </w:tr>
      <w:tr w:rsidR="00DF0EB3" w:rsidRPr="00CE3606" w14:paraId="7CE7987E" w14:textId="77777777" w:rsidTr="00CC5BCB">
        <w:trPr>
          <w:trHeight w:val="57"/>
        </w:trPr>
        <w:tc>
          <w:tcPr>
            <w:tcW w:w="964" w:type="dxa"/>
          </w:tcPr>
          <w:p w14:paraId="4EC927C9" w14:textId="4CFEF3BB" w:rsidR="00DF0EB3" w:rsidRDefault="00DF0EB3" w:rsidP="00A62AF3">
            <w:pPr>
              <w:jc w:val="left"/>
              <w:rPr>
                <w:b/>
                <w:szCs w:val="20"/>
              </w:rPr>
            </w:pPr>
            <w:r>
              <w:rPr>
                <w:b/>
                <w:szCs w:val="20"/>
              </w:rPr>
              <w:t>NCBR</w:t>
            </w:r>
          </w:p>
        </w:tc>
        <w:tc>
          <w:tcPr>
            <w:tcW w:w="283" w:type="dxa"/>
          </w:tcPr>
          <w:p w14:paraId="16081A58" w14:textId="041A9293" w:rsidR="00DF0EB3" w:rsidRPr="00CE3606" w:rsidRDefault="00DF0EB3" w:rsidP="00A62AF3">
            <w:pPr>
              <w:jc w:val="left"/>
              <w:rPr>
                <w:szCs w:val="20"/>
              </w:rPr>
            </w:pPr>
            <w:r w:rsidRPr="00CE3606">
              <w:rPr>
                <w:szCs w:val="20"/>
              </w:rPr>
              <w:t>–</w:t>
            </w:r>
          </w:p>
        </w:tc>
        <w:tc>
          <w:tcPr>
            <w:tcW w:w="7881" w:type="dxa"/>
          </w:tcPr>
          <w:p w14:paraId="4FE77104" w14:textId="10F87D42" w:rsidR="00DF0EB3" w:rsidRDefault="00DF0EB3" w:rsidP="00A62AF3">
            <w:pPr>
              <w:rPr>
                <w:szCs w:val="20"/>
              </w:rPr>
            </w:pPr>
            <w:r w:rsidRPr="00DF0EB3">
              <w:rPr>
                <w:szCs w:val="20"/>
              </w:rPr>
              <w:t>Narodowe Centrum Badań i Rozwoju</w:t>
            </w:r>
          </w:p>
        </w:tc>
      </w:tr>
      <w:tr w:rsidR="001E3D0D" w:rsidRPr="00CE3606" w14:paraId="739267E2" w14:textId="77777777" w:rsidTr="00CC5BCB">
        <w:trPr>
          <w:trHeight w:val="57"/>
        </w:trPr>
        <w:tc>
          <w:tcPr>
            <w:tcW w:w="964" w:type="dxa"/>
          </w:tcPr>
          <w:p w14:paraId="3D1EEF6E" w14:textId="59843C79" w:rsidR="001E3D0D" w:rsidRDefault="001E3D0D" w:rsidP="00A62AF3">
            <w:pPr>
              <w:jc w:val="left"/>
              <w:rPr>
                <w:b/>
                <w:szCs w:val="20"/>
              </w:rPr>
            </w:pPr>
            <w:r>
              <w:rPr>
                <w:b/>
                <w:szCs w:val="20"/>
              </w:rPr>
              <w:t>NCN</w:t>
            </w:r>
          </w:p>
        </w:tc>
        <w:tc>
          <w:tcPr>
            <w:tcW w:w="283" w:type="dxa"/>
          </w:tcPr>
          <w:p w14:paraId="66D41D1C" w14:textId="5B1595B6" w:rsidR="001E3D0D" w:rsidRPr="00CE3606" w:rsidRDefault="001E3D0D" w:rsidP="00A62AF3">
            <w:pPr>
              <w:jc w:val="left"/>
              <w:rPr>
                <w:szCs w:val="20"/>
              </w:rPr>
            </w:pPr>
            <w:r w:rsidRPr="00CE3606">
              <w:rPr>
                <w:szCs w:val="20"/>
              </w:rPr>
              <w:t>–</w:t>
            </w:r>
          </w:p>
        </w:tc>
        <w:tc>
          <w:tcPr>
            <w:tcW w:w="7881" w:type="dxa"/>
          </w:tcPr>
          <w:p w14:paraId="726DA651" w14:textId="38AAA3E3" w:rsidR="001E3D0D" w:rsidRPr="00DF0EB3" w:rsidRDefault="001E3D0D" w:rsidP="00A62AF3">
            <w:pPr>
              <w:rPr>
                <w:szCs w:val="20"/>
              </w:rPr>
            </w:pPr>
            <w:r>
              <w:rPr>
                <w:szCs w:val="20"/>
              </w:rPr>
              <w:t>Narodowe Centrum Nauki</w:t>
            </w:r>
          </w:p>
        </w:tc>
      </w:tr>
      <w:tr w:rsidR="00C51BA4" w:rsidRPr="00CE3606" w14:paraId="0E76A4A0" w14:textId="77777777" w:rsidTr="00CC5BCB">
        <w:trPr>
          <w:trHeight w:val="57"/>
        </w:trPr>
        <w:tc>
          <w:tcPr>
            <w:tcW w:w="964" w:type="dxa"/>
          </w:tcPr>
          <w:p w14:paraId="2483F54F" w14:textId="77777777" w:rsidR="00C51BA4" w:rsidRPr="00CE3606" w:rsidRDefault="00C51BA4" w:rsidP="00C51BA4">
            <w:pPr>
              <w:jc w:val="left"/>
              <w:rPr>
                <w:b/>
                <w:szCs w:val="20"/>
              </w:rPr>
            </w:pPr>
            <w:r w:rsidRPr="00CE3606">
              <w:rPr>
                <w:b/>
                <w:szCs w:val="20"/>
              </w:rPr>
              <w:t>NCW</w:t>
            </w:r>
          </w:p>
        </w:tc>
        <w:tc>
          <w:tcPr>
            <w:tcW w:w="283" w:type="dxa"/>
          </w:tcPr>
          <w:p w14:paraId="7566A7B8" w14:textId="77777777" w:rsidR="00C51BA4" w:rsidRPr="00CE3606" w:rsidRDefault="00C51BA4" w:rsidP="00C51BA4">
            <w:pPr>
              <w:jc w:val="left"/>
              <w:rPr>
                <w:szCs w:val="20"/>
              </w:rPr>
            </w:pPr>
            <w:r w:rsidRPr="00CE3606">
              <w:rPr>
                <w:szCs w:val="20"/>
              </w:rPr>
              <w:t>–</w:t>
            </w:r>
          </w:p>
        </w:tc>
        <w:tc>
          <w:tcPr>
            <w:tcW w:w="7881" w:type="dxa"/>
          </w:tcPr>
          <w:p w14:paraId="7E3D3DBE" w14:textId="77777777" w:rsidR="00C51BA4" w:rsidRPr="00CE3606" w:rsidRDefault="00C51BA4" w:rsidP="00C51BA4">
            <w:pPr>
              <w:jc w:val="left"/>
              <w:rPr>
                <w:szCs w:val="20"/>
              </w:rPr>
            </w:pPr>
            <w:r w:rsidRPr="00CE3606">
              <w:rPr>
                <w:szCs w:val="20"/>
              </w:rPr>
              <w:t>Narodowy Cel Wskaźnikowy (dotyczy udziału OZE w transporcie)</w:t>
            </w:r>
          </w:p>
        </w:tc>
      </w:tr>
      <w:tr w:rsidR="00A62AF3" w:rsidRPr="00CE3606" w14:paraId="21F0BAD1" w14:textId="77777777" w:rsidTr="00CC5BCB">
        <w:trPr>
          <w:trHeight w:val="57"/>
        </w:trPr>
        <w:tc>
          <w:tcPr>
            <w:tcW w:w="964" w:type="dxa"/>
          </w:tcPr>
          <w:p w14:paraId="6C6EC215" w14:textId="713A7E5A" w:rsidR="00A62AF3" w:rsidRPr="00CE3606" w:rsidRDefault="00A62AF3" w:rsidP="00A62AF3">
            <w:pPr>
              <w:jc w:val="left"/>
              <w:rPr>
                <w:b/>
                <w:szCs w:val="20"/>
              </w:rPr>
            </w:pPr>
            <w:r>
              <w:rPr>
                <w:b/>
                <w:szCs w:val="20"/>
              </w:rPr>
              <w:t>NFOŚiGW</w:t>
            </w:r>
          </w:p>
        </w:tc>
        <w:tc>
          <w:tcPr>
            <w:tcW w:w="283" w:type="dxa"/>
          </w:tcPr>
          <w:p w14:paraId="701886BA" w14:textId="0061779C" w:rsidR="00A62AF3" w:rsidRPr="00CE3606" w:rsidRDefault="00A62AF3" w:rsidP="00A62AF3">
            <w:pPr>
              <w:jc w:val="left"/>
              <w:rPr>
                <w:szCs w:val="20"/>
              </w:rPr>
            </w:pPr>
            <w:r w:rsidRPr="00CE3606">
              <w:rPr>
                <w:szCs w:val="20"/>
              </w:rPr>
              <w:t>–</w:t>
            </w:r>
          </w:p>
        </w:tc>
        <w:tc>
          <w:tcPr>
            <w:tcW w:w="7881" w:type="dxa"/>
          </w:tcPr>
          <w:p w14:paraId="77F58B5F" w14:textId="35141A21" w:rsidR="00A62AF3" w:rsidRPr="00CE3606" w:rsidRDefault="00A62AF3" w:rsidP="00A62AF3">
            <w:pPr>
              <w:jc w:val="left"/>
              <w:rPr>
                <w:szCs w:val="20"/>
              </w:rPr>
            </w:pPr>
            <w:r w:rsidRPr="00495DD1">
              <w:rPr>
                <w:szCs w:val="20"/>
              </w:rPr>
              <w:t>Narodowy Fundusz Ochrony Środowiska i Gospodarki Wodne</w:t>
            </w:r>
            <w:r>
              <w:rPr>
                <w:szCs w:val="20"/>
              </w:rPr>
              <w:t>j</w:t>
            </w:r>
          </w:p>
        </w:tc>
      </w:tr>
      <w:tr w:rsidR="00A62AF3" w:rsidRPr="00CE3606" w14:paraId="4155103A" w14:textId="77777777" w:rsidTr="00CC5BCB">
        <w:trPr>
          <w:trHeight w:val="57"/>
        </w:trPr>
        <w:tc>
          <w:tcPr>
            <w:tcW w:w="964" w:type="dxa"/>
          </w:tcPr>
          <w:p w14:paraId="7620FAC0" w14:textId="3D2B08FC" w:rsidR="00A62AF3" w:rsidRDefault="00A62AF3" w:rsidP="00A62AF3">
            <w:pPr>
              <w:jc w:val="left"/>
              <w:rPr>
                <w:b/>
                <w:szCs w:val="20"/>
              </w:rPr>
            </w:pPr>
            <w:r>
              <w:rPr>
                <w:b/>
                <w:szCs w:val="20"/>
              </w:rPr>
              <w:t>OIRE</w:t>
            </w:r>
          </w:p>
        </w:tc>
        <w:tc>
          <w:tcPr>
            <w:tcW w:w="283" w:type="dxa"/>
          </w:tcPr>
          <w:p w14:paraId="6A408F1C" w14:textId="13453012" w:rsidR="00A62AF3" w:rsidRPr="00CE3606" w:rsidRDefault="00A62AF3" w:rsidP="00A62AF3">
            <w:pPr>
              <w:jc w:val="left"/>
              <w:rPr>
                <w:szCs w:val="20"/>
              </w:rPr>
            </w:pPr>
            <w:r w:rsidRPr="00CE3606">
              <w:rPr>
                <w:szCs w:val="20"/>
              </w:rPr>
              <w:t>–</w:t>
            </w:r>
          </w:p>
        </w:tc>
        <w:tc>
          <w:tcPr>
            <w:tcW w:w="7881" w:type="dxa"/>
          </w:tcPr>
          <w:p w14:paraId="49BF0CA6" w14:textId="25A128AC" w:rsidR="00A62AF3" w:rsidRPr="00495DD1" w:rsidRDefault="00B3338B" w:rsidP="00A62AF3">
            <w:pPr>
              <w:jc w:val="left"/>
              <w:rPr>
                <w:szCs w:val="20"/>
              </w:rPr>
            </w:pPr>
            <w:r>
              <w:rPr>
                <w:szCs w:val="20"/>
              </w:rPr>
              <w:t>o</w:t>
            </w:r>
            <w:r w:rsidR="00A62AF3" w:rsidRPr="006E5E9B">
              <w:rPr>
                <w:szCs w:val="20"/>
              </w:rPr>
              <w:t xml:space="preserve">perator </w:t>
            </w:r>
            <w:r>
              <w:rPr>
                <w:szCs w:val="20"/>
              </w:rPr>
              <w:t>i</w:t>
            </w:r>
            <w:r w:rsidR="00A62AF3" w:rsidRPr="006E5E9B">
              <w:rPr>
                <w:szCs w:val="20"/>
              </w:rPr>
              <w:t xml:space="preserve">nformacji </w:t>
            </w:r>
            <w:r>
              <w:rPr>
                <w:szCs w:val="20"/>
              </w:rPr>
              <w:t>r</w:t>
            </w:r>
            <w:r w:rsidR="00A62AF3" w:rsidRPr="006E5E9B">
              <w:rPr>
                <w:szCs w:val="20"/>
              </w:rPr>
              <w:t xml:space="preserve">ynku </w:t>
            </w:r>
            <w:r>
              <w:rPr>
                <w:szCs w:val="20"/>
              </w:rPr>
              <w:t>e</w:t>
            </w:r>
            <w:r w:rsidR="00A62AF3" w:rsidRPr="006E5E9B">
              <w:rPr>
                <w:szCs w:val="20"/>
              </w:rPr>
              <w:t>nergii</w:t>
            </w:r>
          </w:p>
        </w:tc>
      </w:tr>
      <w:tr w:rsidR="002F470F" w:rsidRPr="00CE3606" w14:paraId="5315E6C0" w14:textId="77777777" w:rsidTr="00CC5BCB">
        <w:trPr>
          <w:trHeight w:val="57"/>
        </w:trPr>
        <w:tc>
          <w:tcPr>
            <w:tcW w:w="964" w:type="dxa"/>
          </w:tcPr>
          <w:p w14:paraId="20166303" w14:textId="464BD1BA" w:rsidR="002F470F" w:rsidRPr="00CE3606" w:rsidRDefault="002F470F" w:rsidP="00C51BA4">
            <w:pPr>
              <w:jc w:val="left"/>
              <w:rPr>
                <w:b/>
                <w:szCs w:val="20"/>
              </w:rPr>
            </w:pPr>
            <w:r>
              <w:rPr>
                <w:b/>
                <w:szCs w:val="20"/>
              </w:rPr>
              <w:lastRenderedPageBreak/>
              <w:t>OSD</w:t>
            </w:r>
          </w:p>
        </w:tc>
        <w:tc>
          <w:tcPr>
            <w:tcW w:w="283" w:type="dxa"/>
          </w:tcPr>
          <w:p w14:paraId="15E13638" w14:textId="75BCAD81" w:rsidR="002F470F" w:rsidRPr="00CE3606" w:rsidRDefault="002F470F" w:rsidP="00C51BA4">
            <w:pPr>
              <w:jc w:val="left"/>
              <w:rPr>
                <w:szCs w:val="20"/>
              </w:rPr>
            </w:pPr>
            <w:r>
              <w:rPr>
                <w:szCs w:val="20"/>
              </w:rPr>
              <w:t>–</w:t>
            </w:r>
          </w:p>
        </w:tc>
        <w:tc>
          <w:tcPr>
            <w:tcW w:w="7881" w:type="dxa"/>
          </w:tcPr>
          <w:p w14:paraId="7BE9CACC" w14:textId="737F3F6F" w:rsidR="002F470F" w:rsidRPr="00CE3606" w:rsidRDefault="00A62AF3" w:rsidP="00C51BA4">
            <w:pPr>
              <w:jc w:val="left"/>
              <w:rPr>
                <w:szCs w:val="20"/>
              </w:rPr>
            </w:pPr>
            <w:r>
              <w:rPr>
                <w:szCs w:val="20"/>
              </w:rPr>
              <w:t>operatorzy</w:t>
            </w:r>
            <w:r w:rsidR="002F470F">
              <w:rPr>
                <w:szCs w:val="20"/>
              </w:rPr>
              <w:t xml:space="preserve"> systemów </w:t>
            </w:r>
            <w:r w:rsidR="002F470F" w:rsidRPr="00CE3606">
              <w:rPr>
                <w:szCs w:val="20"/>
              </w:rPr>
              <w:t xml:space="preserve">dystrybucyjnych </w:t>
            </w:r>
            <w:r w:rsidR="002F470F">
              <w:rPr>
                <w:szCs w:val="20"/>
              </w:rPr>
              <w:t>(</w:t>
            </w:r>
            <w:r w:rsidR="002F470F" w:rsidRPr="00CE3606">
              <w:rPr>
                <w:szCs w:val="20"/>
              </w:rPr>
              <w:t>elektroenergetycznych</w:t>
            </w:r>
            <w:r w:rsidR="002F470F">
              <w:rPr>
                <w:szCs w:val="20"/>
              </w:rPr>
              <w:t xml:space="preserve"> lub gazowych)</w:t>
            </w:r>
          </w:p>
        </w:tc>
      </w:tr>
      <w:tr w:rsidR="00C51BA4" w:rsidRPr="00CE3606" w14:paraId="20349594" w14:textId="77777777" w:rsidTr="00CC5BCB">
        <w:trPr>
          <w:trHeight w:val="57"/>
        </w:trPr>
        <w:tc>
          <w:tcPr>
            <w:tcW w:w="964" w:type="dxa"/>
          </w:tcPr>
          <w:p w14:paraId="465BF077" w14:textId="77777777" w:rsidR="00C51BA4" w:rsidRPr="00CE3606" w:rsidRDefault="00C51BA4" w:rsidP="00C51BA4">
            <w:pPr>
              <w:jc w:val="left"/>
              <w:rPr>
                <w:b/>
                <w:szCs w:val="20"/>
              </w:rPr>
            </w:pPr>
            <w:r w:rsidRPr="00CE3606">
              <w:rPr>
                <w:b/>
                <w:szCs w:val="20"/>
              </w:rPr>
              <w:t>OSDe</w:t>
            </w:r>
          </w:p>
        </w:tc>
        <w:tc>
          <w:tcPr>
            <w:tcW w:w="283" w:type="dxa"/>
          </w:tcPr>
          <w:p w14:paraId="5024E8F6" w14:textId="77777777" w:rsidR="00C51BA4" w:rsidRPr="00CE3606" w:rsidRDefault="00C51BA4" w:rsidP="00C51BA4">
            <w:pPr>
              <w:jc w:val="left"/>
              <w:rPr>
                <w:szCs w:val="20"/>
              </w:rPr>
            </w:pPr>
            <w:r w:rsidRPr="00CE3606">
              <w:rPr>
                <w:szCs w:val="20"/>
              </w:rPr>
              <w:t>–</w:t>
            </w:r>
          </w:p>
        </w:tc>
        <w:tc>
          <w:tcPr>
            <w:tcW w:w="7881" w:type="dxa"/>
          </w:tcPr>
          <w:p w14:paraId="3309F624" w14:textId="77777777" w:rsidR="00C51BA4" w:rsidRPr="00CE3606" w:rsidRDefault="00C51BA4" w:rsidP="00C51BA4">
            <w:pPr>
              <w:jc w:val="left"/>
              <w:rPr>
                <w:szCs w:val="20"/>
              </w:rPr>
            </w:pPr>
            <w:r w:rsidRPr="00CE3606">
              <w:rPr>
                <w:szCs w:val="20"/>
              </w:rPr>
              <w:t>operatorzy systemów dystrybucyjnych elektroenergetycznych</w:t>
            </w:r>
          </w:p>
        </w:tc>
      </w:tr>
      <w:tr w:rsidR="00C51BA4" w:rsidRPr="00CE3606" w14:paraId="27B88565" w14:textId="77777777" w:rsidTr="00CC5BCB">
        <w:trPr>
          <w:trHeight w:val="57"/>
        </w:trPr>
        <w:tc>
          <w:tcPr>
            <w:tcW w:w="964" w:type="dxa"/>
          </w:tcPr>
          <w:p w14:paraId="1C5B01B8" w14:textId="77777777" w:rsidR="00C51BA4" w:rsidRPr="00CE3606" w:rsidRDefault="00C51BA4" w:rsidP="00C51BA4">
            <w:pPr>
              <w:jc w:val="left"/>
              <w:rPr>
                <w:b/>
                <w:szCs w:val="20"/>
              </w:rPr>
            </w:pPr>
            <w:r w:rsidRPr="00CE3606">
              <w:rPr>
                <w:b/>
                <w:szCs w:val="20"/>
              </w:rPr>
              <w:t>OSDg</w:t>
            </w:r>
          </w:p>
        </w:tc>
        <w:tc>
          <w:tcPr>
            <w:tcW w:w="283" w:type="dxa"/>
          </w:tcPr>
          <w:p w14:paraId="6A5DB719" w14:textId="77777777" w:rsidR="00C51BA4" w:rsidRPr="00CE3606" w:rsidRDefault="00C51BA4" w:rsidP="00C51BA4">
            <w:pPr>
              <w:jc w:val="left"/>
              <w:rPr>
                <w:szCs w:val="20"/>
              </w:rPr>
            </w:pPr>
            <w:r w:rsidRPr="00CE3606">
              <w:rPr>
                <w:szCs w:val="20"/>
              </w:rPr>
              <w:t>–</w:t>
            </w:r>
          </w:p>
        </w:tc>
        <w:tc>
          <w:tcPr>
            <w:tcW w:w="7881" w:type="dxa"/>
          </w:tcPr>
          <w:p w14:paraId="28463052" w14:textId="77777777" w:rsidR="00C51BA4" w:rsidRPr="00CE3606" w:rsidRDefault="00C51BA4" w:rsidP="00C51BA4">
            <w:pPr>
              <w:jc w:val="left"/>
              <w:rPr>
                <w:szCs w:val="20"/>
              </w:rPr>
            </w:pPr>
            <w:r w:rsidRPr="00CE3606">
              <w:rPr>
                <w:szCs w:val="20"/>
              </w:rPr>
              <w:t>operatorzy systemów dystrybucyjnych gazowych</w:t>
            </w:r>
          </w:p>
        </w:tc>
      </w:tr>
      <w:tr w:rsidR="00A62AF3" w:rsidRPr="00CE3606" w14:paraId="54DDB1C2" w14:textId="77777777" w:rsidTr="00CC5BCB">
        <w:trPr>
          <w:trHeight w:val="57"/>
        </w:trPr>
        <w:tc>
          <w:tcPr>
            <w:tcW w:w="964" w:type="dxa"/>
          </w:tcPr>
          <w:p w14:paraId="24D3AAA6" w14:textId="4C38AC2F" w:rsidR="00A62AF3" w:rsidRPr="00CE3606" w:rsidRDefault="00A62AF3" w:rsidP="00A62AF3">
            <w:pPr>
              <w:jc w:val="left"/>
              <w:rPr>
                <w:b/>
                <w:szCs w:val="20"/>
              </w:rPr>
            </w:pPr>
            <w:r>
              <w:rPr>
                <w:b/>
                <w:szCs w:val="20"/>
              </w:rPr>
              <w:t>OSE</w:t>
            </w:r>
          </w:p>
        </w:tc>
        <w:tc>
          <w:tcPr>
            <w:tcW w:w="283" w:type="dxa"/>
          </w:tcPr>
          <w:p w14:paraId="67466703" w14:textId="7E5C41A2" w:rsidR="00A62AF3" w:rsidRPr="00CE3606" w:rsidRDefault="00A62AF3" w:rsidP="00A62AF3">
            <w:pPr>
              <w:jc w:val="left"/>
              <w:rPr>
                <w:szCs w:val="20"/>
              </w:rPr>
            </w:pPr>
            <w:r w:rsidRPr="00CE3606">
              <w:rPr>
                <w:szCs w:val="20"/>
              </w:rPr>
              <w:t>–</w:t>
            </w:r>
          </w:p>
        </w:tc>
        <w:tc>
          <w:tcPr>
            <w:tcW w:w="7881" w:type="dxa"/>
          </w:tcPr>
          <w:p w14:paraId="12EACD96" w14:textId="6EAE8D3F" w:rsidR="00A62AF3" w:rsidRPr="00CE3606" w:rsidRDefault="00C3659D" w:rsidP="00A62AF3">
            <w:pPr>
              <w:jc w:val="left"/>
              <w:rPr>
                <w:szCs w:val="20"/>
              </w:rPr>
            </w:pPr>
            <w:r>
              <w:rPr>
                <w:szCs w:val="20"/>
              </w:rPr>
              <w:t>o</w:t>
            </w:r>
            <w:r w:rsidR="00A62AF3">
              <w:rPr>
                <w:szCs w:val="20"/>
              </w:rPr>
              <w:t xml:space="preserve">bywatelskie </w:t>
            </w:r>
            <w:r>
              <w:rPr>
                <w:szCs w:val="20"/>
              </w:rPr>
              <w:t>s</w:t>
            </w:r>
            <w:r w:rsidR="00A62AF3">
              <w:rPr>
                <w:szCs w:val="20"/>
              </w:rPr>
              <w:t xml:space="preserve">połeczności </w:t>
            </w:r>
            <w:r>
              <w:rPr>
                <w:szCs w:val="20"/>
              </w:rPr>
              <w:t>e</w:t>
            </w:r>
            <w:r w:rsidR="00A62AF3">
              <w:rPr>
                <w:szCs w:val="20"/>
              </w:rPr>
              <w:t>nergetyczne</w:t>
            </w:r>
          </w:p>
        </w:tc>
      </w:tr>
      <w:tr w:rsidR="00C51BA4" w:rsidRPr="00CE3606" w14:paraId="42ADA3E7" w14:textId="77777777" w:rsidTr="00CC5BCB">
        <w:trPr>
          <w:trHeight w:val="57"/>
        </w:trPr>
        <w:tc>
          <w:tcPr>
            <w:tcW w:w="964" w:type="dxa"/>
          </w:tcPr>
          <w:p w14:paraId="6CE231BB" w14:textId="77777777" w:rsidR="00C51BA4" w:rsidRPr="00CE3606" w:rsidRDefault="00C51BA4" w:rsidP="00C51BA4">
            <w:pPr>
              <w:jc w:val="left"/>
              <w:rPr>
                <w:b/>
                <w:szCs w:val="20"/>
              </w:rPr>
            </w:pPr>
            <w:r w:rsidRPr="00CE3606">
              <w:rPr>
                <w:b/>
                <w:szCs w:val="20"/>
              </w:rPr>
              <w:t>OSM</w:t>
            </w:r>
          </w:p>
        </w:tc>
        <w:tc>
          <w:tcPr>
            <w:tcW w:w="283" w:type="dxa"/>
          </w:tcPr>
          <w:p w14:paraId="3C9ABC0F" w14:textId="77777777" w:rsidR="00C51BA4" w:rsidRPr="00CE3606" w:rsidRDefault="00C51BA4" w:rsidP="00C51BA4">
            <w:pPr>
              <w:jc w:val="left"/>
              <w:rPr>
                <w:szCs w:val="20"/>
              </w:rPr>
            </w:pPr>
            <w:r w:rsidRPr="00CE3606">
              <w:rPr>
                <w:szCs w:val="20"/>
              </w:rPr>
              <w:t>–</w:t>
            </w:r>
          </w:p>
        </w:tc>
        <w:tc>
          <w:tcPr>
            <w:tcW w:w="7881" w:type="dxa"/>
          </w:tcPr>
          <w:p w14:paraId="172D5F4C" w14:textId="77777777" w:rsidR="00C51BA4" w:rsidRPr="00CE3606" w:rsidRDefault="00C51BA4" w:rsidP="00C51BA4">
            <w:pPr>
              <w:jc w:val="left"/>
              <w:rPr>
                <w:szCs w:val="20"/>
              </w:rPr>
            </w:pPr>
            <w:r w:rsidRPr="00CE3606">
              <w:rPr>
                <w:szCs w:val="20"/>
              </w:rPr>
              <w:t>operator systemu magazynowania gazu ziemnego</w:t>
            </w:r>
          </w:p>
        </w:tc>
      </w:tr>
      <w:tr w:rsidR="002F470F" w:rsidRPr="00CE3606" w14:paraId="13B378B2" w14:textId="77777777" w:rsidTr="00CC5BCB">
        <w:trPr>
          <w:trHeight w:val="57"/>
        </w:trPr>
        <w:tc>
          <w:tcPr>
            <w:tcW w:w="964" w:type="dxa"/>
          </w:tcPr>
          <w:p w14:paraId="72B0EF10" w14:textId="36376242" w:rsidR="002F470F" w:rsidRPr="00CE3606" w:rsidRDefault="002F470F" w:rsidP="00C51BA4">
            <w:pPr>
              <w:jc w:val="left"/>
              <w:rPr>
                <w:b/>
                <w:szCs w:val="20"/>
              </w:rPr>
            </w:pPr>
            <w:r>
              <w:rPr>
                <w:b/>
                <w:szCs w:val="20"/>
              </w:rPr>
              <w:t>OSP</w:t>
            </w:r>
          </w:p>
        </w:tc>
        <w:tc>
          <w:tcPr>
            <w:tcW w:w="283" w:type="dxa"/>
          </w:tcPr>
          <w:p w14:paraId="08D030ED" w14:textId="762B1D63" w:rsidR="002F470F" w:rsidRPr="00CE3606" w:rsidRDefault="002F470F" w:rsidP="00C51BA4">
            <w:pPr>
              <w:jc w:val="left"/>
              <w:rPr>
                <w:szCs w:val="20"/>
              </w:rPr>
            </w:pPr>
            <w:r>
              <w:rPr>
                <w:szCs w:val="20"/>
              </w:rPr>
              <w:t>–</w:t>
            </w:r>
          </w:p>
        </w:tc>
        <w:tc>
          <w:tcPr>
            <w:tcW w:w="7881" w:type="dxa"/>
          </w:tcPr>
          <w:p w14:paraId="35F1AE2B" w14:textId="4E2D750B" w:rsidR="002F470F" w:rsidRPr="00CE3606" w:rsidRDefault="002F470F" w:rsidP="00C51BA4">
            <w:pPr>
              <w:jc w:val="left"/>
              <w:rPr>
                <w:szCs w:val="20"/>
              </w:rPr>
            </w:pPr>
            <w:r>
              <w:rPr>
                <w:szCs w:val="20"/>
              </w:rPr>
              <w:t>operator systemu przesyłowego (elektroenergetyczny lub gazowy)</w:t>
            </w:r>
          </w:p>
        </w:tc>
      </w:tr>
      <w:tr w:rsidR="00C51BA4" w:rsidRPr="00CE3606" w14:paraId="2B1C2A00" w14:textId="77777777" w:rsidTr="00CC5BCB">
        <w:trPr>
          <w:trHeight w:val="57"/>
        </w:trPr>
        <w:tc>
          <w:tcPr>
            <w:tcW w:w="964" w:type="dxa"/>
          </w:tcPr>
          <w:p w14:paraId="1A759EBA" w14:textId="77777777" w:rsidR="00C51BA4" w:rsidRPr="00CE3606" w:rsidRDefault="00C51BA4" w:rsidP="00C51BA4">
            <w:pPr>
              <w:jc w:val="left"/>
              <w:rPr>
                <w:b/>
                <w:szCs w:val="20"/>
              </w:rPr>
            </w:pPr>
            <w:r w:rsidRPr="00CE3606">
              <w:rPr>
                <w:b/>
                <w:szCs w:val="20"/>
              </w:rPr>
              <w:t>OSPe</w:t>
            </w:r>
          </w:p>
        </w:tc>
        <w:tc>
          <w:tcPr>
            <w:tcW w:w="283" w:type="dxa"/>
          </w:tcPr>
          <w:p w14:paraId="2D56F5D3" w14:textId="77777777" w:rsidR="00C51BA4" w:rsidRPr="00CE3606" w:rsidRDefault="00C51BA4" w:rsidP="00C51BA4">
            <w:pPr>
              <w:jc w:val="left"/>
              <w:rPr>
                <w:szCs w:val="20"/>
              </w:rPr>
            </w:pPr>
            <w:r w:rsidRPr="00CE3606">
              <w:rPr>
                <w:szCs w:val="20"/>
              </w:rPr>
              <w:t>–</w:t>
            </w:r>
          </w:p>
        </w:tc>
        <w:tc>
          <w:tcPr>
            <w:tcW w:w="7881" w:type="dxa"/>
          </w:tcPr>
          <w:p w14:paraId="7C217897" w14:textId="77777777" w:rsidR="00C51BA4" w:rsidRPr="00CE3606" w:rsidRDefault="00C51BA4" w:rsidP="00C51BA4">
            <w:pPr>
              <w:jc w:val="left"/>
              <w:rPr>
                <w:szCs w:val="20"/>
              </w:rPr>
            </w:pPr>
            <w:r w:rsidRPr="00CE3606">
              <w:rPr>
                <w:szCs w:val="20"/>
              </w:rPr>
              <w:t xml:space="preserve">operator systemu przesyłowego elektroenergetycznego – Polskie Sieci Elektroenergetyczne S.A. (PSE S.A.) </w:t>
            </w:r>
          </w:p>
        </w:tc>
      </w:tr>
      <w:tr w:rsidR="00C51BA4" w:rsidRPr="00CE3606" w14:paraId="110933ED" w14:textId="77777777" w:rsidTr="00CC5BCB">
        <w:trPr>
          <w:trHeight w:val="57"/>
        </w:trPr>
        <w:tc>
          <w:tcPr>
            <w:tcW w:w="964" w:type="dxa"/>
          </w:tcPr>
          <w:p w14:paraId="72840043" w14:textId="77777777" w:rsidR="00C51BA4" w:rsidRPr="00CE3606" w:rsidRDefault="00C51BA4" w:rsidP="00C51BA4">
            <w:pPr>
              <w:jc w:val="left"/>
              <w:rPr>
                <w:b/>
                <w:szCs w:val="20"/>
              </w:rPr>
            </w:pPr>
            <w:r w:rsidRPr="00CE3606">
              <w:rPr>
                <w:b/>
                <w:szCs w:val="20"/>
              </w:rPr>
              <w:t>OSPg</w:t>
            </w:r>
          </w:p>
        </w:tc>
        <w:tc>
          <w:tcPr>
            <w:tcW w:w="283" w:type="dxa"/>
          </w:tcPr>
          <w:p w14:paraId="4D0B085E" w14:textId="77777777" w:rsidR="00C51BA4" w:rsidRPr="00CE3606" w:rsidRDefault="00C51BA4" w:rsidP="00C51BA4">
            <w:pPr>
              <w:jc w:val="left"/>
              <w:rPr>
                <w:szCs w:val="20"/>
              </w:rPr>
            </w:pPr>
            <w:r w:rsidRPr="00CE3606">
              <w:rPr>
                <w:szCs w:val="20"/>
              </w:rPr>
              <w:t>–</w:t>
            </w:r>
          </w:p>
        </w:tc>
        <w:tc>
          <w:tcPr>
            <w:tcW w:w="7881" w:type="dxa"/>
          </w:tcPr>
          <w:p w14:paraId="3B4CEC12" w14:textId="77777777" w:rsidR="00C51BA4" w:rsidRPr="00CE3606" w:rsidRDefault="00C51BA4" w:rsidP="00C51BA4">
            <w:pPr>
              <w:jc w:val="left"/>
              <w:rPr>
                <w:szCs w:val="20"/>
              </w:rPr>
            </w:pPr>
            <w:r w:rsidRPr="00CE3606">
              <w:rPr>
                <w:szCs w:val="20"/>
              </w:rPr>
              <w:t xml:space="preserve">operator systemu przesyłowego gazowego </w:t>
            </w:r>
            <w:r w:rsidRPr="00CE3606">
              <w:rPr>
                <w:szCs w:val="20"/>
              </w:rPr>
              <w:softHyphen/>
              <w:t>– Operator Gazociągów Przesyłowych GAZ-SYSTEM S.A.</w:t>
            </w:r>
          </w:p>
        </w:tc>
      </w:tr>
      <w:tr w:rsidR="00C51BA4" w:rsidRPr="00CE3606" w14:paraId="0821C128" w14:textId="77777777" w:rsidTr="00CC5BCB">
        <w:trPr>
          <w:trHeight w:val="57"/>
        </w:trPr>
        <w:tc>
          <w:tcPr>
            <w:tcW w:w="964" w:type="dxa"/>
          </w:tcPr>
          <w:p w14:paraId="2919C638" w14:textId="77777777" w:rsidR="00C51BA4" w:rsidRPr="00CE3606" w:rsidRDefault="00C51BA4" w:rsidP="00C51BA4">
            <w:pPr>
              <w:jc w:val="left"/>
              <w:rPr>
                <w:b/>
                <w:szCs w:val="20"/>
              </w:rPr>
            </w:pPr>
            <w:r w:rsidRPr="00CE3606">
              <w:rPr>
                <w:b/>
                <w:szCs w:val="20"/>
              </w:rPr>
              <w:t>OZE</w:t>
            </w:r>
          </w:p>
        </w:tc>
        <w:tc>
          <w:tcPr>
            <w:tcW w:w="283" w:type="dxa"/>
          </w:tcPr>
          <w:p w14:paraId="5CD611E2" w14:textId="77777777" w:rsidR="00C51BA4" w:rsidRPr="00CE3606" w:rsidRDefault="00C51BA4" w:rsidP="00C51BA4">
            <w:pPr>
              <w:jc w:val="left"/>
              <w:rPr>
                <w:szCs w:val="20"/>
              </w:rPr>
            </w:pPr>
            <w:r w:rsidRPr="00CE3606">
              <w:rPr>
                <w:szCs w:val="20"/>
              </w:rPr>
              <w:t>–</w:t>
            </w:r>
          </w:p>
        </w:tc>
        <w:tc>
          <w:tcPr>
            <w:tcW w:w="7881" w:type="dxa"/>
          </w:tcPr>
          <w:p w14:paraId="1B78E624" w14:textId="77777777" w:rsidR="00C51BA4" w:rsidRPr="00CE3606" w:rsidRDefault="00C51BA4" w:rsidP="00C51BA4">
            <w:pPr>
              <w:jc w:val="left"/>
              <w:rPr>
                <w:szCs w:val="20"/>
              </w:rPr>
            </w:pPr>
            <w:r w:rsidRPr="00CE3606">
              <w:rPr>
                <w:szCs w:val="20"/>
              </w:rPr>
              <w:t>odnawialne źródła energii</w:t>
            </w:r>
          </w:p>
        </w:tc>
      </w:tr>
      <w:tr w:rsidR="00DB048B" w:rsidRPr="00CE3606" w14:paraId="6C28CD58" w14:textId="77777777" w:rsidTr="00CC5BCB">
        <w:trPr>
          <w:trHeight w:val="57"/>
        </w:trPr>
        <w:tc>
          <w:tcPr>
            <w:tcW w:w="964" w:type="dxa"/>
          </w:tcPr>
          <w:p w14:paraId="3D78FAB8" w14:textId="56489445" w:rsidR="00DB048B" w:rsidRPr="00CE3606" w:rsidRDefault="00DB048B" w:rsidP="00A62AF3">
            <w:pPr>
              <w:jc w:val="left"/>
              <w:rPr>
                <w:b/>
                <w:szCs w:val="20"/>
              </w:rPr>
            </w:pPr>
            <w:r>
              <w:rPr>
                <w:b/>
                <w:szCs w:val="20"/>
              </w:rPr>
              <w:t>PARP</w:t>
            </w:r>
          </w:p>
        </w:tc>
        <w:tc>
          <w:tcPr>
            <w:tcW w:w="283" w:type="dxa"/>
          </w:tcPr>
          <w:p w14:paraId="65374AF8" w14:textId="3B3D511A" w:rsidR="00DB048B" w:rsidRPr="00CE3606" w:rsidRDefault="008341FA" w:rsidP="00A62AF3">
            <w:pPr>
              <w:jc w:val="left"/>
              <w:rPr>
                <w:szCs w:val="20"/>
              </w:rPr>
            </w:pPr>
            <w:r w:rsidRPr="00CE3606">
              <w:rPr>
                <w:szCs w:val="20"/>
              </w:rPr>
              <w:t>–</w:t>
            </w:r>
          </w:p>
        </w:tc>
        <w:tc>
          <w:tcPr>
            <w:tcW w:w="7881" w:type="dxa"/>
          </w:tcPr>
          <w:p w14:paraId="1543FC0A" w14:textId="71B9639B" w:rsidR="00DB048B" w:rsidRPr="008341FA" w:rsidRDefault="00DB048B" w:rsidP="00A62AF3">
            <w:pPr>
              <w:jc w:val="left"/>
              <w:rPr>
                <w:szCs w:val="20"/>
              </w:rPr>
            </w:pPr>
            <w:r w:rsidRPr="008341FA">
              <w:rPr>
                <w:szCs w:val="20"/>
              </w:rPr>
              <w:t>Polska Agencja Rozwoju Przedsiębiorczości</w:t>
            </w:r>
          </w:p>
        </w:tc>
      </w:tr>
      <w:tr w:rsidR="00C51BA4" w:rsidRPr="00CE3606" w14:paraId="3D7E1C3A" w14:textId="77777777" w:rsidTr="00CC5BCB">
        <w:trPr>
          <w:trHeight w:val="57"/>
        </w:trPr>
        <w:tc>
          <w:tcPr>
            <w:tcW w:w="964" w:type="dxa"/>
          </w:tcPr>
          <w:p w14:paraId="3D8B5542" w14:textId="0A6DB010" w:rsidR="00C51BA4" w:rsidRPr="00CE3606" w:rsidRDefault="00C51BA4" w:rsidP="00C51BA4">
            <w:pPr>
              <w:jc w:val="left"/>
              <w:rPr>
                <w:b/>
                <w:bCs/>
                <w:szCs w:val="20"/>
              </w:rPr>
            </w:pPr>
            <w:r w:rsidRPr="00CE3606">
              <w:rPr>
                <w:b/>
                <w:bCs/>
                <w:szCs w:val="20"/>
              </w:rPr>
              <w:t>PE</w:t>
            </w:r>
          </w:p>
        </w:tc>
        <w:tc>
          <w:tcPr>
            <w:tcW w:w="283" w:type="dxa"/>
          </w:tcPr>
          <w:p w14:paraId="2552A99B" w14:textId="47691D72" w:rsidR="00C51BA4" w:rsidRPr="00CE3606" w:rsidRDefault="00C51BA4" w:rsidP="00C51BA4">
            <w:pPr>
              <w:jc w:val="left"/>
              <w:rPr>
                <w:szCs w:val="20"/>
              </w:rPr>
            </w:pPr>
            <w:r w:rsidRPr="00CE3606">
              <w:rPr>
                <w:szCs w:val="20"/>
              </w:rPr>
              <w:t>–</w:t>
            </w:r>
          </w:p>
        </w:tc>
        <w:tc>
          <w:tcPr>
            <w:tcW w:w="7881" w:type="dxa"/>
          </w:tcPr>
          <w:p w14:paraId="6F4176F9" w14:textId="265CE050" w:rsidR="00C51BA4" w:rsidRPr="00CE3606" w:rsidRDefault="00C51BA4" w:rsidP="00C51BA4">
            <w:pPr>
              <w:jc w:val="left"/>
              <w:rPr>
                <w:szCs w:val="20"/>
              </w:rPr>
            </w:pPr>
            <w:r w:rsidRPr="00CE3606">
              <w:rPr>
                <w:szCs w:val="20"/>
              </w:rPr>
              <w:t>Parlament Europejski</w:t>
            </w:r>
          </w:p>
        </w:tc>
      </w:tr>
      <w:tr w:rsidR="00A87FFD" w:rsidRPr="00CE3606" w14:paraId="5FAA3E63" w14:textId="77777777" w:rsidTr="00CC5BCB">
        <w:trPr>
          <w:trHeight w:val="57"/>
        </w:trPr>
        <w:tc>
          <w:tcPr>
            <w:tcW w:w="964" w:type="dxa"/>
          </w:tcPr>
          <w:p w14:paraId="7F79E810" w14:textId="737AF719" w:rsidR="00A87FFD" w:rsidRPr="00CE3606" w:rsidRDefault="00762A99" w:rsidP="00A62AF3">
            <w:pPr>
              <w:jc w:val="left"/>
              <w:rPr>
                <w:b/>
                <w:bCs/>
                <w:szCs w:val="20"/>
              </w:rPr>
            </w:pPr>
            <w:r>
              <w:rPr>
                <w:b/>
                <w:bCs/>
                <w:szCs w:val="20"/>
              </w:rPr>
              <w:t>PFR</w:t>
            </w:r>
          </w:p>
        </w:tc>
        <w:tc>
          <w:tcPr>
            <w:tcW w:w="283" w:type="dxa"/>
          </w:tcPr>
          <w:p w14:paraId="02C8B06B" w14:textId="4AD32E31" w:rsidR="00A87FFD" w:rsidRPr="00CE3606" w:rsidRDefault="00762A99" w:rsidP="00A62AF3">
            <w:pPr>
              <w:jc w:val="left"/>
              <w:rPr>
                <w:szCs w:val="20"/>
              </w:rPr>
            </w:pPr>
            <w:r w:rsidRPr="00CE3606">
              <w:rPr>
                <w:szCs w:val="20"/>
              </w:rPr>
              <w:t>–</w:t>
            </w:r>
          </w:p>
        </w:tc>
        <w:tc>
          <w:tcPr>
            <w:tcW w:w="7881" w:type="dxa"/>
          </w:tcPr>
          <w:p w14:paraId="68249D0F" w14:textId="4CDA8519" w:rsidR="00A87FFD" w:rsidRPr="00CE3606" w:rsidRDefault="00A87FFD" w:rsidP="00A62AF3">
            <w:pPr>
              <w:jc w:val="left"/>
              <w:rPr>
                <w:szCs w:val="20"/>
              </w:rPr>
            </w:pPr>
            <w:r w:rsidRPr="00A87FFD">
              <w:rPr>
                <w:szCs w:val="20"/>
              </w:rPr>
              <w:t>Polski Fundusz Rozwoju</w:t>
            </w:r>
            <w:r w:rsidR="00740A3A">
              <w:rPr>
                <w:szCs w:val="20"/>
              </w:rPr>
              <w:t xml:space="preserve"> S.A.</w:t>
            </w:r>
          </w:p>
        </w:tc>
      </w:tr>
      <w:tr w:rsidR="00C51BA4" w:rsidRPr="00CE3606" w14:paraId="2AA7B671" w14:textId="77777777" w:rsidTr="00CC5BCB">
        <w:trPr>
          <w:trHeight w:val="57"/>
        </w:trPr>
        <w:tc>
          <w:tcPr>
            <w:tcW w:w="964" w:type="dxa"/>
          </w:tcPr>
          <w:p w14:paraId="20E1FEC1" w14:textId="5F8221F1" w:rsidR="00C51BA4" w:rsidRPr="00CE3606" w:rsidRDefault="00C51BA4" w:rsidP="00C51BA4">
            <w:pPr>
              <w:jc w:val="left"/>
              <w:rPr>
                <w:b/>
                <w:bCs/>
                <w:szCs w:val="20"/>
              </w:rPr>
            </w:pPr>
            <w:r w:rsidRPr="00CE3606">
              <w:rPr>
                <w:b/>
                <w:bCs/>
                <w:szCs w:val="20"/>
              </w:rPr>
              <w:t>PGL LP</w:t>
            </w:r>
          </w:p>
        </w:tc>
        <w:tc>
          <w:tcPr>
            <w:tcW w:w="283" w:type="dxa"/>
          </w:tcPr>
          <w:p w14:paraId="18F6F3FA" w14:textId="1E5D06F9" w:rsidR="00C51BA4" w:rsidRPr="00CE3606" w:rsidRDefault="00C51BA4" w:rsidP="00C51BA4">
            <w:pPr>
              <w:jc w:val="left"/>
              <w:rPr>
                <w:szCs w:val="20"/>
              </w:rPr>
            </w:pPr>
            <w:r w:rsidRPr="00CE3606">
              <w:rPr>
                <w:szCs w:val="20"/>
              </w:rPr>
              <w:t>–</w:t>
            </w:r>
          </w:p>
        </w:tc>
        <w:tc>
          <w:tcPr>
            <w:tcW w:w="7881" w:type="dxa"/>
          </w:tcPr>
          <w:p w14:paraId="54FA8AB2" w14:textId="71E151ED" w:rsidR="00C51BA4" w:rsidRPr="00CE3606" w:rsidRDefault="00C51BA4" w:rsidP="00C51BA4">
            <w:pPr>
              <w:jc w:val="left"/>
              <w:rPr>
                <w:szCs w:val="20"/>
              </w:rPr>
            </w:pPr>
            <w:r w:rsidRPr="00CE3606">
              <w:rPr>
                <w:szCs w:val="20"/>
              </w:rPr>
              <w:t>Państwowe Gospodarstwo Leśne Lasy Państwowe</w:t>
            </w:r>
          </w:p>
        </w:tc>
      </w:tr>
      <w:tr w:rsidR="00C51BA4" w:rsidRPr="00CE3606" w14:paraId="51ECFDF5" w14:textId="77777777" w:rsidTr="00CC5BCB">
        <w:trPr>
          <w:trHeight w:val="57"/>
        </w:trPr>
        <w:tc>
          <w:tcPr>
            <w:tcW w:w="964" w:type="dxa"/>
          </w:tcPr>
          <w:p w14:paraId="43263641" w14:textId="77777777" w:rsidR="00C51BA4" w:rsidRPr="00CE3606" w:rsidRDefault="00C51BA4" w:rsidP="00C51BA4">
            <w:pPr>
              <w:jc w:val="left"/>
              <w:rPr>
                <w:b/>
                <w:szCs w:val="20"/>
              </w:rPr>
            </w:pPr>
            <w:r w:rsidRPr="00CE3606">
              <w:rPr>
                <w:b/>
                <w:szCs w:val="20"/>
              </w:rPr>
              <w:t>PPA</w:t>
            </w:r>
          </w:p>
        </w:tc>
        <w:tc>
          <w:tcPr>
            <w:tcW w:w="283" w:type="dxa"/>
          </w:tcPr>
          <w:p w14:paraId="2BFC22F2" w14:textId="77777777" w:rsidR="00C51BA4" w:rsidRPr="00CE3606" w:rsidRDefault="00C51BA4" w:rsidP="00C51BA4">
            <w:pPr>
              <w:jc w:val="left"/>
              <w:rPr>
                <w:szCs w:val="20"/>
              </w:rPr>
            </w:pPr>
            <w:r w:rsidRPr="00CE3606">
              <w:rPr>
                <w:szCs w:val="20"/>
              </w:rPr>
              <w:t>–</w:t>
            </w:r>
          </w:p>
        </w:tc>
        <w:tc>
          <w:tcPr>
            <w:tcW w:w="7881" w:type="dxa"/>
          </w:tcPr>
          <w:p w14:paraId="02D574C3" w14:textId="77777777" w:rsidR="00C51BA4" w:rsidRPr="00CE3606" w:rsidRDefault="00C51BA4" w:rsidP="00C51BA4">
            <w:pPr>
              <w:jc w:val="left"/>
              <w:rPr>
                <w:szCs w:val="20"/>
                <w:lang w:val="en-GB"/>
              </w:rPr>
            </w:pPr>
            <w:r w:rsidRPr="00CE3606">
              <w:rPr>
                <w:szCs w:val="20"/>
              </w:rPr>
              <w:t xml:space="preserve">długoterminowe umowy zakupu energii, </w:t>
            </w:r>
            <w:r w:rsidRPr="00CE3606">
              <w:rPr>
                <w:szCs w:val="20"/>
                <w:lang w:val="en-GB"/>
              </w:rPr>
              <w:t>ang</w:t>
            </w:r>
            <w:r w:rsidRPr="00CE3606">
              <w:rPr>
                <w:i/>
                <w:szCs w:val="20"/>
                <w:lang w:val="en-GB"/>
              </w:rPr>
              <w:t>. power purchase agreement</w:t>
            </w:r>
          </w:p>
        </w:tc>
      </w:tr>
      <w:tr w:rsidR="00C51BA4" w:rsidRPr="00CE3606" w14:paraId="159216DC" w14:textId="77777777" w:rsidTr="00CC5BCB">
        <w:trPr>
          <w:trHeight w:val="57"/>
        </w:trPr>
        <w:tc>
          <w:tcPr>
            <w:tcW w:w="964" w:type="dxa"/>
          </w:tcPr>
          <w:p w14:paraId="0BD784CA" w14:textId="77777777" w:rsidR="00C51BA4" w:rsidRPr="00CE3606" w:rsidRDefault="00C51BA4" w:rsidP="00C51BA4">
            <w:pPr>
              <w:jc w:val="left"/>
              <w:rPr>
                <w:b/>
                <w:szCs w:val="20"/>
              </w:rPr>
            </w:pPr>
            <w:r w:rsidRPr="00CE3606">
              <w:rPr>
                <w:b/>
                <w:szCs w:val="20"/>
              </w:rPr>
              <w:t>PMG</w:t>
            </w:r>
          </w:p>
        </w:tc>
        <w:tc>
          <w:tcPr>
            <w:tcW w:w="283" w:type="dxa"/>
          </w:tcPr>
          <w:p w14:paraId="660DE943" w14:textId="77777777" w:rsidR="00C51BA4" w:rsidRPr="00CE3606" w:rsidRDefault="00C51BA4" w:rsidP="00C51BA4">
            <w:pPr>
              <w:jc w:val="left"/>
              <w:rPr>
                <w:szCs w:val="20"/>
              </w:rPr>
            </w:pPr>
            <w:r w:rsidRPr="00CE3606">
              <w:rPr>
                <w:szCs w:val="20"/>
              </w:rPr>
              <w:t>–</w:t>
            </w:r>
          </w:p>
        </w:tc>
        <w:tc>
          <w:tcPr>
            <w:tcW w:w="7881" w:type="dxa"/>
          </w:tcPr>
          <w:p w14:paraId="3EBA8BCD" w14:textId="77777777" w:rsidR="00C51BA4" w:rsidRPr="00CE3606" w:rsidRDefault="00C51BA4" w:rsidP="00C51BA4">
            <w:pPr>
              <w:jc w:val="left"/>
              <w:rPr>
                <w:szCs w:val="20"/>
              </w:rPr>
            </w:pPr>
            <w:r w:rsidRPr="00CE3606">
              <w:rPr>
                <w:szCs w:val="20"/>
              </w:rPr>
              <w:t>podziemne magazyny gazu</w:t>
            </w:r>
          </w:p>
        </w:tc>
      </w:tr>
      <w:tr w:rsidR="001D379F" w:rsidRPr="00CE3606" w14:paraId="340B15F2" w14:textId="77777777" w:rsidTr="00CC5BCB">
        <w:trPr>
          <w:trHeight w:val="57"/>
        </w:trPr>
        <w:tc>
          <w:tcPr>
            <w:tcW w:w="964" w:type="dxa"/>
          </w:tcPr>
          <w:p w14:paraId="590F2E81" w14:textId="0570D5BD" w:rsidR="001D379F" w:rsidRPr="00CE3606" w:rsidRDefault="001D379F" w:rsidP="00C51BA4">
            <w:pPr>
              <w:jc w:val="left"/>
              <w:rPr>
                <w:b/>
                <w:szCs w:val="20"/>
              </w:rPr>
            </w:pPr>
            <w:r>
              <w:rPr>
                <w:b/>
                <w:szCs w:val="20"/>
              </w:rPr>
              <w:t>RARS</w:t>
            </w:r>
          </w:p>
        </w:tc>
        <w:tc>
          <w:tcPr>
            <w:tcW w:w="283" w:type="dxa"/>
          </w:tcPr>
          <w:p w14:paraId="3677F137" w14:textId="7F72F695" w:rsidR="001D379F" w:rsidRPr="00CE3606" w:rsidRDefault="001D379F" w:rsidP="00C51BA4">
            <w:pPr>
              <w:jc w:val="left"/>
              <w:rPr>
                <w:szCs w:val="20"/>
              </w:rPr>
            </w:pPr>
            <w:r>
              <w:rPr>
                <w:szCs w:val="20"/>
              </w:rPr>
              <w:t>–</w:t>
            </w:r>
          </w:p>
        </w:tc>
        <w:tc>
          <w:tcPr>
            <w:tcW w:w="7881" w:type="dxa"/>
          </w:tcPr>
          <w:p w14:paraId="326DA977" w14:textId="57813F17" w:rsidR="001D379F" w:rsidRPr="00CE3606" w:rsidRDefault="001D379F" w:rsidP="00C51BA4">
            <w:pPr>
              <w:jc w:val="left"/>
              <w:rPr>
                <w:szCs w:val="20"/>
              </w:rPr>
            </w:pPr>
            <w:r w:rsidRPr="001D379F">
              <w:rPr>
                <w:szCs w:val="20"/>
              </w:rPr>
              <w:t>Rządow</w:t>
            </w:r>
            <w:r>
              <w:rPr>
                <w:szCs w:val="20"/>
              </w:rPr>
              <w:t>a</w:t>
            </w:r>
            <w:r w:rsidRPr="001D379F">
              <w:rPr>
                <w:szCs w:val="20"/>
              </w:rPr>
              <w:t xml:space="preserve"> Agencj</w:t>
            </w:r>
            <w:r>
              <w:rPr>
                <w:szCs w:val="20"/>
              </w:rPr>
              <w:t>a</w:t>
            </w:r>
            <w:r w:rsidRPr="001D379F">
              <w:rPr>
                <w:szCs w:val="20"/>
              </w:rPr>
              <w:t xml:space="preserve"> Rezerw Strategicznych</w:t>
            </w:r>
          </w:p>
        </w:tc>
      </w:tr>
      <w:tr w:rsidR="00C51BA4" w:rsidRPr="00CE3606" w14:paraId="4C67B6CF" w14:textId="77777777" w:rsidTr="00CC5BCB">
        <w:trPr>
          <w:trHeight w:val="57"/>
        </w:trPr>
        <w:tc>
          <w:tcPr>
            <w:tcW w:w="964" w:type="dxa"/>
          </w:tcPr>
          <w:p w14:paraId="697DE9BB" w14:textId="19A6C93F" w:rsidR="00C51BA4" w:rsidRPr="00CE3606" w:rsidRDefault="00C51BA4" w:rsidP="00C51BA4">
            <w:pPr>
              <w:jc w:val="left"/>
              <w:rPr>
                <w:b/>
                <w:szCs w:val="20"/>
              </w:rPr>
            </w:pPr>
            <w:r w:rsidRPr="00CE3606">
              <w:rPr>
                <w:b/>
                <w:szCs w:val="20"/>
              </w:rPr>
              <w:t>RFNBO</w:t>
            </w:r>
          </w:p>
        </w:tc>
        <w:tc>
          <w:tcPr>
            <w:tcW w:w="283" w:type="dxa"/>
          </w:tcPr>
          <w:p w14:paraId="1E7C8F6A" w14:textId="2E8343BD" w:rsidR="00C51BA4" w:rsidRPr="00CE3606" w:rsidRDefault="00C51BA4" w:rsidP="00C51BA4">
            <w:pPr>
              <w:jc w:val="left"/>
              <w:rPr>
                <w:szCs w:val="20"/>
              </w:rPr>
            </w:pPr>
            <w:r w:rsidRPr="00CE3606">
              <w:rPr>
                <w:szCs w:val="20"/>
              </w:rPr>
              <w:t>–</w:t>
            </w:r>
          </w:p>
        </w:tc>
        <w:tc>
          <w:tcPr>
            <w:tcW w:w="7881" w:type="dxa"/>
          </w:tcPr>
          <w:p w14:paraId="2B969F3D" w14:textId="0174B593" w:rsidR="00C51BA4" w:rsidRPr="00CE3606" w:rsidRDefault="00C51BA4" w:rsidP="00C51BA4">
            <w:pPr>
              <w:jc w:val="left"/>
              <w:rPr>
                <w:szCs w:val="20"/>
              </w:rPr>
            </w:pPr>
            <w:r w:rsidRPr="00CE3606">
              <w:rPr>
                <w:szCs w:val="20"/>
              </w:rPr>
              <w:t xml:space="preserve">paliwa odnawialne pochodzenia niebiologicznego (w tym wodór odnawialny pochodzenia niebiologicznego „wodór RFNBO”), ang. </w:t>
            </w:r>
            <w:r w:rsidRPr="00CE3606">
              <w:rPr>
                <w:i/>
                <w:iCs/>
                <w:szCs w:val="20"/>
              </w:rPr>
              <w:t>renewable fuels of non-biological origin</w:t>
            </w:r>
          </w:p>
        </w:tc>
      </w:tr>
      <w:tr w:rsidR="00C51BA4" w:rsidRPr="00986124" w14:paraId="10F85EA0" w14:textId="77777777" w:rsidTr="00CC5BCB">
        <w:trPr>
          <w:trHeight w:val="57"/>
        </w:trPr>
        <w:tc>
          <w:tcPr>
            <w:tcW w:w="964" w:type="dxa"/>
          </w:tcPr>
          <w:p w14:paraId="61345099" w14:textId="7E8E4967" w:rsidR="00C51BA4" w:rsidRPr="00CE3606" w:rsidRDefault="00C51BA4" w:rsidP="00C51BA4">
            <w:pPr>
              <w:jc w:val="left"/>
              <w:rPr>
                <w:b/>
                <w:szCs w:val="20"/>
              </w:rPr>
            </w:pPr>
            <w:r w:rsidRPr="00CE3606">
              <w:rPr>
                <w:b/>
                <w:szCs w:val="20"/>
              </w:rPr>
              <w:t>SMR</w:t>
            </w:r>
          </w:p>
        </w:tc>
        <w:tc>
          <w:tcPr>
            <w:tcW w:w="283" w:type="dxa"/>
          </w:tcPr>
          <w:p w14:paraId="2F04F17F" w14:textId="33A2F9DE" w:rsidR="00C51BA4" w:rsidRPr="00CE3606" w:rsidRDefault="00C51BA4" w:rsidP="00C51BA4">
            <w:pPr>
              <w:jc w:val="left"/>
              <w:rPr>
                <w:szCs w:val="20"/>
              </w:rPr>
            </w:pPr>
            <w:r w:rsidRPr="00CE3606">
              <w:rPr>
                <w:szCs w:val="20"/>
              </w:rPr>
              <w:t>–</w:t>
            </w:r>
          </w:p>
        </w:tc>
        <w:tc>
          <w:tcPr>
            <w:tcW w:w="7881" w:type="dxa"/>
          </w:tcPr>
          <w:p w14:paraId="6BB16EE6" w14:textId="430AEEB8" w:rsidR="00C51BA4" w:rsidRPr="00D07426" w:rsidRDefault="00C51BA4" w:rsidP="00C51BA4">
            <w:pPr>
              <w:jc w:val="left"/>
              <w:rPr>
                <w:szCs w:val="20"/>
                <w:lang w:val="en-US"/>
              </w:rPr>
            </w:pPr>
            <w:r w:rsidRPr="00CE3606">
              <w:rPr>
                <w:szCs w:val="20"/>
                <w:lang w:val="en-US"/>
              </w:rPr>
              <w:t>małe reaktory j</w:t>
            </w:r>
            <w:r w:rsidR="00EB0E5A">
              <w:rPr>
                <w:szCs w:val="20"/>
                <w:lang w:val="en-US"/>
              </w:rPr>
              <w:t>ą</w:t>
            </w:r>
            <w:r w:rsidRPr="00CE3606">
              <w:rPr>
                <w:szCs w:val="20"/>
                <w:lang w:val="en-US"/>
              </w:rPr>
              <w:t xml:space="preserve">drowe, ang. </w:t>
            </w:r>
            <w:r w:rsidRPr="00CE3606">
              <w:rPr>
                <w:i/>
                <w:iCs/>
                <w:szCs w:val="20"/>
                <w:lang w:val="en-US"/>
              </w:rPr>
              <w:t>small modular reactors</w:t>
            </w:r>
          </w:p>
        </w:tc>
      </w:tr>
      <w:tr w:rsidR="00C51BA4" w:rsidRPr="008D3509" w14:paraId="37789AB2" w14:textId="77777777" w:rsidTr="00CC5BCB">
        <w:trPr>
          <w:trHeight w:val="57"/>
        </w:trPr>
        <w:tc>
          <w:tcPr>
            <w:tcW w:w="964" w:type="dxa"/>
          </w:tcPr>
          <w:p w14:paraId="7B081806" w14:textId="0504E6F9" w:rsidR="00C51BA4" w:rsidRPr="00CE3606" w:rsidRDefault="00C51BA4" w:rsidP="00C51BA4">
            <w:pPr>
              <w:jc w:val="left"/>
              <w:rPr>
                <w:b/>
                <w:szCs w:val="20"/>
              </w:rPr>
            </w:pPr>
            <w:r>
              <w:rPr>
                <w:b/>
                <w:szCs w:val="20"/>
              </w:rPr>
              <w:t>SGT</w:t>
            </w:r>
          </w:p>
        </w:tc>
        <w:tc>
          <w:tcPr>
            <w:tcW w:w="283" w:type="dxa"/>
          </w:tcPr>
          <w:p w14:paraId="008EA32E" w14:textId="0E139F1A" w:rsidR="00C51BA4" w:rsidRPr="00CE3606" w:rsidRDefault="00C51BA4" w:rsidP="00C51BA4">
            <w:pPr>
              <w:jc w:val="left"/>
              <w:rPr>
                <w:szCs w:val="20"/>
              </w:rPr>
            </w:pPr>
            <w:r>
              <w:rPr>
                <w:szCs w:val="20"/>
              </w:rPr>
              <w:t>–</w:t>
            </w:r>
          </w:p>
        </w:tc>
        <w:tc>
          <w:tcPr>
            <w:tcW w:w="7881" w:type="dxa"/>
          </w:tcPr>
          <w:p w14:paraId="7B16DF11" w14:textId="22DFA127" w:rsidR="00C51BA4" w:rsidRPr="00C20225" w:rsidRDefault="00C51BA4" w:rsidP="00C51BA4">
            <w:pPr>
              <w:jc w:val="left"/>
              <w:rPr>
                <w:szCs w:val="20"/>
              </w:rPr>
            </w:pPr>
            <w:r w:rsidRPr="00C20225">
              <w:rPr>
                <w:szCs w:val="20"/>
              </w:rPr>
              <w:t>system gazociągów tranzytowych</w:t>
            </w:r>
          </w:p>
        </w:tc>
      </w:tr>
      <w:tr w:rsidR="00C20225" w:rsidRPr="00986124" w14:paraId="0EE38493" w14:textId="77777777" w:rsidTr="00CC5BCB">
        <w:trPr>
          <w:trHeight w:val="57"/>
        </w:trPr>
        <w:tc>
          <w:tcPr>
            <w:tcW w:w="964" w:type="dxa"/>
          </w:tcPr>
          <w:p w14:paraId="08658A7B" w14:textId="047A7524" w:rsidR="00C20225" w:rsidRDefault="00C20225" w:rsidP="00C51BA4">
            <w:pPr>
              <w:jc w:val="left"/>
              <w:rPr>
                <w:b/>
                <w:szCs w:val="20"/>
              </w:rPr>
            </w:pPr>
            <w:r>
              <w:rPr>
                <w:b/>
                <w:szCs w:val="20"/>
              </w:rPr>
              <w:t>TCO</w:t>
            </w:r>
          </w:p>
        </w:tc>
        <w:tc>
          <w:tcPr>
            <w:tcW w:w="283" w:type="dxa"/>
          </w:tcPr>
          <w:p w14:paraId="3A7E5026" w14:textId="2F581CFD" w:rsidR="00C20225" w:rsidRDefault="00C20225" w:rsidP="00C51BA4">
            <w:pPr>
              <w:jc w:val="left"/>
              <w:rPr>
                <w:szCs w:val="20"/>
              </w:rPr>
            </w:pPr>
            <w:r>
              <w:rPr>
                <w:szCs w:val="20"/>
              </w:rPr>
              <w:t>–</w:t>
            </w:r>
          </w:p>
        </w:tc>
        <w:tc>
          <w:tcPr>
            <w:tcW w:w="7881" w:type="dxa"/>
          </w:tcPr>
          <w:p w14:paraId="1AD595E0" w14:textId="5C3B075E" w:rsidR="00C20225" w:rsidRPr="00955CF4" w:rsidRDefault="00C20225" w:rsidP="00C51BA4">
            <w:pPr>
              <w:jc w:val="left"/>
              <w:rPr>
                <w:szCs w:val="20"/>
                <w:lang w:val="en-US"/>
              </w:rPr>
            </w:pPr>
            <w:r w:rsidRPr="00955CF4">
              <w:rPr>
                <w:szCs w:val="20"/>
                <w:lang w:val="en-US"/>
              </w:rPr>
              <w:t>całkowity koszt posiadania, an</w:t>
            </w:r>
            <w:r w:rsidR="00E3649A" w:rsidRPr="00955CF4">
              <w:rPr>
                <w:szCs w:val="20"/>
                <w:lang w:val="en-US"/>
              </w:rPr>
              <w:t xml:space="preserve">g. </w:t>
            </w:r>
            <w:r w:rsidR="00E3649A" w:rsidRPr="00955CF4">
              <w:rPr>
                <w:i/>
                <w:szCs w:val="20"/>
                <w:lang w:val="en-US"/>
              </w:rPr>
              <w:t>total cost of ownership</w:t>
            </w:r>
          </w:p>
        </w:tc>
      </w:tr>
      <w:tr w:rsidR="00654A96" w:rsidRPr="008D3509" w14:paraId="0A3A138A" w14:textId="77777777" w:rsidTr="00CC5BCB">
        <w:trPr>
          <w:trHeight w:val="57"/>
        </w:trPr>
        <w:tc>
          <w:tcPr>
            <w:tcW w:w="964" w:type="dxa"/>
          </w:tcPr>
          <w:p w14:paraId="316472BC" w14:textId="38889020" w:rsidR="00654A96" w:rsidRDefault="00654A96" w:rsidP="00C51BA4">
            <w:pPr>
              <w:jc w:val="left"/>
              <w:rPr>
                <w:b/>
                <w:szCs w:val="20"/>
              </w:rPr>
            </w:pPr>
            <w:r>
              <w:rPr>
                <w:b/>
                <w:szCs w:val="20"/>
              </w:rPr>
              <w:t>TPST</w:t>
            </w:r>
          </w:p>
        </w:tc>
        <w:tc>
          <w:tcPr>
            <w:tcW w:w="283" w:type="dxa"/>
          </w:tcPr>
          <w:p w14:paraId="75926678" w14:textId="7E35AAAF" w:rsidR="00654A96" w:rsidRDefault="00654A96" w:rsidP="00C51BA4">
            <w:pPr>
              <w:jc w:val="left"/>
              <w:rPr>
                <w:szCs w:val="20"/>
              </w:rPr>
            </w:pPr>
            <w:r>
              <w:rPr>
                <w:szCs w:val="20"/>
              </w:rPr>
              <w:t>–</w:t>
            </w:r>
          </w:p>
        </w:tc>
        <w:tc>
          <w:tcPr>
            <w:tcW w:w="7881" w:type="dxa"/>
          </w:tcPr>
          <w:p w14:paraId="0C71F113" w14:textId="7CE508D2" w:rsidR="00654A96" w:rsidRPr="00C20225" w:rsidRDefault="00654A96" w:rsidP="00C51BA4">
            <w:pPr>
              <w:jc w:val="left"/>
              <w:rPr>
                <w:szCs w:val="20"/>
              </w:rPr>
            </w:pPr>
            <w:r w:rsidRPr="00C20225">
              <w:rPr>
                <w:szCs w:val="20"/>
              </w:rPr>
              <w:t xml:space="preserve">terytorialny plan sprawiedliwej </w:t>
            </w:r>
            <w:r w:rsidR="00CE1C12" w:rsidRPr="00C20225">
              <w:rPr>
                <w:szCs w:val="20"/>
              </w:rPr>
              <w:t>t</w:t>
            </w:r>
            <w:r w:rsidRPr="00C20225">
              <w:rPr>
                <w:szCs w:val="20"/>
              </w:rPr>
              <w:t>ransformacji</w:t>
            </w:r>
          </w:p>
        </w:tc>
      </w:tr>
      <w:tr w:rsidR="00A62AF3" w:rsidRPr="008D3509" w14:paraId="0DC12CCF" w14:textId="77777777" w:rsidTr="00CC5BCB">
        <w:trPr>
          <w:trHeight w:val="57"/>
        </w:trPr>
        <w:tc>
          <w:tcPr>
            <w:tcW w:w="964" w:type="dxa"/>
          </w:tcPr>
          <w:p w14:paraId="613910D8" w14:textId="14538D94" w:rsidR="00A62AF3" w:rsidRDefault="00A62AF3" w:rsidP="00A62AF3">
            <w:pPr>
              <w:jc w:val="left"/>
              <w:rPr>
                <w:b/>
                <w:szCs w:val="20"/>
              </w:rPr>
            </w:pPr>
            <w:r>
              <w:rPr>
                <w:b/>
                <w:szCs w:val="20"/>
              </w:rPr>
              <w:t>TSL</w:t>
            </w:r>
          </w:p>
        </w:tc>
        <w:tc>
          <w:tcPr>
            <w:tcW w:w="283" w:type="dxa"/>
          </w:tcPr>
          <w:p w14:paraId="6548205C" w14:textId="6C81E71D" w:rsidR="00A62AF3" w:rsidRDefault="00A62AF3" w:rsidP="00A62AF3">
            <w:pPr>
              <w:jc w:val="left"/>
              <w:rPr>
                <w:szCs w:val="20"/>
              </w:rPr>
            </w:pPr>
            <w:r>
              <w:rPr>
                <w:szCs w:val="20"/>
              </w:rPr>
              <w:t>–</w:t>
            </w:r>
          </w:p>
        </w:tc>
        <w:tc>
          <w:tcPr>
            <w:tcW w:w="7881" w:type="dxa"/>
          </w:tcPr>
          <w:p w14:paraId="1B0E46DC" w14:textId="6A3D7A4E" w:rsidR="00A62AF3" w:rsidRPr="000A592D" w:rsidRDefault="00740A3A" w:rsidP="00A62AF3">
            <w:pPr>
              <w:jc w:val="left"/>
              <w:rPr>
                <w:szCs w:val="20"/>
              </w:rPr>
            </w:pPr>
            <w:r>
              <w:rPr>
                <w:szCs w:val="20"/>
              </w:rPr>
              <w:t>s</w:t>
            </w:r>
            <w:r w:rsidR="00A62AF3" w:rsidRPr="000A592D">
              <w:rPr>
                <w:szCs w:val="20"/>
              </w:rPr>
              <w:t xml:space="preserve">ektor </w:t>
            </w:r>
            <w:r>
              <w:rPr>
                <w:szCs w:val="20"/>
              </w:rPr>
              <w:t>t</w:t>
            </w:r>
            <w:r w:rsidR="00A62AF3" w:rsidRPr="000A592D">
              <w:rPr>
                <w:szCs w:val="20"/>
              </w:rPr>
              <w:t xml:space="preserve">ransportu, </w:t>
            </w:r>
            <w:r>
              <w:rPr>
                <w:szCs w:val="20"/>
              </w:rPr>
              <w:t>s</w:t>
            </w:r>
            <w:r w:rsidR="00A62AF3" w:rsidRPr="000A592D">
              <w:rPr>
                <w:szCs w:val="20"/>
              </w:rPr>
              <w:t xml:space="preserve">pedycji </w:t>
            </w:r>
            <w:r>
              <w:rPr>
                <w:szCs w:val="20"/>
              </w:rPr>
              <w:t>i</w:t>
            </w:r>
            <w:r w:rsidR="00A62AF3" w:rsidRPr="000A592D">
              <w:rPr>
                <w:szCs w:val="20"/>
              </w:rPr>
              <w:t xml:space="preserve"> </w:t>
            </w:r>
            <w:r>
              <w:rPr>
                <w:szCs w:val="20"/>
              </w:rPr>
              <w:t>l</w:t>
            </w:r>
            <w:r w:rsidR="00A62AF3" w:rsidRPr="000A592D">
              <w:rPr>
                <w:szCs w:val="20"/>
              </w:rPr>
              <w:t>ogistyki</w:t>
            </w:r>
          </w:p>
        </w:tc>
      </w:tr>
      <w:tr w:rsidR="00C51BA4" w:rsidRPr="00CE3606" w14:paraId="08ACE228" w14:textId="77777777" w:rsidTr="00CC5BCB">
        <w:trPr>
          <w:trHeight w:val="57"/>
        </w:trPr>
        <w:tc>
          <w:tcPr>
            <w:tcW w:w="964" w:type="dxa"/>
          </w:tcPr>
          <w:p w14:paraId="1D6594AE" w14:textId="77777777" w:rsidR="00C51BA4" w:rsidRPr="00CE3606" w:rsidRDefault="00C51BA4" w:rsidP="00C51BA4">
            <w:pPr>
              <w:jc w:val="left"/>
              <w:rPr>
                <w:b/>
                <w:szCs w:val="20"/>
              </w:rPr>
            </w:pPr>
            <w:r w:rsidRPr="00CE3606">
              <w:rPr>
                <w:b/>
                <w:szCs w:val="20"/>
              </w:rPr>
              <w:t>UE</w:t>
            </w:r>
          </w:p>
        </w:tc>
        <w:tc>
          <w:tcPr>
            <w:tcW w:w="283" w:type="dxa"/>
          </w:tcPr>
          <w:p w14:paraId="5D05A13D" w14:textId="77777777" w:rsidR="00C51BA4" w:rsidRPr="00CE3606" w:rsidRDefault="00C51BA4" w:rsidP="00C51BA4">
            <w:pPr>
              <w:jc w:val="left"/>
              <w:rPr>
                <w:szCs w:val="20"/>
              </w:rPr>
            </w:pPr>
            <w:r w:rsidRPr="00CE3606">
              <w:rPr>
                <w:szCs w:val="20"/>
              </w:rPr>
              <w:t>–</w:t>
            </w:r>
          </w:p>
        </w:tc>
        <w:tc>
          <w:tcPr>
            <w:tcW w:w="7881" w:type="dxa"/>
          </w:tcPr>
          <w:p w14:paraId="3C078CAF" w14:textId="77777777" w:rsidR="00C51BA4" w:rsidRPr="00CE3606" w:rsidRDefault="00C51BA4" w:rsidP="00C51BA4">
            <w:pPr>
              <w:jc w:val="left"/>
              <w:rPr>
                <w:szCs w:val="20"/>
              </w:rPr>
            </w:pPr>
            <w:r w:rsidRPr="00CE3606">
              <w:rPr>
                <w:szCs w:val="20"/>
              </w:rPr>
              <w:t>Unia Europejska</w:t>
            </w:r>
          </w:p>
        </w:tc>
      </w:tr>
      <w:tr w:rsidR="00C51BA4" w:rsidRPr="00CE3606" w14:paraId="1D48EAEC" w14:textId="77777777" w:rsidTr="00CC5BCB">
        <w:trPr>
          <w:trHeight w:val="57"/>
        </w:trPr>
        <w:tc>
          <w:tcPr>
            <w:tcW w:w="964" w:type="dxa"/>
          </w:tcPr>
          <w:p w14:paraId="059FFCD7" w14:textId="2ED82B4D" w:rsidR="00C51BA4" w:rsidRPr="00CE3606" w:rsidRDefault="00C51BA4" w:rsidP="00C51BA4">
            <w:pPr>
              <w:jc w:val="left"/>
              <w:rPr>
                <w:b/>
                <w:szCs w:val="20"/>
              </w:rPr>
            </w:pPr>
            <w:r w:rsidRPr="00CE3606">
              <w:rPr>
                <w:b/>
                <w:szCs w:val="20"/>
              </w:rPr>
              <w:t>URE</w:t>
            </w:r>
          </w:p>
        </w:tc>
        <w:tc>
          <w:tcPr>
            <w:tcW w:w="283" w:type="dxa"/>
          </w:tcPr>
          <w:p w14:paraId="65B36BE4" w14:textId="3601ED02" w:rsidR="00C51BA4" w:rsidRPr="00CE3606" w:rsidRDefault="00C51BA4" w:rsidP="00C51BA4">
            <w:pPr>
              <w:jc w:val="left"/>
              <w:rPr>
                <w:szCs w:val="20"/>
              </w:rPr>
            </w:pPr>
            <w:r w:rsidRPr="00CE3606">
              <w:rPr>
                <w:szCs w:val="20"/>
              </w:rPr>
              <w:t>–</w:t>
            </w:r>
          </w:p>
        </w:tc>
        <w:tc>
          <w:tcPr>
            <w:tcW w:w="7881" w:type="dxa"/>
          </w:tcPr>
          <w:p w14:paraId="2F3EF4FA" w14:textId="02EE3CDF" w:rsidR="00C51BA4" w:rsidRPr="00CE3606" w:rsidRDefault="00C51BA4" w:rsidP="00C51BA4">
            <w:pPr>
              <w:jc w:val="left"/>
              <w:rPr>
                <w:szCs w:val="20"/>
              </w:rPr>
            </w:pPr>
            <w:r w:rsidRPr="00CE3606">
              <w:rPr>
                <w:szCs w:val="20"/>
              </w:rPr>
              <w:t>Urząd Regulacji Energetyki</w:t>
            </w:r>
          </w:p>
        </w:tc>
      </w:tr>
      <w:tr w:rsidR="00041D35" w:rsidRPr="00CE3606" w14:paraId="39C6A2EB" w14:textId="77777777" w:rsidTr="00CC5BCB">
        <w:trPr>
          <w:trHeight w:val="57"/>
        </w:trPr>
        <w:tc>
          <w:tcPr>
            <w:tcW w:w="964" w:type="dxa"/>
          </w:tcPr>
          <w:p w14:paraId="1ECF8EBD" w14:textId="3D5CE044" w:rsidR="00041D35" w:rsidRDefault="008A2CD8" w:rsidP="00C51BA4">
            <w:pPr>
              <w:jc w:val="left"/>
              <w:rPr>
                <w:b/>
                <w:szCs w:val="20"/>
              </w:rPr>
            </w:pPr>
            <w:r>
              <w:rPr>
                <w:b/>
                <w:szCs w:val="20"/>
              </w:rPr>
              <w:t>WTZ</w:t>
            </w:r>
          </w:p>
        </w:tc>
        <w:tc>
          <w:tcPr>
            <w:tcW w:w="283" w:type="dxa"/>
          </w:tcPr>
          <w:p w14:paraId="1BA39C70" w14:textId="3E271F72" w:rsidR="00041D35" w:rsidRDefault="008A2CD8" w:rsidP="00C51BA4">
            <w:pPr>
              <w:jc w:val="left"/>
              <w:rPr>
                <w:szCs w:val="20"/>
              </w:rPr>
            </w:pPr>
            <w:r>
              <w:rPr>
                <w:szCs w:val="20"/>
              </w:rPr>
              <w:t>–</w:t>
            </w:r>
          </w:p>
        </w:tc>
        <w:tc>
          <w:tcPr>
            <w:tcW w:w="7881" w:type="dxa"/>
          </w:tcPr>
          <w:p w14:paraId="6EB53BDE" w14:textId="271442B8" w:rsidR="00041D35" w:rsidRDefault="00041D35" w:rsidP="00C51BA4">
            <w:pPr>
              <w:jc w:val="left"/>
              <w:rPr>
                <w:szCs w:val="20"/>
              </w:rPr>
            </w:pPr>
            <w:r>
              <w:t>wielkoobszarow</w:t>
            </w:r>
            <w:r w:rsidR="008A2CD8">
              <w:t>e</w:t>
            </w:r>
            <w:r>
              <w:t xml:space="preserve"> teren</w:t>
            </w:r>
            <w:r w:rsidR="008A2CD8">
              <w:t>y</w:t>
            </w:r>
            <w:r>
              <w:t xml:space="preserve"> zdegradowan</w:t>
            </w:r>
            <w:r w:rsidR="008A2CD8">
              <w:t>e</w:t>
            </w:r>
          </w:p>
        </w:tc>
      </w:tr>
      <w:tr w:rsidR="00C51BA4" w:rsidRPr="00CE3606" w14:paraId="347C7D57" w14:textId="77777777" w:rsidTr="00CC5BCB">
        <w:trPr>
          <w:trHeight w:val="57"/>
        </w:trPr>
        <w:tc>
          <w:tcPr>
            <w:tcW w:w="964" w:type="dxa"/>
          </w:tcPr>
          <w:p w14:paraId="6200639B" w14:textId="271D128E" w:rsidR="00C51BA4" w:rsidRPr="00CE3606" w:rsidRDefault="00C51BA4" w:rsidP="00C51BA4">
            <w:pPr>
              <w:jc w:val="left"/>
              <w:rPr>
                <w:b/>
                <w:szCs w:val="20"/>
              </w:rPr>
            </w:pPr>
            <w:r>
              <w:rPr>
                <w:b/>
                <w:szCs w:val="20"/>
              </w:rPr>
              <w:t>ZG</w:t>
            </w:r>
          </w:p>
        </w:tc>
        <w:tc>
          <w:tcPr>
            <w:tcW w:w="283" w:type="dxa"/>
          </w:tcPr>
          <w:p w14:paraId="43FA2F0A" w14:textId="740635C3" w:rsidR="00C51BA4" w:rsidRPr="00CE3606" w:rsidRDefault="00C51BA4" w:rsidP="00C51BA4">
            <w:pPr>
              <w:jc w:val="left"/>
              <w:rPr>
                <w:szCs w:val="20"/>
              </w:rPr>
            </w:pPr>
            <w:r>
              <w:rPr>
                <w:szCs w:val="20"/>
              </w:rPr>
              <w:t>–</w:t>
            </w:r>
          </w:p>
        </w:tc>
        <w:tc>
          <w:tcPr>
            <w:tcW w:w="7881" w:type="dxa"/>
          </w:tcPr>
          <w:p w14:paraId="6FEB6487" w14:textId="407E585F" w:rsidR="00C51BA4" w:rsidRPr="00CE3606" w:rsidRDefault="00C51BA4" w:rsidP="00C51BA4">
            <w:pPr>
              <w:jc w:val="left"/>
              <w:rPr>
                <w:szCs w:val="20"/>
              </w:rPr>
            </w:pPr>
            <w:r>
              <w:rPr>
                <w:szCs w:val="20"/>
              </w:rPr>
              <w:t>zakład górniczy</w:t>
            </w:r>
          </w:p>
        </w:tc>
      </w:tr>
      <w:tr w:rsidR="00C51BA4" w:rsidRPr="00CE3606" w14:paraId="6AC2F741" w14:textId="77777777" w:rsidTr="00CC5BCB">
        <w:trPr>
          <w:trHeight w:val="57"/>
        </w:trPr>
        <w:tc>
          <w:tcPr>
            <w:tcW w:w="964" w:type="dxa"/>
          </w:tcPr>
          <w:p w14:paraId="3DBE51C0" w14:textId="7C8D4933" w:rsidR="00C51BA4" w:rsidRPr="00CE3606" w:rsidRDefault="00C51BA4" w:rsidP="00C51BA4">
            <w:pPr>
              <w:jc w:val="left"/>
              <w:rPr>
                <w:b/>
                <w:szCs w:val="20"/>
              </w:rPr>
            </w:pPr>
            <w:r w:rsidRPr="00CE3606">
              <w:rPr>
                <w:b/>
                <w:szCs w:val="20"/>
              </w:rPr>
              <w:t>ZPO</w:t>
            </w:r>
          </w:p>
        </w:tc>
        <w:tc>
          <w:tcPr>
            <w:tcW w:w="283" w:type="dxa"/>
          </w:tcPr>
          <w:p w14:paraId="4953052C" w14:textId="22BF7FB0" w:rsidR="00C51BA4" w:rsidRPr="00CE3606" w:rsidRDefault="00C51BA4" w:rsidP="00C51BA4">
            <w:pPr>
              <w:jc w:val="left"/>
              <w:rPr>
                <w:szCs w:val="20"/>
              </w:rPr>
            </w:pPr>
            <w:r w:rsidRPr="00CE3606">
              <w:rPr>
                <w:szCs w:val="20"/>
              </w:rPr>
              <w:t>–</w:t>
            </w:r>
          </w:p>
        </w:tc>
        <w:tc>
          <w:tcPr>
            <w:tcW w:w="7881" w:type="dxa"/>
          </w:tcPr>
          <w:p w14:paraId="10FA3B55" w14:textId="7D1F67B3" w:rsidR="00C51BA4" w:rsidRPr="00CE3606" w:rsidRDefault="00C51BA4" w:rsidP="00C51BA4">
            <w:pPr>
              <w:jc w:val="left"/>
              <w:rPr>
                <w:szCs w:val="20"/>
              </w:rPr>
            </w:pPr>
            <w:r w:rsidRPr="00CE3606">
              <w:rPr>
                <w:szCs w:val="20"/>
              </w:rPr>
              <w:t>zapobieganie powstawaniu odpadów</w:t>
            </w:r>
          </w:p>
        </w:tc>
      </w:tr>
    </w:tbl>
    <w:p w14:paraId="750885E9" w14:textId="77777777" w:rsidR="000F0B33" w:rsidRDefault="000F0B33" w:rsidP="00DE72EA"/>
    <w:p w14:paraId="5782644E" w14:textId="77777777" w:rsidR="000F0B33" w:rsidRDefault="000F0B33">
      <w:pPr>
        <w:jc w:val="left"/>
      </w:pPr>
      <w:r>
        <w:br w:type="page"/>
      </w:r>
    </w:p>
    <w:p w14:paraId="4FC96021" w14:textId="48C865FE" w:rsidR="00C473E9" w:rsidRDefault="00C473E9" w:rsidP="00C473E9">
      <w:pPr>
        <w:pStyle w:val="Nagwek1"/>
        <w:numPr>
          <w:ilvl w:val="0"/>
          <w:numId w:val="0"/>
        </w:numPr>
        <w:spacing w:before="600"/>
        <w:ind w:left="432" w:hanging="432"/>
      </w:pPr>
      <w:bookmarkStart w:id="1484" w:name="_Toc205203246"/>
      <w:r>
        <w:lastRenderedPageBreak/>
        <w:t>Wykaz wykresów</w:t>
      </w:r>
      <w:r w:rsidR="0037021B">
        <w:t xml:space="preserve"> i tabel</w:t>
      </w:r>
      <w:bookmarkEnd w:id="1484"/>
    </w:p>
    <w:p w14:paraId="0CBD9437" w14:textId="118A7358" w:rsidR="00473117" w:rsidRDefault="00A03A56">
      <w:pPr>
        <w:pStyle w:val="Spisilustracji"/>
        <w:tabs>
          <w:tab w:val="right" w:leader="dot" w:pos="9062"/>
        </w:tabs>
        <w:rPr>
          <w:rFonts w:asciiTheme="minorHAnsi" w:eastAsiaTheme="minorEastAsia" w:hAnsiTheme="minorHAnsi"/>
          <w:noProof/>
          <w:sz w:val="24"/>
          <w:szCs w:val="24"/>
          <w:lang w:eastAsia="pl-PL"/>
        </w:rPr>
      </w:pPr>
      <w:r>
        <w:fldChar w:fldCharType="begin"/>
      </w:r>
      <w:r>
        <w:instrText xml:space="preserve"> TOC \h \z \c "Wykres" </w:instrText>
      </w:r>
      <w:r>
        <w:fldChar w:fldCharType="separate"/>
      </w:r>
      <w:hyperlink w:anchor="_Toc205204439" w:history="1">
        <w:r w:rsidR="00473117" w:rsidRPr="006D04DE">
          <w:rPr>
            <w:rStyle w:val="Hipercze"/>
            <w:noProof/>
          </w:rPr>
          <w:t>Wykres 1. Redukcja emisji gazów cieplarnianych</w:t>
        </w:r>
        <w:r w:rsidR="00473117">
          <w:rPr>
            <w:noProof/>
            <w:webHidden/>
          </w:rPr>
          <w:tab/>
        </w:r>
        <w:r w:rsidR="00473117">
          <w:rPr>
            <w:noProof/>
            <w:webHidden/>
          </w:rPr>
          <w:fldChar w:fldCharType="begin"/>
        </w:r>
        <w:r w:rsidR="00473117">
          <w:rPr>
            <w:noProof/>
            <w:webHidden/>
          </w:rPr>
          <w:instrText xml:space="preserve"> PAGEREF _Toc205204439 \h </w:instrText>
        </w:r>
        <w:r w:rsidR="00473117">
          <w:rPr>
            <w:noProof/>
            <w:webHidden/>
          </w:rPr>
        </w:r>
        <w:r w:rsidR="00473117">
          <w:rPr>
            <w:noProof/>
            <w:webHidden/>
          </w:rPr>
          <w:fldChar w:fldCharType="separate"/>
        </w:r>
        <w:r w:rsidR="00473117">
          <w:rPr>
            <w:noProof/>
            <w:webHidden/>
          </w:rPr>
          <w:t>15</w:t>
        </w:r>
        <w:r w:rsidR="00473117">
          <w:rPr>
            <w:noProof/>
            <w:webHidden/>
          </w:rPr>
          <w:fldChar w:fldCharType="end"/>
        </w:r>
      </w:hyperlink>
    </w:p>
    <w:p w14:paraId="5FEBB59B" w14:textId="14B5EA62"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0" w:history="1">
        <w:r w:rsidRPr="006D04DE">
          <w:rPr>
            <w:rStyle w:val="Hipercze"/>
            <w:noProof/>
          </w:rPr>
          <w:t>Wykres 2. Zużycie OZE w sektorach i w finalnym zużyciu energii w porównaniu do KPEiK z 2019 r.</w:t>
        </w:r>
        <w:r>
          <w:rPr>
            <w:noProof/>
            <w:webHidden/>
          </w:rPr>
          <w:tab/>
        </w:r>
        <w:r>
          <w:rPr>
            <w:noProof/>
            <w:webHidden/>
          </w:rPr>
          <w:fldChar w:fldCharType="begin"/>
        </w:r>
        <w:r>
          <w:rPr>
            <w:noProof/>
            <w:webHidden/>
          </w:rPr>
          <w:instrText xml:space="preserve"> PAGEREF _Toc205204440 \h </w:instrText>
        </w:r>
        <w:r>
          <w:rPr>
            <w:noProof/>
            <w:webHidden/>
          </w:rPr>
        </w:r>
        <w:r>
          <w:rPr>
            <w:noProof/>
            <w:webHidden/>
          </w:rPr>
          <w:fldChar w:fldCharType="separate"/>
        </w:r>
        <w:r>
          <w:rPr>
            <w:noProof/>
            <w:webHidden/>
          </w:rPr>
          <w:t>20</w:t>
        </w:r>
        <w:r>
          <w:rPr>
            <w:noProof/>
            <w:webHidden/>
          </w:rPr>
          <w:fldChar w:fldCharType="end"/>
        </w:r>
      </w:hyperlink>
    </w:p>
    <w:p w14:paraId="70A2DAEA" w14:textId="2BA77DCD"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1" w:history="1">
        <w:r w:rsidRPr="006D04DE">
          <w:rPr>
            <w:rStyle w:val="Hipercze"/>
            <w:noProof/>
          </w:rPr>
          <w:t>Wykres 3. Udział OZE w zużyciu energii w elektroenergetyce do 2030 r.</w:t>
        </w:r>
        <w:r>
          <w:rPr>
            <w:noProof/>
            <w:webHidden/>
          </w:rPr>
          <w:tab/>
        </w:r>
        <w:r>
          <w:rPr>
            <w:noProof/>
            <w:webHidden/>
          </w:rPr>
          <w:fldChar w:fldCharType="begin"/>
        </w:r>
        <w:r>
          <w:rPr>
            <w:noProof/>
            <w:webHidden/>
          </w:rPr>
          <w:instrText xml:space="preserve"> PAGEREF _Toc205204441 \h </w:instrText>
        </w:r>
        <w:r>
          <w:rPr>
            <w:noProof/>
            <w:webHidden/>
          </w:rPr>
        </w:r>
        <w:r>
          <w:rPr>
            <w:noProof/>
            <w:webHidden/>
          </w:rPr>
          <w:fldChar w:fldCharType="separate"/>
        </w:r>
        <w:r>
          <w:rPr>
            <w:noProof/>
            <w:webHidden/>
          </w:rPr>
          <w:t>23</w:t>
        </w:r>
        <w:r>
          <w:rPr>
            <w:noProof/>
            <w:webHidden/>
          </w:rPr>
          <w:fldChar w:fldCharType="end"/>
        </w:r>
      </w:hyperlink>
    </w:p>
    <w:p w14:paraId="32B53A85" w14:textId="1FCDDB7B"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2" w:history="1">
        <w:r w:rsidRPr="006D04DE">
          <w:rPr>
            <w:rStyle w:val="Hipercze"/>
            <w:noProof/>
          </w:rPr>
          <w:t>Wykres 4. Udział OZE w zużyciu energii w ciepłownictwie i chłodnictwie do 2030 r.</w:t>
        </w:r>
        <w:r>
          <w:rPr>
            <w:noProof/>
            <w:webHidden/>
          </w:rPr>
          <w:tab/>
        </w:r>
        <w:r>
          <w:rPr>
            <w:noProof/>
            <w:webHidden/>
          </w:rPr>
          <w:fldChar w:fldCharType="begin"/>
        </w:r>
        <w:r>
          <w:rPr>
            <w:noProof/>
            <w:webHidden/>
          </w:rPr>
          <w:instrText xml:space="preserve"> PAGEREF _Toc205204442 \h </w:instrText>
        </w:r>
        <w:r>
          <w:rPr>
            <w:noProof/>
            <w:webHidden/>
          </w:rPr>
        </w:r>
        <w:r>
          <w:rPr>
            <w:noProof/>
            <w:webHidden/>
          </w:rPr>
          <w:fldChar w:fldCharType="separate"/>
        </w:r>
        <w:r>
          <w:rPr>
            <w:noProof/>
            <w:webHidden/>
          </w:rPr>
          <w:t>28</w:t>
        </w:r>
        <w:r>
          <w:rPr>
            <w:noProof/>
            <w:webHidden/>
          </w:rPr>
          <w:fldChar w:fldCharType="end"/>
        </w:r>
      </w:hyperlink>
    </w:p>
    <w:p w14:paraId="6D92CF5D" w14:textId="70BD9586"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3" w:history="1">
        <w:r w:rsidRPr="006D04DE">
          <w:rPr>
            <w:rStyle w:val="Hipercze"/>
            <w:noProof/>
          </w:rPr>
          <w:t>Wykres 5. Produkcja ciepła systemowego w podziale na paliwa</w:t>
        </w:r>
        <w:r>
          <w:rPr>
            <w:noProof/>
            <w:webHidden/>
          </w:rPr>
          <w:tab/>
        </w:r>
        <w:r>
          <w:rPr>
            <w:noProof/>
            <w:webHidden/>
          </w:rPr>
          <w:fldChar w:fldCharType="begin"/>
        </w:r>
        <w:r>
          <w:rPr>
            <w:noProof/>
            <w:webHidden/>
          </w:rPr>
          <w:instrText xml:space="preserve"> PAGEREF _Toc205204443 \h </w:instrText>
        </w:r>
        <w:r>
          <w:rPr>
            <w:noProof/>
            <w:webHidden/>
          </w:rPr>
        </w:r>
        <w:r>
          <w:rPr>
            <w:noProof/>
            <w:webHidden/>
          </w:rPr>
          <w:fldChar w:fldCharType="separate"/>
        </w:r>
        <w:r>
          <w:rPr>
            <w:noProof/>
            <w:webHidden/>
          </w:rPr>
          <w:t>28</w:t>
        </w:r>
        <w:r>
          <w:rPr>
            <w:noProof/>
            <w:webHidden/>
          </w:rPr>
          <w:fldChar w:fldCharType="end"/>
        </w:r>
      </w:hyperlink>
    </w:p>
    <w:p w14:paraId="342A14D4" w14:textId="049041AA"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4" w:history="1">
        <w:r w:rsidRPr="006D04DE">
          <w:rPr>
            <w:rStyle w:val="Hipercze"/>
            <w:noProof/>
          </w:rPr>
          <w:t>Wykres 6. Produkcja ciepła w gospodarstwach domowych (na potrzeby ogrzewania pomieszczeń, ciepłej wody użytkowej oraz przygotowania posiłków)</w:t>
        </w:r>
        <w:r>
          <w:rPr>
            <w:noProof/>
            <w:webHidden/>
          </w:rPr>
          <w:tab/>
        </w:r>
        <w:r>
          <w:rPr>
            <w:noProof/>
            <w:webHidden/>
          </w:rPr>
          <w:fldChar w:fldCharType="begin"/>
        </w:r>
        <w:r>
          <w:rPr>
            <w:noProof/>
            <w:webHidden/>
          </w:rPr>
          <w:instrText xml:space="preserve"> PAGEREF _Toc205204444 \h </w:instrText>
        </w:r>
        <w:r>
          <w:rPr>
            <w:noProof/>
            <w:webHidden/>
          </w:rPr>
        </w:r>
        <w:r>
          <w:rPr>
            <w:noProof/>
            <w:webHidden/>
          </w:rPr>
          <w:fldChar w:fldCharType="separate"/>
        </w:r>
        <w:r>
          <w:rPr>
            <w:noProof/>
            <w:webHidden/>
          </w:rPr>
          <w:t>29</w:t>
        </w:r>
        <w:r>
          <w:rPr>
            <w:noProof/>
            <w:webHidden/>
          </w:rPr>
          <w:fldChar w:fldCharType="end"/>
        </w:r>
      </w:hyperlink>
    </w:p>
    <w:p w14:paraId="4D6DCE2D" w14:textId="37A8888C"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5" w:history="1">
        <w:r w:rsidRPr="006D04DE">
          <w:rPr>
            <w:rStyle w:val="Hipercze"/>
            <w:noProof/>
          </w:rPr>
          <w:t>Wykres 7. Udział OZE w zużyciu energii w transporcie do 2030 r.</w:t>
        </w:r>
        <w:r>
          <w:rPr>
            <w:noProof/>
            <w:webHidden/>
          </w:rPr>
          <w:tab/>
        </w:r>
        <w:r>
          <w:rPr>
            <w:noProof/>
            <w:webHidden/>
          </w:rPr>
          <w:fldChar w:fldCharType="begin"/>
        </w:r>
        <w:r>
          <w:rPr>
            <w:noProof/>
            <w:webHidden/>
          </w:rPr>
          <w:instrText xml:space="preserve"> PAGEREF _Toc205204445 \h </w:instrText>
        </w:r>
        <w:r>
          <w:rPr>
            <w:noProof/>
            <w:webHidden/>
          </w:rPr>
        </w:r>
        <w:r>
          <w:rPr>
            <w:noProof/>
            <w:webHidden/>
          </w:rPr>
          <w:fldChar w:fldCharType="separate"/>
        </w:r>
        <w:r>
          <w:rPr>
            <w:noProof/>
            <w:webHidden/>
          </w:rPr>
          <w:t>34</w:t>
        </w:r>
        <w:r>
          <w:rPr>
            <w:noProof/>
            <w:webHidden/>
          </w:rPr>
          <w:fldChar w:fldCharType="end"/>
        </w:r>
      </w:hyperlink>
    </w:p>
    <w:p w14:paraId="088B60EE" w14:textId="1134ACC4"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6" w:history="1">
        <w:r w:rsidRPr="006D04DE">
          <w:rPr>
            <w:rStyle w:val="Hipercze"/>
            <w:noProof/>
          </w:rPr>
          <w:t>Wykres 8. Finalne zużycie paliw i nośników energii w transporcie</w:t>
        </w:r>
        <w:r>
          <w:rPr>
            <w:noProof/>
            <w:webHidden/>
          </w:rPr>
          <w:tab/>
        </w:r>
        <w:r>
          <w:rPr>
            <w:noProof/>
            <w:webHidden/>
          </w:rPr>
          <w:fldChar w:fldCharType="begin"/>
        </w:r>
        <w:r>
          <w:rPr>
            <w:noProof/>
            <w:webHidden/>
          </w:rPr>
          <w:instrText xml:space="preserve"> PAGEREF _Toc205204446 \h </w:instrText>
        </w:r>
        <w:r>
          <w:rPr>
            <w:noProof/>
            <w:webHidden/>
          </w:rPr>
        </w:r>
        <w:r>
          <w:rPr>
            <w:noProof/>
            <w:webHidden/>
          </w:rPr>
          <w:fldChar w:fldCharType="separate"/>
        </w:r>
        <w:r>
          <w:rPr>
            <w:noProof/>
            <w:webHidden/>
          </w:rPr>
          <w:t>36</w:t>
        </w:r>
        <w:r>
          <w:rPr>
            <w:noProof/>
            <w:webHidden/>
          </w:rPr>
          <w:fldChar w:fldCharType="end"/>
        </w:r>
      </w:hyperlink>
    </w:p>
    <w:p w14:paraId="66122FFF" w14:textId="732A4718"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7" w:history="1">
        <w:r w:rsidRPr="006D04DE">
          <w:rPr>
            <w:rStyle w:val="Hipercze"/>
            <w:noProof/>
          </w:rPr>
          <w:t>Wykres 9. Finalne zużycie paliw i nośników energii zaliczanych do celu OZE* w transporcie (wyszczególnienie z rysunku powyżej)</w:t>
        </w:r>
        <w:r>
          <w:rPr>
            <w:noProof/>
            <w:webHidden/>
          </w:rPr>
          <w:tab/>
        </w:r>
        <w:r>
          <w:rPr>
            <w:noProof/>
            <w:webHidden/>
          </w:rPr>
          <w:fldChar w:fldCharType="begin"/>
        </w:r>
        <w:r>
          <w:rPr>
            <w:noProof/>
            <w:webHidden/>
          </w:rPr>
          <w:instrText xml:space="preserve"> PAGEREF _Toc205204447 \h </w:instrText>
        </w:r>
        <w:r>
          <w:rPr>
            <w:noProof/>
            <w:webHidden/>
          </w:rPr>
        </w:r>
        <w:r>
          <w:rPr>
            <w:noProof/>
            <w:webHidden/>
          </w:rPr>
          <w:fldChar w:fldCharType="separate"/>
        </w:r>
        <w:r>
          <w:rPr>
            <w:noProof/>
            <w:webHidden/>
          </w:rPr>
          <w:t>36</w:t>
        </w:r>
        <w:r>
          <w:rPr>
            <w:noProof/>
            <w:webHidden/>
          </w:rPr>
          <w:fldChar w:fldCharType="end"/>
        </w:r>
      </w:hyperlink>
    </w:p>
    <w:p w14:paraId="62C849EA" w14:textId="7FD1E42B"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8" w:history="1">
        <w:r w:rsidRPr="006D04DE">
          <w:rPr>
            <w:rStyle w:val="Hipercze"/>
            <w:noProof/>
          </w:rPr>
          <w:t>Wykres 10. Emisje GHG z procesów przemysłowych.</w:t>
        </w:r>
        <w:r>
          <w:rPr>
            <w:noProof/>
            <w:webHidden/>
          </w:rPr>
          <w:tab/>
        </w:r>
        <w:r>
          <w:rPr>
            <w:noProof/>
            <w:webHidden/>
          </w:rPr>
          <w:fldChar w:fldCharType="begin"/>
        </w:r>
        <w:r>
          <w:rPr>
            <w:noProof/>
            <w:webHidden/>
          </w:rPr>
          <w:instrText xml:space="preserve"> PAGEREF _Toc205204448 \h </w:instrText>
        </w:r>
        <w:r>
          <w:rPr>
            <w:noProof/>
            <w:webHidden/>
          </w:rPr>
        </w:r>
        <w:r>
          <w:rPr>
            <w:noProof/>
            <w:webHidden/>
          </w:rPr>
          <w:fldChar w:fldCharType="separate"/>
        </w:r>
        <w:r>
          <w:rPr>
            <w:noProof/>
            <w:webHidden/>
          </w:rPr>
          <w:t>45</w:t>
        </w:r>
        <w:r>
          <w:rPr>
            <w:noProof/>
            <w:webHidden/>
          </w:rPr>
          <w:fldChar w:fldCharType="end"/>
        </w:r>
      </w:hyperlink>
    </w:p>
    <w:p w14:paraId="38C86EA6" w14:textId="40DAA4B5"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49" w:history="1">
        <w:r w:rsidRPr="006D04DE">
          <w:rPr>
            <w:rStyle w:val="Hipercze"/>
            <w:noProof/>
          </w:rPr>
          <w:t>Wykres 11. Emisje GHG z rolnictwa</w:t>
        </w:r>
        <w:r>
          <w:rPr>
            <w:noProof/>
            <w:webHidden/>
          </w:rPr>
          <w:tab/>
        </w:r>
        <w:r>
          <w:rPr>
            <w:noProof/>
            <w:webHidden/>
          </w:rPr>
          <w:fldChar w:fldCharType="begin"/>
        </w:r>
        <w:r>
          <w:rPr>
            <w:noProof/>
            <w:webHidden/>
          </w:rPr>
          <w:instrText xml:space="preserve"> PAGEREF _Toc205204449 \h </w:instrText>
        </w:r>
        <w:r>
          <w:rPr>
            <w:noProof/>
            <w:webHidden/>
          </w:rPr>
        </w:r>
        <w:r>
          <w:rPr>
            <w:noProof/>
            <w:webHidden/>
          </w:rPr>
          <w:fldChar w:fldCharType="separate"/>
        </w:r>
        <w:r>
          <w:rPr>
            <w:noProof/>
            <w:webHidden/>
          </w:rPr>
          <w:t>51</w:t>
        </w:r>
        <w:r>
          <w:rPr>
            <w:noProof/>
            <w:webHidden/>
          </w:rPr>
          <w:fldChar w:fldCharType="end"/>
        </w:r>
      </w:hyperlink>
    </w:p>
    <w:p w14:paraId="7C49AB92" w14:textId="1A946F70"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0" w:history="1">
        <w:r w:rsidRPr="006D04DE">
          <w:rPr>
            <w:rStyle w:val="Hipercze"/>
            <w:noProof/>
          </w:rPr>
          <w:t>Wykres 12. Zużycie energii pierwotnej (PEC) i finalne zużycie energii (FEC) do 2030 r.</w:t>
        </w:r>
        <w:r>
          <w:rPr>
            <w:noProof/>
            <w:webHidden/>
          </w:rPr>
          <w:tab/>
        </w:r>
        <w:r>
          <w:rPr>
            <w:noProof/>
            <w:webHidden/>
          </w:rPr>
          <w:fldChar w:fldCharType="begin"/>
        </w:r>
        <w:r>
          <w:rPr>
            <w:noProof/>
            <w:webHidden/>
          </w:rPr>
          <w:instrText xml:space="preserve"> PAGEREF _Toc205204450 \h </w:instrText>
        </w:r>
        <w:r>
          <w:rPr>
            <w:noProof/>
            <w:webHidden/>
          </w:rPr>
        </w:r>
        <w:r>
          <w:rPr>
            <w:noProof/>
            <w:webHidden/>
          </w:rPr>
          <w:fldChar w:fldCharType="separate"/>
        </w:r>
        <w:r>
          <w:rPr>
            <w:noProof/>
            <w:webHidden/>
          </w:rPr>
          <w:t>79</w:t>
        </w:r>
        <w:r>
          <w:rPr>
            <w:noProof/>
            <w:webHidden/>
          </w:rPr>
          <w:fldChar w:fldCharType="end"/>
        </w:r>
      </w:hyperlink>
    </w:p>
    <w:p w14:paraId="3147F501" w14:textId="1A61B36D"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1" w:history="1">
        <w:r w:rsidRPr="006D04DE">
          <w:rPr>
            <w:rStyle w:val="Hipercze"/>
            <w:noProof/>
          </w:rPr>
          <w:t>Wykres 13. Zużycie energii pierwotnej do 2030 r. zgodnie z formułą EED i według KPEiK</w:t>
        </w:r>
        <w:r>
          <w:rPr>
            <w:noProof/>
            <w:webHidden/>
          </w:rPr>
          <w:tab/>
        </w:r>
        <w:r>
          <w:rPr>
            <w:noProof/>
            <w:webHidden/>
          </w:rPr>
          <w:fldChar w:fldCharType="begin"/>
        </w:r>
        <w:r>
          <w:rPr>
            <w:noProof/>
            <w:webHidden/>
          </w:rPr>
          <w:instrText xml:space="preserve"> PAGEREF _Toc205204451 \h </w:instrText>
        </w:r>
        <w:r>
          <w:rPr>
            <w:noProof/>
            <w:webHidden/>
          </w:rPr>
        </w:r>
        <w:r>
          <w:rPr>
            <w:noProof/>
            <w:webHidden/>
          </w:rPr>
          <w:fldChar w:fldCharType="separate"/>
        </w:r>
        <w:r>
          <w:rPr>
            <w:noProof/>
            <w:webHidden/>
          </w:rPr>
          <w:t>81</w:t>
        </w:r>
        <w:r>
          <w:rPr>
            <w:noProof/>
            <w:webHidden/>
          </w:rPr>
          <w:fldChar w:fldCharType="end"/>
        </w:r>
      </w:hyperlink>
    </w:p>
    <w:p w14:paraId="308EEFAC" w14:textId="282AA1F3"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2" w:history="1">
        <w:r w:rsidRPr="006D04DE">
          <w:rPr>
            <w:rStyle w:val="Hipercze"/>
            <w:noProof/>
          </w:rPr>
          <w:t>Wykres 14. Finalne zużycie energii do 2030 r. zgodnie z formułą EED i według KPEiK</w:t>
        </w:r>
        <w:r>
          <w:rPr>
            <w:noProof/>
            <w:webHidden/>
          </w:rPr>
          <w:tab/>
        </w:r>
        <w:r>
          <w:rPr>
            <w:noProof/>
            <w:webHidden/>
          </w:rPr>
          <w:fldChar w:fldCharType="begin"/>
        </w:r>
        <w:r>
          <w:rPr>
            <w:noProof/>
            <w:webHidden/>
          </w:rPr>
          <w:instrText xml:space="preserve"> PAGEREF _Toc205204452 \h </w:instrText>
        </w:r>
        <w:r>
          <w:rPr>
            <w:noProof/>
            <w:webHidden/>
          </w:rPr>
        </w:r>
        <w:r>
          <w:rPr>
            <w:noProof/>
            <w:webHidden/>
          </w:rPr>
          <w:fldChar w:fldCharType="separate"/>
        </w:r>
        <w:r>
          <w:rPr>
            <w:noProof/>
            <w:webHidden/>
          </w:rPr>
          <w:t>83</w:t>
        </w:r>
        <w:r>
          <w:rPr>
            <w:noProof/>
            <w:webHidden/>
          </w:rPr>
          <w:fldChar w:fldCharType="end"/>
        </w:r>
      </w:hyperlink>
    </w:p>
    <w:p w14:paraId="768D57D2" w14:textId="68488869"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3" w:history="1">
        <w:r w:rsidRPr="006D04DE">
          <w:rPr>
            <w:rStyle w:val="Hipercze"/>
            <w:noProof/>
          </w:rPr>
          <w:t>Wykres 15. Oszacowanie zmniejszenia zużycie FEC</w:t>
        </w:r>
        <w:r>
          <w:rPr>
            <w:noProof/>
            <w:webHidden/>
          </w:rPr>
          <w:tab/>
        </w:r>
        <w:r>
          <w:rPr>
            <w:noProof/>
            <w:webHidden/>
          </w:rPr>
          <w:fldChar w:fldCharType="begin"/>
        </w:r>
        <w:r>
          <w:rPr>
            <w:noProof/>
            <w:webHidden/>
          </w:rPr>
          <w:instrText xml:space="preserve"> PAGEREF _Toc205204453 \h </w:instrText>
        </w:r>
        <w:r>
          <w:rPr>
            <w:noProof/>
            <w:webHidden/>
          </w:rPr>
        </w:r>
        <w:r>
          <w:rPr>
            <w:noProof/>
            <w:webHidden/>
          </w:rPr>
          <w:fldChar w:fldCharType="separate"/>
        </w:r>
        <w:r>
          <w:rPr>
            <w:noProof/>
            <w:webHidden/>
          </w:rPr>
          <w:t>87</w:t>
        </w:r>
        <w:r>
          <w:rPr>
            <w:noProof/>
            <w:webHidden/>
          </w:rPr>
          <w:fldChar w:fldCharType="end"/>
        </w:r>
      </w:hyperlink>
    </w:p>
    <w:p w14:paraId="276F184A" w14:textId="1D06E4EE"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4" w:history="1">
        <w:r w:rsidRPr="006D04DE">
          <w:rPr>
            <w:rStyle w:val="Hipercze"/>
            <w:noProof/>
          </w:rPr>
          <w:t>Wykres 16. Prognoza mocy osiągalnej netto wytwarzania energii elektrycznej</w:t>
        </w:r>
        <w:r>
          <w:rPr>
            <w:noProof/>
            <w:webHidden/>
          </w:rPr>
          <w:tab/>
        </w:r>
        <w:r>
          <w:rPr>
            <w:noProof/>
            <w:webHidden/>
          </w:rPr>
          <w:fldChar w:fldCharType="begin"/>
        </w:r>
        <w:r>
          <w:rPr>
            <w:noProof/>
            <w:webHidden/>
          </w:rPr>
          <w:instrText xml:space="preserve"> PAGEREF _Toc205204454 \h </w:instrText>
        </w:r>
        <w:r>
          <w:rPr>
            <w:noProof/>
            <w:webHidden/>
          </w:rPr>
        </w:r>
        <w:r>
          <w:rPr>
            <w:noProof/>
            <w:webHidden/>
          </w:rPr>
          <w:fldChar w:fldCharType="separate"/>
        </w:r>
        <w:r>
          <w:rPr>
            <w:noProof/>
            <w:webHidden/>
          </w:rPr>
          <w:t>123</w:t>
        </w:r>
        <w:r>
          <w:rPr>
            <w:noProof/>
            <w:webHidden/>
          </w:rPr>
          <w:fldChar w:fldCharType="end"/>
        </w:r>
      </w:hyperlink>
    </w:p>
    <w:p w14:paraId="6C03923E" w14:textId="289ADB59"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5" w:history="1">
        <w:r w:rsidRPr="006D04DE">
          <w:rPr>
            <w:rStyle w:val="Hipercze"/>
            <w:noProof/>
          </w:rPr>
          <w:t>Wykres 17. Prognoza produkcji energii elektrycznej brutto</w:t>
        </w:r>
        <w:r>
          <w:rPr>
            <w:noProof/>
            <w:webHidden/>
          </w:rPr>
          <w:tab/>
        </w:r>
        <w:r>
          <w:rPr>
            <w:noProof/>
            <w:webHidden/>
          </w:rPr>
          <w:fldChar w:fldCharType="begin"/>
        </w:r>
        <w:r>
          <w:rPr>
            <w:noProof/>
            <w:webHidden/>
          </w:rPr>
          <w:instrText xml:space="preserve"> PAGEREF _Toc205204455 \h </w:instrText>
        </w:r>
        <w:r>
          <w:rPr>
            <w:noProof/>
            <w:webHidden/>
          </w:rPr>
        </w:r>
        <w:r>
          <w:rPr>
            <w:noProof/>
            <w:webHidden/>
          </w:rPr>
          <w:fldChar w:fldCharType="separate"/>
        </w:r>
        <w:r>
          <w:rPr>
            <w:noProof/>
            <w:webHidden/>
          </w:rPr>
          <w:t>124</w:t>
        </w:r>
        <w:r>
          <w:rPr>
            <w:noProof/>
            <w:webHidden/>
          </w:rPr>
          <w:fldChar w:fldCharType="end"/>
        </w:r>
      </w:hyperlink>
    </w:p>
    <w:p w14:paraId="600E39AD" w14:textId="70CAEEDA"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456" w:history="1">
        <w:r w:rsidRPr="006D04DE">
          <w:rPr>
            <w:rStyle w:val="Hipercze"/>
            <w:noProof/>
          </w:rPr>
          <w:t>Wykres 18. Ścieżki oszacowanych wskaźników ubóstwa energetycznego</w:t>
        </w:r>
        <w:r>
          <w:rPr>
            <w:noProof/>
            <w:webHidden/>
          </w:rPr>
          <w:tab/>
        </w:r>
        <w:r>
          <w:rPr>
            <w:noProof/>
            <w:webHidden/>
          </w:rPr>
          <w:fldChar w:fldCharType="begin"/>
        </w:r>
        <w:r>
          <w:rPr>
            <w:noProof/>
            <w:webHidden/>
          </w:rPr>
          <w:instrText xml:space="preserve"> PAGEREF _Toc205204456 \h </w:instrText>
        </w:r>
        <w:r>
          <w:rPr>
            <w:noProof/>
            <w:webHidden/>
          </w:rPr>
        </w:r>
        <w:r>
          <w:rPr>
            <w:noProof/>
            <w:webHidden/>
          </w:rPr>
          <w:fldChar w:fldCharType="separate"/>
        </w:r>
        <w:r>
          <w:rPr>
            <w:noProof/>
            <w:webHidden/>
          </w:rPr>
          <w:t>144</w:t>
        </w:r>
        <w:r>
          <w:rPr>
            <w:noProof/>
            <w:webHidden/>
          </w:rPr>
          <w:fldChar w:fldCharType="end"/>
        </w:r>
      </w:hyperlink>
    </w:p>
    <w:p w14:paraId="0E872DD8" w14:textId="1CC78415" w:rsidR="00C473E9" w:rsidRPr="00C473E9" w:rsidRDefault="00A03A56" w:rsidP="00103429">
      <w:pPr>
        <w:spacing w:before="60" w:after="60"/>
        <w:ind w:left="993" w:hanging="993"/>
      </w:pPr>
      <w:r>
        <w:fldChar w:fldCharType="end"/>
      </w:r>
    </w:p>
    <w:p w14:paraId="48D5EADA" w14:textId="1E324B6D" w:rsidR="00473117" w:rsidRDefault="0037021B">
      <w:pPr>
        <w:pStyle w:val="Spisilustracji"/>
        <w:tabs>
          <w:tab w:val="right" w:leader="dot" w:pos="9062"/>
        </w:tabs>
        <w:rPr>
          <w:rFonts w:asciiTheme="minorHAnsi" w:eastAsiaTheme="minorEastAsia" w:hAnsiTheme="minorHAnsi"/>
          <w:noProof/>
          <w:sz w:val="24"/>
          <w:szCs w:val="24"/>
          <w:lang w:eastAsia="pl-PL"/>
        </w:rPr>
      </w:pPr>
      <w:r>
        <w:fldChar w:fldCharType="begin"/>
      </w:r>
      <w:r>
        <w:instrText xml:space="preserve"> TOC \h \z \c "Tabela" </w:instrText>
      </w:r>
      <w:r>
        <w:fldChar w:fldCharType="separate"/>
      </w:r>
      <w:hyperlink w:anchor="_Toc205204367" w:history="1">
        <w:r w:rsidR="00473117" w:rsidRPr="008D2939">
          <w:rPr>
            <w:rStyle w:val="Hipercze"/>
            <w:noProof/>
          </w:rPr>
          <w:t>Tabela 1. Prognozy emisji gazów cieplarnianych w 2030 i 2040 r. na tle 1990 i 2022 r.</w:t>
        </w:r>
        <w:r w:rsidR="00473117">
          <w:rPr>
            <w:noProof/>
            <w:webHidden/>
          </w:rPr>
          <w:tab/>
        </w:r>
        <w:r w:rsidR="00473117">
          <w:rPr>
            <w:noProof/>
            <w:webHidden/>
          </w:rPr>
          <w:fldChar w:fldCharType="begin"/>
        </w:r>
        <w:r w:rsidR="00473117">
          <w:rPr>
            <w:noProof/>
            <w:webHidden/>
          </w:rPr>
          <w:instrText xml:space="preserve"> PAGEREF _Toc205204367 \h </w:instrText>
        </w:r>
        <w:r w:rsidR="00473117">
          <w:rPr>
            <w:noProof/>
            <w:webHidden/>
          </w:rPr>
        </w:r>
        <w:r w:rsidR="00473117">
          <w:rPr>
            <w:noProof/>
            <w:webHidden/>
          </w:rPr>
          <w:fldChar w:fldCharType="separate"/>
        </w:r>
        <w:r w:rsidR="00473117">
          <w:rPr>
            <w:noProof/>
            <w:webHidden/>
          </w:rPr>
          <w:t>16</w:t>
        </w:r>
        <w:r w:rsidR="00473117">
          <w:rPr>
            <w:noProof/>
            <w:webHidden/>
          </w:rPr>
          <w:fldChar w:fldCharType="end"/>
        </w:r>
      </w:hyperlink>
    </w:p>
    <w:p w14:paraId="519F78DF" w14:textId="12407662"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68" w:history="1">
        <w:r w:rsidRPr="008D2939">
          <w:rPr>
            <w:rStyle w:val="Hipercze"/>
            <w:noProof/>
          </w:rPr>
          <w:t>Tabela 2. Porównanie celów i prognoz dot. redukcji emisji zanieczyszczeń do 2030 r.</w:t>
        </w:r>
        <w:r>
          <w:rPr>
            <w:noProof/>
            <w:webHidden/>
          </w:rPr>
          <w:tab/>
        </w:r>
        <w:r>
          <w:rPr>
            <w:noProof/>
            <w:webHidden/>
          </w:rPr>
          <w:fldChar w:fldCharType="begin"/>
        </w:r>
        <w:r>
          <w:rPr>
            <w:noProof/>
            <w:webHidden/>
          </w:rPr>
          <w:instrText xml:space="preserve"> PAGEREF _Toc205204368 \h </w:instrText>
        </w:r>
        <w:r>
          <w:rPr>
            <w:noProof/>
            <w:webHidden/>
          </w:rPr>
        </w:r>
        <w:r>
          <w:rPr>
            <w:noProof/>
            <w:webHidden/>
          </w:rPr>
          <w:fldChar w:fldCharType="separate"/>
        </w:r>
        <w:r>
          <w:rPr>
            <w:noProof/>
            <w:webHidden/>
          </w:rPr>
          <w:t>58</w:t>
        </w:r>
        <w:r>
          <w:rPr>
            <w:noProof/>
            <w:webHidden/>
          </w:rPr>
          <w:fldChar w:fldCharType="end"/>
        </w:r>
      </w:hyperlink>
    </w:p>
    <w:p w14:paraId="6DECEE62" w14:textId="7DB6C82C"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69" w:history="1">
        <w:r w:rsidRPr="008D2939">
          <w:rPr>
            <w:rStyle w:val="Hipercze"/>
            <w:noProof/>
          </w:rPr>
          <w:t>Tabela 3. Zużycie energii pierwotnej [Mtoe] oraz Finalne zużycie energii [Mtoe]</w:t>
        </w:r>
        <w:r>
          <w:rPr>
            <w:noProof/>
            <w:webHidden/>
          </w:rPr>
          <w:tab/>
        </w:r>
        <w:r>
          <w:rPr>
            <w:noProof/>
            <w:webHidden/>
          </w:rPr>
          <w:fldChar w:fldCharType="begin"/>
        </w:r>
        <w:r>
          <w:rPr>
            <w:noProof/>
            <w:webHidden/>
          </w:rPr>
          <w:instrText xml:space="preserve"> PAGEREF _Toc205204369 \h </w:instrText>
        </w:r>
        <w:r>
          <w:rPr>
            <w:noProof/>
            <w:webHidden/>
          </w:rPr>
        </w:r>
        <w:r>
          <w:rPr>
            <w:noProof/>
            <w:webHidden/>
          </w:rPr>
          <w:fldChar w:fldCharType="separate"/>
        </w:r>
        <w:r>
          <w:rPr>
            <w:noProof/>
            <w:webHidden/>
          </w:rPr>
          <w:t>79</w:t>
        </w:r>
        <w:r>
          <w:rPr>
            <w:noProof/>
            <w:webHidden/>
          </w:rPr>
          <w:fldChar w:fldCharType="end"/>
        </w:r>
      </w:hyperlink>
    </w:p>
    <w:p w14:paraId="35820A9B" w14:textId="35BF9C46"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70" w:history="1">
        <w:r w:rsidRPr="008D2939">
          <w:rPr>
            <w:rStyle w:val="Hipercze"/>
            <w:noProof/>
          </w:rPr>
          <w:t>Tabela 4. Historyczne zużycie energii pierwotnej w latach 2012-2021 [ktoe], uwzględnione przy wyznaczaniu orientacyjnej trajektorii wkładu krajowego</w:t>
        </w:r>
        <w:r>
          <w:rPr>
            <w:noProof/>
            <w:webHidden/>
          </w:rPr>
          <w:tab/>
        </w:r>
        <w:r>
          <w:rPr>
            <w:noProof/>
            <w:webHidden/>
          </w:rPr>
          <w:fldChar w:fldCharType="begin"/>
        </w:r>
        <w:r>
          <w:rPr>
            <w:noProof/>
            <w:webHidden/>
          </w:rPr>
          <w:instrText xml:space="preserve"> PAGEREF _Toc205204370 \h </w:instrText>
        </w:r>
        <w:r>
          <w:rPr>
            <w:noProof/>
            <w:webHidden/>
          </w:rPr>
        </w:r>
        <w:r>
          <w:rPr>
            <w:noProof/>
            <w:webHidden/>
          </w:rPr>
          <w:fldChar w:fldCharType="separate"/>
        </w:r>
        <w:r>
          <w:rPr>
            <w:noProof/>
            <w:webHidden/>
          </w:rPr>
          <w:t>80</w:t>
        </w:r>
        <w:r>
          <w:rPr>
            <w:noProof/>
            <w:webHidden/>
          </w:rPr>
          <w:fldChar w:fldCharType="end"/>
        </w:r>
      </w:hyperlink>
    </w:p>
    <w:p w14:paraId="58DDB074" w14:textId="77279F17"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71" w:history="1">
        <w:r w:rsidRPr="008D2939">
          <w:rPr>
            <w:rStyle w:val="Hipercze"/>
            <w:noProof/>
          </w:rPr>
          <w:t>Tabela 5. Orientacyjna trajektoria realizacji wkładu krajowego w zakresie energii pierwotnej w latach 2022-2030 (wyznaczona wg formuły) [ktoe]</w:t>
        </w:r>
        <w:r>
          <w:rPr>
            <w:noProof/>
            <w:webHidden/>
          </w:rPr>
          <w:tab/>
        </w:r>
        <w:r>
          <w:rPr>
            <w:noProof/>
            <w:webHidden/>
          </w:rPr>
          <w:fldChar w:fldCharType="begin"/>
        </w:r>
        <w:r>
          <w:rPr>
            <w:noProof/>
            <w:webHidden/>
          </w:rPr>
          <w:instrText xml:space="preserve"> PAGEREF _Toc205204371 \h </w:instrText>
        </w:r>
        <w:r>
          <w:rPr>
            <w:noProof/>
            <w:webHidden/>
          </w:rPr>
        </w:r>
        <w:r>
          <w:rPr>
            <w:noProof/>
            <w:webHidden/>
          </w:rPr>
          <w:fldChar w:fldCharType="separate"/>
        </w:r>
        <w:r>
          <w:rPr>
            <w:noProof/>
            <w:webHidden/>
          </w:rPr>
          <w:t>80</w:t>
        </w:r>
        <w:r>
          <w:rPr>
            <w:noProof/>
            <w:webHidden/>
          </w:rPr>
          <w:fldChar w:fldCharType="end"/>
        </w:r>
      </w:hyperlink>
    </w:p>
    <w:p w14:paraId="4BC72B4E" w14:textId="4D5EC51C"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72" w:history="1">
        <w:r w:rsidRPr="008D2939">
          <w:rPr>
            <w:rStyle w:val="Hipercze"/>
            <w:noProof/>
          </w:rPr>
          <w:t>Tabela 6. Historyczne zużycie energii finalnej w latach 2012-2021 [ktoe], uwzględnione przy wyznaczaniu orientacyjnej trajektorii wkładu krajowego</w:t>
        </w:r>
        <w:r>
          <w:rPr>
            <w:noProof/>
            <w:webHidden/>
          </w:rPr>
          <w:tab/>
        </w:r>
        <w:r>
          <w:rPr>
            <w:noProof/>
            <w:webHidden/>
          </w:rPr>
          <w:fldChar w:fldCharType="begin"/>
        </w:r>
        <w:r>
          <w:rPr>
            <w:noProof/>
            <w:webHidden/>
          </w:rPr>
          <w:instrText xml:space="preserve"> PAGEREF _Toc205204372 \h </w:instrText>
        </w:r>
        <w:r>
          <w:rPr>
            <w:noProof/>
            <w:webHidden/>
          </w:rPr>
        </w:r>
        <w:r>
          <w:rPr>
            <w:noProof/>
            <w:webHidden/>
          </w:rPr>
          <w:fldChar w:fldCharType="separate"/>
        </w:r>
        <w:r>
          <w:rPr>
            <w:noProof/>
            <w:webHidden/>
          </w:rPr>
          <w:t>83</w:t>
        </w:r>
        <w:r>
          <w:rPr>
            <w:noProof/>
            <w:webHidden/>
          </w:rPr>
          <w:fldChar w:fldCharType="end"/>
        </w:r>
      </w:hyperlink>
    </w:p>
    <w:p w14:paraId="32D52F05" w14:textId="2CF6CA33"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73" w:history="1">
        <w:r w:rsidRPr="008D2939">
          <w:rPr>
            <w:rStyle w:val="Hipercze"/>
            <w:noProof/>
          </w:rPr>
          <w:t>Tabela 7. Orientacyjna trajektoria realizacji wkładu krajowego w zakresie energii finalnej w latach 2022–2030 (wyznaczona wg formuły) [ktoe]</w:t>
        </w:r>
        <w:r>
          <w:rPr>
            <w:noProof/>
            <w:webHidden/>
          </w:rPr>
          <w:tab/>
        </w:r>
        <w:r>
          <w:rPr>
            <w:noProof/>
            <w:webHidden/>
          </w:rPr>
          <w:fldChar w:fldCharType="begin"/>
        </w:r>
        <w:r>
          <w:rPr>
            <w:noProof/>
            <w:webHidden/>
          </w:rPr>
          <w:instrText xml:space="preserve"> PAGEREF _Toc205204373 \h </w:instrText>
        </w:r>
        <w:r>
          <w:rPr>
            <w:noProof/>
            <w:webHidden/>
          </w:rPr>
        </w:r>
        <w:r>
          <w:rPr>
            <w:noProof/>
            <w:webHidden/>
          </w:rPr>
          <w:fldChar w:fldCharType="separate"/>
        </w:r>
        <w:r>
          <w:rPr>
            <w:noProof/>
            <w:webHidden/>
          </w:rPr>
          <w:t>83</w:t>
        </w:r>
        <w:r>
          <w:rPr>
            <w:noProof/>
            <w:webHidden/>
          </w:rPr>
          <w:fldChar w:fldCharType="end"/>
        </w:r>
      </w:hyperlink>
    </w:p>
    <w:p w14:paraId="3779AAEF" w14:textId="2FF9CC6C" w:rsidR="00473117" w:rsidRDefault="00473117">
      <w:pPr>
        <w:pStyle w:val="Spisilustracji"/>
        <w:tabs>
          <w:tab w:val="right" w:leader="dot" w:pos="9062"/>
        </w:tabs>
        <w:rPr>
          <w:rFonts w:asciiTheme="minorHAnsi" w:eastAsiaTheme="minorEastAsia" w:hAnsiTheme="minorHAnsi"/>
          <w:noProof/>
          <w:sz w:val="24"/>
          <w:szCs w:val="24"/>
          <w:lang w:eastAsia="pl-PL"/>
        </w:rPr>
      </w:pPr>
      <w:hyperlink w:anchor="_Toc205204374" w:history="1">
        <w:r w:rsidRPr="008D2939">
          <w:rPr>
            <w:rStyle w:val="Hipercze"/>
            <w:noProof/>
          </w:rPr>
          <w:t>Tabela 8. Trajektoria osiągania skumulowanych oszczędności finalnego zużycia energii</w:t>
        </w:r>
        <w:r>
          <w:rPr>
            <w:noProof/>
            <w:webHidden/>
          </w:rPr>
          <w:tab/>
        </w:r>
        <w:r>
          <w:rPr>
            <w:noProof/>
            <w:webHidden/>
          </w:rPr>
          <w:fldChar w:fldCharType="begin"/>
        </w:r>
        <w:r>
          <w:rPr>
            <w:noProof/>
            <w:webHidden/>
          </w:rPr>
          <w:instrText xml:space="preserve"> PAGEREF _Toc205204374 \h </w:instrText>
        </w:r>
        <w:r>
          <w:rPr>
            <w:noProof/>
            <w:webHidden/>
          </w:rPr>
        </w:r>
        <w:r>
          <w:rPr>
            <w:noProof/>
            <w:webHidden/>
          </w:rPr>
          <w:fldChar w:fldCharType="separate"/>
        </w:r>
        <w:r>
          <w:rPr>
            <w:noProof/>
            <w:webHidden/>
          </w:rPr>
          <w:t>86</w:t>
        </w:r>
        <w:r>
          <w:rPr>
            <w:noProof/>
            <w:webHidden/>
          </w:rPr>
          <w:fldChar w:fldCharType="end"/>
        </w:r>
      </w:hyperlink>
    </w:p>
    <w:p w14:paraId="72587E8D" w14:textId="519F5DAD" w:rsidR="00DE72EA" w:rsidRDefault="0037021B" w:rsidP="00103429">
      <w:pPr>
        <w:ind w:left="851" w:hanging="851"/>
      </w:pPr>
      <w:r>
        <w:fldChar w:fldCharType="end"/>
      </w:r>
    </w:p>
    <w:sectPr w:rsidR="00DE72EA">
      <w:headerReference w:type="even" r:id="rId170"/>
      <w:headerReference w:type="default" r:id="rId171"/>
      <w:headerReference w:type="first" r:id="rId1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71D3" w14:textId="77777777" w:rsidR="000F50A7" w:rsidRDefault="000F50A7" w:rsidP="003772B3">
      <w:pPr>
        <w:spacing w:after="0" w:line="240" w:lineRule="auto"/>
      </w:pPr>
      <w:r>
        <w:separator/>
      </w:r>
    </w:p>
  </w:endnote>
  <w:endnote w:type="continuationSeparator" w:id="0">
    <w:p w14:paraId="02721009" w14:textId="77777777" w:rsidR="000F50A7" w:rsidRDefault="000F50A7" w:rsidP="003772B3">
      <w:pPr>
        <w:spacing w:after="0" w:line="240" w:lineRule="auto"/>
      </w:pPr>
      <w:r>
        <w:continuationSeparator/>
      </w:r>
    </w:p>
  </w:endnote>
  <w:endnote w:type="continuationNotice" w:id="1">
    <w:p w14:paraId="17F9EB16" w14:textId="77777777" w:rsidR="000F50A7" w:rsidRDefault="000F5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Lato-Italic">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2232" w14:textId="7DE4CD01" w:rsidR="00C36C5C" w:rsidRDefault="00A02813">
    <w:pPr>
      <w:pStyle w:val="Stopka"/>
      <w:jc w:val="center"/>
    </w:pPr>
    <w:sdt>
      <w:sdtPr>
        <w:id w:val="19587984"/>
        <w:docPartObj>
          <w:docPartGallery w:val="Page Numbers (Bottom of Page)"/>
          <w:docPartUnique/>
        </w:docPartObj>
      </w:sdtPr>
      <w:sdtEndPr/>
      <w:sdtContent>
        <w:r w:rsidR="00C36C5C">
          <w:fldChar w:fldCharType="begin"/>
        </w:r>
        <w:r w:rsidR="00C36C5C">
          <w:instrText>PAGE   \* MERGEFORMAT</w:instrText>
        </w:r>
        <w:r w:rsidR="00C36C5C">
          <w:fldChar w:fldCharType="separate"/>
        </w:r>
        <w:r w:rsidR="001972CB">
          <w:rPr>
            <w:noProof/>
          </w:rPr>
          <w:t>27</w:t>
        </w:r>
        <w:r w:rsidR="00C36C5C">
          <w:fldChar w:fldCharType="end"/>
        </w:r>
      </w:sdtContent>
    </w:sdt>
  </w:p>
  <w:p w14:paraId="3FA06CB4" w14:textId="77777777" w:rsidR="00C36C5C" w:rsidRDefault="00C36C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8334" w14:textId="77777777" w:rsidR="00C36C5C" w:rsidRDefault="00A02813" w:rsidP="00AD13AB">
    <w:pPr>
      <w:pStyle w:val="Stopka"/>
      <w:jc w:val="center"/>
    </w:pPr>
    <w:sdt>
      <w:sdtPr>
        <w:id w:val="-1649748414"/>
        <w:docPartObj>
          <w:docPartGallery w:val="Page Numbers (Bottom of Page)"/>
          <w:docPartUnique/>
        </w:docPartObj>
      </w:sdtPr>
      <w:sdtEndPr/>
      <w:sdtContent>
        <w:r w:rsidR="00C36C5C">
          <w:fldChar w:fldCharType="begin"/>
        </w:r>
        <w:r w:rsidR="00C36C5C">
          <w:instrText>PAGE   \* MERGEFORMAT</w:instrText>
        </w:r>
        <w:r w:rsidR="00C36C5C">
          <w:fldChar w:fldCharType="separate"/>
        </w:r>
        <w:r w:rsidR="00786828">
          <w:rPr>
            <w:noProof/>
          </w:rPr>
          <w:t>280</w:t>
        </w:r>
        <w:r w:rsidR="00C36C5C">
          <w:fldChar w:fldCharType="end"/>
        </w:r>
      </w:sdtContent>
    </w:sdt>
  </w:p>
  <w:p w14:paraId="2D46A5D4" w14:textId="77777777" w:rsidR="00C36C5C" w:rsidRDefault="00C36C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5781" w14:textId="77777777" w:rsidR="000F50A7" w:rsidRDefault="000F50A7" w:rsidP="003772B3">
      <w:pPr>
        <w:spacing w:after="0" w:line="240" w:lineRule="auto"/>
      </w:pPr>
      <w:r>
        <w:separator/>
      </w:r>
    </w:p>
  </w:footnote>
  <w:footnote w:type="continuationSeparator" w:id="0">
    <w:p w14:paraId="68786554" w14:textId="77777777" w:rsidR="000F50A7" w:rsidRDefault="000F50A7" w:rsidP="003772B3">
      <w:pPr>
        <w:spacing w:after="0" w:line="240" w:lineRule="auto"/>
      </w:pPr>
      <w:r>
        <w:continuationSeparator/>
      </w:r>
    </w:p>
  </w:footnote>
  <w:footnote w:type="continuationNotice" w:id="1">
    <w:p w14:paraId="7E7ACCF1" w14:textId="77777777" w:rsidR="000F50A7" w:rsidRDefault="000F50A7">
      <w:pPr>
        <w:spacing w:after="0" w:line="240" w:lineRule="auto"/>
      </w:pPr>
    </w:p>
  </w:footnote>
  <w:footnote w:id="2">
    <w:p w14:paraId="1192836D" w14:textId="7CFF9B71"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Polsce stosowany jest skrót KPEiK, zaś w nomenklaturze międzynarodowej przyjęto skrót NECP (ang. </w:t>
      </w:r>
      <w:r w:rsidRPr="00652FF9">
        <w:rPr>
          <w:i/>
          <w:color w:val="000000" w:themeColor="text1"/>
          <w:szCs w:val="18"/>
        </w:rPr>
        <w:t>National Energy and Climate Plan</w:t>
      </w:r>
      <w:r w:rsidRPr="00652FF9">
        <w:rPr>
          <w:color w:val="000000" w:themeColor="text1"/>
          <w:szCs w:val="18"/>
        </w:rPr>
        <w:t>).</w:t>
      </w:r>
    </w:p>
  </w:footnote>
  <w:footnote w:id="3">
    <w:p w14:paraId="2002FDB0" w14:textId="38E5F5BC"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Skrót „aKPEiK” i „KPEiK” stosowane są zależnie od kontekstu, lecz oba odnoszą się do niniejszego dokumentu. Przy czym pod pojęcie</w:t>
      </w:r>
      <w:r>
        <w:rPr>
          <w:color w:val="000000" w:themeColor="text1"/>
        </w:rPr>
        <w:t>m</w:t>
      </w:r>
      <w:r w:rsidRPr="00652FF9">
        <w:rPr>
          <w:color w:val="000000" w:themeColor="text1"/>
        </w:rPr>
        <w:t xml:space="preserve"> KPEiK odnosi się również do zintegrowanego krajowego planu jako dokumentu rodzajowego.</w:t>
      </w:r>
    </w:p>
  </w:footnote>
  <w:footnote w:id="4">
    <w:p w14:paraId="6D28E0AA" w14:textId="77777777" w:rsidR="00C36C5C" w:rsidRPr="00652FF9" w:rsidRDefault="00C36C5C" w:rsidP="00530C4D">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rozporządzeniu 2018/1999 użyto słowa ang. </w:t>
      </w:r>
      <w:r w:rsidRPr="00652FF9">
        <w:rPr>
          <w:i/>
          <w:color w:val="000000" w:themeColor="text1"/>
          <w:szCs w:val="18"/>
        </w:rPr>
        <w:t>measures</w:t>
      </w:r>
      <w:r w:rsidRPr="00652FF9">
        <w:rPr>
          <w:color w:val="000000" w:themeColor="text1"/>
          <w:szCs w:val="18"/>
        </w:rPr>
        <w:t>, czyli „środki”. W aKPEiK zastąpiono je słowem „działania”, ponieważ pojęcie „środki” jest wieloznaczne i może powodować niejasności.</w:t>
      </w:r>
    </w:p>
  </w:footnote>
  <w:footnote w:id="5">
    <w:p w14:paraId="40EAE201" w14:textId="33FF36D3"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Dane historyczne dotyczące emisji GHG oraz zanieczyszczeń powietrza publikowane są w Krajowych raportach inwentaryzacyjnych, opracowywanych przez Krajowy Ośrodek Zarządzania i Bilansowania Emisji, </w:t>
      </w:r>
      <w:hyperlink r:id="rId1" w:history="1">
        <w:r w:rsidRPr="00652FF9">
          <w:rPr>
            <w:rStyle w:val="Hipercze"/>
            <w:color w:val="000000" w:themeColor="text1"/>
            <w:szCs w:val="18"/>
          </w:rPr>
          <w:t>link</w:t>
        </w:r>
      </w:hyperlink>
      <w:r w:rsidRPr="00652FF9">
        <w:rPr>
          <w:color w:val="000000" w:themeColor="text1"/>
          <w:szCs w:val="18"/>
        </w:rPr>
        <w:t>. Wszystkie dane dotyczące emisji przywołane w KPEiK pochodzą z tego źródła. Natomiast prognozy dla scenariusza WAM w kontekście emisji znajdują się w rozdziale 1.1 załącznika 1 do KPEiK.</w:t>
      </w:r>
    </w:p>
  </w:footnote>
  <w:footnote w:id="6">
    <w:p w14:paraId="445B9226" w14:textId="14E22B71"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4 rozporządzenia UE 2021/1119.</w:t>
      </w:r>
    </w:p>
  </w:footnote>
  <w:footnote w:id="7">
    <w:p w14:paraId="5FFE5F7F" w14:textId="40EE2928"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Pkt 39 preambuły do dyrektywy ETS – 2023/959/UE.</w:t>
      </w:r>
    </w:p>
  </w:footnote>
  <w:footnote w:id="8">
    <w:p w14:paraId="4550226E" w14:textId="7E2F01B8"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1 rozporządzenia ESR.</w:t>
      </w:r>
    </w:p>
  </w:footnote>
  <w:footnote w:id="9">
    <w:p w14:paraId="3B86BFC8" w14:textId="6C61E900"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Załącznik 1 pkt 1 rozporządzenia ESR.</w:t>
      </w:r>
    </w:p>
  </w:footnote>
  <w:footnote w:id="10">
    <w:p w14:paraId="4CD46876" w14:textId="533BFBBD"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System ETS-2 ma obejmować także kilka dodatkowych, szczegółowych działalności, np. ogrzewanie obiektów przemysłowych.</w:t>
      </w:r>
    </w:p>
  </w:footnote>
  <w:footnote w:id="11">
    <w:p w14:paraId="19A0E58A" w14:textId="4331CBC5"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1 pkt 29 dyrektywy ETS – dodanie art. 30a–30k w dyrektywie 2003/87/WE.</w:t>
      </w:r>
    </w:p>
  </w:footnote>
  <w:footnote w:id="12">
    <w:p w14:paraId="1A3C0D5B" w14:textId="13C40D30"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3 dyrektywy RED II.</w:t>
      </w:r>
    </w:p>
  </w:footnote>
  <w:footnote w:id="13">
    <w:p w14:paraId="3BD94673" w14:textId="24311E9F"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1 pkt 2 lit. a dyrektywy RED III.</w:t>
      </w:r>
    </w:p>
  </w:footnote>
  <w:footnote w:id="14">
    <w:p w14:paraId="727D281C" w14:textId="53F079A1" w:rsidR="00C36C5C" w:rsidRPr="00652FF9" w:rsidRDefault="00C36C5C">
      <w:pPr>
        <w:pStyle w:val="Tekstprzypisudolnego"/>
        <w:rPr>
          <w:color w:val="000000" w:themeColor="text1"/>
          <w:szCs w:val="18"/>
          <w:lang w:val="en-US"/>
        </w:rPr>
      </w:pPr>
      <w:r w:rsidRPr="00652FF9">
        <w:rPr>
          <w:rStyle w:val="Odwoanieprzypisudolnego"/>
          <w:color w:val="000000" w:themeColor="text1"/>
          <w:szCs w:val="18"/>
        </w:rPr>
        <w:footnoteRef/>
      </w:r>
      <w:r w:rsidRPr="00652FF9">
        <w:rPr>
          <w:color w:val="000000" w:themeColor="text1"/>
          <w:szCs w:val="18"/>
          <w:lang w:val="en-US"/>
        </w:rPr>
        <w:t xml:space="preserve"> </w:t>
      </w:r>
      <w:r w:rsidRPr="00652FF9">
        <w:rPr>
          <w:i/>
          <w:color w:val="000000" w:themeColor="text1"/>
          <w:szCs w:val="18"/>
          <w:lang w:val="en-US"/>
        </w:rPr>
        <w:t>Impact Assessment Report Accompanying the Proposal for a Directive of the European Parliament and the Council amending Directive (EU) 2018/2001 of the European Parliament and of the Council, Regulation (EU) 2018/1999 of the European Parliament and of the Council and Directive 98/70/EC of the European Parliament and of the Council as regards the promotion of energy from renewable sources, and repealing Council Directive (EU) 2015/652</w:t>
      </w:r>
      <w:r w:rsidRPr="00652FF9">
        <w:rPr>
          <w:color w:val="000000" w:themeColor="text1"/>
          <w:szCs w:val="18"/>
          <w:lang w:val="en-US"/>
        </w:rPr>
        <w:t xml:space="preserve">, tabela 11, </w:t>
      </w:r>
      <w:hyperlink r:id="rId2" w:history="1">
        <w:r w:rsidRPr="00652FF9">
          <w:rPr>
            <w:rStyle w:val="Hipercze"/>
            <w:color w:val="000000" w:themeColor="text1"/>
            <w:szCs w:val="18"/>
            <w:lang w:val="en-US"/>
          </w:rPr>
          <w:t>link</w:t>
        </w:r>
      </w:hyperlink>
    </w:p>
  </w:footnote>
  <w:footnote w:id="15">
    <w:p w14:paraId="23B3C839" w14:textId="0643DD4C" w:rsidR="00C36C5C" w:rsidRPr="00652FF9" w:rsidRDefault="00C36C5C" w:rsidP="00D370E2">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Łączne zużycie OZE w końcowym zużyciu energii brutto może wynieść ok. 21,</w:t>
      </w:r>
      <w:r>
        <w:rPr>
          <w:color w:val="000000" w:themeColor="text1"/>
          <w:szCs w:val="18"/>
        </w:rPr>
        <w:t>4</w:t>
      </w:r>
      <w:r w:rsidRPr="00652FF9">
        <w:rPr>
          <w:color w:val="000000" w:themeColor="text1"/>
          <w:szCs w:val="18"/>
        </w:rPr>
        <w:t xml:space="preserve"> Mtoe w 2030 r., a łączne zużycie energii finalnej w oparciu, o które ustala się </w:t>
      </w:r>
      <w:r>
        <w:rPr>
          <w:color w:val="000000" w:themeColor="text1"/>
          <w:szCs w:val="18"/>
        </w:rPr>
        <w:t xml:space="preserve">udział OZE może wynieść </w:t>
      </w:r>
      <w:r w:rsidRPr="00652FF9">
        <w:rPr>
          <w:color w:val="000000" w:themeColor="text1"/>
          <w:szCs w:val="18"/>
        </w:rPr>
        <w:t>ok. 66,</w:t>
      </w:r>
      <w:r>
        <w:rPr>
          <w:color w:val="000000" w:themeColor="text1"/>
          <w:szCs w:val="18"/>
        </w:rPr>
        <w:t>6</w:t>
      </w:r>
      <w:r w:rsidRPr="00652FF9">
        <w:rPr>
          <w:color w:val="000000" w:themeColor="text1"/>
          <w:szCs w:val="18"/>
        </w:rPr>
        <w:t xml:space="preserve"> Mtoe. Ponieważ do obliczania udziału w podsektorach wykorzystuje się odpowiednie mnożniki, suma wartości w tekście przewyższa wartość 21,</w:t>
      </w:r>
      <w:r>
        <w:rPr>
          <w:color w:val="000000" w:themeColor="text1"/>
          <w:szCs w:val="18"/>
        </w:rPr>
        <w:t>4</w:t>
      </w:r>
      <w:r w:rsidRPr="00652FF9">
        <w:rPr>
          <w:color w:val="000000" w:themeColor="text1"/>
          <w:szCs w:val="18"/>
        </w:rPr>
        <w:t xml:space="preserve"> Mtoe. </w:t>
      </w:r>
    </w:p>
  </w:footnote>
  <w:footnote w:id="16">
    <w:p w14:paraId="46101DA3" w14:textId="77777777" w:rsidR="00C36C5C" w:rsidRPr="00652FF9" w:rsidRDefault="00C36C5C" w:rsidP="008B1E6B">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Odnosi się do kategorii określonej według metodyki IPCC – 1A1aii </w:t>
      </w:r>
      <w:r w:rsidRPr="00652FF9">
        <w:rPr>
          <w:i/>
          <w:color w:val="000000" w:themeColor="text1"/>
          <w:szCs w:val="18"/>
        </w:rPr>
        <w:t>Skojarzona produkcja energii elektrycznej i ciepła</w:t>
      </w:r>
      <w:r w:rsidRPr="00652FF9">
        <w:rPr>
          <w:color w:val="000000" w:themeColor="text1"/>
          <w:szCs w:val="18"/>
        </w:rPr>
        <w:t>, która obejmuje energię produkowaną w elektrowniach i elektrociepłowniach.</w:t>
      </w:r>
    </w:p>
  </w:footnote>
  <w:footnote w:id="17">
    <w:p w14:paraId="518C36FE" w14:textId="1AB5E433"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Emisyjność wytwarzania energii elektrycznej to suma wyemitowanych emisji GHG przez jednostki wytwórcze (emisja całkowita) podzielona przez sumę wytworzonej energii elektrycznej.</w:t>
      </w:r>
    </w:p>
  </w:footnote>
  <w:footnote w:id="18">
    <w:p w14:paraId="3F021BF9" w14:textId="77777777" w:rsidR="00C36C5C" w:rsidRPr="00652FF9" w:rsidRDefault="00C36C5C" w:rsidP="0073564F">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652FF9">
        <w:rPr>
          <w:i/>
          <w:color w:val="000000" w:themeColor="text1"/>
          <w:szCs w:val="18"/>
        </w:rPr>
        <w:t>Informacja statystyczna o energii elektrycznej. Biuletyn miesięczny – grudzień 2024</w:t>
      </w:r>
      <w:r w:rsidRPr="00652FF9">
        <w:rPr>
          <w:color w:val="000000" w:themeColor="text1"/>
          <w:szCs w:val="18"/>
        </w:rPr>
        <w:t>, nr 12 (372), ARE S.A. w imieniu MKiŚ i URE.</w:t>
      </w:r>
    </w:p>
  </w:footnote>
  <w:footnote w:id="19">
    <w:p w14:paraId="69F0946D" w14:textId="3CDF57C8"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Ze względu na potrzebę wykreowania zupełnie nowego rynku oraz strategiczne znaczenie produkcji biometanu, temat ten został wyszczególniony w części </w:t>
      </w:r>
      <w:r w:rsidRPr="00652FF9">
        <w:rPr>
          <w:color w:val="000000" w:themeColor="text1"/>
        </w:rPr>
        <w:fldChar w:fldCharType="begin"/>
      </w:r>
      <w:r w:rsidRPr="00652FF9">
        <w:rPr>
          <w:color w:val="000000" w:themeColor="text1"/>
        </w:rPr>
        <w:instrText xml:space="preserve"> REF _Ref195091941 \n \h </w:instrText>
      </w:r>
      <w:r w:rsidRPr="00652FF9">
        <w:rPr>
          <w:color w:val="000000" w:themeColor="text1"/>
        </w:rPr>
      </w:r>
      <w:r w:rsidRPr="00652FF9">
        <w:rPr>
          <w:color w:val="000000" w:themeColor="text1"/>
        </w:rPr>
        <w:fldChar w:fldCharType="separate"/>
      </w:r>
      <w:r w:rsidR="00871DD5">
        <w:rPr>
          <w:color w:val="000000" w:themeColor="text1"/>
        </w:rPr>
        <w:t>Obszar 3.4</w:t>
      </w:r>
      <w:r w:rsidRPr="00652FF9">
        <w:rPr>
          <w:color w:val="000000" w:themeColor="text1"/>
        </w:rPr>
        <w:fldChar w:fldCharType="end"/>
      </w:r>
      <w:r w:rsidRPr="00652FF9">
        <w:rPr>
          <w:color w:val="000000" w:themeColor="text1"/>
        </w:rPr>
        <w:t xml:space="preserve">. </w:t>
      </w:r>
    </w:p>
  </w:footnote>
  <w:footnote w:id="20">
    <w:p w14:paraId="3452F9F8" w14:textId="3A8DB633" w:rsidR="00C36C5C" w:rsidRPr="00652FF9" w:rsidRDefault="00C36C5C" w:rsidP="00B34B5F">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Zgodnie z art. 10 dyrektywy 2024/1275 w sprawie charakterystyki energetycznej budynków.</w:t>
      </w:r>
    </w:p>
  </w:footnote>
  <w:footnote w:id="21">
    <w:p w14:paraId="008D6DAE" w14:textId="05225131" w:rsidR="00C36C5C" w:rsidRDefault="00C36C5C">
      <w:pPr>
        <w:pStyle w:val="Tekstprzypisudolnego"/>
      </w:pPr>
      <w:r>
        <w:rPr>
          <w:rStyle w:val="Odwoanieprzypisudolnego"/>
        </w:rPr>
        <w:footnoteRef/>
      </w:r>
      <w:r>
        <w:t xml:space="preserve"> Z zastrzeżeniem ochrony przed </w:t>
      </w:r>
      <w:r w:rsidRPr="00621D8D">
        <w:t>oddziaływaniem instalacji OZE na jakość gleb rolnych i bezpieczeństwo produkcji rolnej</w:t>
      </w:r>
      <w:r>
        <w:t>.</w:t>
      </w:r>
    </w:p>
  </w:footnote>
  <w:footnote w:id="22">
    <w:p w14:paraId="70DFBCE0" w14:textId="2C79F51E"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Szerzej o CCS w części </w:t>
      </w:r>
      <w:r w:rsidRPr="00652FF9">
        <w:rPr>
          <w:color w:val="000000" w:themeColor="text1"/>
          <w:szCs w:val="18"/>
        </w:rPr>
        <w:fldChar w:fldCharType="begin"/>
      </w:r>
      <w:r w:rsidRPr="00652FF9">
        <w:rPr>
          <w:color w:val="000000" w:themeColor="text1"/>
          <w:szCs w:val="18"/>
        </w:rPr>
        <w:instrText xml:space="preserve"> REF _Ref159313182 \n \h </w:instrText>
      </w:r>
      <w:r w:rsidRPr="00652FF9">
        <w:rPr>
          <w:color w:val="000000" w:themeColor="text1"/>
          <w:szCs w:val="18"/>
        </w:rPr>
      </w:r>
      <w:r w:rsidRPr="00652FF9">
        <w:rPr>
          <w:color w:val="000000" w:themeColor="text1"/>
          <w:szCs w:val="18"/>
        </w:rPr>
        <w:fldChar w:fldCharType="separate"/>
      </w:r>
      <w:r w:rsidR="00871DD5">
        <w:rPr>
          <w:color w:val="000000" w:themeColor="text1"/>
          <w:szCs w:val="18"/>
        </w:rPr>
        <w:t>Cel 1.2.4</w:t>
      </w:r>
      <w:r w:rsidRPr="00652FF9">
        <w:rPr>
          <w:color w:val="000000" w:themeColor="text1"/>
          <w:szCs w:val="18"/>
        </w:rPr>
        <w:fldChar w:fldCharType="end"/>
      </w:r>
      <w:r w:rsidRPr="00652FF9">
        <w:rPr>
          <w:color w:val="000000" w:themeColor="text1"/>
          <w:szCs w:val="18"/>
        </w:rPr>
        <w:t xml:space="preserve">. </w:t>
      </w:r>
      <w:r w:rsidRPr="00652FF9">
        <w:rPr>
          <w:color w:val="000000" w:themeColor="text1"/>
          <w:szCs w:val="18"/>
        </w:rPr>
        <w:fldChar w:fldCharType="begin"/>
      </w:r>
      <w:r w:rsidRPr="00652FF9">
        <w:rPr>
          <w:color w:val="000000" w:themeColor="text1"/>
          <w:szCs w:val="18"/>
        </w:rPr>
        <w:instrText xml:space="preserve"> REF _Ref159313182 \h  \* MERGEFORMAT </w:instrText>
      </w:r>
      <w:r w:rsidRPr="00652FF9">
        <w:rPr>
          <w:color w:val="000000" w:themeColor="text1"/>
          <w:szCs w:val="18"/>
        </w:rPr>
      </w:r>
      <w:r w:rsidRPr="00652FF9">
        <w:rPr>
          <w:color w:val="000000" w:themeColor="text1"/>
          <w:szCs w:val="18"/>
        </w:rPr>
        <w:fldChar w:fldCharType="separate"/>
      </w:r>
      <w:r w:rsidR="00871DD5" w:rsidRPr="00871DD5">
        <w:rPr>
          <w:color w:val="000000" w:themeColor="text1"/>
          <w:szCs w:val="18"/>
        </w:rPr>
        <w:t>Redukcja emisji GHG w przemyśle</w:t>
      </w:r>
      <w:r w:rsidRPr="00652FF9">
        <w:rPr>
          <w:color w:val="000000" w:themeColor="text1"/>
          <w:szCs w:val="18"/>
        </w:rPr>
        <w:fldChar w:fldCharType="end"/>
      </w:r>
      <w:r w:rsidRPr="00652FF9">
        <w:rPr>
          <w:color w:val="000000" w:themeColor="text1"/>
          <w:szCs w:val="18"/>
        </w:rPr>
        <w:t xml:space="preserve">, ponieważ CCS/CCUS prawdopodobniej szybciej zastosowanie znajdzie w sektorze przemysłu. </w:t>
      </w:r>
    </w:p>
  </w:footnote>
  <w:footnote w:id="23">
    <w:p w14:paraId="70464074" w14:textId="5AF3C28F"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t>
      </w:r>
      <w:r w:rsidRPr="00652FF9">
        <w:rPr>
          <w:i/>
          <w:color w:val="000000" w:themeColor="text1"/>
        </w:rPr>
        <w:t>Zużycie nośników energii w gospodarstwach domowych w 2021 rok</w:t>
      </w:r>
      <w:r w:rsidRPr="00652FF9">
        <w:rPr>
          <w:color w:val="000000" w:themeColor="text1"/>
        </w:rPr>
        <w:t xml:space="preserve">u, GUS 2024, </w:t>
      </w:r>
      <w:hyperlink r:id="rId3" w:history="1">
        <w:r w:rsidRPr="00652FF9">
          <w:rPr>
            <w:rStyle w:val="Hipercze"/>
            <w:color w:val="000000" w:themeColor="text1"/>
          </w:rPr>
          <w:t>link</w:t>
        </w:r>
      </w:hyperlink>
      <w:r w:rsidRPr="00652FF9">
        <w:rPr>
          <w:color w:val="000000" w:themeColor="text1"/>
        </w:rPr>
        <w:t xml:space="preserve">. </w:t>
      </w:r>
    </w:p>
  </w:footnote>
  <w:footnote w:id="24">
    <w:p w14:paraId="76AF9D5E" w14:textId="79177ECC" w:rsidR="00C36C5C" w:rsidRPr="00652FF9" w:rsidRDefault="00C36C5C" w:rsidP="005F43D4">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aKPEiK ten cel wskazano w części dot. jakości powietrza. </w:t>
      </w:r>
    </w:p>
  </w:footnote>
  <w:footnote w:id="25">
    <w:p w14:paraId="407C689D" w14:textId="07B3F717"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Wyjątek stanowią te inwestycje, które zostały wybrane przed 2025 r. w ramach </w:t>
      </w:r>
      <w:r w:rsidRPr="00652FF9">
        <w:rPr>
          <w:i/>
          <w:color w:val="000000" w:themeColor="text1"/>
          <w:szCs w:val="18"/>
        </w:rPr>
        <w:t>Instrumentu na rzecz Odbudowy i Zwiększania Odporności</w:t>
      </w:r>
      <w:r w:rsidRPr="00652FF9">
        <w:rPr>
          <w:color w:val="000000" w:themeColor="text1"/>
          <w:szCs w:val="18"/>
        </w:rPr>
        <w:t>. Stosowanie urządzeń po tym terminie wciąż będzie możliwe, ale ich zakup i montaż nie będzie wspierany finansowo przez państwo.</w:t>
      </w:r>
    </w:p>
  </w:footnote>
  <w:footnote w:id="26">
    <w:p w14:paraId="340F01B2" w14:textId="7AE3387E"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37427A">
        <w:rPr>
          <w:color w:val="000000" w:themeColor="text1"/>
          <w:szCs w:val="18"/>
        </w:rPr>
        <w:t>Dyrektywa RED III definiuje ciepło odpadowe i chłód jako: niemożliwe do uniknięcia ciepło lub chłód, które są wytwarzane jako produkt uboczny w instalacjach przemysłowych lub instalacjach wytwórczych energii lub w sektorze usług i które bez dostępu do systemu ciepłowniczego lub chłodniczego pozostałyby niewykorzystane, rozpraszając się w powietrzu lub w wodzie, w przypadku gdy jest lub będzie wykorzystywany proces kogeneracji lub gdy kogeneracja nie jest możliwa</w:t>
      </w:r>
      <w:r>
        <w:rPr>
          <w:color w:val="000000" w:themeColor="text1"/>
          <w:szCs w:val="18"/>
        </w:rPr>
        <w:t>.</w:t>
      </w:r>
      <w:r w:rsidRPr="00652FF9">
        <w:rPr>
          <w:color w:val="000000" w:themeColor="text1"/>
          <w:szCs w:val="18"/>
        </w:rPr>
        <w:t xml:space="preserve"> Nie należy mylić z energią z termicznego przekształcania odpadów. </w:t>
      </w:r>
    </w:p>
  </w:footnote>
  <w:footnote w:id="27">
    <w:p w14:paraId="3D92CE2D" w14:textId="75AA4A1E"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Szczegółowe warunki niezbędne do spełnienia określa art. 22b ust. 3 rozporządzenia FAR (rozporządzenie delegowane Komisji 2019/331). Natomiast szczegóły dot. samego dostosowania przydziału z racji przeprowadzenia inwestycji określone </w:t>
      </w:r>
      <w:r>
        <w:rPr>
          <w:color w:val="000000" w:themeColor="text1"/>
        </w:rPr>
        <w:t xml:space="preserve">są w rozporządzeniu wykonawczym Komisji (UE) 2025/772 ws. zmiany i sprostowania </w:t>
      </w:r>
      <w:r w:rsidRPr="00652FF9">
        <w:rPr>
          <w:color w:val="000000" w:themeColor="text1"/>
        </w:rPr>
        <w:t>rozporządzeni</w:t>
      </w:r>
      <w:r>
        <w:rPr>
          <w:color w:val="000000" w:themeColor="text1"/>
        </w:rPr>
        <w:t>a</w:t>
      </w:r>
      <w:r w:rsidRPr="00652FF9">
        <w:rPr>
          <w:color w:val="000000" w:themeColor="text1"/>
        </w:rPr>
        <w:t xml:space="preserve"> wykonawcze</w:t>
      </w:r>
      <w:r>
        <w:rPr>
          <w:color w:val="000000" w:themeColor="text1"/>
        </w:rPr>
        <w:t>go</w:t>
      </w:r>
      <w:r w:rsidRPr="00652FF9">
        <w:rPr>
          <w:color w:val="000000" w:themeColor="text1"/>
        </w:rPr>
        <w:t xml:space="preserve"> Komisji 2019/1842</w:t>
      </w:r>
      <w:r>
        <w:rPr>
          <w:color w:val="000000" w:themeColor="text1"/>
        </w:rPr>
        <w:t>.</w:t>
      </w:r>
    </w:p>
  </w:footnote>
  <w:footnote w:id="28">
    <w:p w14:paraId="5E9B5DFF" w14:textId="77777777" w:rsidR="00C36C5C" w:rsidRPr="00652FF9" w:rsidRDefault="00C36C5C" w:rsidP="00EF61BE">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23 dyrektywy RED III.</w:t>
      </w:r>
    </w:p>
  </w:footnote>
  <w:footnote w:id="29">
    <w:p w14:paraId="773180D4" w14:textId="77777777" w:rsidR="00C36C5C" w:rsidRPr="00652FF9" w:rsidRDefault="00C36C5C" w:rsidP="005E16E5">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24 dyrektywy RED III.</w:t>
      </w:r>
    </w:p>
  </w:footnote>
  <w:footnote w:id="30">
    <w:p w14:paraId="4A0DAC78" w14:textId="231455D1" w:rsidR="00C36C5C" w:rsidRDefault="00C36C5C">
      <w:pPr>
        <w:pStyle w:val="Tekstprzypisudolnego"/>
      </w:pPr>
      <w:r>
        <w:rPr>
          <w:rStyle w:val="Odwoanieprzypisudolnego"/>
        </w:rPr>
        <w:footnoteRef/>
      </w:r>
      <w:r>
        <w:t xml:space="preserve"> R</w:t>
      </w:r>
      <w:r w:rsidRPr="00CE004A">
        <w:t>apor</w:t>
      </w:r>
      <w:r>
        <w:t>t</w:t>
      </w:r>
      <w:r w:rsidRPr="00CE004A">
        <w:t xml:space="preserve"> NCBR</w:t>
      </w:r>
      <w:r>
        <w:t xml:space="preserve"> z 2024 r.</w:t>
      </w:r>
      <w:r w:rsidRPr="00CE004A">
        <w:t xml:space="preserve"> </w:t>
      </w:r>
      <w:r w:rsidRPr="00CE004A">
        <w:rPr>
          <w:i/>
          <w:iCs/>
        </w:rPr>
        <w:t>Koncepcja dekarbonizacji ciepłownictwa systemowego</w:t>
      </w:r>
      <w:r w:rsidRPr="00CE004A">
        <w:t xml:space="preserve"> </w:t>
      </w:r>
      <w:r>
        <w:t xml:space="preserve">wskazuje, że </w:t>
      </w:r>
      <w:r w:rsidRPr="00CE004A">
        <w:t>przy odpowiednim wsparciu, wypracowaniu właściwych modeli pracy oraz zniesieniu barier dla rozwoju technologii, produkcja ciepła systemowego z</w:t>
      </w:r>
      <w:r>
        <w:t> </w:t>
      </w:r>
      <w:r w:rsidRPr="00095BC3">
        <w:t>wykorzystaniem pomp ciepła</w:t>
      </w:r>
      <w:r w:rsidRPr="00CE004A">
        <w:t xml:space="preserve"> może osiągnąć poziom </w:t>
      </w:r>
      <w:r>
        <w:t xml:space="preserve">nawet </w:t>
      </w:r>
      <w:r w:rsidRPr="00CE004A">
        <w:t>50-60 PJ</w:t>
      </w:r>
      <w:r>
        <w:t>.</w:t>
      </w:r>
    </w:p>
  </w:footnote>
  <w:footnote w:id="31">
    <w:p w14:paraId="16846889" w14:textId="25C6CDAF"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15a dyrektyw RED III.</w:t>
      </w:r>
    </w:p>
  </w:footnote>
  <w:footnote w:id="32">
    <w:p w14:paraId="1D56889C" w14:textId="20EA5FC1" w:rsidR="00C36C5C" w:rsidRDefault="00C36C5C" w:rsidP="006175A6">
      <w:pPr>
        <w:pStyle w:val="Tekstprzypisudolnego"/>
      </w:pPr>
      <w:r>
        <w:rPr>
          <w:rStyle w:val="Odwoanieprzypisudolnego"/>
        </w:rPr>
        <w:footnoteRef/>
      </w:r>
      <w:r>
        <w:t xml:space="preserve"> Opublikowany w dniu 15 kwietnia 2025 r. Komunikat KE w zakresie aspektów dotyczących ogrzewania i chłodzenia, o których mowa w art. 15a, 2a, 23 i 24 dyrektywy (UE) 2018/2001 w sprawie promowania stosowania energii ze źródeł odnawialnych, zmienionej dyrektywą (UE) 2023/2413 (C/2025/2238) (</w:t>
      </w:r>
      <w:hyperlink r:id="rId4" w:history="1">
        <w:r w:rsidRPr="0013167C">
          <w:rPr>
            <w:rStyle w:val="Hipercze"/>
          </w:rPr>
          <w:t>link</w:t>
        </w:r>
      </w:hyperlink>
      <w:r>
        <w:t xml:space="preserve">) – </w:t>
      </w:r>
      <w:r w:rsidRPr="00E1264A">
        <w:t>w części odnosi się do sposobu obliczania celu OZE w budynkach.</w:t>
      </w:r>
      <w:r>
        <w:t xml:space="preserve"> Załącznik C wskazuje m.in. orientacyjny udział energii ze źródeł odnawialnych w sektorze budownictwa dla Polski na poziomie 43,4% w 2030 r.</w:t>
      </w:r>
    </w:p>
  </w:footnote>
  <w:footnote w:id="33">
    <w:p w14:paraId="5DBE6F2E" w14:textId="25407E27" w:rsidR="00C36C5C" w:rsidRDefault="00C36C5C" w:rsidP="00AC02DE">
      <w:pPr>
        <w:pStyle w:val="Tekstprzypisudolnego"/>
      </w:pPr>
      <w:r>
        <w:rPr>
          <w:rStyle w:val="Odwoanieprzypisudolnego"/>
        </w:rPr>
        <w:footnoteRef/>
      </w:r>
      <w:r>
        <w:t xml:space="preserve"> W okresie przygotowania aKPEiK programy wsparcia ciepłownictwa systemowego są podzielone według różnych kryteriów i rodzajów przedsięwzięć. Występują np. programy wspierające kogenerację, OZE, geotermię (oddzielnie) czy digitalizację sieci. </w:t>
      </w:r>
    </w:p>
  </w:footnote>
  <w:footnote w:id="34">
    <w:p w14:paraId="48F9B71E" w14:textId="0D886A39" w:rsidR="00C36C5C" w:rsidRPr="00652FF9" w:rsidRDefault="00C36C5C" w:rsidP="00FA794D">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Dotyczy to w szczególności elektromobilności, która w statystyce dotyczącej OZE w transporcie jest uwzględniana w sposób pośredni, w przeciwieństwie do rachunku emisji GHG z sektora.</w:t>
      </w:r>
    </w:p>
  </w:footnote>
  <w:footnote w:id="35">
    <w:p w14:paraId="2EF2D4B7" w14:textId="06BFD489" w:rsidR="00C36C5C" w:rsidRPr="00652FF9" w:rsidRDefault="00C36C5C" w:rsidP="00FA794D">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Art. 25 dyrektywy RED III. Cel redukcyjny wyznacza się w porównaniu poziomem bazowym określonym w art. 27 ust. 1 lit. B dyrektywy RED III.</w:t>
      </w:r>
    </w:p>
  </w:footnote>
  <w:footnote w:id="36">
    <w:p w14:paraId="0387759A" w14:textId="77777777" w:rsidR="00C36C5C" w:rsidRPr="00652FF9" w:rsidRDefault="00C36C5C" w:rsidP="00A24793">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Prognozy nie uwzględniały bunkrowania morskiego i lotniczego, gdyż metodyka raportowania statystycznego nie obejmowała dotychczas tych elementów.</w:t>
      </w:r>
    </w:p>
  </w:footnote>
  <w:footnote w:id="37">
    <w:p w14:paraId="0CA89334" w14:textId="52C6B55F"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2022 r. średnia dla UE-28 nie przekraczała 10%. Podsumowanie Eurostat: </w:t>
      </w:r>
      <w:hyperlink r:id="rId5" w:history="1">
        <w:r w:rsidRPr="00652FF9">
          <w:rPr>
            <w:rStyle w:val="Hipercze"/>
            <w:color w:val="000000" w:themeColor="text1"/>
            <w:szCs w:val="18"/>
          </w:rPr>
          <w:t>link</w:t>
        </w:r>
      </w:hyperlink>
      <w:r w:rsidRPr="00652FF9">
        <w:rPr>
          <w:color w:val="000000" w:themeColor="text1"/>
          <w:szCs w:val="18"/>
        </w:rPr>
        <w:t>.</w:t>
      </w:r>
    </w:p>
  </w:footnote>
  <w:footnote w:id="38">
    <w:p w14:paraId="6E234532" w14:textId="18460268" w:rsidR="00C36C5C" w:rsidRDefault="00C36C5C" w:rsidP="00B851C0">
      <w:pPr>
        <w:pStyle w:val="Tekstprzypisudolnego"/>
      </w:pPr>
      <w:r>
        <w:rPr>
          <w:rStyle w:val="Odwoanieprzypisudolnego"/>
        </w:rPr>
        <w:footnoteRef/>
      </w:r>
      <w:r>
        <w:t xml:space="preserve"> </w:t>
      </w:r>
      <w:r w:rsidRPr="00BD2B36">
        <w:rPr>
          <w:i/>
          <w:iCs/>
        </w:rPr>
        <w:t>Polish EV Outlook 2025</w:t>
      </w:r>
      <w:r>
        <w:t xml:space="preserve">. </w:t>
      </w:r>
      <w:r w:rsidRPr="00D61BEB">
        <w:t>Polskie Stowarzyszenie Nowej Mobilności</w:t>
      </w:r>
      <w:r>
        <w:t>.</w:t>
      </w:r>
    </w:p>
  </w:footnote>
  <w:footnote w:id="39">
    <w:p w14:paraId="3D65B5D9" w14:textId="51804820" w:rsidR="00C36C5C" w:rsidRPr="00652FF9" w:rsidRDefault="00C36C5C" w:rsidP="00FA794D">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Dotyczy biopaliw i biogazu wyprodukowanych z surowców wymienionych w załączniku IX część A dyrektywy RED II.</w:t>
      </w:r>
    </w:p>
  </w:footnote>
  <w:footnote w:id="40">
    <w:p w14:paraId="671860C0" w14:textId="18B2854F"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 kategorii A3. Transport mieszczą się: lotnictwo krajowe, transport drogowy, transport kolejowy, żegluga śródlądowa, inne. </w:t>
      </w:r>
    </w:p>
  </w:footnote>
  <w:footnote w:id="41">
    <w:p w14:paraId="022EFF7D" w14:textId="3A10E0A6" w:rsidR="00C36C5C" w:rsidRPr="00652FF9" w:rsidRDefault="00C36C5C" w:rsidP="00066C5F">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Art. 25a dyrektywy ETS, dodany przez art. 1 pkt 9 lit. b dyrektywy nr 2023/958.</w:t>
      </w:r>
    </w:p>
  </w:footnote>
  <w:footnote w:id="42">
    <w:p w14:paraId="07E3C7B3" w14:textId="04DBE1CC"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przypadku, gdy zakłady produkcyjne wytwarzają energię elektryczną i cieplną na własne potrzeby, wówczas emisje gazów cieplarnianych towarzyszące produkcji tej energii są przypisane bezpośrednio do sektora przemysłu. </w:t>
      </w:r>
    </w:p>
  </w:footnote>
  <w:footnote w:id="43">
    <w:p w14:paraId="644199E6" w14:textId="77777777" w:rsidR="00C36C5C" w:rsidRPr="00652FF9" w:rsidRDefault="00C36C5C" w:rsidP="00B263B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CBAM (ang. </w:t>
      </w:r>
      <w:r w:rsidRPr="00652FF9">
        <w:rPr>
          <w:i/>
          <w:color w:val="000000" w:themeColor="text1"/>
          <w:szCs w:val="18"/>
        </w:rPr>
        <w:t>Carbon Border Adjustment Mechanism</w:t>
      </w:r>
      <w:r w:rsidRPr="00652FF9">
        <w:rPr>
          <w:color w:val="000000" w:themeColor="text1"/>
          <w:szCs w:val="18"/>
        </w:rPr>
        <w:t>) to mechanizm dostosowywania cen na granicach z uwzględnieniem emisji CO</w:t>
      </w:r>
      <w:r w:rsidRPr="00652FF9">
        <w:rPr>
          <w:color w:val="000000" w:themeColor="text1"/>
          <w:szCs w:val="18"/>
          <w:vertAlign w:val="subscript"/>
        </w:rPr>
        <w:t>2</w:t>
      </w:r>
      <w:r w:rsidRPr="00652FF9">
        <w:rPr>
          <w:color w:val="000000" w:themeColor="text1"/>
          <w:szCs w:val="18"/>
        </w:rPr>
        <w:t>, który będzie miał zastosowanie przy imporcie do UE wybranych towarów wytworzonych w branżach wysokoemisyjnych, pochodzących z państw trzecich.</w:t>
      </w:r>
    </w:p>
  </w:footnote>
  <w:footnote w:id="44">
    <w:p w14:paraId="58E3AACF" w14:textId="77777777" w:rsidR="00C36C5C" w:rsidRPr="00652FF9" w:rsidRDefault="00C36C5C" w:rsidP="000C0215">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Zgodnie z dyrektywa ETS – 2023/959/UE.</w:t>
      </w:r>
    </w:p>
  </w:footnote>
  <w:footnote w:id="45">
    <w:p w14:paraId="5A98A911" w14:textId="1F6A5BBB" w:rsidR="00C36C5C" w:rsidRPr="00652FF9" w:rsidRDefault="00C36C5C" w:rsidP="002D26C3">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Wartości odnoszą się do kategorii 2. Procesy przemysłowe i użytkowanie produktów (produkty mineralne; przemysł chemiczny; produkcja metali; produkcja i użytkowanie innych wyrobów produkty nieenergetyczne ze zużycia paliw i rozpuszczalników; inne), zgodnie z klasyfikacją IPCC. Oddzielnie rozliczane są emisje ze spalania paliw na wytarzanie energii w przemyśle, czyli generowanych przez energetykę przemysłową. </w:t>
      </w:r>
    </w:p>
  </w:footnote>
  <w:footnote w:id="46">
    <w:p w14:paraId="1D9D7B98" w14:textId="3F3D213F"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Na podstawie dyrektywy PE i Rady (UE) 2022/2464 z dnia 14 grudnia 2022 r. w sprawie zmiany rozporządzenia (UE) nr 537/2014, dyrektywy 2004/109/WE, dyrektywy 2006/43/WE oraz dyrektywy 2013/34/UE w odniesieniu do sprawozdawczości przedsiębiorstw w zakresie zrównoważonego rozwoju, tzw. dyrektywa CSRD.</w:t>
      </w:r>
    </w:p>
  </w:footnote>
  <w:footnote w:id="47">
    <w:p w14:paraId="653AEAEB" w14:textId="77777777" w:rsidR="00C36C5C" w:rsidRPr="00652FF9" w:rsidRDefault="00C36C5C" w:rsidP="00093D74">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22a dyrektywy RED III. </w:t>
      </w:r>
    </w:p>
  </w:footnote>
  <w:footnote w:id="48">
    <w:p w14:paraId="03AD04E9" w14:textId="77777777" w:rsidR="00C36C5C" w:rsidRPr="00652FF9" w:rsidRDefault="00C36C5C" w:rsidP="00030513">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Aktualnie nie istnieje oficjalna metodyka określania udziału OZE w końcowym zużyciu energii w przemyśle, dlatego podawana wartość ma charakter orientacyjny i może ulec nawet istotnej zmianie. </w:t>
      </w:r>
    </w:p>
  </w:footnote>
  <w:footnote w:id="49">
    <w:p w14:paraId="6FE1CCF5" w14:textId="69FFF2F3" w:rsidR="00C36C5C" w:rsidRDefault="00C36C5C">
      <w:pPr>
        <w:pStyle w:val="Tekstprzypisudolnego"/>
      </w:pPr>
      <w:r>
        <w:rPr>
          <w:rStyle w:val="Odwoanieprzypisudolnego"/>
        </w:rPr>
        <w:footnoteRef/>
      </w:r>
      <w:r>
        <w:t xml:space="preserve"> Załącznik 1 do KPEiK – Rozdział 3.2, Tabela 3.2</w:t>
      </w:r>
    </w:p>
  </w:footnote>
  <w:footnote w:id="50">
    <w:p w14:paraId="21ECB0F0" w14:textId="5A683685" w:rsidR="00C36C5C" w:rsidRDefault="00C36C5C" w:rsidP="6AB6329B">
      <w:pPr>
        <w:rPr>
          <w:rFonts w:eastAsia="Lato" w:cs="Lato"/>
          <w:color w:val="000000" w:themeColor="text1"/>
          <w:sz w:val="18"/>
          <w:szCs w:val="18"/>
        </w:rPr>
      </w:pPr>
      <w:r w:rsidRPr="00326F63">
        <w:rPr>
          <w:rStyle w:val="Odwoanieprzypisudolnego"/>
          <w:color w:val="000000" w:themeColor="text1"/>
          <w:sz w:val="18"/>
          <w:szCs w:val="18"/>
        </w:rPr>
        <w:footnoteRef/>
      </w:r>
      <w:r w:rsidRPr="00326F63">
        <w:rPr>
          <w:rStyle w:val="Odwoanieprzypisudolnego"/>
          <w:color w:val="000000" w:themeColor="text1"/>
          <w:sz w:val="18"/>
          <w:szCs w:val="18"/>
        </w:rPr>
        <w:t xml:space="preserve"> </w:t>
      </w:r>
      <w:r w:rsidRPr="6AB6329B">
        <w:rPr>
          <w:rFonts w:eastAsia="Lato" w:cs="Lato"/>
          <w:color w:val="000000" w:themeColor="text1"/>
          <w:sz w:val="18"/>
          <w:szCs w:val="18"/>
        </w:rPr>
        <w:t xml:space="preserve">Możliwe będzie w następstwie </w:t>
      </w:r>
      <w:r w:rsidRPr="006C51DB">
        <w:rPr>
          <w:rFonts w:eastAsia="Lato" w:cs="Lato"/>
          <w:color w:val="000000" w:themeColor="text1"/>
          <w:sz w:val="18"/>
          <w:szCs w:val="18"/>
        </w:rPr>
        <w:t xml:space="preserve">realizacji projektów współfinansowanych ze </w:t>
      </w:r>
      <w:r w:rsidRPr="6AB6329B">
        <w:rPr>
          <w:rFonts w:eastAsia="Lato" w:cs="Lato"/>
          <w:color w:val="000000" w:themeColor="text1"/>
          <w:sz w:val="18"/>
          <w:szCs w:val="18"/>
        </w:rPr>
        <w:t>środków pochodzących z Instrumentu na rzecz Odbudowy i Zwiększania Odporności (RRF, ang. </w:t>
      </w:r>
      <w:r w:rsidRPr="6AB6329B">
        <w:rPr>
          <w:rFonts w:eastAsia="Lato" w:cs="Lato"/>
          <w:i/>
          <w:iCs/>
          <w:color w:val="000000" w:themeColor="text1"/>
          <w:sz w:val="18"/>
          <w:szCs w:val="18"/>
        </w:rPr>
        <w:t>Recovery and Resilience Facility</w:t>
      </w:r>
      <w:r w:rsidRPr="6AB6329B">
        <w:rPr>
          <w:rFonts w:eastAsia="Lato" w:cs="Lato"/>
          <w:color w:val="000000" w:themeColor="text1"/>
          <w:sz w:val="18"/>
          <w:szCs w:val="18"/>
        </w:rPr>
        <w:t>) w ramach Krajowego Planu Odbudowy.</w:t>
      </w:r>
    </w:p>
  </w:footnote>
  <w:footnote w:id="51">
    <w:p w14:paraId="27069CA1" w14:textId="0819454F"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Szerszy kontekst pokrycia zapotrzebowania na wodór został omówiony w ramach wymiaru 3.</w:t>
      </w:r>
    </w:p>
  </w:footnote>
  <w:footnote w:id="52">
    <w:p w14:paraId="0E016B21" w14:textId="45897A47" w:rsidR="00C36C5C" w:rsidRPr="00652FF9" w:rsidRDefault="00C36C5C" w:rsidP="00AD1570">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Część obszarów objętych sektorem LULUCF generuje emisje jak np. działalność rolnicza, dlatego cele odnoszą się do salda netto.</w:t>
      </w:r>
    </w:p>
  </w:footnote>
  <w:footnote w:id="53">
    <w:p w14:paraId="5279C4B3" w14:textId="71A70B1E"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4 oraz Załącznik IIa do rozporządzenia LULUCF II.</w:t>
      </w:r>
    </w:p>
  </w:footnote>
  <w:footnote w:id="54">
    <w:p w14:paraId="63965BAB" w14:textId="67D2ACC7"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Dane dotyczące emisji za 2023 r. będą dostępne w 2025 r., dlatego nie jest możliwe określenie tej trajektorii.</w:t>
      </w:r>
    </w:p>
  </w:footnote>
  <w:footnote w:id="55">
    <w:p w14:paraId="1E254FFF" w14:textId="000F4442"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Możliwość wykorzystania dodatkowej limitowanej puli pochłaniania netto, pochodzącej z wygenerowanego w sektorze LULUCF pochłaniania netto, osobno w pięciolatkach 2021-2025 i 2026-2030. </w:t>
      </w:r>
    </w:p>
  </w:footnote>
  <w:footnote w:id="56">
    <w:p w14:paraId="68DC74EC" w14:textId="2AA88CB7" w:rsidR="00C36C5C" w:rsidRPr="00652FF9" w:rsidRDefault="00C36C5C" w:rsidP="00835078">
      <w:pPr>
        <w:pStyle w:val="Tekstprzypisudolnego"/>
        <w:rPr>
          <w:color w:val="000000" w:themeColor="text1"/>
          <w:szCs w:val="18"/>
        </w:rPr>
      </w:pPr>
      <w:r w:rsidRPr="00652FF9">
        <w:rPr>
          <w:rStyle w:val="Odwoanieprzypisudolnego"/>
          <w:color w:val="000000" w:themeColor="text1"/>
          <w:szCs w:val="18"/>
        </w:rPr>
        <w:footnoteRef/>
      </w:r>
      <w:r w:rsidRPr="00901FEA">
        <w:rPr>
          <w:i/>
          <w:color w:val="000000" w:themeColor="text1"/>
        </w:rPr>
        <w:t xml:space="preserve"> </w:t>
      </w:r>
      <w:r w:rsidRPr="00652FF9">
        <w:rPr>
          <w:i/>
          <w:color w:val="000000" w:themeColor="text1"/>
          <w:szCs w:val="18"/>
        </w:rPr>
        <w:t xml:space="preserve">Wielkoobszarowa </w:t>
      </w:r>
      <w:r>
        <w:rPr>
          <w:i/>
          <w:color w:val="000000" w:themeColor="text1"/>
          <w:szCs w:val="18"/>
        </w:rPr>
        <w:t xml:space="preserve">Inwentaryzacja Stanu Lasu </w:t>
      </w:r>
      <w:r w:rsidRPr="00766AB0">
        <w:rPr>
          <w:i/>
          <w:color w:val="000000" w:themeColor="text1"/>
          <w:szCs w:val="18"/>
        </w:rPr>
        <w:t>na dzień 1 stycznia 2024 roku</w:t>
      </w:r>
      <w:r w:rsidRPr="00652FF9">
        <w:rPr>
          <w:color w:val="000000" w:themeColor="text1"/>
          <w:szCs w:val="18"/>
        </w:rPr>
        <w:t>, Biuro Urządzania Lasu i Geodezji Leśnej 202</w:t>
      </w:r>
      <w:r>
        <w:rPr>
          <w:color w:val="000000" w:themeColor="text1"/>
          <w:szCs w:val="18"/>
        </w:rPr>
        <w:t>4</w:t>
      </w:r>
      <w:r w:rsidRPr="00652FF9">
        <w:rPr>
          <w:color w:val="000000" w:themeColor="text1"/>
          <w:szCs w:val="18"/>
        </w:rPr>
        <w:t xml:space="preserve">, </w:t>
      </w:r>
      <w:hyperlink r:id="rId6" w:history="1">
        <w:r w:rsidRPr="00652FF9">
          <w:rPr>
            <w:rStyle w:val="Hipercze"/>
            <w:color w:val="000000" w:themeColor="text1"/>
            <w:szCs w:val="18"/>
          </w:rPr>
          <w:t>link</w:t>
        </w:r>
      </w:hyperlink>
    </w:p>
  </w:footnote>
  <w:footnote w:id="57">
    <w:p w14:paraId="6A3FD4DC" w14:textId="6BDEF6A7" w:rsidR="00C36C5C" w:rsidRPr="00652FF9" w:rsidRDefault="00C36C5C" w:rsidP="00135E47">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Potwierdzają to dane historyczne dotyczące pochłaniania, por. </w:t>
      </w:r>
      <w:r w:rsidRPr="00652FF9">
        <w:rPr>
          <w:i/>
          <w:color w:val="000000" w:themeColor="text1"/>
          <w:szCs w:val="18"/>
        </w:rPr>
        <w:t xml:space="preserve">Krajowy Raport Inwentaryzacyjny 2024. Inwentaryzacja emisji i pochłaniania gazów cieplarnianych w Polsce dla lat 1988-2022, KOBiZE 2024. </w:t>
      </w:r>
    </w:p>
  </w:footnote>
  <w:footnote w:id="58">
    <w:p w14:paraId="48042AB3" w14:textId="4868808C" w:rsidR="00C36C5C" w:rsidRPr="00652FF9" w:rsidRDefault="00C36C5C">
      <w:pPr>
        <w:pStyle w:val="Tekstprzypisudolnego"/>
        <w:rPr>
          <w:i/>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Prognozy przedstawione we wstępnej wersji projektu aktualizacji KPEiK z 02.2024 r. wskazywały na pochłanianie na poziomie 6,8 mln t ekw. CO</w:t>
      </w:r>
      <w:r w:rsidRPr="00652FF9">
        <w:rPr>
          <w:color w:val="000000" w:themeColor="text1"/>
          <w:szCs w:val="18"/>
          <w:vertAlign w:val="subscript"/>
        </w:rPr>
        <w:t>2</w:t>
      </w:r>
      <w:r w:rsidRPr="00652FF9">
        <w:rPr>
          <w:color w:val="000000" w:themeColor="text1"/>
          <w:szCs w:val="18"/>
        </w:rPr>
        <w:t>. Prognoza opierała się na danych z 2021 r., w którym pochłanianie wynosiło poziomie -24,1 mln t ekw. CO</w:t>
      </w:r>
      <w:r w:rsidRPr="00652FF9">
        <w:rPr>
          <w:color w:val="000000" w:themeColor="text1"/>
          <w:szCs w:val="18"/>
          <w:vertAlign w:val="subscript"/>
        </w:rPr>
        <w:t xml:space="preserve">2. </w:t>
      </w:r>
      <w:r w:rsidRPr="00652FF9">
        <w:rPr>
          <w:color w:val="000000" w:themeColor="text1"/>
          <w:szCs w:val="18"/>
        </w:rPr>
        <w:t>Nowe prognozy (także dla scenariusza WEM) opierają się na danych za 2022 r., w którym poziom pochłaniania znacznie wzrósł w szczególności ze względu na intensywny przyrost grubizny drzew oraz niewielkie skutki zdarzeń katastrofalnych.</w:t>
      </w:r>
    </w:p>
  </w:footnote>
  <w:footnote w:id="59">
    <w:p w14:paraId="416486A8" w14:textId="7D34844F"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GUS.</w:t>
      </w:r>
    </w:p>
  </w:footnote>
  <w:footnote w:id="60">
    <w:p w14:paraId="7CF4593C" w14:textId="1CC6D766" w:rsidR="00C36C5C" w:rsidRDefault="00C36C5C">
      <w:pPr>
        <w:pStyle w:val="Tekstprzypisudolnego"/>
      </w:pPr>
      <w:r>
        <w:rPr>
          <w:rStyle w:val="Odwoanieprzypisudolnego"/>
        </w:rPr>
        <w:footnoteRef/>
      </w:r>
      <w:r>
        <w:t xml:space="preserve"> </w:t>
      </w:r>
      <w:r w:rsidRPr="00CB6B30">
        <w:t>Rozporządzenie Parlamentu Europejskiego i Rady (UE) 2024/3012 z dnia 27 listopada 2024 r. w sprawie ustanowienia unijnych ram certyfikacji trwałego pochłaniania dwutlenku węgla, technik węglochłonnych oraz składowania dwutlenku węgla w produktach</w:t>
      </w:r>
    </w:p>
  </w:footnote>
  <w:footnote w:id="61">
    <w:p w14:paraId="52905DBF" w14:textId="1C94F030"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Dla sześciu ustalono poziomy </w:t>
      </w:r>
      <w:r w:rsidRPr="00652FF9">
        <w:rPr>
          <w:i/>
          <w:color w:val="000000" w:themeColor="text1"/>
        </w:rPr>
        <w:t>dopuszczalne</w:t>
      </w:r>
      <w:r w:rsidRPr="00652FF9">
        <w:rPr>
          <w:color w:val="000000" w:themeColor="text1"/>
        </w:rPr>
        <w:t>: dwutlenek siarki (SO</w:t>
      </w:r>
      <w:r w:rsidRPr="00652FF9">
        <w:rPr>
          <w:color w:val="000000" w:themeColor="text1"/>
          <w:vertAlign w:val="subscript"/>
        </w:rPr>
        <w:t>2</w:t>
      </w:r>
      <w:r w:rsidRPr="00652FF9">
        <w:rPr>
          <w:color w:val="000000" w:themeColor="text1"/>
        </w:rPr>
        <w:t>), dwutlenek azotu (NO</w:t>
      </w:r>
      <w:r w:rsidRPr="00652FF9">
        <w:rPr>
          <w:color w:val="000000" w:themeColor="text1"/>
          <w:vertAlign w:val="subscript"/>
        </w:rPr>
        <w:t>2</w:t>
      </w:r>
      <w:r w:rsidRPr="00652FF9">
        <w:rPr>
          <w:color w:val="000000" w:themeColor="text1"/>
        </w:rPr>
        <w:t>), tlenek węgla (CO), benzen (C</w:t>
      </w:r>
      <w:r w:rsidRPr="00652FF9">
        <w:rPr>
          <w:color w:val="000000" w:themeColor="text1"/>
          <w:vertAlign w:val="subscript"/>
        </w:rPr>
        <w:t>6</w:t>
      </w:r>
      <w:r w:rsidRPr="00652FF9">
        <w:rPr>
          <w:color w:val="000000" w:themeColor="text1"/>
        </w:rPr>
        <w:t>H</w:t>
      </w:r>
      <w:r w:rsidRPr="00652FF9">
        <w:rPr>
          <w:color w:val="000000" w:themeColor="text1"/>
          <w:vertAlign w:val="subscript"/>
        </w:rPr>
        <w:t>6</w:t>
      </w:r>
      <w:r w:rsidRPr="00652FF9">
        <w:rPr>
          <w:color w:val="000000" w:themeColor="text1"/>
        </w:rPr>
        <w:t>), ozon (O</w:t>
      </w:r>
      <w:r w:rsidRPr="00652FF9">
        <w:rPr>
          <w:color w:val="000000" w:themeColor="text1"/>
          <w:vertAlign w:val="subscript"/>
        </w:rPr>
        <w:t>3</w:t>
      </w:r>
      <w:r w:rsidRPr="00652FF9">
        <w:rPr>
          <w:color w:val="000000" w:themeColor="text1"/>
        </w:rPr>
        <w:t xml:space="preserve">), pył drobny PM10 (o średnicy do 10 µm), pył drobny PM2,5 (o średnicy do 2,5 µm); </w:t>
      </w:r>
    </w:p>
    <w:p w14:paraId="337A61AE" w14:textId="2A4FCDA1" w:rsidR="00C36C5C" w:rsidRPr="00652FF9" w:rsidRDefault="00C36C5C">
      <w:pPr>
        <w:pStyle w:val="Tekstprzypisudolnego"/>
        <w:rPr>
          <w:color w:val="000000" w:themeColor="text1"/>
        </w:rPr>
      </w:pPr>
      <w:r w:rsidRPr="00652FF9">
        <w:rPr>
          <w:color w:val="000000" w:themeColor="text1"/>
        </w:rPr>
        <w:t xml:space="preserve">Dla pozostałych sześciu określono poziomy </w:t>
      </w:r>
      <w:r w:rsidRPr="00652FF9">
        <w:rPr>
          <w:i/>
          <w:color w:val="000000" w:themeColor="text1"/>
        </w:rPr>
        <w:t>docelowe</w:t>
      </w:r>
      <w:r w:rsidRPr="00652FF9">
        <w:rPr>
          <w:color w:val="000000" w:themeColor="text1"/>
        </w:rPr>
        <w:t>: metale ciężkie: ołów (Pb), arsen (As), nikiel (Ni), kadm (Cd) oznaczane w pyle PM10 oraz benzo(a)piren oznaczany w pyle PM10. Ze względu na ochronę roślin ocenie podlegają 3 substancje: dwutlenek siarki (SO</w:t>
      </w:r>
      <w:r w:rsidRPr="00652FF9">
        <w:rPr>
          <w:color w:val="000000" w:themeColor="text1"/>
          <w:vertAlign w:val="subscript"/>
        </w:rPr>
        <w:t>2</w:t>
      </w:r>
      <w:r w:rsidRPr="00652FF9">
        <w:rPr>
          <w:color w:val="000000" w:themeColor="text1"/>
        </w:rPr>
        <w:t>), tlenki azotu (NOx) i ozon (O</w:t>
      </w:r>
      <w:r w:rsidRPr="00652FF9">
        <w:rPr>
          <w:color w:val="000000" w:themeColor="text1"/>
          <w:vertAlign w:val="subscript"/>
        </w:rPr>
        <w:t>3</w:t>
      </w:r>
      <w:r w:rsidRPr="00652FF9">
        <w:rPr>
          <w:color w:val="000000" w:themeColor="text1"/>
        </w:rPr>
        <w:t>).</w:t>
      </w:r>
    </w:p>
  </w:footnote>
  <w:footnote w:id="62">
    <w:p w14:paraId="1EDE12FE" w14:textId="5BE5F8E1" w:rsidR="00C36C5C" w:rsidRPr="00652FF9" w:rsidRDefault="00C36C5C" w:rsidP="00731619">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Załącznik 2 dyrektywy NEC.</w:t>
      </w:r>
    </w:p>
  </w:footnote>
  <w:footnote w:id="63">
    <w:p w14:paraId="370D82A0" w14:textId="556BF5D8"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Zgodnie z art. 96 ustawy – </w:t>
      </w:r>
      <w:r w:rsidRPr="00652FF9">
        <w:rPr>
          <w:i/>
          <w:color w:val="000000" w:themeColor="text1"/>
        </w:rPr>
        <w:t>Prawo ochrony środowiska</w:t>
      </w:r>
      <w:r w:rsidRPr="00652FF9">
        <w:rPr>
          <w:color w:val="000000" w:themeColor="text1"/>
        </w:rPr>
        <w:t>.</w:t>
      </w:r>
    </w:p>
  </w:footnote>
  <w:footnote w:id="64">
    <w:p w14:paraId="03E34B62" w14:textId="2F3640DF"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Zgodnie z art. 17 ust. 15 dyrektywy UE 2024/1275 od dnia 1 stycznia 2025 r. państwa członkowskie nie udzielają żadnych zachęt finansowych do instalacji indywidualnych kotłów zasilanych paliwami kopalnymi, z wyjątkiem kotłów wybranych do inwestycji przed 2025 r.</w:t>
      </w:r>
    </w:p>
  </w:footnote>
  <w:footnote w:id="65">
    <w:p w14:paraId="5551E758" w14:textId="7CB782E2" w:rsidR="00C36C5C" w:rsidRPr="00652FF9" w:rsidRDefault="00C36C5C" w:rsidP="00100A8A">
      <w:pPr>
        <w:rPr>
          <w:color w:val="000000" w:themeColor="text1"/>
          <w:sz w:val="18"/>
          <w:szCs w:val="18"/>
        </w:rPr>
      </w:pPr>
      <w:r w:rsidRPr="00652FF9">
        <w:rPr>
          <w:rStyle w:val="Odwoanieprzypisudolnego"/>
          <w:color w:val="000000" w:themeColor="text1"/>
          <w:sz w:val="18"/>
          <w:szCs w:val="18"/>
        </w:rPr>
        <w:footnoteRef/>
      </w:r>
      <w:r w:rsidRPr="00652FF9">
        <w:rPr>
          <w:color w:val="000000" w:themeColor="text1"/>
          <w:sz w:val="18"/>
          <w:szCs w:val="18"/>
        </w:rPr>
        <w:t xml:space="preserve"> W glebie znajduje się około 1 500 mld t węgla w ujęciu globalnym. Gleby są drugim co do wielkości aktywnym magazynem węgla po oceanach (40 000 mld t). Jest w nich magazynowane więcej węgla niż łącznie w atmosferze (760 mld t) oraz roślinności (560 mld t). Źródło: Europejska Agencja Środowiska.</w:t>
      </w:r>
    </w:p>
    <w:p w14:paraId="4224FC73" w14:textId="77777777" w:rsidR="00C36C5C" w:rsidRPr="00652FF9" w:rsidRDefault="00C36C5C" w:rsidP="00100A8A">
      <w:pPr>
        <w:pStyle w:val="Tekstprzypisudolnego"/>
        <w:rPr>
          <w:color w:val="000000" w:themeColor="text1"/>
          <w:szCs w:val="18"/>
        </w:rPr>
      </w:pPr>
    </w:p>
  </w:footnote>
  <w:footnote w:id="66">
    <w:p w14:paraId="17C911BF" w14:textId="685CC276"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Cele redukcji wytwarzania odpadów opakowaniowych na mieszkańca będą mogły zostać wyznaczone </w:t>
      </w:r>
      <w:r>
        <w:rPr>
          <w:color w:val="000000" w:themeColor="text1"/>
          <w:szCs w:val="18"/>
        </w:rPr>
        <w:t xml:space="preserve">uwzględniając przepisy </w:t>
      </w:r>
      <w:r w:rsidRPr="00652FF9">
        <w:rPr>
          <w:color w:val="000000" w:themeColor="text1"/>
          <w:szCs w:val="18"/>
        </w:rPr>
        <w:t>rozporządzeni</w:t>
      </w:r>
      <w:r>
        <w:rPr>
          <w:color w:val="000000" w:themeColor="text1"/>
          <w:szCs w:val="18"/>
        </w:rPr>
        <w:t>a</w:t>
      </w:r>
      <w:r w:rsidRPr="00652FF9">
        <w:rPr>
          <w:color w:val="000000" w:themeColor="text1"/>
          <w:szCs w:val="18"/>
        </w:rPr>
        <w:t xml:space="preserve"> PE i Rady </w:t>
      </w:r>
      <w:r w:rsidRPr="003C3F32">
        <w:rPr>
          <w:color w:val="000000" w:themeColor="text1"/>
          <w:szCs w:val="18"/>
        </w:rPr>
        <w:t>2025/40 z dnia 19 grudnia 2024 r. w sprawie opakowań i odpadów opakowaniowych, zmiany rozporządzenia (UE) 2019/1020 i dyrektywy (UE) 2019/904 oraz uchylenia dyrektywy 94/62/WE (</w:t>
      </w:r>
      <w:r>
        <w:rPr>
          <w:color w:val="000000" w:themeColor="text1"/>
          <w:szCs w:val="18"/>
        </w:rPr>
        <w:t xml:space="preserve">tzw. </w:t>
      </w:r>
      <w:r w:rsidRPr="003C3F32">
        <w:rPr>
          <w:color w:val="000000" w:themeColor="text1"/>
          <w:szCs w:val="18"/>
        </w:rPr>
        <w:t>PPWR). Rozporządzenie stosuje się od dnia 12 sierpnia 2026 r., przy wskazaniu odpowiednio późniejszych terminów dla określonych obowiązków.</w:t>
      </w:r>
    </w:p>
  </w:footnote>
  <w:footnote w:id="67">
    <w:p w14:paraId="73FF221E" w14:textId="447615D7"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Więcej w opisie wymiaru 3. oraz w </w:t>
      </w:r>
      <w:r w:rsidRPr="00652FF9">
        <w:rPr>
          <w:color w:val="000000" w:themeColor="text1"/>
          <w:szCs w:val="18"/>
        </w:rPr>
        <w:fldChar w:fldCharType="begin"/>
      </w:r>
      <w:r w:rsidRPr="00652FF9">
        <w:rPr>
          <w:color w:val="000000" w:themeColor="text1"/>
          <w:szCs w:val="18"/>
        </w:rPr>
        <w:instrText xml:space="preserve"> REF _Ref175329723 \n \h </w:instrText>
      </w:r>
      <w:r w:rsidRPr="00652FF9">
        <w:rPr>
          <w:color w:val="000000" w:themeColor="text1"/>
          <w:szCs w:val="18"/>
        </w:rPr>
      </w:r>
      <w:r w:rsidRPr="00652FF9">
        <w:rPr>
          <w:color w:val="000000" w:themeColor="text1"/>
          <w:szCs w:val="18"/>
        </w:rPr>
        <w:fldChar w:fldCharType="separate"/>
      </w:r>
      <w:r w:rsidR="00871DD5">
        <w:rPr>
          <w:color w:val="000000" w:themeColor="text1"/>
          <w:szCs w:val="18"/>
        </w:rPr>
        <w:t>Cel 3.1.2</w:t>
      </w:r>
      <w:r w:rsidRPr="00652FF9">
        <w:rPr>
          <w:color w:val="000000" w:themeColor="text1"/>
          <w:szCs w:val="18"/>
        </w:rPr>
        <w:fldChar w:fldCharType="end"/>
      </w:r>
      <w:r w:rsidRPr="00652FF9">
        <w:rPr>
          <w:color w:val="000000" w:themeColor="text1"/>
          <w:szCs w:val="18"/>
        </w:rPr>
        <w:t xml:space="preserve">. </w:t>
      </w:r>
    </w:p>
  </w:footnote>
  <w:footnote w:id="68">
    <w:p w14:paraId="2E82E729" w14:textId="77777777" w:rsidR="00C36C5C" w:rsidRPr="00652FF9" w:rsidRDefault="00C36C5C" w:rsidP="00B36A7E">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Komunikat Komisji do Parlamentu Europejskiego, Rady, Europejskiego Komitetu Ekonomiczno-Społecznego i Komitetu Regionów, COM (2021) 82 final.</w:t>
      </w:r>
    </w:p>
  </w:footnote>
  <w:footnote w:id="69">
    <w:p w14:paraId="2486EB55" w14:textId="14006F43" w:rsidR="00C36C5C" w:rsidRPr="00652FF9" w:rsidRDefault="00C36C5C" w:rsidP="00A10FDD">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Scenariusz referencyjny pokazuje prognozy ogólnogospodarcze i klimatyczno-energetyczne w oparciu o ramy polityczne wprowadzone do 2020 r. W odniesieniu do Polski prognozy są zbliżone do tych, które prezentuje scenariusz WAM w KPEiK przekazanym Komisji Europejskiej w 2019 r.</w:t>
      </w:r>
    </w:p>
  </w:footnote>
  <w:footnote w:id="70">
    <w:p w14:paraId="4D781538" w14:textId="79C0A4C8" w:rsidR="00C36C5C" w:rsidRPr="00652FF9" w:rsidRDefault="00C36C5C" w:rsidP="00F4429F">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Cele dotyczące poprawy efektywności energetycznej określone w KPEiK z 2019 r. odnosiły się do scenariusza PRIMES 2007, natomiast zgodnie ze zrewidowaną dyrektywą EED w aKPEiK cele są wyznaczane w stosunku do scenariusza PRIMES 2020.</w:t>
      </w:r>
    </w:p>
  </w:footnote>
  <w:footnote w:id="71">
    <w:p w14:paraId="67F77E8C" w14:textId="023B360B" w:rsidR="00C36C5C" w:rsidRPr="00652FF9" w:rsidRDefault="00C36C5C">
      <w:pPr>
        <w:pStyle w:val="Tekstprzypisudolnego"/>
        <w:rPr>
          <w:color w:val="000000" w:themeColor="text1"/>
          <w:szCs w:val="18"/>
          <w:lang w:val="en-US"/>
        </w:rPr>
      </w:pPr>
      <w:r w:rsidRPr="00652FF9">
        <w:rPr>
          <w:rStyle w:val="Odwoanieprzypisudolnego"/>
          <w:color w:val="000000" w:themeColor="text1"/>
          <w:szCs w:val="18"/>
        </w:rPr>
        <w:footnoteRef/>
      </w:r>
      <w:r w:rsidRPr="00652FF9">
        <w:rPr>
          <w:color w:val="000000" w:themeColor="text1"/>
          <w:szCs w:val="18"/>
        </w:rPr>
        <w:t xml:space="preserve"> Ocena projektów aKPEiK przekazanych przez państwa członkowskie, wskazuje na znaczącą lukę w realizacji celów dot. redukcji zużycia energii pierwotnej i finalnej ze względu na ograniczone możliwości poszczególnych krajów. </w:t>
      </w:r>
      <w:r w:rsidRPr="00652FF9">
        <w:rPr>
          <w:i/>
          <w:color w:val="000000" w:themeColor="text1"/>
          <w:szCs w:val="18"/>
          <w:lang w:val="en-US"/>
        </w:rPr>
        <w:t>Communication from the Commission to the European Parliament, the Council, the European Economic and Social Committee and the Committee of the Regions – EU wide assessment of the draft updated National Energy and Climate Plans An important step towards the more ambitious 2030 energy and climate objectives under the European Green Deal and RePowerEU</w:t>
      </w:r>
      <w:r w:rsidRPr="00652FF9">
        <w:rPr>
          <w:color w:val="000000" w:themeColor="text1"/>
          <w:szCs w:val="18"/>
          <w:lang w:val="en-US"/>
        </w:rPr>
        <w:t xml:space="preserve">, </w:t>
      </w:r>
      <w:hyperlink r:id="rId7" w:history="1">
        <w:r w:rsidRPr="00652FF9">
          <w:rPr>
            <w:rStyle w:val="Hipercze"/>
            <w:color w:val="000000" w:themeColor="text1"/>
            <w:szCs w:val="18"/>
            <w:lang w:val="en-US"/>
          </w:rPr>
          <w:t>link</w:t>
        </w:r>
      </w:hyperlink>
    </w:p>
  </w:footnote>
  <w:footnote w:id="72">
    <w:p w14:paraId="378B2FC0" w14:textId="77777777" w:rsidR="00C36C5C" w:rsidRPr="00652FF9" w:rsidRDefault="00C36C5C" w:rsidP="00A160D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4 dyrektywy EED.</w:t>
      </w:r>
    </w:p>
  </w:footnote>
  <w:footnote w:id="73">
    <w:p w14:paraId="60C9AA5F" w14:textId="730B8DE4"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odniesieniu do PRIMES 2007 prognozy z aKPEiK wskazują na redukcję -</w:t>
      </w:r>
      <w:r w:rsidRPr="00233279">
        <w:rPr>
          <w:color w:val="000000" w:themeColor="text1"/>
          <w:szCs w:val="18"/>
        </w:rPr>
        <w:t>32,9% (niemal</w:t>
      </w:r>
      <w:r>
        <w:rPr>
          <w:color w:val="000000" w:themeColor="text1"/>
          <w:szCs w:val="18"/>
        </w:rPr>
        <w:t xml:space="preserve"> </w:t>
      </w:r>
      <w:r w:rsidRPr="00233279">
        <w:rPr>
          <w:color w:val="000000" w:themeColor="text1"/>
          <w:szCs w:val="18"/>
        </w:rPr>
        <w:t>-39</w:t>
      </w:r>
      <w:r w:rsidRPr="00652FF9">
        <w:rPr>
          <w:color w:val="000000" w:themeColor="text1"/>
          <w:szCs w:val="18"/>
        </w:rPr>
        <w:t xml:space="preserve"> Mtoe).</w:t>
      </w:r>
    </w:p>
  </w:footnote>
  <w:footnote w:id="74">
    <w:p w14:paraId="0FEB788A" w14:textId="358ACBB2"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Energia elektryczna wytwarzana z OZE jest traktowana jako </w:t>
      </w:r>
      <w:r w:rsidRPr="00652FF9">
        <w:rPr>
          <w:i/>
          <w:color w:val="000000" w:themeColor="text1"/>
        </w:rPr>
        <w:t>równa</w:t>
      </w:r>
      <w:r w:rsidRPr="00652FF9">
        <w:rPr>
          <w:color w:val="000000" w:themeColor="text1"/>
        </w:rPr>
        <w:t xml:space="preserve"> energii pierwotnej, natomiast wytworzenie energii elektrycznej z paliw konwencjonalnych musi uwzględniać straty przetwarzania, W efekcie na wytworzenie 1 MWh energii np. z węgla kamiennego potrzeba 2,5–3 MWh energii pierwotnej, a z elektrowni wiatrowej – 1 MWh.</w:t>
      </w:r>
    </w:p>
  </w:footnote>
  <w:footnote w:id="75">
    <w:p w14:paraId="3358ED07" w14:textId="77777777" w:rsidR="00C36C5C" w:rsidRPr="00652FF9" w:rsidRDefault="00C36C5C" w:rsidP="00FA2C84">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4 dyrektywy EED.</w:t>
      </w:r>
    </w:p>
  </w:footnote>
  <w:footnote w:id="76">
    <w:p w14:paraId="3E5579CC" w14:textId="797FBBCB" w:rsidR="00C36C5C" w:rsidRPr="00652FF9" w:rsidRDefault="00C36C5C" w:rsidP="00C728BB">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Skorygowany scenariusz PRIMES 2020 ze stycznia 2024 r. Przed korektą prognoz na 2030 r. przekazaną przez KE w styczniu 2024 r. wartość wynosiła 12,6%.</w:t>
      </w:r>
    </w:p>
  </w:footnote>
  <w:footnote w:id="77">
    <w:p w14:paraId="52FD0A35" w14:textId="77777777" w:rsidR="00C36C5C" w:rsidRPr="00652FF9" w:rsidRDefault="00C36C5C" w:rsidP="00EC1DCF">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2019 r. zużycie energii per capita: Polska – 2 751 kgoe/rok, UE – 3349 kgoe/rok, Źródło: Eurostat.</w:t>
      </w:r>
    </w:p>
  </w:footnote>
  <w:footnote w:id="78">
    <w:p w14:paraId="15A57325" w14:textId="53406954" w:rsidR="00C36C5C" w:rsidRDefault="00C36C5C">
      <w:pPr>
        <w:pStyle w:val="Tekstprzypisudolnego"/>
      </w:pPr>
      <w:r>
        <w:rPr>
          <w:rStyle w:val="Odwoanieprzypisudolnego"/>
        </w:rPr>
        <w:footnoteRef/>
      </w:r>
      <w:r>
        <w:t xml:space="preserve"> </w:t>
      </w:r>
      <w:r w:rsidRPr="00652FF9">
        <w:rPr>
          <w:color w:val="000000" w:themeColor="text1"/>
          <w:szCs w:val="18"/>
        </w:rPr>
        <w:t>W odniesieniu do PRIMES 2007 prognozy z aKPEiK wskazują na redukcję -25% (-21,4 Mtoe).</w:t>
      </w:r>
    </w:p>
  </w:footnote>
  <w:footnote w:id="79">
    <w:p w14:paraId="01EBFB07" w14:textId="765A89FC" w:rsidR="00C36C5C" w:rsidRPr="00652FF9" w:rsidRDefault="00C36C5C" w:rsidP="00A90831">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Szczegółowe informacje znajdują się w załączniku 1 do KPEiK w rozdziałach 2.5 i 2.6.</w:t>
      </w:r>
    </w:p>
  </w:footnote>
  <w:footnote w:id="80">
    <w:p w14:paraId="737D0B5A" w14:textId="77777777" w:rsidR="00C36C5C" w:rsidRPr="00652FF9" w:rsidRDefault="00C36C5C" w:rsidP="00293CD2">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Podstawą jest rozporządzenie PE i Rady (UE) 2017/1369 z dnia 4 lipca 2017 r. ustanawiające ramy etykietowania energetycznego i uchylające dyrektywę 2010/30/UE.</w:t>
      </w:r>
    </w:p>
  </w:footnote>
  <w:footnote w:id="81">
    <w:p w14:paraId="24B47BA1" w14:textId="20BAF659"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Dla okresu 2021–2023 na podstawie art. 7 dyrektywy w sprawie efektywności energetycznej 2012/27/UE, a dla okresu 2024–2030 na podstawie dyrektywy EED – art. 8.</w:t>
      </w:r>
    </w:p>
  </w:footnote>
  <w:footnote w:id="82">
    <w:p w14:paraId="37CFA06D" w14:textId="3A587FA9"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Na podstawie: </w:t>
      </w:r>
      <w:r w:rsidRPr="00652FF9">
        <w:rPr>
          <w:i/>
          <w:color w:val="000000" w:themeColor="text1"/>
          <w:szCs w:val="18"/>
        </w:rPr>
        <w:t>Complete energy balances</w:t>
      </w:r>
      <w:r w:rsidRPr="00652FF9">
        <w:rPr>
          <w:color w:val="000000" w:themeColor="text1"/>
          <w:szCs w:val="18"/>
        </w:rPr>
        <w:t xml:space="preserve"> (NRG_IND_EFF), Eurostat. W odniesieniu do obowiązku dla lat 2021–20</w:t>
      </w:r>
      <w:r>
        <w:rPr>
          <w:color w:val="000000" w:themeColor="text1"/>
          <w:szCs w:val="18"/>
        </w:rPr>
        <w:t>2</w:t>
      </w:r>
      <w:r w:rsidRPr="00652FF9">
        <w:rPr>
          <w:color w:val="000000" w:themeColor="text1"/>
          <w:szCs w:val="18"/>
        </w:rPr>
        <w:t xml:space="preserve">3 </w:t>
      </w:r>
      <w:r>
        <w:rPr>
          <w:color w:val="000000" w:themeColor="text1"/>
          <w:szCs w:val="18"/>
        </w:rPr>
        <w:t xml:space="preserve">podstawa wynosi </w:t>
      </w:r>
      <w:r>
        <w:t xml:space="preserve">70 793 ktoe. W odniesieniu do okresu 2024–2030 podstawa jest inna </w:t>
      </w:r>
      <w:r w:rsidRPr="00652FF9">
        <w:rPr>
          <w:color w:val="000000" w:themeColor="text1"/>
          <w:szCs w:val="18"/>
        </w:rPr>
        <w:t>ze względu na korekty statystyczne</w:t>
      </w:r>
      <w:r>
        <w:rPr>
          <w:color w:val="000000" w:themeColor="text1"/>
          <w:szCs w:val="18"/>
        </w:rPr>
        <w:t xml:space="preserve"> tj. </w:t>
      </w:r>
      <w:r>
        <w:t>wynosi 69 815 ktoe</w:t>
      </w:r>
      <w:r w:rsidRPr="00652FF9">
        <w:rPr>
          <w:color w:val="000000" w:themeColor="text1"/>
          <w:szCs w:val="18"/>
        </w:rPr>
        <w:t>.</w:t>
      </w:r>
    </w:p>
  </w:footnote>
  <w:footnote w:id="83">
    <w:p w14:paraId="52B992CB" w14:textId="6F66631A" w:rsidR="00C36C5C" w:rsidRPr="00652FF9" w:rsidRDefault="00C36C5C" w:rsidP="00A90831">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Wskaźniki oraz ich poziomy za 2019 r. wskazano w części </w:t>
      </w:r>
      <w:r w:rsidRPr="00652FF9">
        <w:rPr>
          <w:color w:val="000000" w:themeColor="text1"/>
          <w:szCs w:val="18"/>
        </w:rPr>
        <w:fldChar w:fldCharType="begin"/>
      </w:r>
      <w:r w:rsidRPr="00652FF9">
        <w:rPr>
          <w:color w:val="000000" w:themeColor="text1"/>
          <w:szCs w:val="18"/>
        </w:rPr>
        <w:instrText xml:space="preserve"> REF _Ref174547854 \n \h  \* MERGEFORMAT </w:instrText>
      </w:r>
      <w:r w:rsidRPr="00652FF9">
        <w:rPr>
          <w:color w:val="000000" w:themeColor="text1"/>
          <w:szCs w:val="18"/>
        </w:rPr>
      </w:r>
      <w:r w:rsidRPr="00652FF9">
        <w:rPr>
          <w:color w:val="000000" w:themeColor="text1"/>
          <w:szCs w:val="18"/>
        </w:rPr>
        <w:fldChar w:fldCharType="separate"/>
      </w:r>
      <w:r w:rsidR="00871DD5">
        <w:rPr>
          <w:color w:val="000000" w:themeColor="text1"/>
          <w:szCs w:val="18"/>
        </w:rPr>
        <w:t>Cel 4.3.1</w:t>
      </w:r>
      <w:r w:rsidRPr="00652FF9">
        <w:rPr>
          <w:color w:val="000000" w:themeColor="text1"/>
          <w:szCs w:val="18"/>
        </w:rPr>
        <w:fldChar w:fldCharType="end"/>
      </w:r>
      <w:r w:rsidRPr="00652FF9">
        <w:rPr>
          <w:color w:val="000000" w:themeColor="text1"/>
          <w:szCs w:val="18"/>
        </w:rPr>
        <w:t xml:space="preserve">. </w:t>
      </w:r>
      <w:r w:rsidRPr="00652FF9">
        <w:rPr>
          <w:color w:val="000000" w:themeColor="text1"/>
          <w:szCs w:val="18"/>
        </w:rPr>
        <w:fldChar w:fldCharType="begin"/>
      </w:r>
      <w:r w:rsidRPr="00652FF9">
        <w:rPr>
          <w:color w:val="000000" w:themeColor="text1"/>
          <w:szCs w:val="18"/>
        </w:rPr>
        <w:instrText xml:space="preserve"> REF _Ref174547858 \h  \* MERGEFORMAT </w:instrText>
      </w:r>
      <w:r w:rsidRPr="00652FF9">
        <w:rPr>
          <w:color w:val="000000" w:themeColor="text1"/>
          <w:szCs w:val="18"/>
        </w:rPr>
      </w:r>
      <w:r w:rsidRPr="00652FF9">
        <w:rPr>
          <w:color w:val="000000" w:themeColor="text1"/>
          <w:szCs w:val="18"/>
        </w:rPr>
        <w:fldChar w:fldCharType="separate"/>
      </w:r>
      <w:r w:rsidR="00871DD5" w:rsidRPr="00871DD5">
        <w:rPr>
          <w:color w:val="000000" w:themeColor="text1"/>
          <w:szCs w:val="18"/>
        </w:rPr>
        <w:t>Redukcja ubóstwa energetycznego</w:t>
      </w:r>
      <w:r w:rsidRPr="00652FF9">
        <w:rPr>
          <w:color w:val="000000" w:themeColor="text1"/>
          <w:szCs w:val="18"/>
        </w:rPr>
        <w:fldChar w:fldCharType="end"/>
      </w:r>
      <w:r w:rsidRPr="00652FF9">
        <w:rPr>
          <w:color w:val="000000" w:themeColor="text1"/>
          <w:szCs w:val="18"/>
        </w:rPr>
        <w:t>.</w:t>
      </w:r>
    </w:p>
  </w:footnote>
  <w:footnote w:id="84">
    <w:p w14:paraId="186FB4F1" w14:textId="5D09A654"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Więcej w części </w:t>
      </w:r>
      <w:r w:rsidRPr="00652FF9">
        <w:rPr>
          <w:color w:val="000000" w:themeColor="text1"/>
        </w:rPr>
        <w:fldChar w:fldCharType="begin"/>
      </w:r>
      <w:r w:rsidRPr="00652FF9">
        <w:rPr>
          <w:color w:val="000000" w:themeColor="text1"/>
        </w:rPr>
        <w:instrText xml:space="preserve"> REF _Ref188369114 \n \h </w:instrText>
      </w:r>
      <w:r w:rsidRPr="00652FF9">
        <w:rPr>
          <w:color w:val="000000" w:themeColor="text1"/>
        </w:rPr>
      </w:r>
      <w:r w:rsidRPr="00652FF9">
        <w:rPr>
          <w:color w:val="000000" w:themeColor="text1"/>
        </w:rPr>
        <w:fldChar w:fldCharType="separate"/>
      </w:r>
      <w:r w:rsidR="00871DD5">
        <w:rPr>
          <w:color w:val="000000" w:themeColor="text1"/>
        </w:rPr>
        <w:t>Cel 1.1.2</w:t>
      </w:r>
      <w:r w:rsidRPr="00652FF9">
        <w:rPr>
          <w:color w:val="000000" w:themeColor="text1"/>
        </w:rPr>
        <w:fldChar w:fldCharType="end"/>
      </w:r>
      <w:r w:rsidRPr="00652FF9">
        <w:rPr>
          <w:color w:val="000000" w:themeColor="text1"/>
        </w:rPr>
        <w:t>.</w:t>
      </w:r>
    </w:p>
  </w:footnote>
  <w:footnote w:id="85">
    <w:p w14:paraId="408BD35C" w14:textId="3DB14216" w:rsidR="00C36C5C" w:rsidRPr="00652FF9" w:rsidRDefault="00C36C5C" w:rsidP="00AF5B65">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Opracowana na podstawie art. 2a dyrektywy 2010/31/UE w sprawie charakterystyki energetycznej budynków (tzw. dyrektywa EPBD). </w:t>
      </w:r>
    </w:p>
  </w:footnote>
  <w:footnote w:id="86">
    <w:p w14:paraId="31530233" w14:textId="72FCB8AB" w:rsidR="00C36C5C" w:rsidRPr="00652FF9" w:rsidRDefault="00C36C5C" w:rsidP="002206D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3 dyrektywy 2024/1275 w sprawie charakterystyki energetycznej budynków – dyrektywy EPBD.</w:t>
      </w:r>
    </w:p>
  </w:footnote>
  <w:footnote w:id="87">
    <w:p w14:paraId="234F7A2F" w14:textId="6B006A20"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652FF9">
        <w:rPr>
          <w:i/>
          <w:color w:val="000000" w:themeColor="text1"/>
          <w:szCs w:val="18"/>
        </w:rPr>
        <w:t>Charakterystyka energetyczna</w:t>
      </w:r>
      <w:r w:rsidRPr="00652FF9">
        <w:rPr>
          <w:color w:val="000000" w:themeColor="text1"/>
          <w:szCs w:val="18"/>
        </w:rPr>
        <w:t xml:space="preserve"> oznacza obliczoną lub opomiarowaną ilość energii potrzebnej do zaspokojenia zapotrzebowania na energię związanego z typowym użytkowaniem budynku, która obejmuje energię zużytą na potrzeby ogrzewania, chłodzenia, wentylacji, ciepłej wody użytkowej i oświetlenia</w:t>
      </w:r>
      <w:r>
        <w:rPr>
          <w:color w:val="000000" w:themeColor="text1"/>
          <w:szCs w:val="18"/>
        </w:rPr>
        <w:t>.</w:t>
      </w:r>
    </w:p>
  </w:footnote>
  <w:footnote w:id="88">
    <w:p w14:paraId="0602A0A9" w14:textId="77777777" w:rsidR="00C36C5C" w:rsidRPr="00652FF9" w:rsidRDefault="00C36C5C" w:rsidP="0034179E">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Zgodnie z art. 3 pkt 16 ustawy – Prawo energetyczne.</w:t>
      </w:r>
    </w:p>
  </w:footnote>
  <w:footnote w:id="89">
    <w:p w14:paraId="7671D570" w14:textId="0A9F26E4"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Znaczenie strategiczne określa się na podstawie istotności surowca dla zielonej transformacji, technologii cyfrowych, zastosowań obronnych i kosmicznych.</w:t>
      </w:r>
    </w:p>
  </w:footnote>
  <w:footnote w:id="90">
    <w:p w14:paraId="4D8D2530" w14:textId="4ACD8E4A" w:rsidR="00C36C5C" w:rsidRDefault="00C36C5C">
      <w:pPr>
        <w:pStyle w:val="Tekstprzypisudolnego"/>
      </w:pPr>
      <w:r>
        <w:rPr>
          <w:rStyle w:val="Odwoanieprzypisudolnego"/>
        </w:rPr>
        <w:footnoteRef/>
      </w:r>
      <w:r>
        <w:t xml:space="preserve"> </w:t>
      </w:r>
      <w:r w:rsidRPr="00AC32A8">
        <w:rPr>
          <w:i/>
          <w:iCs/>
        </w:rPr>
        <w:t>Bilans</w:t>
      </w:r>
      <w:r>
        <w:rPr>
          <w:i/>
          <w:iCs/>
        </w:rPr>
        <w:t xml:space="preserve"> zasobów</w:t>
      </w:r>
      <w:r w:rsidRPr="00AC32A8">
        <w:rPr>
          <w:i/>
          <w:iCs/>
        </w:rPr>
        <w:t xml:space="preserve"> złóż</w:t>
      </w:r>
      <w:r w:rsidR="00145410">
        <w:rPr>
          <w:i/>
          <w:iCs/>
        </w:rPr>
        <w:t xml:space="preserve"> </w:t>
      </w:r>
      <w:r w:rsidRPr="00AC32A8">
        <w:rPr>
          <w:i/>
          <w:iCs/>
        </w:rPr>
        <w:t>kopalin</w:t>
      </w:r>
      <w:r w:rsidRPr="001622F2">
        <w:rPr>
          <w:i/>
        </w:rPr>
        <w:t xml:space="preserve"> </w:t>
      </w:r>
      <w:r w:rsidR="00EC331A">
        <w:rPr>
          <w:i/>
        </w:rPr>
        <w:t xml:space="preserve">w Polsce </w:t>
      </w:r>
      <w:r w:rsidRPr="001622F2">
        <w:rPr>
          <w:i/>
        </w:rPr>
        <w:t>wg stanu na 31</w:t>
      </w:r>
      <w:r w:rsidRPr="001622F2">
        <w:rPr>
          <w:i/>
          <w:iCs/>
        </w:rPr>
        <w:t xml:space="preserve"> XII </w:t>
      </w:r>
      <w:r w:rsidRPr="001622F2">
        <w:rPr>
          <w:i/>
        </w:rPr>
        <w:t>202</w:t>
      </w:r>
      <w:r w:rsidR="00EC331A">
        <w:rPr>
          <w:i/>
        </w:rPr>
        <w:t>4</w:t>
      </w:r>
      <w:r w:rsidRPr="001622F2">
        <w:rPr>
          <w:i/>
          <w:iCs/>
        </w:rPr>
        <w:t xml:space="preserve"> r.</w:t>
      </w:r>
      <w:r>
        <w:rPr>
          <w:i/>
          <w:iCs/>
        </w:rPr>
        <w:t>, PIG–PIB 202</w:t>
      </w:r>
      <w:r w:rsidR="00EC331A">
        <w:rPr>
          <w:i/>
          <w:iCs/>
        </w:rPr>
        <w:t>5</w:t>
      </w:r>
      <w:r>
        <w:t xml:space="preserve">, </w:t>
      </w:r>
      <w:hyperlink r:id="rId8" w:history="1">
        <w:r w:rsidRPr="002B3036">
          <w:rPr>
            <w:rStyle w:val="Hipercze"/>
          </w:rPr>
          <w:t>link</w:t>
        </w:r>
      </w:hyperlink>
      <w:r>
        <w:t>.</w:t>
      </w:r>
    </w:p>
  </w:footnote>
  <w:footnote w:id="91">
    <w:p w14:paraId="5DFDE064" w14:textId="77E0D4A9" w:rsidR="00C36C5C" w:rsidRPr="00652FF9" w:rsidRDefault="00C36C5C" w:rsidP="00D312E0">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Surowce krytyczne omówione zostały w poprzednim rozdziale. </w:t>
      </w:r>
    </w:p>
  </w:footnote>
  <w:footnote w:id="92">
    <w:p w14:paraId="0B68A2D3" w14:textId="3D480B9A"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Poprzez wielkopiecową produkcję stali, węgiel koksowy jest początkiem łańcucha każdego strategicznego sektora gospodarki od obronności, przez motoryzację, budownictwo, po odnawialne źródła energii. Węgiel koksowy stanowi ważne ogniwo energetyki odnawialnej i rozwoju niskoemisyjnej gospodarki, ponieważ produkty uboczne procesu koksowania wykorzystywane są w wysoko zaawansowanych technologiach, stanowią półprodukty do różnorodnych materiałów węglowych stosowanych w produkcji baterii, ogniw paliwowych czy elektrod do wytopu stali metodą łuku elektrycznego.</w:t>
      </w:r>
    </w:p>
  </w:footnote>
  <w:footnote w:id="93">
    <w:p w14:paraId="7DCA67C7" w14:textId="76AE8509" w:rsidR="00C36C5C" w:rsidRPr="00652FF9" w:rsidRDefault="00C36C5C" w:rsidP="00C04D9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652FF9">
        <w:rPr>
          <w:i/>
          <w:color w:val="000000" w:themeColor="text1"/>
          <w:szCs w:val="18"/>
        </w:rPr>
        <w:t>Bilans Energii Pierwotnej</w:t>
      </w:r>
      <w:r w:rsidRPr="00652FF9">
        <w:rPr>
          <w:color w:val="000000" w:themeColor="text1"/>
          <w:szCs w:val="18"/>
        </w:rPr>
        <w:t>, ARE S.A. w imieniu MKiŚ 202</w:t>
      </w:r>
      <w:r w:rsidR="004B6A39">
        <w:rPr>
          <w:color w:val="000000" w:themeColor="text1"/>
          <w:szCs w:val="18"/>
        </w:rPr>
        <w:t>5</w:t>
      </w:r>
      <w:r w:rsidRPr="00652FF9">
        <w:rPr>
          <w:color w:val="000000" w:themeColor="text1"/>
          <w:szCs w:val="18"/>
        </w:rPr>
        <w:t xml:space="preserve">, </w:t>
      </w:r>
      <w:hyperlink r:id="rId9" w:anchor="bilans-energii-pierwotnej" w:history="1">
        <w:r w:rsidRPr="00652FF9">
          <w:rPr>
            <w:rStyle w:val="Hipercze"/>
            <w:color w:val="000000" w:themeColor="text1"/>
            <w:szCs w:val="18"/>
          </w:rPr>
          <w:t>link</w:t>
        </w:r>
      </w:hyperlink>
      <w:r w:rsidRPr="00652FF9">
        <w:rPr>
          <w:color w:val="000000" w:themeColor="text1"/>
        </w:rPr>
        <w:t>.</w:t>
      </w:r>
    </w:p>
  </w:footnote>
  <w:footnote w:id="94">
    <w:p w14:paraId="368AA186" w14:textId="0B9B66B7"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 gospodarstwach domowych wykorzystywany jest węgiel kamienny o sortymentach średnich i grubych, podczas gdy krajowe wydobycie dostarcza przede wszystkim sortymenty o małym ziarnie, które mogły być wykorzystywane w masowo wycofywanych „kopciuchach”. Dodatkowo cena takiego surowca z importu jest często konkurencyjna, zwłaszcza ze względu na odkrywkowy, a nie głębinowy charakter wydobycia.</w:t>
      </w:r>
    </w:p>
  </w:footnote>
  <w:footnote w:id="95">
    <w:p w14:paraId="3E2E3C0B" w14:textId="6A8DF3D7" w:rsidR="00C36C5C" w:rsidRPr="00652FF9" w:rsidRDefault="00C36C5C" w:rsidP="00804297">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Dane statystyczne dotyczące metanu kopalnianego w publikacji </w:t>
      </w:r>
      <w:r w:rsidRPr="00652FF9">
        <w:rPr>
          <w:i/>
          <w:color w:val="000000" w:themeColor="text1"/>
        </w:rPr>
        <w:t>Informacja o odmetanowywaniu i zagospodarowaniu metanu pochodzącego z kopalń węgla kamiennego w Polsce</w:t>
      </w:r>
      <w:r w:rsidRPr="00652FF9">
        <w:rPr>
          <w:color w:val="000000" w:themeColor="text1"/>
        </w:rPr>
        <w:t xml:space="preserve">, ARP S.A., </w:t>
      </w:r>
      <w:hyperlink r:id="rId10" w:history="1">
        <w:r w:rsidRPr="00652FF9">
          <w:rPr>
            <w:rStyle w:val="Hipercze"/>
            <w:color w:val="000000" w:themeColor="text1"/>
          </w:rPr>
          <w:t>link</w:t>
        </w:r>
      </w:hyperlink>
      <w:r w:rsidRPr="00652FF9">
        <w:rPr>
          <w:color w:val="000000" w:themeColor="text1"/>
        </w:rPr>
        <w:t>.</w:t>
      </w:r>
    </w:p>
  </w:footnote>
  <w:footnote w:id="96">
    <w:p w14:paraId="58FC46DC" w14:textId="77777777" w:rsidR="00C36C5C" w:rsidRPr="00652FF9" w:rsidRDefault="00C36C5C" w:rsidP="00C04D9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Aspekt sprawiedliwej transformacji regionów węglowych oraz tzw. umów społecznych został omówiony w 4. wymiarze.</w:t>
      </w:r>
    </w:p>
  </w:footnote>
  <w:footnote w:id="97">
    <w:p w14:paraId="495A3111" w14:textId="77777777" w:rsidR="004B6A39" w:rsidRPr="00652FF9" w:rsidRDefault="004B6A39" w:rsidP="004B6A39">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Krajowe wydobycie węgla spada sukcesywnie z blisko 140 mln t na końcu lat 90., przez ok. 70–80 mln w latach 2009–2016. Wydobycie węgla koksowego utrzymuje się w ostatnich latach na stałym poziomie ok. 11–12 mln t. Na podstawie kilku edycji publikacji </w:t>
      </w:r>
      <w:r w:rsidRPr="00652FF9">
        <w:rPr>
          <w:i/>
          <w:color w:val="000000" w:themeColor="text1"/>
        </w:rPr>
        <w:t>Bilans Energii Pierwotnej</w:t>
      </w:r>
      <w:r w:rsidRPr="00652FF9">
        <w:rPr>
          <w:color w:val="000000" w:themeColor="text1"/>
        </w:rPr>
        <w:t xml:space="preserve">, ARE S.A. w imieniu MKiŚ oraz </w:t>
      </w:r>
      <w:r w:rsidRPr="00652FF9">
        <w:rPr>
          <w:i/>
          <w:color w:val="000000" w:themeColor="text1"/>
        </w:rPr>
        <w:t>Sprawozdania o obrocie węglem kamiennym oraz ceny i kierunki zbytu węgla kamiennego</w:t>
      </w:r>
      <w:r w:rsidRPr="00652FF9">
        <w:rPr>
          <w:color w:val="000000" w:themeColor="text1"/>
        </w:rPr>
        <w:t>, ARP S.A.</w:t>
      </w:r>
    </w:p>
  </w:footnote>
  <w:footnote w:id="98">
    <w:p w14:paraId="0B916B30" w14:textId="6FC285F4"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Na podstawie art. 22 ust. 3 rozporządzenia UE 2024/1787.</w:t>
      </w:r>
    </w:p>
  </w:footnote>
  <w:footnote w:id="99">
    <w:p w14:paraId="613752A4" w14:textId="7EE09AA7" w:rsidR="00C36C5C" w:rsidRPr="00652FF9" w:rsidRDefault="00C36C5C" w:rsidP="00F77BDA">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Umowa społeczna dotycząca transformacji sektora górnictwa węgla kamiennego oraz wybranych procesów transformacji województwa śląskiego z 2021 r. oraz Umowa społeczna dot. transformacji sektora elektroenergetycznego i branży górnictwa węgla brunatnego z 2022 r.</w:t>
      </w:r>
    </w:p>
  </w:footnote>
  <w:footnote w:id="100">
    <w:p w14:paraId="15AA9541" w14:textId="2649B31F" w:rsidR="00C36C5C" w:rsidRPr="00652FF9" w:rsidRDefault="00C36C5C" w:rsidP="00543B4F">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Wizualizacja danych wytwórczych sięgających połowy XX w. dostępne są w stronie PSE S.A. w raportach rocznych z funkcjonowania KSE, </w:t>
      </w:r>
      <w:hyperlink r:id="rId11" w:history="1">
        <w:r w:rsidRPr="00652FF9">
          <w:rPr>
            <w:rStyle w:val="Hipercze"/>
            <w:color w:val="000000" w:themeColor="text1"/>
          </w:rPr>
          <w:t>link</w:t>
        </w:r>
      </w:hyperlink>
      <w:r w:rsidRPr="00652FF9">
        <w:rPr>
          <w:color w:val="000000" w:themeColor="text1"/>
        </w:rPr>
        <w:t>. Emisyjność jednostek wytwórczych dostępna jest raportach KOBiZE.</w:t>
      </w:r>
    </w:p>
  </w:footnote>
  <w:footnote w:id="101">
    <w:p w14:paraId="2E170790" w14:textId="49161E16"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Łącznie gazu ziemnego wysokometanowego i zaazotowanego </w:t>
      </w:r>
      <w:r w:rsidR="0040519F">
        <w:rPr>
          <w:color w:val="000000" w:themeColor="text1"/>
        </w:rPr>
        <w:t>wyniosło w 2024 r. ok. 704</w:t>
      </w:r>
      <w:r w:rsidRPr="00652FF9">
        <w:rPr>
          <w:color w:val="000000" w:themeColor="text1"/>
        </w:rPr>
        <w:t xml:space="preserve"> PJ, </w:t>
      </w:r>
      <w:r w:rsidRPr="00652FF9">
        <w:rPr>
          <w:i/>
          <w:color w:val="000000" w:themeColor="text1"/>
          <w:szCs w:val="18"/>
        </w:rPr>
        <w:t>Bilans Energii Pierwotnej</w:t>
      </w:r>
      <w:r w:rsidRPr="00652FF9">
        <w:rPr>
          <w:color w:val="000000" w:themeColor="text1"/>
          <w:szCs w:val="18"/>
        </w:rPr>
        <w:t>, ARE S.A. w imieniu MKiŚ 202</w:t>
      </w:r>
      <w:r w:rsidR="004B6A39">
        <w:rPr>
          <w:color w:val="000000" w:themeColor="text1"/>
          <w:szCs w:val="18"/>
        </w:rPr>
        <w:t>5</w:t>
      </w:r>
      <w:r w:rsidRPr="00652FF9">
        <w:rPr>
          <w:color w:val="000000" w:themeColor="text1"/>
          <w:szCs w:val="18"/>
        </w:rPr>
        <w:t xml:space="preserve">, </w:t>
      </w:r>
      <w:hyperlink r:id="rId12" w:anchor="bilans-energii-pierwotnej" w:history="1">
        <w:r w:rsidRPr="00652FF9">
          <w:rPr>
            <w:rStyle w:val="Hipercze"/>
            <w:color w:val="000000" w:themeColor="text1"/>
            <w:szCs w:val="18"/>
          </w:rPr>
          <w:t>link</w:t>
        </w:r>
      </w:hyperlink>
      <w:r w:rsidRPr="00652FF9">
        <w:rPr>
          <w:color w:val="000000" w:themeColor="text1"/>
        </w:rPr>
        <w:t>.</w:t>
      </w:r>
    </w:p>
  </w:footnote>
  <w:footnote w:id="102">
    <w:p w14:paraId="2874491E" w14:textId="77777777" w:rsidR="00C36C5C" w:rsidRPr="00652FF9" w:rsidRDefault="00C36C5C" w:rsidP="00184C80">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Warto podkreślić, że prognozy zapotrzebowania na gaz ziemny opracowane przez operatora systemu przesyłowego gazu ziemnego mogą podawać wyższe wartości. Operator prognozuje w oparciu o szczegółową wiedzę o zużyciu odbiorców w ujęciu dobowym, analizy ryzyka dotyczące tego segmentu rynku, jak również ryzyko niepełnego zrealizowania scenariuszy rządowych w obszarze rozwoju alternatywnych rozwiązań. </w:t>
      </w:r>
    </w:p>
  </w:footnote>
  <w:footnote w:id="103">
    <w:p w14:paraId="08E2D927" w14:textId="78750B5C" w:rsidR="00C36C5C" w:rsidRPr="00652FF9" w:rsidRDefault="00C36C5C" w:rsidP="00CB596F">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652FF9">
        <w:rPr>
          <w:i/>
          <w:color w:val="000000" w:themeColor="text1"/>
          <w:szCs w:val="18"/>
        </w:rPr>
        <w:t>Bilans Energii Pierwotnej</w:t>
      </w:r>
      <w:r w:rsidRPr="00652FF9">
        <w:rPr>
          <w:color w:val="000000" w:themeColor="text1"/>
          <w:szCs w:val="18"/>
        </w:rPr>
        <w:t>, ARE S.A. w imieniu MKiŚ 202</w:t>
      </w:r>
      <w:r w:rsidR="00F63A71">
        <w:rPr>
          <w:color w:val="000000" w:themeColor="text1"/>
          <w:szCs w:val="18"/>
        </w:rPr>
        <w:t>5</w:t>
      </w:r>
      <w:r w:rsidRPr="00652FF9">
        <w:rPr>
          <w:color w:val="000000" w:themeColor="text1"/>
          <w:szCs w:val="18"/>
        </w:rPr>
        <w:t xml:space="preserve">, </w:t>
      </w:r>
      <w:hyperlink r:id="rId13" w:anchor="bilans-energii-pierwotnej" w:history="1">
        <w:r w:rsidRPr="00652FF9">
          <w:rPr>
            <w:rStyle w:val="Hipercze"/>
            <w:color w:val="000000" w:themeColor="text1"/>
            <w:szCs w:val="18"/>
          </w:rPr>
          <w:t>link</w:t>
        </w:r>
      </w:hyperlink>
    </w:p>
  </w:footnote>
  <w:footnote w:id="104">
    <w:p w14:paraId="38498919" w14:textId="3587CEE6" w:rsidR="00C36C5C" w:rsidRPr="00652FF9" w:rsidRDefault="00C36C5C" w:rsidP="004938AB">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652FF9">
        <w:rPr>
          <w:i/>
          <w:color w:val="000000" w:themeColor="text1"/>
          <w:szCs w:val="18"/>
        </w:rPr>
        <w:t>Bilans Energii Pierwotnej</w:t>
      </w:r>
      <w:r w:rsidRPr="00652FF9">
        <w:rPr>
          <w:color w:val="000000" w:themeColor="text1"/>
          <w:szCs w:val="18"/>
        </w:rPr>
        <w:t>, ARE S.A. w imieniu MKiŚ 202</w:t>
      </w:r>
      <w:r w:rsidR="00F63A71">
        <w:rPr>
          <w:color w:val="000000" w:themeColor="text1"/>
          <w:szCs w:val="18"/>
        </w:rPr>
        <w:t>5</w:t>
      </w:r>
      <w:r w:rsidRPr="00652FF9">
        <w:rPr>
          <w:color w:val="000000" w:themeColor="text1"/>
          <w:szCs w:val="18"/>
        </w:rPr>
        <w:t xml:space="preserve">, </w:t>
      </w:r>
      <w:hyperlink r:id="rId14" w:anchor="bilans-energii-pierwotnej" w:history="1">
        <w:r w:rsidRPr="00652FF9">
          <w:rPr>
            <w:rStyle w:val="Hipercze"/>
            <w:color w:val="000000" w:themeColor="text1"/>
            <w:szCs w:val="18"/>
          </w:rPr>
          <w:t>link</w:t>
        </w:r>
      </w:hyperlink>
    </w:p>
  </w:footnote>
  <w:footnote w:id="105">
    <w:p w14:paraId="777E2F88" w14:textId="260D05AD" w:rsidR="00C36C5C" w:rsidRPr="00652FF9" w:rsidRDefault="00C36C5C" w:rsidP="00B9746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PMG Wierzchowice (Wielkopolska); grupa Sanok: PMG Husów, PMG Strachocina, PMG Swarzów i PMG Brzeźnica; magazyny kawernowe: KPMG Mogilno i KPMG Kosakowo.</w:t>
      </w:r>
    </w:p>
  </w:footnote>
  <w:footnote w:id="106">
    <w:p w14:paraId="63DC36AB" w14:textId="0D75FB8A" w:rsidR="00C36C5C" w:rsidRDefault="00C36C5C">
      <w:pPr>
        <w:pStyle w:val="Tekstprzypisudolnego"/>
      </w:pPr>
      <w:r>
        <w:rPr>
          <w:rStyle w:val="Odwoanieprzypisudolnego"/>
        </w:rPr>
        <w:footnoteRef/>
      </w:r>
      <w:r>
        <w:t xml:space="preserve"> W oparciu o umowę powierzenia majątku technicznego z właścicielem EuRoPol GAZ oraz decyzję Prezesa URE. Spod zakresu powierzenia została wyłączona infrastruktura dla przesyłu gazu z kierunku wschodniego.</w:t>
      </w:r>
    </w:p>
  </w:footnote>
  <w:footnote w:id="107">
    <w:p w14:paraId="7BB21211" w14:textId="09F4375A"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Trzeba podkreślić, że gazy</w:t>
      </w:r>
      <w:r>
        <w:rPr>
          <w:color w:val="000000" w:themeColor="text1"/>
        </w:rPr>
        <w:t xml:space="preserve">, </w:t>
      </w:r>
      <w:r w:rsidRPr="00652FF9">
        <w:rPr>
          <w:color w:val="000000" w:themeColor="text1"/>
        </w:rPr>
        <w:t xml:space="preserve">takie jak wodór nie powinny trafiać do odcinków zbudowanych w starych technologiach, narażonych na korozję i przenikanie gazów przez ściany gazociągu. Transport biometanu powinien być zapewniony w każdym przypadku, pod warunkiem zapewnieniu odpowiedniej czystości gazu. </w:t>
      </w:r>
    </w:p>
  </w:footnote>
  <w:footnote w:id="108">
    <w:p w14:paraId="4D8B408C" w14:textId="22606A59"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 ramach projektu ustawy o zmianie ustawy o zapasach ropy naftowej, produktów naftowych i gazu ziemnego oraz zasadach postępowania w sytuacjach zagrożenia bezpieczeństwa paliwowego państwa i zakłóceń na rynku naftowym oraz niektórych innych ustaw (UC50)</w:t>
      </w:r>
      <w:r>
        <w:rPr>
          <w:color w:val="000000" w:themeColor="text1"/>
        </w:rPr>
        <w:t>.</w:t>
      </w:r>
    </w:p>
  </w:footnote>
  <w:footnote w:id="109">
    <w:p w14:paraId="16525D53" w14:textId="74E5603C"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t>
      </w:r>
      <w:r w:rsidRPr="00652FF9">
        <w:rPr>
          <w:i/>
          <w:color w:val="000000" w:themeColor="text1"/>
        </w:rPr>
        <w:t>Realny potencjał produkcji biometanu w Polsce</w:t>
      </w:r>
      <w:r w:rsidRPr="00652FF9">
        <w:rPr>
          <w:color w:val="000000" w:themeColor="text1"/>
        </w:rPr>
        <w:t xml:space="preserve">, Narodowe Centrum Badań i Rozwoju 2024, </w:t>
      </w:r>
      <w:hyperlink r:id="rId15" w:history="1">
        <w:r w:rsidRPr="00652FF9">
          <w:rPr>
            <w:rStyle w:val="Hipercze"/>
            <w:color w:val="000000" w:themeColor="text1"/>
          </w:rPr>
          <w:t>link</w:t>
        </w:r>
      </w:hyperlink>
      <w:r w:rsidRPr="00652FF9">
        <w:rPr>
          <w:color w:val="000000" w:themeColor="text1"/>
        </w:rPr>
        <w:t xml:space="preserve">. </w:t>
      </w:r>
    </w:p>
  </w:footnote>
  <w:footnote w:id="110">
    <w:p w14:paraId="0176613D" w14:textId="1DF7C076"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t>
      </w:r>
      <w:r w:rsidRPr="00652FF9">
        <w:rPr>
          <w:i/>
          <w:color w:val="000000" w:themeColor="text1"/>
        </w:rPr>
        <w:t xml:space="preserve">Stan i perspektywy rozwoju instalacji biometanowych w Polsce, </w:t>
      </w:r>
      <w:r w:rsidRPr="00652FF9">
        <w:rPr>
          <w:color w:val="000000" w:themeColor="text1"/>
        </w:rPr>
        <w:t xml:space="preserve">Polska Organizacja Biometanu 2025, </w:t>
      </w:r>
      <w:hyperlink r:id="rId16" w:history="1">
        <w:r w:rsidRPr="00652FF9">
          <w:rPr>
            <w:rStyle w:val="Hipercze"/>
            <w:color w:val="000000" w:themeColor="text1"/>
          </w:rPr>
          <w:t>link</w:t>
        </w:r>
      </w:hyperlink>
      <w:r w:rsidRPr="00652FF9">
        <w:rPr>
          <w:color w:val="000000" w:themeColor="text1"/>
        </w:rPr>
        <w:t>.</w:t>
      </w:r>
    </w:p>
  </w:footnote>
  <w:footnote w:id="111">
    <w:p w14:paraId="40EBDE3F" w14:textId="174A8604" w:rsidR="00C36C5C" w:rsidRPr="00DC05E4" w:rsidRDefault="00C36C5C">
      <w:pPr>
        <w:pStyle w:val="Tekstprzypisudolnego"/>
        <w:rPr>
          <w:lang w:val="en-US"/>
        </w:rPr>
      </w:pPr>
      <w:r>
        <w:rPr>
          <w:rStyle w:val="Odwoanieprzypisudolnego"/>
        </w:rPr>
        <w:footnoteRef/>
      </w:r>
      <w:r w:rsidRPr="00DC05E4">
        <w:rPr>
          <w:lang w:val="en-US"/>
        </w:rPr>
        <w:t xml:space="preserve"> </w:t>
      </w:r>
      <w:r w:rsidRPr="004C1FBE">
        <w:rPr>
          <w:i/>
          <w:iCs/>
          <w:lang w:val="en-US"/>
        </w:rPr>
        <w:t>Insights into the current cost of biomethane production from real industry data</w:t>
      </w:r>
      <w:r>
        <w:rPr>
          <w:lang w:val="en-US"/>
        </w:rPr>
        <w:t xml:space="preserve">, Biomethane Industrial Partnership, </w:t>
      </w:r>
      <w:hyperlink r:id="rId17" w:history="1">
        <w:r w:rsidRPr="0012657D">
          <w:rPr>
            <w:rStyle w:val="Hipercze"/>
            <w:lang w:val="en-US"/>
          </w:rPr>
          <w:t>link</w:t>
        </w:r>
      </w:hyperlink>
      <w:r>
        <w:rPr>
          <w:lang w:val="en-US"/>
        </w:rPr>
        <w:t>.</w:t>
      </w:r>
    </w:p>
  </w:footnote>
  <w:footnote w:id="112">
    <w:p w14:paraId="68E25FF0" w14:textId="74F665F3" w:rsidR="00C36C5C" w:rsidRPr="00652FF9" w:rsidRDefault="00C36C5C" w:rsidP="00E07AD3">
      <w:pPr>
        <w:pStyle w:val="Tekstprzypisudolnego"/>
        <w:rPr>
          <w:color w:val="000000" w:themeColor="text1"/>
          <w:szCs w:val="18"/>
          <w:lang w:val="en-US"/>
        </w:rPr>
      </w:pPr>
      <w:r w:rsidRPr="00652FF9">
        <w:rPr>
          <w:rStyle w:val="Odwoanieprzypisudolnego"/>
          <w:color w:val="000000" w:themeColor="text1"/>
          <w:szCs w:val="18"/>
        </w:rPr>
        <w:footnoteRef/>
      </w:r>
      <w:r w:rsidRPr="00652FF9">
        <w:rPr>
          <w:color w:val="000000" w:themeColor="text1"/>
          <w:szCs w:val="18"/>
          <w:lang w:val="en-US"/>
        </w:rPr>
        <w:t xml:space="preserve"> </w:t>
      </w:r>
      <w:r w:rsidRPr="00652FF9">
        <w:rPr>
          <w:i/>
          <w:color w:val="000000" w:themeColor="text1"/>
          <w:szCs w:val="18"/>
          <w:lang w:val="en-US"/>
        </w:rPr>
        <w:t>Clean Hydrogen Monitor 202</w:t>
      </w:r>
      <w:r>
        <w:rPr>
          <w:i/>
          <w:color w:val="000000" w:themeColor="text1"/>
          <w:szCs w:val="18"/>
          <w:lang w:val="en-US"/>
        </w:rPr>
        <w:t>4</w:t>
      </w:r>
      <w:r w:rsidRPr="00652FF9">
        <w:rPr>
          <w:color w:val="000000" w:themeColor="text1"/>
          <w:szCs w:val="18"/>
          <w:lang w:val="en-US"/>
        </w:rPr>
        <w:t>, Hydrogen Europe</w:t>
      </w:r>
      <w:r>
        <w:rPr>
          <w:color w:val="000000" w:themeColor="text1"/>
          <w:szCs w:val="18"/>
          <w:lang w:val="en-US"/>
        </w:rPr>
        <w:t xml:space="preserve">, </w:t>
      </w:r>
      <w:hyperlink r:id="rId18" w:history="1">
        <w:r w:rsidRPr="0062215C">
          <w:rPr>
            <w:rStyle w:val="Hipercze"/>
            <w:szCs w:val="18"/>
            <w:lang w:val="en-US"/>
          </w:rPr>
          <w:t>link</w:t>
        </w:r>
      </w:hyperlink>
      <w:r w:rsidRPr="00652FF9">
        <w:rPr>
          <w:color w:val="000000" w:themeColor="text1"/>
          <w:szCs w:val="18"/>
          <w:lang w:val="en-US"/>
        </w:rPr>
        <w:t>.</w:t>
      </w:r>
    </w:p>
  </w:footnote>
  <w:footnote w:id="113">
    <w:p w14:paraId="074D68E6" w14:textId="77777777" w:rsidR="00C36C5C" w:rsidRPr="009143D7" w:rsidRDefault="00C36C5C" w:rsidP="007159B3">
      <w:pPr>
        <w:pStyle w:val="Tekstprzypisudolnego"/>
        <w:rPr>
          <w:color w:val="000000" w:themeColor="text1"/>
          <w:szCs w:val="18"/>
        </w:rPr>
      </w:pPr>
      <w:r w:rsidRPr="00652FF9">
        <w:rPr>
          <w:rStyle w:val="Odwoanieprzypisudolnego"/>
          <w:color w:val="000000" w:themeColor="text1"/>
          <w:szCs w:val="18"/>
        </w:rPr>
        <w:footnoteRef/>
      </w:r>
      <w:r w:rsidRPr="009143D7">
        <w:rPr>
          <w:color w:val="000000" w:themeColor="text1"/>
          <w:szCs w:val="18"/>
        </w:rPr>
        <w:t xml:space="preserve"> Art. 22a dyrektywy UE 2023/2413 – RED III.</w:t>
      </w:r>
    </w:p>
  </w:footnote>
  <w:footnote w:id="114">
    <w:p w14:paraId="3FBDF009" w14:textId="77777777" w:rsidR="00C36C5C" w:rsidRPr="00652FF9" w:rsidRDefault="00C36C5C" w:rsidP="007159B3">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25 ust. 1 lit. b dyrektywy UE 2023/2413 – RED III.</w:t>
      </w:r>
    </w:p>
  </w:footnote>
  <w:footnote w:id="115">
    <w:p w14:paraId="74AE50C0" w14:textId="77777777" w:rsidR="00C36C5C" w:rsidRPr="00652FF9" w:rsidRDefault="00C36C5C" w:rsidP="007159B3">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Taką ilość energii mogłoby wyprodukować ok. 6,7 GW mocy wiatrowych.</w:t>
      </w:r>
    </w:p>
  </w:footnote>
  <w:footnote w:id="116">
    <w:p w14:paraId="00F4A23C" w14:textId="398FF28E" w:rsidR="00C36C5C" w:rsidRPr="00652FF9" w:rsidRDefault="00C36C5C">
      <w:pPr>
        <w:pStyle w:val="Tekstprzypisudolnego"/>
        <w:rPr>
          <w:i/>
          <w:color w:val="000000" w:themeColor="text1"/>
        </w:rPr>
      </w:pPr>
      <w:r w:rsidRPr="00652FF9">
        <w:rPr>
          <w:rStyle w:val="Odwoanieprzypisudolnego"/>
          <w:color w:val="000000" w:themeColor="text1"/>
        </w:rPr>
        <w:footnoteRef/>
      </w:r>
      <w:r w:rsidRPr="00652FF9">
        <w:rPr>
          <w:color w:val="000000" w:themeColor="text1"/>
        </w:rPr>
        <w:t xml:space="preserve"> Najwyższe zużycie globalne w tym okresie przypadło na lata 2018–2019.</w:t>
      </w:r>
      <w:r w:rsidR="00F63A71">
        <w:rPr>
          <w:color w:val="000000" w:themeColor="text1"/>
        </w:rPr>
        <w:t xml:space="preserve"> </w:t>
      </w:r>
      <w:r w:rsidR="00F63A71" w:rsidRPr="00652FF9">
        <w:rPr>
          <w:i/>
          <w:color w:val="000000" w:themeColor="text1"/>
          <w:szCs w:val="18"/>
        </w:rPr>
        <w:t>Bilans Energii Pierwotnej</w:t>
      </w:r>
      <w:r w:rsidR="00F63A71" w:rsidRPr="00652FF9">
        <w:rPr>
          <w:color w:val="000000" w:themeColor="text1"/>
          <w:szCs w:val="18"/>
        </w:rPr>
        <w:t>, ARE S.A. w</w:t>
      </w:r>
      <w:r w:rsidR="00F63A71">
        <w:rPr>
          <w:color w:val="000000" w:themeColor="text1"/>
          <w:szCs w:val="18"/>
        </w:rPr>
        <w:t> </w:t>
      </w:r>
      <w:r w:rsidR="00F63A71" w:rsidRPr="00652FF9">
        <w:rPr>
          <w:color w:val="000000" w:themeColor="text1"/>
          <w:szCs w:val="18"/>
        </w:rPr>
        <w:t>imieniu MKiŚ 202</w:t>
      </w:r>
      <w:r w:rsidR="00F63A71">
        <w:rPr>
          <w:color w:val="000000" w:themeColor="text1"/>
          <w:szCs w:val="18"/>
        </w:rPr>
        <w:t>5</w:t>
      </w:r>
      <w:r w:rsidR="00F63A71" w:rsidRPr="00652FF9">
        <w:rPr>
          <w:color w:val="000000" w:themeColor="text1"/>
          <w:szCs w:val="18"/>
        </w:rPr>
        <w:t xml:space="preserve">, </w:t>
      </w:r>
      <w:hyperlink r:id="rId19" w:anchor="bilans-energii-pierwotnej" w:history="1">
        <w:r w:rsidR="00F63A71" w:rsidRPr="00652FF9">
          <w:rPr>
            <w:rStyle w:val="Hipercze"/>
            <w:color w:val="000000" w:themeColor="text1"/>
            <w:szCs w:val="18"/>
          </w:rPr>
          <w:t>link</w:t>
        </w:r>
      </w:hyperlink>
      <w:r w:rsidRPr="00652FF9">
        <w:rPr>
          <w:color w:val="000000" w:themeColor="text1"/>
        </w:rPr>
        <w:t>.</w:t>
      </w:r>
      <w:r w:rsidRPr="00652FF9">
        <w:rPr>
          <w:i/>
          <w:color w:val="000000" w:themeColor="text1"/>
        </w:rPr>
        <w:t xml:space="preserve"> </w:t>
      </w:r>
    </w:p>
  </w:footnote>
  <w:footnote w:id="117">
    <w:p w14:paraId="791F33E7" w14:textId="321F25EE"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Więcej szczegółowych danych i informacji dotyczących infrastruktury surowcowo-paliwowej znajduje się w załączniku 2 w rozdziale 4.2.3. Natomiast schemat infrastruktury wytwórczej i transportowej ropy i paliw ciekłych znajduje się załączniku 3 w rozdziale 3.</w:t>
      </w:r>
    </w:p>
  </w:footnote>
  <w:footnote w:id="118">
    <w:p w14:paraId="0F35ADAD" w14:textId="14F885B5"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Art. 29 dyrektywy RED II.</w:t>
      </w:r>
    </w:p>
  </w:footnote>
  <w:footnote w:id="119">
    <w:p w14:paraId="6BD2836A" w14:textId="64C3E99A"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Oszacowanie własne MKiŚ, 2025.</w:t>
      </w:r>
    </w:p>
  </w:footnote>
  <w:footnote w:id="120">
    <w:p w14:paraId="29FE95A1" w14:textId="354B996D"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Art. 3 ust. 3 dyrektywy RED III.</w:t>
      </w:r>
    </w:p>
  </w:footnote>
  <w:footnote w:id="121">
    <w:p w14:paraId="08C34E48" w14:textId="405B97C2"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Zagadnienie rozbudowy infrastruktury liniowej energii elektrycznej opisano w </w:t>
      </w:r>
      <w:r w:rsidRPr="00652FF9">
        <w:rPr>
          <w:color w:val="000000" w:themeColor="text1"/>
        </w:rPr>
        <w:fldChar w:fldCharType="begin"/>
      </w:r>
      <w:r w:rsidRPr="00652FF9">
        <w:rPr>
          <w:color w:val="000000" w:themeColor="text1"/>
        </w:rPr>
        <w:instrText xml:space="preserve"> REF _Ref193873750 \n \h </w:instrText>
      </w:r>
      <w:r w:rsidRPr="00652FF9">
        <w:rPr>
          <w:color w:val="000000" w:themeColor="text1"/>
        </w:rPr>
      </w:r>
      <w:r w:rsidRPr="00652FF9">
        <w:rPr>
          <w:color w:val="000000" w:themeColor="text1"/>
        </w:rPr>
        <w:fldChar w:fldCharType="separate"/>
      </w:r>
      <w:r w:rsidR="00871DD5">
        <w:rPr>
          <w:color w:val="000000" w:themeColor="text1"/>
        </w:rPr>
        <w:t>Cel 3.8.3</w:t>
      </w:r>
      <w:r w:rsidRPr="00652FF9">
        <w:rPr>
          <w:color w:val="000000" w:themeColor="text1"/>
        </w:rPr>
        <w:fldChar w:fldCharType="end"/>
      </w:r>
      <w:r w:rsidRPr="00652FF9">
        <w:rPr>
          <w:color w:val="000000" w:themeColor="text1"/>
        </w:rPr>
        <w:t>.</w:t>
      </w:r>
    </w:p>
  </w:footnote>
  <w:footnote w:id="122">
    <w:p w14:paraId="118A823F" w14:textId="0DD75A39" w:rsidR="00C36C5C" w:rsidRPr="00652FF9" w:rsidRDefault="00C36C5C">
      <w:pPr>
        <w:pStyle w:val="Tekstprzypisudolnego"/>
        <w:rPr>
          <w:color w:val="000000" w:themeColor="text1"/>
          <w:lang w:val="en-US"/>
        </w:rPr>
      </w:pPr>
      <w:r w:rsidRPr="00652FF9">
        <w:rPr>
          <w:rStyle w:val="Odwoanieprzypisudolnego"/>
          <w:color w:val="000000" w:themeColor="text1"/>
        </w:rPr>
        <w:footnoteRef/>
      </w:r>
      <w:r w:rsidRPr="00652FF9">
        <w:rPr>
          <w:color w:val="000000" w:themeColor="text1"/>
          <w:lang w:val="en-US"/>
        </w:rPr>
        <w:t xml:space="preserve"> Art. 3 </w:t>
      </w:r>
      <w:r w:rsidRPr="00867BE4">
        <w:rPr>
          <w:color w:val="000000" w:themeColor="text1"/>
          <w:lang w:val="en-US"/>
        </w:rPr>
        <w:t>rozporządzenia (UE) 2019</w:t>
      </w:r>
      <w:r w:rsidRPr="00652FF9">
        <w:rPr>
          <w:color w:val="000000" w:themeColor="text1"/>
          <w:lang w:val="en-US"/>
        </w:rPr>
        <w:t>/943.</w:t>
      </w:r>
    </w:p>
  </w:footnote>
  <w:footnote w:id="123">
    <w:p w14:paraId="469C3031" w14:textId="12AF138E" w:rsidR="00C36C5C" w:rsidRPr="00652FF9" w:rsidRDefault="00C36C5C">
      <w:pPr>
        <w:pStyle w:val="Tekstprzypisudolnego"/>
        <w:rPr>
          <w:color w:val="000000" w:themeColor="text1"/>
          <w:lang w:val="en-US"/>
        </w:rPr>
      </w:pPr>
      <w:r w:rsidRPr="00652FF9">
        <w:rPr>
          <w:rStyle w:val="Odwoanieprzypisudolnego"/>
          <w:color w:val="000000" w:themeColor="text1"/>
        </w:rPr>
        <w:footnoteRef/>
      </w:r>
      <w:r w:rsidRPr="00652FF9">
        <w:rPr>
          <w:color w:val="000000" w:themeColor="text1"/>
          <w:lang w:val="en-US"/>
        </w:rPr>
        <w:t xml:space="preserve"> </w:t>
      </w:r>
      <w:r w:rsidRPr="00652FF9">
        <w:rPr>
          <w:i/>
          <w:color w:val="000000" w:themeColor="text1"/>
          <w:lang w:val="en-US"/>
        </w:rPr>
        <w:t>Action Plan for Affordable Energy: Unlocking the true value of our Energy Union to secure affordable, efficient and clean energy for all Europeans</w:t>
      </w:r>
      <w:r w:rsidRPr="00652FF9">
        <w:rPr>
          <w:color w:val="000000" w:themeColor="text1"/>
          <w:lang w:val="en-US"/>
        </w:rPr>
        <w:t xml:space="preserve">, Komunikat Komisji do PE, Rady, Europejskiego Komitetu Ekonomiczno-Społecznego i Komitetu Regionów, COM (2025) 79 final, </w:t>
      </w:r>
      <w:hyperlink r:id="rId20" w:history="1">
        <w:r w:rsidRPr="00652FF9">
          <w:rPr>
            <w:rStyle w:val="Hipercze"/>
            <w:color w:val="000000" w:themeColor="text1"/>
            <w:lang w:val="en-US"/>
          </w:rPr>
          <w:t>link</w:t>
        </w:r>
      </w:hyperlink>
      <w:r w:rsidRPr="00652FF9">
        <w:rPr>
          <w:color w:val="000000" w:themeColor="text1"/>
          <w:lang w:val="en-US"/>
        </w:rPr>
        <w:t>.</w:t>
      </w:r>
    </w:p>
  </w:footnote>
  <w:footnote w:id="124">
    <w:p w14:paraId="1525DB23" w14:textId="2D578CE7" w:rsidR="00C36C5C" w:rsidRDefault="00C36C5C">
      <w:pPr>
        <w:pStyle w:val="Tekstprzypisudolnego"/>
      </w:pPr>
      <w:r>
        <w:rPr>
          <w:rStyle w:val="Odwoanieprzypisudolnego"/>
        </w:rPr>
        <w:footnoteRef/>
      </w:r>
      <w:r>
        <w:t xml:space="preserve"> </w:t>
      </w:r>
      <w:r w:rsidRPr="00D41043">
        <w:t>Członkami Wspólnoty Energetycznej są: Unia Europejska, Albania, Bośnia i Hercegowina, Macedonia, Czarnogóra, Serbia</w:t>
      </w:r>
      <w:r>
        <w:t>,</w:t>
      </w:r>
      <w:r w:rsidRPr="00D41043">
        <w:t xml:space="preserve"> Kosowo, Mołdawia, Gruzja i Ukraina.</w:t>
      </w:r>
    </w:p>
  </w:footnote>
  <w:footnote w:id="125">
    <w:p w14:paraId="7FF76243" w14:textId="50B1DA81"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Średni czas trwania przerwy w dostawach energii elektrycznej, ang. </w:t>
      </w:r>
      <w:r w:rsidRPr="00652FF9">
        <w:rPr>
          <w:i/>
          <w:color w:val="000000" w:themeColor="text1"/>
        </w:rPr>
        <w:t>System Average Interruption Duration Index</w:t>
      </w:r>
      <w:r w:rsidRPr="00652FF9">
        <w:rPr>
          <w:color w:val="000000" w:themeColor="text1"/>
        </w:rPr>
        <w:t>.</w:t>
      </w:r>
    </w:p>
  </w:footnote>
  <w:footnote w:id="126">
    <w:p w14:paraId="0BE1D673" w14:textId="33EF3C76"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Aktualna wersja PRSP znajduje się na stronie PSE S.A., </w:t>
      </w:r>
      <w:hyperlink r:id="rId21" w:history="1">
        <w:r w:rsidRPr="00652FF9">
          <w:rPr>
            <w:rStyle w:val="Hipercze"/>
            <w:color w:val="000000" w:themeColor="text1"/>
          </w:rPr>
          <w:t>link</w:t>
        </w:r>
      </w:hyperlink>
      <w:r w:rsidRPr="00652FF9">
        <w:rPr>
          <w:color w:val="000000" w:themeColor="text1"/>
        </w:rPr>
        <w:t>.</w:t>
      </w:r>
    </w:p>
  </w:footnote>
  <w:footnote w:id="127">
    <w:p w14:paraId="766FCD57" w14:textId="6814CF30" w:rsidR="00C36C5C" w:rsidRPr="00652FF9" w:rsidRDefault="00C36C5C" w:rsidP="004975D8">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Z systemem elektroenergetycznym Ukrainy KSE ma dwa połączenia transgraniczne, z czego linia 400 kV Rzeszów- Chmielnicka EJ została w 2023 r. włączona do pracy synchronicznej po ponad </w:t>
      </w:r>
      <w:r>
        <w:rPr>
          <w:color w:val="000000" w:themeColor="text1"/>
        </w:rPr>
        <w:t>trzy</w:t>
      </w:r>
      <w:r w:rsidRPr="00652FF9">
        <w:rPr>
          <w:color w:val="000000" w:themeColor="text1"/>
        </w:rPr>
        <w:t>dziestoletnim nieużytkowaniu.</w:t>
      </w:r>
    </w:p>
  </w:footnote>
  <w:footnote w:id="128">
    <w:p w14:paraId="08F802C6" w14:textId="512602F4"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t>
      </w:r>
      <w:r w:rsidRPr="00652FF9">
        <w:rPr>
          <w:i/>
          <w:color w:val="000000" w:themeColor="text1"/>
          <w:szCs w:val="18"/>
        </w:rPr>
        <w:t>Informacja statystyczna o energii elektrycznej. Biuletyn miesięczny – grudzień 2024,</w:t>
      </w:r>
      <w:r w:rsidRPr="00652FF9">
        <w:rPr>
          <w:color w:val="000000" w:themeColor="text1"/>
          <w:szCs w:val="18"/>
        </w:rPr>
        <w:t xml:space="preserve"> tabela 9, ARE S.A. w imieniu MKiŚ i URE.</w:t>
      </w:r>
    </w:p>
  </w:footnote>
  <w:footnote w:id="129">
    <w:p w14:paraId="769F55C7" w14:textId="2E886965"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Wówczas prosumenci korzystają z wyprodukowanej przez siebie energii i nie zwiększają zapotrzebowania. Tym samym szczytowe zapotrzebowanie jest niższe, co zmniejsza potrzeby w zakresie mocy rezerwowych, które muszą w tym celu występować w systemie i generują dodatkowe koszty.</w:t>
      </w:r>
    </w:p>
  </w:footnote>
  <w:footnote w:id="130">
    <w:p w14:paraId="1D748265" w14:textId="72EE0CAA"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20–22 dyrektywy RED II.</w:t>
      </w:r>
    </w:p>
  </w:footnote>
  <w:footnote w:id="131">
    <w:p w14:paraId="32703854" w14:textId="442A44CA" w:rsidR="00C36C5C" w:rsidRPr="00652FF9" w:rsidRDefault="00C36C5C" w:rsidP="005B2997">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Art. 2 pkt 52 i art. 8 ust. 3 dyrektywy EED.</w:t>
      </w:r>
    </w:p>
  </w:footnote>
  <w:footnote w:id="132">
    <w:p w14:paraId="43B39BBC" w14:textId="555D9096"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Wartości z 2019 r. jako punkt odniesienia wynikają z dyrektywy EED. </w:t>
      </w:r>
      <w:r w:rsidRPr="00652FF9">
        <w:rPr>
          <w:color w:val="000000" w:themeColor="text1"/>
          <w:szCs w:val="18"/>
        </w:rPr>
        <w:t>Kontekstowo w tabeli dodano wartości za 2023 r. oraz średnią dla UE-27.</w:t>
      </w:r>
      <w:r>
        <w:rPr>
          <w:color w:val="000000" w:themeColor="text1"/>
          <w:szCs w:val="18"/>
        </w:rPr>
        <w:t xml:space="preserve">  </w:t>
      </w:r>
      <w:r>
        <w:rPr>
          <w:color w:val="000000" w:themeColor="text1"/>
        </w:rPr>
        <w:t xml:space="preserve"> </w:t>
      </w:r>
    </w:p>
  </w:footnote>
  <w:footnote w:id="133">
    <w:p w14:paraId="6E15A8CB" w14:textId="7EFA400A" w:rsidR="00C36C5C" w:rsidRPr="00652FF9" w:rsidRDefault="00C36C5C" w:rsidP="00DE506D">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Patrz też </w:t>
      </w:r>
      <w:r w:rsidRPr="00652FF9">
        <w:rPr>
          <w:color w:val="000000" w:themeColor="text1"/>
        </w:rPr>
        <w:fldChar w:fldCharType="begin"/>
      </w:r>
      <w:r w:rsidRPr="00652FF9">
        <w:rPr>
          <w:color w:val="000000" w:themeColor="text1"/>
        </w:rPr>
        <w:instrText xml:space="preserve"> REF _Ref188360954 \n \h </w:instrText>
      </w:r>
      <w:r w:rsidRPr="00652FF9">
        <w:rPr>
          <w:color w:val="000000" w:themeColor="text1"/>
        </w:rPr>
      </w:r>
      <w:r w:rsidRPr="00652FF9">
        <w:rPr>
          <w:color w:val="000000" w:themeColor="text1"/>
        </w:rPr>
        <w:fldChar w:fldCharType="separate"/>
      </w:r>
      <w:r w:rsidR="00871DD5">
        <w:rPr>
          <w:color w:val="000000" w:themeColor="text1"/>
        </w:rPr>
        <w:t>Cel 1.1.2</w:t>
      </w:r>
      <w:r w:rsidRPr="00652FF9">
        <w:rPr>
          <w:color w:val="000000" w:themeColor="text1"/>
        </w:rPr>
        <w:fldChar w:fldCharType="end"/>
      </w:r>
      <w:r w:rsidRPr="00652FF9">
        <w:rPr>
          <w:color w:val="000000" w:themeColor="text1"/>
        </w:rPr>
        <w:t>, gdzie opisano wdrożenie systemu EU ETS-2.</w:t>
      </w:r>
    </w:p>
  </w:footnote>
  <w:footnote w:id="134">
    <w:p w14:paraId="7C5639EA" w14:textId="4637DCB7"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Z badania przeprowadzonego przez Ministerstwo Rozwoju i Technologii, zrealizowanego na próbie mikroprzedsiębiorstw (jednoosobowych firm niezatrudniających pracowników oraz firm poniżej 10 zatrudnionych), które korzystają z paliw kopalnych do ogrzewania budynków lub korzystają z samochodów napędzanych paliwami kopalnymi, wynika, że niemal 40% badanych przedsiębiorców deklaruje, że aktualne koszty energii istotnie wpływają na ograniczenie możliwości inwestowania w rozwój firmy. Co piąta firma korzysta z węgla (koszt 6,1 tys. PLN), co czwarta z gazu (koszty niemal 10 tys. PLN) i zaledwie 3,5% z oleju opałowego. Koszty paliw na potrzeby grzewcze średnio stanowią 8,6% ogólnych kosztów działalności firm dysponujących własnymi budynkami.</w:t>
      </w:r>
    </w:p>
  </w:footnote>
  <w:footnote w:id="135">
    <w:p w14:paraId="05B93879" w14:textId="5955BE1E"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Dotychczasowy cel opierał się na metodyce krajowej. Z tego względu nie należy porównywać nowej wartości z celem wskazanym w </w:t>
      </w:r>
      <w:r w:rsidRPr="00652FF9">
        <w:rPr>
          <w:i/>
          <w:color w:val="000000" w:themeColor="text1"/>
          <w:szCs w:val="18"/>
        </w:rPr>
        <w:t>Polityce energetycznej Polski do 2040 r.</w:t>
      </w:r>
    </w:p>
  </w:footnote>
  <w:footnote w:id="136">
    <w:p w14:paraId="69B2C78F" w14:textId="67783F9C" w:rsidR="00C36C5C" w:rsidRPr="00652FF9" w:rsidRDefault="00C36C5C">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W następstwie dwóch ustaw o innowacyjności: ustawy z dnia 4 listopada 2016 r. o zmianie niektórych ustaw określających warunki prowadzenia działalności innowacyjnej (Dz. U. poz. 1933) oraz ustawy z dnia 9 listopada 2017 r. o zmianie niektórych ustaw w celu poprawy otoczenia prawnego działalności innowacyjnej (Dz.U. poz. 2201); jak również ustawy z dnia 19 lipca 2019 r. o zmianie ustawy – Kodeks spółek handlowych oraz niektórych innych ustaw (Dz. U. poz. 1655).</w:t>
      </w:r>
    </w:p>
  </w:footnote>
  <w:footnote w:id="137">
    <w:p w14:paraId="23E1A1FF" w14:textId="7FBD488F"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https://kwalifikacje.gov.pl/</w:t>
      </w:r>
    </w:p>
  </w:footnote>
  <w:footnote w:id="138">
    <w:p w14:paraId="5C26EDC4" w14:textId="77777777" w:rsidR="00C36C5C" w:rsidRPr="00652FF9" w:rsidRDefault="00C36C5C" w:rsidP="007B2114">
      <w:pPr>
        <w:pStyle w:val="Tekstprzypisudolnego"/>
        <w:rPr>
          <w:color w:val="000000" w:themeColor="text1"/>
          <w:szCs w:val="18"/>
        </w:rPr>
      </w:pPr>
      <w:r w:rsidRPr="00652FF9">
        <w:rPr>
          <w:rStyle w:val="Odwoanieprzypisudolnego"/>
          <w:color w:val="000000" w:themeColor="text1"/>
          <w:szCs w:val="18"/>
        </w:rPr>
        <w:footnoteRef/>
      </w:r>
      <w:r w:rsidRPr="00652FF9">
        <w:rPr>
          <w:color w:val="000000" w:themeColor="text1"/>
          <w:szCs w:val="18"/>
        </w:rPr>
        <w:t xml:space="preserve"> Zgodnie z art. 46 ustawy z dnia 14 grudnia 2016 r. – Prawo oświatowe (Dz. U. z 2024 r. poz. 737, z późn. zm.).</w:t>
      </w:r>
    </w:p>
  </w:footnote>
  <w:footnote w:id="139">
    <w:p w14:paraId="44C666A3" w14:textId="77777777" w:rsidR="00C36C5C" w:rsidRPr="00652FF9" w:rsidRDefault="00C36C5C" w:rsidP="00491705">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Ustawa z dnia 20 lipca 2017 r. – Prawo wodne (Dz. U. z 2024 r. poz. 1087, 1089 i 1473 oraz z 2025 r. poz. 216)</w:t>
      </w:r>
    </w:p>
  </w:footnote>
  <w:footnote w:id="140">
    <w:p w14:paraId="0A5C43C0" w14:textId="77777777" w:rsidR="00C36C5C" w:rsidRPr="00652FF9" w:rsidRDefault="00C36C5C" w:rsidP="00491705">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Ustawa z dnia 10 lipca 2007 r. o nawozach i nawożeniu (Dz.U. z 2024 r. poz. 105)</w:t>
      </w:r>
    </w:p>
  </w:footnote>
  <w:footnote w:id="141">
    <w:p w14:paraId="109FC9A3" w14:textId="77777777" w:rsidR="00C36C5C" w:rsidRPr="00652FF9" w:rsidRDefault="00C36C5C" w:rsidP="00491705">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Ustawa z dnia 7 maja 2020 r. o zmianie ustawy o nawozach i nawożeniu oraz ustawy o Państwowej Inspekcji Ochrony Roślin i Nasiennictwa (Dz.U. z 2020 r. poz. 1069).</w:t>
      </w:r>
    </w:p>
  </w:footnote>
  <w:footnote w:id="142">
    <w:p w14:paraId="751B7608" w14:textId="77777777" w:rsidR="00C36C5C" w:rsidRPr="00652FF9" w:rsidRDefault="00C36C5C" w:rsidP="00491705">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Ustawa z dnia 22 października 2004 r. o jednostkach doradztwa rolniczego (Dz.U. z 2024 r. poz. 76)</w:t>
      </w:r>
    </w:p>
  </w:footnote>
  <w:footnote w:id="143">
    <w:p w14:paraId="6F91C00F" w14:textId="28FDE85B" w:rsidR="00C36C5C" w:rsidRDefault="00C36C5C">
      <w:pPr>
        <w:pStyle w:val="Tekstprzypisudolnego"/>
      </w:pPr>
      <w:r>
        <w:rPr>
          <w:rStyle w:val="Odwoanieprzypisudolnego"/>
        </w:rPr>
        <w:footnoteRef/>
      </w:r>
      <w:r>
        <w:t xml:space="preserve"> </w:t>
      </w:r>
      <w:r w:rsidRPr="001062BA">
        <w:t xml:space="preserve">Rozporządzenie delegowane Komisji (UE) 2024/1366 </w:t>
      </w:r>
      <w:r>
        <w:t>(pełna nazwa</w:t>
      </w:r>
      <w:r w:rsidRPr="001062BA">
        <w:t xml:space="preserve"> w </w:t>
      </w:r>
      <w:r w:rsidRPr="00DD0C8A">
        <w:rPr>
          <w:i/>
          <w:iCs/>
        </w:rPr>
        <w:t>Wykazie regulacji UE</w:t>
      </w:r>
      <w:r>
        <w:t xml:space="preserve"> na końcu dokumentu) </w:t>
      </w:r>
    </w:p>
  </w:footnote>
  <w:footnote w:id="144">
    <w:p w14:paraId="55217DF2" w14:textId="3CB8FA95" w:rsidR="00C36C5C" w:rsidRPr="00652FF9" w:rsidRDefault="00C36C5C" w:rsidP="00127AD1">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Np. dyrektywa 2023/1791 w sprawie efektywności energetycznej została zatwierdzona we wrześniu 2023 r., dyrektywa 2023/2413 w sprawie promowania stosowania energii ze źródeł odnawialnych – w październiku 2023 r., dyrektywa 2024/1275 w sprawie charakterystyki energetycznej budynków – w kwietniu 2024 r.</w:t>
      </w:r>
    </w:p>
  </w:footnote>
  <w:footnote w:id="145">
    <w:p w14:paraId="2CB6086B" w14:textId="2D1DA7CB" w:rsidR="00C36C5C" w:rsidRPr="00652FF9" w:rsidRDefault="00C36C5C">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Dz. Urz. MKiŚ z 2023 r. poz. 47.</w:t>
      </w:r>
    </w:p>
  </w:footnote>
  <w:footnote w:id="146">
    <w:p w14:paraId="7B5F7FA7" w14:textId="77777777" w:rsidR="00C36C5C" w:rsidRPr="00652FF9" w:rsidRDefault="00C36C5C" w:rsidP="00E70B73">
      <w:pPr>
        <w:pStyle w:val="Tekstprzypisudolnego"/>
        <w:rPr>
          <w:color w:val="000000" w:themeColor="text1"/>
        </w:rPr>
      </w:pPr>
      <w:r w:rsidRPr="00652FF9">
        <w:rPr>
          <w:rStyle w:val="Odwoanieprzypisudolnego"/>
          <w:color w:val="000000" w:themeColor="text1"/>
        </w:rPr>
        <w:footnoteRef/>
      </w:r>
      <w:r w:rsidRPr="00652FF9">
        <w:rPr>
          <w:color w:val="000000" w:themeColor="text1"/>
        </w:rPr>
        <w:t xml:space="preserve"> Ustawa dnia 15 maja 2024 r. o zmianie niektórych ustaw związanych z funkcjonowaniem administracji rządowej (Dz. U. poz. 834)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D1EE" w14:textId="512F6EC0" w:rsidR="00C36C5C" w:rsidRDefault="00C36C5C">
    <w:pPr>
      <w:pStyle w:val="Nagwek"/>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2B28" w14:textId="59E544BF" w:rsidR="00C36C5C" w:rsidRDefault="00C36C5C">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F055" w14:textId="2E24A74D" w:rsidR="00C36C5C" w:rsidRDefault="00C36C5C">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AE94" w14:textId="4F3307B1" w:rsidR="00C36C5C" w:rsidRPr="00043992" w:rsidRDefault="00C36C5C" w:rsidP="00CA6554">
    <w:pPr>
      <w:pStyle w:val="Nag-dziaania"/>
      <w:rPr>
        <w:color w:val="C00000"/>
      </w:rPr>
    </w:pPr>
    <w:r w:rsidRPr="00043992">
      <w:rPr>
        <w:color w:val="C00000"/>
      </w:rPr>
      <w:t xml:space="preserve">DZIAŁANIA – Wymiar 3. Bezpieczeństwo energetyczne </w:t>
    </w:r>
    <w:r w:rsidRPr="00043992">
      <w:rPr>
        <w:rFonts w:hint="eastAsia"/>
        <w:color w:val="C00000"/>
      </w:rPr>
      <w:t>■</w:t>
    </w:r>
  </w:p>
  <w:p w14:paraId="33153A0B" w14:textId="481766B1" w:rsidR="00C36C5C" w:rsidRDefault="00C36C5C">
    <w:pPr>
      <w:pStyle w:val="Nagwek"/>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D8EA" w14:textId="1527AD00" w:rsidR="00C36C5C" w:rsidRDefault="00C36C5C">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D66B" w14:textId="67E97292" w:rsidR="00C36C5C" w:rsidRDefault="00C36C5C">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9E57" w14:textId="01DD428E" w:rsidR="00C36C5C" w:rsidRPr="00043992" w:rsidRDefault="00C36C5C" w:rsidP="00CA6554">
    <w:pPr>
      <w:pStyle w:val="Nag-dziaania"/>
      <w:rPr>
        <w:color w:val="FFC000" w:themeColor="accent4"/>
      </w:rPr>
    </w:pPr>
    <w:r w:rsidRPr="00043992">
      <w:rPr>
        <w:color w:val="FFC000" w:themeColor="accent4"/>
      </w:rPr>
      <w:t>DZIAŁANIA – Wymiar 4. Wewnątrzunijny rynek energii i społeczne aspekty transformacji</w:t>
    </w:r>
    <w:r w:rsidRPr="00043992">
      <w:rPr>
        <w:rFonts w:hint="eastAsia"/>
        <w:color w:val="FFC000" w:themeColor="accent4"/>
      </w:rPr>
      <w:t>■</w:t>
    </w:r>
  </w:p>
  <w:p w14:paraId="1AF98D49" w14:textId="77777777" w:rsidR="00C36C5C" w:rsidRPr="009F667D" w:rsidRDefault="00C36C5C" w:rsidP="00CA6554">
    <w:pPr>
      <w:pStyle w:val="Nag-dziaani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776A" w14:textId="73BAFF84" w:rsidR="00C36C5C" w:rsidRDefault="00C36C5C">
    <w:pPr>
      <w:pStyle w:val="Nagwek"/>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2E00" w14:textId="0E7B6B3E" w:rsidR="00C36C5C" w:rsidRDefault="00C36C5C">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6FAF" w14:textId="2FCDE34B" w:rsidR="00C36C5C" w:rsidRPr="005C4A55" w:rsidRDefault="00C36C5C" w:rsidP="00CA6554">
    <w:pPr>
      <w:pStyle w:val="Nag-dziaania"/>
      <w:rPr>
        <w:color w:val="808080" w:themeColor="background1" w:themeShade="80"/>
      </w:rPr>
    </w:pPr>
    <w:r w:rsidRPr="005C4A55">
      <w:rPr>
        <w:color w:val="808080" w:themeColor="background1" w:themeShade="80"/>
      </w:rPr>
      <w:t xml:space="preserve">DZIAŁANIA – Wymiar 5. Badania naukowe, innowacyjność i konkurencyjność </w:t>
    </w:r>
    <w:r w:rsidRPr="005C4A55">
      <w:rPr>
        <w:rFonts w:hint="eastAsia"/>
        <w:color w:val="808080" w:themeColor="background1" w:themeShade="80"/>
      </w:rPr>
      <w:t>■</w:t>
    </w:r>
  </w:p>
  <w:p w14:paraId="7635C78F" w14:textId="77777777" w:rsidR="00C36C5C" w:rsidRPr="00CB6433" w:rsidRDefault="00C36C5C" w:rsidP="00CB6433">
    <w:pPr>
      <w:pStyle w:val="Nagwek"/>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4C3F" w14:textId="204EEA33" w:rsidR="00C36C5C" w:rsidRDefault="00C36C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20F7" w14:textId="7E1B5352" w:rsidR="00C36C5C" w:rsidRDefault="00C36C5C">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1210" w14:textId="6CBAD0B0" w:rsidR="00C36C5C" w:rsidRDefault="00C36C5C">
    <w:pPr>
      <w:pStyle w:val="Nagwek"/>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83A65" w14:textId="462CC607" w:rsidR="00C36C5C" w:rsidRDefault="00C36C5C" w:rsidP="00156737">
    <w:pPr>
      <w:pStyle w:val="Nagwek"/>
      <w:jc w:val="right"/>
    </w:pPr>
    <w:r>
      <w:t xml:space="preserve">Projekt aKPEiK </w:t>
    </w:r>
    <w:r w:rsidRPr="008B282F">
      <w:rPr>
        <w:i/>
        <w:iCs/>
      </w:rPr>
      <w:t xml:space="preserve">– wersja </w:t>
    </w:r>
    <w:r>
      <w:rPr>
        <w:i/>
        <w:iCs/>
      </w:rPr>
      <w:t>z 07.2025</w:t>
    </w:r>
  </w:p>
  <w:p w14:paraId="5DEE79C1" w14:textId="77777777" w:rsidR="00C36C5C" w:rsidRPr="00156737" w:rsidRDefault="00C36C5C" w:rsidP="00156737">
    <w:pPr>
      <w:pStyle w:val="Nagwek"/>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61BF" w14:textId="08958FD0" w:rsidR="00C36C5C" w:rsidRDefault="00C36C5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B455" w14:textId="10148AF0" w:rsidR="00C36C5C" w:rsidRDefault="00C36C5C" w:rsidP="008B282F">
    <w:pPr>
      <w:pStyle w:val="Nagwek"/>
      <w:jc w:val="right"/>
    </w:pPr>
    <w:r>
      <w:t xml:space="preserve">projekt aKPEiK </w:t>
    </w:r>
    <w:r w:rsidRPr="008B282F">
      <w:rPr>
        <w:i/>
        <w:iCs/>
      </w:rPr>
      <w:t xml:space="preserve">– wersja </w:t>
    </w:r>
    <w:r>
      <w:rPr>
        <w:i/>
        <w:iCs/>
      </w:rPr>
      <w:t>07.2025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67FD" w14:textId="23B8A840" w:rsidR="00C36C5C" w:rsidRDefault="00C36C5C">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AD65" w14:textId="270D6AAC" w:rsidR="00C36C5C" w:rsidRDefault="00C36C5C">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5DDD" w14:textId="48C21D27" w:rsidR="00C36C5C" w:rsidRPr="00AA1A04" w:rsidRDefault="00C36C5C" w:rsidP="00CA6554">
    <w:pPr>
      <w:pStyle w:val="Nag-dziaania"/>
      <w:rPr>
        <w:color w:val="70AD47" w:themeColor="accent6"/>
      </w:rPr>
    </w:pPr>
    <w:r w:rsidRPr="00AA1A04">
      <w:rPr>
        <w:color w:val="70AD47" w:themeColor="accent6"/>
      </w:rPr>
      <w:t xml:space="preserve">DZIAŁANIA – Wymiar 1. Obniżenie emisyjności </w:t>
    </w:r>
    <w:r w:rsidRPr="00AA1A04">
      <w:rPr>
        <w:rFonts w:ascii="MS Gothic" w:hAnsi="MS Gothic" w:hint="eastAsia"/>
        <w:color w:val="70AD47" w:themeColor="accent6"/>
      </w:rPr>
      <w:t>■</w:t>
    </w:r>
  </w:p>
  <w:p w14:paraId="5D01FAF7" w14:textId="6C1C6759" w:rsidR="00C36C5C" w:rsidRPr="00CE5AEF" w:rsidRDefault="00C36C5C" w:rsidP="00CE5AEF">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81BA" w14:textId="52552230" w:rsidR="00C36C5C" w:rsidRDefault="00C36C5C">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C18A" w14:textId="4B8B3C96" w:rsidR="00C36C5C" w:rsidRDefault="00C36C5C">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909B" w14:textId="37A0213B" w:rsidR="00C36C5C" w:rsidRPr="00AA1A04" w:rsidRDefault="00C36C5C" w:rsidP="00CA6554">
    <w:pPr>
      <w:pStyle w:val="Nag-dziaania"/>
      <w:rPr>
        <w:color w:val="4472C4" w:themeColor="accent1"/>
      </w:rPr>
    </w:pPr>
    <w:r w:rsidRPr="00AA1A04">
      <w:rPr>
        <w:color w:val="4472C4" w:themeColor="accent1"/>
      </w:rPr>
      <w:t xml:space="preserve">DZIAŁANIA – Wymiar 2. Efektywność energetyczna </w:t>
    </w:r>
    <w:r w:rsidRPr="00AA1A04">
      <w:rPr>
        <w:rFonts w:hint="eastAsia"/>
        <w:color w:val="4472C4" w:themeColor="accent1"/>
      </w:rPr>
      <w:t>■</w:t>
    </w:r>
  </w:p>
  <w:p w14:paraId="18217D25" w14:textId="77777777" w:rsidR="00C36C5C" w:rsidRPr="00CE5AEF" w:rsidRDefault="00C36C5C" w:rsidP="00CE5AE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45B"/>
    <w:multiLevelType w:val="hybridMultilevel"/>
    <w:tmpl w:val="D0C23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904C2B"/>
    <w:multiLevelType w:val="hybridMultilevel"/>
    <w:tmpl w:val="A5B82B20"/>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2" w15:restartNumberingAfterBreak="0">
    <w:nsid w:val="011829A0"/>
    <w:multiLevelType w:val="hybridMultilevel"/>
    <w:tmpl w:val="3542B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845F23"/>
    <w:multiLevelType w:val="hybridMultilevel"/>
    <w:tmpl w:val="18ACFF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89113D"/>
    <w:multiLevelType w:val="hybridMultilevel"/>
    <w:tmpl w:val="0B507D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1DA4548"/>
    <w:multiLevelType w:val="hybridMultilevel"/>
    <w:tmpl w:val="4C0A91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C24E98"/>
    <w:multiLevelType w:val="hybridMultilevel"/>
    <w:tmpl w:val="AF6676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4507CC"/>
    <w:multiLevelType w:val="hybridMultilevel"/>
    <w:tmpl w:val="9C8AED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47A5C12"/>
    <w:multiLevelType w:val="hybridMultilevel"/>
    <w:tmpl w:val="59FC7444"/>
    <w:lvl w:ilvl="0" w:tplc="0415000F">
      <w:start w:val="1"/>
      <w:numFmt w:val="decimal"/>
      <w:lvlText w:val="%1."/>
      <w:lvlJc w:val="left"/>
      <w:pPr>
        <w:ind w:left="360" w:hanging="360"/>
      </w:pPr>
      <w:rPr>
        <w:rFonts w:hint="default"/>
      </w:rPr>
    </w:lvl>
    <w:lvl w:ilvl="1" w:tplc="F83A676A">
      <w:start w:val="1"/>
      <w:numFmt w:val="lowerLetter"/>
      <w:lvlText w:val="%2."/>
      <w:lvlJc w:val="left"/>
      <w:pPr>
        <w:ind w:left="1080" w:hanging="360"/>
      </w:pPr>
      <w:rPr>
        <w:i w:val="0"/>
        <w:iCs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DB0259"/>
    <w:multiLevelType w:val="multilevel"/>
    <w:tmpl w:val="330CE498"/>
    <w:lvl w:ilvl="0">
      <w:start w:val="1"/>
      <w:numFmt w:val="upperRoman"/>
      <w:pStyle w:val="Nagwek1"/>
      <w:lvlText w:val="%1."/>
      <w:lvlJc w:val="left"/>
      <w:pPr>
        <w:ind w:left="0" w:firstLine="0"/>
      </w:pPr>
      <w:rPr>
        <w:rFonts w:ascii="Bahnschrift" w:hAnsi="Bahnschrift" w:hint="default"/>
        <w:sz w:val="44"/>
        <w:szCs w:val="24"/>
      </w:rPr>
    </w:lvl>
    <w:lvl w:ilvl="1">
      <w:start w:val="1"/>
      <w:numFmt w:val="decimal"/>
      <w:pStyle w:val="Nagwek2"/>
      <w:suff w:val="space"/>
      <w:lvlText w:val="%2."/>
      <w:lvlJc w:val="left"/>
      <w:pPr>
        <w:ind w:left="567" w:hanging="567"/>
      </w:pPr>
      <w:rPr>
        <w:rFonts w:hint="default"/>
        <w:color w:val="FFFFFF" w:themeColor="background1"/>
      </w:rPr>
    </w:lvl>
    <w:lvl w:ilvl="2">
      <w:start w:val="1"/>
      <w:numFmt w:val="decimal"/>
      <w:pStyle w:val="Nagwek3"/>
      <w:lvlText w:val="Obszar %2.%3."/>
      <w:lvlJc w:val="left"/>
      <w:pPr>
        <w:ind w:left="2126" w:hanging="2126"/>
      </w:pPr>
      <w:rPr>
        <w:rFonts w:hint="default"/>
      </w:rPr>
    </w:lvl>
    <w:lvl w:ilvl="3">
      <w:start w:val="1"/>
      <w:numFmt w:val="decimal"/>
      <w:pStyle w:val="Nagwek4"/>
      <w:lvlText w:val="Cel %2.%3.%4."/>
      <w:lvlJc w:val="left"/>
      <w:pPr>
        <w:ind w:left="1418" w:hanging="1418"/>
      </w:pPr>
      <w:rPr>
        <w:rFonts w:hint="default"/>
      </w:rPr>
    </w:lvl>
    <w:lvl w:ilvl="4">
      <w:start w:val="1"/>
      <w:numFmt w:val="none"/>
      <w:pStyle w:val="Nagwek5"/>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pStyle w:val="Nagwek7"/>
      <w:lvlText w:val="%2.%3.%4%6.%7"/>
      <w:lvlJc w:val="left"/>
      <w:pPr>
        <w:ind w:left="1296" w:hanging="1296"/>
      </w:pPr>
      <w:rPr>
        <w:rFonts w:hint="default"/>
      </w:rPr>
    </w:lvl>
    <w:lvl w:ilvl="7">
      <w:start w:val="1"/>
      <w:numFmt w:val="decimal"/>
      <w:pStyle w:val="Nagwek8"/>
      <w:lvlText w:val="%2.%3.%4.%5%6.%7.%8"/>
      <w:lvlJc w:val="left"/>
      <w:pPr>
        <w:ind w:left="1440" w:hanging="1440"/>
      </w:pPr>
      <w:rPr>
        <w:rFonts w:hint="default"/>
      </w:rPr>
    </w:lvl>
    <w:lvl w:ilvl="8">
      <w:start w:val="1"/>
      <w:numFmt w:val="decimal"/>
      <w:pStyle w:val="Nagwek9"/>
      <w:lvlText w:val="%2.%3.%4.%5.%6.%7.%8.%9"/>
      <w:lvlJc w:val="left"/>
      <w:pPr>
        <w:ind w:left="1584" w:hanging="1584"/>
      </w:pPr>
      <w:rPr>
        <w:rFonts w:hint="default"/>
      </w:rPr>
    </w:lvl>
  </w:abstractNum>
  <w:abstractNum w:abstractNumId="10" w15:restartNumberingAfterBreak="0">
    <w:nsid w:val="05A40DC3"/>
    <w:multiLevelType w:val="hybridMultilevel"/>
    <w:tmpl w:val="24145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6AB0956"/>
    <w:multiLevelType w:val="hybridMultilevel"/>
    <w:tmpl w:val="519C5FDE"/>
    <w:lvl w:ilvl="0" w:tplc="041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F346AC"/>
    <w:multiLevelType w:val="hybridMultilevel"/>
    <w:tmpl w:val="ED6E28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7405449"/>
    <w:multiLevelType w:val="hybridMultilevel"/>
    <w:tmpl w:val="4196A374"/>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7ED3463"/>
    <w:multiLevelType w:val="hybridMultilevel"/>
    <w:tmpl w:val="D730D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8706DB9"/>
    <w:multiLevelType w:val="hybridMultilevel"/>
    <w:tmpl w:val="36E2F7C6"/>
    <w:lvl w:ilvl="0" w:tplc="2A7AEAC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9192819"/>
    <w:multiLevelType w:val="hybridMultilevel"/>
    <w:tmpl w:val="1E785A84"/>
    <w:lvl w:ilvl="0" w:tplc="EA9281EC">
      <w:start w:val="1"/>
      <w:numFmt w:val="decimal"/>
      <w:lvlText w:val="%1.  "/>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9385504"/>
    <w:multiLevelType w:val="hybridMultilevel"/>
    <w:tmpl w:val="62F25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DD7AD4"/>
    <w:multiLevelType w:val="hybridMultilevel"/>
    <w:tmpl w:val="1E483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B560AD5"/>
    <w:multiLevelType w:val="hybridMultilevel"/>
    <w:tmpl w:val="56DCB2D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C56789F"/>
    <w:multiLevelType w:val="hybridMultilevel"/>
    <w:tmpl w:val="75B88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D326744"/>
    <w:multiLevelType w:val="hybridMultilevel"/>
    <w:tmpl w:val="BC4AD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DE2385E"/>
    <w:multiLevelType w:val="multilevel"/>
    <w:tmpl w:val="F2DED1D0"/>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ind w:left="1789" w:hanging="360"/>
      </w:pPr>
      <w:rPr>
        <w:rFonts w:ascii="Lato" w:eastAsia="Times New Roman" w:hAnsi="Lato" w:cs="Times New Roman" w:hint="default"/>
        <w:sz w:val="20"/>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3" w15:restartNumberingAfterBreak="0">
    <w:nsid w:val="0DEC4935"/>
    <w:multiLevelType w:val="hybridMultilevel"/>
    <w:tmpl w:val="1A98C0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0EC12C30"/>
    <w:multiLevelType w:val="hybridMultilevel"/>
    <w:tmpl w:val="705848EA"/>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12B6149"/>
    <w:multiLevelType w:val="hybridMultilevel"/>
    <w:tmpl w:val="CC404688"/>
    <w:lvl w:ilvl="0" w:tplc="2F8453B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1757794"/>
    <w:multiLevelType w:val="hybridMultilevel"/>
    <w:tmpl w:val="5E3A3A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17D2071"/>
    <w:multiLevelType w:val="hybridMultilevel"/>
    <w:tmpl w:val="A6C8ED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1B7586F"/>
    <w:multiLevelType w:val="hybridMultilevel"/>
    <w:tmpl w:val="DAB012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6C4933"/>
    <w:multiLevelType w:val="hybridMultilevel"/>
    <w:tmpl w:val="CB3EB90C"/>
    <w:lvl w:ilvl="0" w:tplc="2F8453B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3F31756"/>
    <w:multiLevelType w:val="hybridMultilevel"/>
    <w:tmpl w:val="EA3811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79E442B"/>
    <w:multiLevelType w:val="hybridMultilevel"/>
    <w:tmpl w:val="A9744F4C"/>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7CD4D38"/>
    <w:multiLevelType w:val="hybridMultilevel"/>
    <w:tmpl w:val="39C0D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9383D67"/>
    <w:multiLevelType w:val="hybridMultilevel"/>
    <w:tmpl w:val="CE3C73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9F758BE"/>
    <w:multiLevelType w:val="hybridMultilevel"/>
    <w:tmpl w:val="5114B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A963027"/>
    <w:multiLevelType w:val="hybridMultilevel"/>
    <w:tmpl w:val="E9086D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1BF11BB3"/>
    <w:multiLevelType w:val="hybridMultilevel"/>
    <w:tmpl w:val="A3AA5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C6930ED"/>
    <w:multiLevelType w:val="hybridMultilevel"/>
    <w:tmpl w:val="6E7E57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A04C2C"/>
    <w:multiLevelType w:val="hybridMultilevel"/>
    <w:tmpl w:val="F1D65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D0F7689"/>
    <w:multiLevelType w:val="hybridMultilevel"/>
    <w:tmpl w:val="569292AC"/>
    <w:lvl w:ilvl="0" w:tplc="5E241CD4">
      <w:start w:val="1"/>
      <w:numFmt w:val="lowerRoman"/>
      <w:lvlText w:val="%1)"/>
      <w:lvlJc w:val="righ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DC54616"/>
    <w:multiLevelType w:val="hybridMultilevel"/>
    <w:tmpl w:val="DFC29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DC65FF8"/>
    <w:multiLevelType w:val="hybridMultilevel"/>
    <w:tmpl w:val="B7105CCE"/>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EE74A4C"/>
    <w:multiLevelType w:val="hybridMultilevel"/>
    <w:tmpl w:val="EF789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0CA2A03"/>
    <w:multiLevelType w:val="hybridMultilevel"/>
    <w:tmpl w:val="3FE8F830"/>
    <w:lvl w:ilvl="0" w:tplc="FFFFFFFF">
      <w:start w:val="1"/>
      <w:numFmt w:val="bullet"/>
      <w:lvlText w:val=""/>
      <w:lvlJc w:val="left"/>
      <w:pPr>
        <w:ind w:left="720" w:hanging="360"/>
      </w:pPr>
      <w:rPr>
        <w:rFonts w:ascii="Symbol" w:hAnsi="Symbol" w:hint="default"/>
      </w:rPr>
    </w:lvl>
    <w:lvl w:ilvl="1" w:tplc="2A7AEAC0">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10506B3"/>
    <w:multiLevelType w:val="hybridMultilevel"/>
    <w:tmpl w:val="01BCFAE8"/>
    <w:lvl w:ilvl="0" w:tplc="FFFFFFFF">
      <w:start w:val="1"/>
      <w:numFmt w:val="decimal"/>
      <w:lvlText w:val="%1."/>
      <w:lvlJc w:val="left"/>
      <w:pPr>
        <w:ind w:left="360" w:hanging="360"/>
      </w:pPr>
    </w:lvl>
    <w:lvl w:ilvl="1" w:tplc="0BB21638">
      <w:start w:val="1"/>
      <w:numFmt w:val="bullet"/>
      <w:lvlText w:val="‒"/>
      <w:lvlJc w:val="left"/>
      <w:pPr>
        <w:ind w:left="1080" w:hanging="360"/>
      </w:pPr>
      <w:rPr>
        <w:rFonts w:ascii="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17A0DAD"/>
    <w:multiLevelType w:val="hybridMultilevel"/>
    <w:tmpl w:val="BF689F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1DC1AC4"/>
    <w:multiLevelType w:val="hybridMultilevel"/>
    <w:tmpl w:val="F09C5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2567E88"/>
    <w:multiLevelType w:val="hybridMultilevel"/>
    <w:tmpl w:val="1B24A0C8"/>
    <w:lvl w:ilvl="0" w:tplc="B90EECEC">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3C16C5D"/>
    <w:multiLevelType w:val="hybridMultilevel"/>
    <w:tmpl w:val="04B6F796"/>
    <w:lvl w:ilvl="0" w:tplc="0BB21638">
      <w:start w:val="1"/>
      <w:numFmt w:val="bullet"/>
      <w:lvlText w:val="‒"/>
      <w:lvlJc w:val="left"/>
      <w:pPr>
        <w:ind w:left="756" w:hanging="360"/>
      </w:pPr>
      <w:rPr>
        <w:rFonts w:ascii="Times New Roman" w:hAnsi="Times New Roman" w:cs="Times New Roman"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49" w15:restartNumberingAfterBreak="0">
    <w:nsid w:val="240C1ED2"/>
    <w:multiLevelType w:val="hybridMultilevel"/>
    <w:tmpl w:val="4A7279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5EA48D3"/>
    <w:multiLevelType w:val="hybridMultilevel"/>
    <w:tmpl w:val="FAEAA4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6C769F5"/>
    <w:multiLevelType w:val="hybridMultilevel"/>
    <w:tmpl w:val="3208BB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6FF2F55"/>
    <w:multiLevelType w:val="hybridMultilevel"/>
    <w:tmpl w:val="1F6E22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71E7594"/>
    <w:multiLevelType w:val="hybridMultilevel"/>
    <w:tmpl w:val="15408D8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9F01F72"/>
    <w:multiLevelType w:val="hybridMultilevel"/>
    <w:tmpl w:val="23061D66"/>
    <w:lvl w:ilvl="0" w:tplc="EA9281EC">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A8B5B32"/>
    <w:multiLevelType w:val="hybridMultilevel"/>
    <w:tmpl w:val="CDFE309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BC67C48"/>
    <w:multiLevelType w:val="hybridMultilevel"/>
    <w:tmpl w:val="C2A6DC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BD53679"/>
    <w:multiLevelType w:val="hybridMultilevel"/>
    <w:tmpl w:val="153637E4"/>
    <w:lvl w:ilvl="0" w:tplc="7AF43F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C0A2F7F"/>
    <w:multiLevelType w:val="hybridMultilevel"/>
    <w:tmpl w:val="97283FD2"/>
    <w:lvl w:ilvl="0" w:tplc="46D48120">
      <w:numFmt w:val="bullet"/>
      <w:lvlText w:val="•"/>
      <w:lvlJc w:val="left"/>
      <w:pPr>
        <w:ind w:left="1065" w:hanging="705"/>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D2F3091"/>
    <w:multiLevelType w:val="hybridMultilevel"/>
    <w:tmpl w:val="B296C8A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2F7D7F2D"/>
    <w:multiLevelType w:val="hybridMultilevel"/>
    <w:tmpl w:val="FF18078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04A5025"/>
    <w:multiLevelType w:val="hybridMultilevel"/>
    <w:tmpl w:val="7E5AB29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150746A"/>
    <w:multiLevelType w:val="hybridMultilevel"/>
    <w:tmpl w:val="AC583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323F6245"/>
    <w:multiLevelType w:val="hybridMultilevel"/>
    <w:tmpl w:val="95A2F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29951CE"/>
    <w:multiLevelType w:val="hybridMultilevel"/>
    <w:tmpl w:val="7796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2DC6AE9"/>
    <w:multiLevelType w:val="hybridMultilevel"/>
    <w:tmpl w:val="96C46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B15744"/>
    <w:multiLevelType w:val="hybridMultilevel"/>
    <w:tmpl w:val="17A09D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431745D"/>
    <w:multiLevelType w:val="hybridMultilevel"/>
    <w:tmpl w:val="11CE6C46"/>
    <w:lvl w:ilvl="0" w:tplc="0415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4530364"/>
    <w:multiLevelType w:val="hybridMultilevel"/>
    <w:tmpl w:val="9BFECEA4"/>
    <w:lvl w:ilvl="0" w:tplc="5A3E93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45F5A2C"/>
    <w:multiLevelType w:val="hybridMultilevel"/>
    <w:tmpl w:val="5DAC1114"/>
    <w:lvl w:ilvl="0" w:tplc="6014656C">
      <w:start w:val="1"/>
      <w:numFmt w:val="decimal"/>
      <w:lvlText w:val="%1."/>
      <w:lvlJc w:val="left"/>
      <w:pPr>
        <w:ind w:left="360" w:hanging="360"/>
      </w:pPr>
      <w:rPr>
        <w:rFonts w:ascii="Lato" w:hAnsi="Lato"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4F437CE"/>
    <w:multiLevelType w:val="hybridMultilevel"/>
    <w:tmpl w:val="52EEC7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5280A0C"/>
    <w:multiLevelType w:val="hybridMultilevel"/>
    <w:tmpl w:val="AC82A52C"/>
    <w:lvl w:ilvl="0" w:tplc="2F8453B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5DC780D"/>
    <w:multiLevelType w:val="hybridMultilevel"/>
    <w:tmpl w:val="A832F4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71D1844"/>
    <w:multiLevelType w:val="hybridMultilevel"/>
    <w:tmpl w:val="3698C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37C77F1F"/>
    <w:multiLevelType w:val="hybridMultilevel"/>
    <w:tmpl w:val="F9062536"/>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7F04207"/>
    <w:multiLevelType w:val="hybridMultilevel"/>
    <w:tmpl w:val="81F63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8BD64B6"/>
    <w:multiLevelType w:val="hybridMultilevel"/>
    <w:tmpl w:val="811EE394"/>
    <w:lvl w:ilvl="0" w:tplc="0CE05074">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9CA3A0B"/>
    <w:multiLevelType w:val="hybridMultilevel"/>
    <w:tmpl w:val="0328715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8" w15:restartNumberingAfterBreak="0">
    <w:nsid w:val="3A9F20B1"/>
    <w:multiLevelType w:val="hybridMultilevel"/>
    <w:tmpl w:val="4EEC4D00"/>
    <w:lvl w:ilvl="0" w:tplc="8130713E">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B5152E4"/>
    <w:multiLevelType w:val="hybridMultilevel"/>
    <w:tmpl w:val="86CCA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BA67FCC"/>
    <w:multiLevelType w:val="hybridMultilevel"/>
    <w:tmpl w:val="F528C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C1B254A"/>
    <w:multiLevelType w:val="hybridMultilevel"/>
    <w:tmpl w:val="DEF26B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CE97582"/>
    <w:multiLevelType w:val="hybridMultilevel"/>
    <w:tmpl w:val="B8728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D03685D"/>
    <w:multiLevelType w:val="hybridMultilevel"/>
    <w:tmpl w:val="2DD6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D14590E"/>
    <w:multiLevelType w:val="hybridMultilevel"/>
    <w:tmpl w:val="75EC7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DDE2CB2"/>
    <w:multiLevelType w:val="hybridMultilevel"/>
    <w:tmpl w:val="DEB20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E7840EA"/>
    <w:multiLevelType w:val="hybridMultilevel"/>
    <w:tmpl w:val="279E57FC"/>
    <w:lvl w:ilvl="0" w:tplc="4E602CA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28A7932"/>
    <w:multiLevelType w:val="hybridMultilevel"/>
    <w:tmpl w:val="75861A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31536FC"/>
    <w:multiLevelType w:val="hybridMultilevel"/>
    <w:tmpl w:val="3B905F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3764FA1"/>
    <w:multiLevelType w:val="hybridMultilevel"/>
    <w:tmpl w:val="8886E016"/>
    <w:lvl w:ilvl="0" w:tplc="B60C95B4">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43E60078"/>
    <w:multiLevelType w:val="hybridMultilevel"/>
    <w:tmpl w:val="E5F0D528"/>
    <w:lvl w:ilvl="0" w:tplc="2A7AEAC0">
      <w:start w:val="1"/>
      <w:numFmt w:val="bullet"/>
      <w:lvlText w:val="÷"/>
      <w:lvlJc w:val="left"/>
      <w:pPr>
        <w:ind w:left="360" w:hanging="360"/>
      </w:pPr>
      <w:rPr>
        <w:rFonts w:ascii="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44C32E3B"/>
    <w:multiLevelType w:val="hybridMultilevel"/>
    <w:tmpl w:val="945639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5896143"/>
    <w:multiLevelType w:val="hybridMultilevel"/>
    <w:tmpl w:val="26308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5F643DE"/>
    <w:multiLevelType w:val="hybridMultilevel"/>
    <w:tmpl w:val="A216C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7C875C7"/>
    <w:multiLevelType w:val="hybridMultilevel"/>
    <w:tmpl w:val="3B8A9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8024820"/>
    <w:multiLevelType w:val="hybridMultilevel"/>
    <w:tmpl w:val="93E2EB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4805198E"/>
    <w:multiLevelType w:val="hybridMultilevel"/>
    <w:tmpl w:val="C742A1E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486C0C5F"/>
    <w:multiLevelType w:val="hybridMultilevel"/>
    <w:tmpl w:val="AE906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88C583D"/>
    <w:multiLevelType w:val="hybridMultilevel"/>
    <w:tmpl w:val="57E0B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92E25AE"/>
    <w:multiLevelType w:val="hybridMultilevel"/>
    <w:tmpl w:val="1E483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99634ED"/>
    <w:multiLevelType w:val="hybridMultilevel"/>
    <w:tmpl w:val="D3D8C4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9B6171D"/>
    <w:multiLevelType w:val="hybridMultilevel"/>
    <w:tmpl w:val="BE74E2BA"/>
    <w:lvl w:ilvl="0" w:tplc="EE42077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AF842EC"/>
    <w:multiLevelType w:val="hybridMultilevel"/>
    <w:tmpl w:val="2DBCD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B204426"/>
    <w:multiLevelType w:val="hybridMultilevel"/>
    <w:tmpl w:val="AF584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C41189E"/>
    <w:multiLevelType w:val="hybridMultilevel"/>
    <w:tmpl w:val="5B32EB3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5" w15:restartNumberingAfterBreak="0">
    <w:nsid w:val="4CD428C6"/>
    <w:multiLevelType w:val="hybridMultilevel"/>
    <w:tmpl w:val="003401D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CF80B2D"/>
    <w:multiLevelType w:val="hybridMultilevel"/>
    <w:tmpl w:val="C3B8E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D6318C1"/>
    <w:multiLevelType w:val="hybridMultilevel"/>
    <w:tmpl w:val="CDCEF0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D6E490C"/>
    <w:multiLevelType w:val="hybridMultilevel"/>
    <w:tmpl w:val="2F80B944"/>
    <w:lvl w:ilvl="0" w:tplc="A81E3770">
      <w:start w:val="2"/>
      <w:numFmt w:val="low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D963E16"/>
    <w:multiLevelType w:val="hybridMultilevel"/>
    <w:tmpl w:val="10724F6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E18323A"/>
    <w:multiLevelType w:val="hybridMultilevel"/>
    <w:tmpl w:val="52DC4842"/>
    <w:lvl w:ilvl="0" w:tplc="DA14D47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E5263DE"/>
    <w:multiLevelType w:val="hybridMultilevel"/>
    <w:tmpl w:val="32AEA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E7061A0"/>
    <w:multiLevelType w:val="multilevel"/>
    <w:tmpl w:val="B0A08A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EA26182"/>
    <w:multiLevelType w:val="hybridMultilevel"/>
    <w:tmpl w:val="602E4584"/>
    <w:lvl w:ilvl="0" w:tplc="0415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02F6BC4"/>
    <w:multiLevelType w:val="hybridMultilevel"/>
    <w:tmpl w:val="8548BF3E"/>
    <w:lvl w:ilvl="0" w:tplc="0415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504955AB"/>
    <w:multiLevelType w:val="hybridMultilevel"/>
    <w:tmpl w:val="210884B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05A5875"/>
    <w:multiLevelType w:val="hybridMultilevel"/>
    <w:tmpl w:val="761A3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072654A"/>
    <w:multiLevelType w:val="hybridMultilevel"/>
    <w:tmpl w:val="26944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0EE12A0"/>
    <w:multiLevelType w:val="hybridMultilevel"/>
    <w:tmpl w:val="28689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514A5918"/>
    <w:multiLevelType w:val="hybridMultilevel"/>
    <w:tmpl w:val="90823424"/>
    <w:lvl w:ilvl="0" w:tplc="EA9281EC">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14F1B3C"/>
    <w:multiLevelType w:val="hybridMultilevel"/>
    <w:tmpl w:val="0EC60230"/>
    <w:lvl w:ilvl="0" w:tplc="EA9281EC">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1643C5C"/>
    <w:multiLevelType w:val="hybridMultilevel"/>
    <w:tmpl w:val="A352173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273516E"/>
    <w:multiLevelType w:val="hybridMultilevel"/>
    <w:tmpl w:val="10002EB0"/>
    <w:lvl w:ilvl="0" w:tplc="0BB2163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52776A93"/>
    <w:multiLevelType w:val="hybridMultilevel"/>
    <w:tmpl w:val="C4C8C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36E7047"/>
    <w:multiLevelType w:val="hybridMultilevel"/>
    <w:tmpl w:val="46B88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4E76C0F"/>
    <w:multiLevelType w:val="hybridMultilevel"/>
    <w:tmpl w:val="9782C7F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5D352BE"/>
    <w:multiLevelType w:val="hybridMultilevel"/>
    <w:tmpl w:val="1EDE8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64B54B3"/>
    <w:multiLevelType w:val="hybridMultilevel"/>
    <w:tmpl w:val="29921AE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8451F62"/>
    <w:multiLevelType w:val="hybridMultilevel"/>
    <w:tmpl w:val="6CC2BCD6"/>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129" w15:restartNumberingAfterBreak="0">
    <w:nsid w:val="58627AA2"/>
    <w:multiLevelType w:val="hybridMultilevel"/>
    <w:tmpl w:val="C2A6DC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88066EA"/>
    <w:multiLevelType w:val="hybridMultilevel"/>
    <w:tmpl w:val="F2240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8E16DC6"/>
    <w:multiLevelType w:val="hybridMultilevel"/>
    <w:tmpl w:val="18D854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8FB5644"/>
    <w:multiLevelType w:val="hybridMultilevel"/>
    <w:tmpl w:val="8C94A758"/>
    <w:lvl w:ilvl="0" w:tplc="7AF43F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A0A7DFD"/>
    <w:multiLevelType w:val="hybridMultilevel"/>
    <w:tmpl w:val="4E5C8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B465003"/>
    <w:multiLevelType w:val="hybridMultilevel"/>
    <w:tmpl w:val="E3CC9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BD001F9"/>
    <w:multiLevelType w:val="hybridMultilevel"/>
    <w:tmpl w:val="A1D4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CCB2F08"/>
    <w:multiLevelType w:val="multilevel"/>
    <w:tmpl w:val="0AF496C2"/>
    <w:lvl w:ilvl="0">
      <w:start w:val="1"/>
      <w:numFmt w:val="bullet"/>
      <w:lvlText w:val=""/>
      <w:lvlJc w:val="left"/>
      <w:pPr>
        <w:tabs>
          <w:tab w:val="num" w:pos="1069"/>
        </w:tabs>
        <w:ind w:left="1069" w:hanging="360"/>
      </w:pPr>
      <w:rPr>
        <w:rFonts w:ascii="Symbol" w:hAnsi="Symbol"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37" w15:restartNumberingAfterBreak="0">
    <w:nsid w:val="5CF01E3B"/>
    <w:multiLevelType w:val="hybridMultilevel"/>
    <w:tmpl w:val="C9126DAC"/>
    <w:lvl w:ilvl="0" w:tplc="6BA61F6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60531469"/>
    <w:multiLevelType w:val="hybridMultilevel"/>
    <w:tmpl w:val="71CC0EE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609D44B7"/>
    <w:multiLevelType w:val="hybridMultilevel"/>
    <w:tmpl w:val="CE3EB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649E42D1"/>
    <w:multiLevelType w:val="hybridMultilevel"/>
    <w:tmpl w:val="0794F5C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4EA2CC9"/>
    <w:multiLevelType w:val="hybridMultilevel"/>
    <w:tmpl w:val="3C9227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73E14B6"/>
    <w:multiLevelType w:val="hybridMultilevel"/>
    <w:tmpl w:val="9E6280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9221003"/>
    <w:multiLevelType w:val="hybridMultilevel"/>
    <w:tmpl w:val="EAC2C154"/>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144" w15:restartNumberingAfterBreak="0">
    <w:nsid w:val="6991375C"/>
    <w:multiLevelType w:val="hybridMultilevel"/>
    <w:tmpl w:val="EA02F7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99548A4"/>
    <w:multiLevelType w:val="hybridMultilevel"/>
    <w:tmpl w:val="714ABAC0"/>
    <w:lvl w:ilvl="0" w:tplc="0415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A0D3947"/>
    <w:multiLevelType w:val="hybridMultilevel"/>
    <w:tmpl w:val="CF32591C"/>
    <w:lvl w:ilvl="0" w:tplc="FFFFFFFF">
      <w:start w:val="1"/>
      <w:numFmt w:val="decimal"/>
      <w:lvlText w:val="%1."/>
      <w:lvlJc w:val="left"/>
      <w:pPr>
        <w:ind w:left="360" w:hanging="360"/>
      </w:pPr>
      <w:rPr>
        <w:rFonts w:ascii="Lato" w:hAnsi="Lato" w:hint="default"/>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6A1B4C75"/>
    <w:multiLevelType w:val="hybridMultilevel"/>
    <w:tmpl w:val="D1B6DA4E"/>
    <w:lvl w:ilvl="0" w:tplc="2A7AEAC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A7D0D83"/>
    <w:multiLevelType w:val="hybridMultilevel"/>
    <w:tmpl w:val="24425B3E"/>
    <w:lvl w:ilvl="0" w:tplc="1AE8A20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A9B1544"/>
    <w:multiLevelType w:val="hybridMultilevel"/>
    <w:tmpl w:val="738672E6"/>
    <w:lvl w:ilvl="0" w:tplc="6FBAC712">
      <w:start w:val="1"/>
      <w:numFmt w:val="bullet"/>
      <w:lvlText w:val="‒"/>
      <w:lvlJc w:val="left"/>
      <w:pPr>
        <w:ind w:left="720" w:hanging="360"/>
      </w:pPr>
      <w:rPr>
        <w:rFonts w:ascii="Times New Roman" w:hAnsi="Times New Roman" w:cs="Times New Roman" w:hint="default"/>
      </w:rPr>
    </w:lvl>
    <w:lvl w:ilvl="1" w:tplc="91FE264E">
      <w:start w:val="1"/>
      <w:numFmt w:val="bullet"/>
      <w:lvlText w:val=""/>
      <w:lvlJc w:val="left"/>
      <w:pPr>
        <w:ind w:left="1440" w:hanging="360"/>
      </w:pPr>
      <w:rPr>
        <w:rFonts w:ascii="Symbol" w:hAnsi="Symbol" w:hint="default"/>
      </w:rPr>
    </w:lvl>
    <w:lvl w:ilvl="2" w:tplc="EE420770">
      <w:start w:val="1"/>
      <w:numFmt w:val="bullet"/>
      <w:lvlText w:val="•"/>
      <w:lvlJc w:val="left"/>
      <w:pPr>
        <w:ind w:left="2160" w:hanging="360"/>
      </w:pPr>
      <w:rPr>
        <w:rFonts w:ascii="Arial" w:hAnsi="Arial" w:hint="default"/>
      </w:rPr>
    </w:lvl>
    <w:lvl w:ilvl="3" w:tplc="909A061A">
      <w:start w:val="1"/>
      <w:numFmt w:val="bullet"/>
      <w:lvlText w:val=""/>
      <w:lvlJc w:val="left"/>
      <w:pPr>
        <w:ind w:left="2880" w:hanging="360"/>
      </w:pPr>
      <w:rPr>
        <w:rFonts w:ascii="Symbol" w:hAnsi="Symbol" w:hint="default"/>
      </w:rPr>
    </w:lvl>
    <w:lvl w:ilvl="4" w:tplc="6D9C8AB4" w:tentative="1">
      <w:start w:val="1"/>
      <w:numFmt w:val="bullet"/>
      <w:lvlText w:val="o"/>
      <w:lvlJc w:val="left"/>
      <w:pPr>
        <w:ind w:left="3600" w:hanging="360"/>
      </w:pPr>
      <w:rPr>
        <w:rFonts w:ascii="Courier New" w:hAnsi="Courier New" w:cs="Courier New" w:hint="default"/>
      </w:rPr>
    </w:lvl>
    <w:lvl w:ilvl="5" w:tplc="A7A28A2E" w:tentative="1">
      <w:start w:val="1"/>
      <w:numFmt w:val="bullet"/>
      <w:lvlText w:val=""/>
      <w:lvlJc w:val="left"/>
      <w:pPr>
        <w:ind w:left="4320" w:hanging="360"/>
      </w:pPr>
      <w:rPr>
        <w:rFonts w:ascii="Wingdings" w:hAnsi="Wingdings" w:hint="default"/>
      </w:rPr>
    </w:lvl>
    <w:lvl w:ilvl="6" w:tplc="72CEB556" w:tentative="1">
      <w:start w:val="1"/>
      <w:numFmt w:val="bullet"/>
      <w:lvlText w:val=""/>
      <w:lvlJc w:val="left"/>
      <w:pPr>
        <w:ind w:left="5040" w:hanging="360"/>
      </w:pPr>
      <w:rPr>
        <w:rFonts w:ascii="Symbol" w:hAnsi="Symbol" w:hint="default"/>
      </w:rPr>
    </w:lvl>
    <w:lvl w:ilvl="7" w:tplc="20304F5C" w:tentative="1">
      <w:start w:val="1"/>
      <w:numFmt w:val="bullet"/>
      <w:lvlText w:val="o"/>
      <w:lvlJc w:val="left"/>
      <w:pPr>
        <w:ind w:left="5760" w:hanging="360"/>
      </w:pPr>
      <w:rPr>
        <w:rFonts w:ascii="Courier New" w:hAnsi="Courier New" w:cs="Courier New" w:hint="default"/>
      </w:rPr>
    </w:lvl>
    <w:lvl w:ilvl="8" w:tplc="106E8F84" w:tentative="1">
      <w:start w:val="1"/>
      <w:numFmt w:val="bullet"/>
      <w:lvlText w:val=""/>
      <w:lvlJc w:val="left"/>
      <w:pPr>
        <w:ind w:left="6480" w:hanging="360"/>
      </w:pPr>
      <w:rPr>
        <w:rFonts w:ascii="Wingdings" w:hAnsi="Wingdings" w:hint="default"/>
      </w:rPr>
    </w:lvl>
  </w:abstractNum>
  <w:abstractNum w:abstractNumId="150" w15:restartNumberingAfterBreak="0">
    <w:nsid w:val="6C9A2DA4"/>
    <w:multiLevelType w:val="multilevel"/>
    <w:tmpl w:val="85602D88"/>
    <w:lvl w:ilvl="0">
      <w:start w:val="1"/>
      <w:numFmt w:val="bullet"/>
      <w:lvlText w:val=""/>
      <w:lvlJc w:val="left"/>
      <w:pPr>
        <w:tabs>
          <w:tab w:val="num" w:pos="1069"/>
        </w:tabs>
        <w:ind w:left="1069" w:hanging="360"/>
      </w:pPr>
      <w:rPr>
        <w:rFonts w:ascii="Symbol" w:hAnsi="Symbol"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1" w15:restartNumberingAfterBreak="0">
    <w:nsid w:val="6CC10025"/>
    <w:multiLevelType w:val="hybridMultilevel"/>
    <w:tmpl w:val="61CAE8FA"/>
    <w:lvl w:ilvl="0" w:tplc="FFFFFFFF">
      <w:start w:val="1"/>
      <w:numFmt w:val="decimal"/>
      <w:lvlText w:val="%1."/>
      <w:lvlJc w:val="left"/>
      <w:pPr>
        <w:ind w:left="360" w:hanging="360"/>
      </w:pPr>
      <w:rPr>
        <w:rFonts w:ascii="Lato" w:hAnsi="Lato"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D936E3E"/>
    <w:multiLevelType w:val="hybridMultilevel"/>
    <w:tmpl w:val="4094DDD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D940376"/>
    <w:multiLevelType w:val="hybridMultilevel"/>
    <w:tmpl w:val="CB0E61B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DD319E9"/>
    <w:multiLevelType w:val="multilevel"/>
    <w:tmpl w:val="0AF496C2"/>
    <w:lvl w:ilvl="0">
      <w:start w:val="1"/>
      <w:numFmt w:val="bullet"/>
      <w:lvlText w:val=""/>
      <w:lvlJc w:val="left"/>
      <w:pPr>
        <w:tabs>
          <w:tab w:val="num" w:pos="1069"/>
        </w:tabs>
        <w:ind w:left="1069" w:hanging="360"/>
      </w:pPr>
      <w:rPr>
        <w:rFonts w:ascii="Symbol" w:hAnsi="Symbol"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5" w15:restartNumberingAfterBreak="0">
    <w:nsid w:val="6F6A7ECC"/>
    <w:multiLevelType w:val="hybridMultilevel"/>
    <w:tmpl w:val="443C1432"/>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F876A2F"/>
    <w:multiLevelType w:val="hybridMultilevel"/>
    <w:tmpl w:val="6A9A1A6A"/>
    <w:lvl w:ilvl="0" w:tplc="2A7AEAC0">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1396E08"/>
    <w:multiLevelType w:val="hybridMultilevel"/>
    <w:tmpl w:val="0EF41EE2"/>
    <w:lvl w:ilvl="0" w:tplc="0415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1533BF7"/>
    <w:multiLevelType w:val="multilevel"/>
    <w:tmpl w:val="0AF496C2"/>
    <w:lvl w:ilvl="0">
      <w:start w:val="1"/>
      <w:numFmt w:val="bullet"/>
      <w:lvlText w:val=""/>
      <w:lvlJc w:val="left"/>
      <w:pPr>
        <w:tabs>
          <w:tab w:val="num" w:pos="1069"/>
        </w:tabs>
        <w:ind w:left="1069" w:hanging="360"/>
      </w:pPr>
      <w:rPr>
        <w:rFonts w:ascii="Symbol" w:hAnsi="Symbol"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9" w15:restartNumberingAfterBreak="0">
    <w:nsid w:val="715461C3"/>
    <w:multiLevelType w:val="hybridMultilevel"/>
    <w:tmpl w:val="92181B78"/>
    <w:lvl w:ilvl="0" w:tplc="A2EEED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1552B70"/>
    <w:multiLevelType w:val="hybridMultilevel"/>
    <w:tmpl w:val="4B7A062C"/>
    <w:lvl w:ilvl="0" w:tplc="EA9281EC">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2FA2F43"/>
    <w:multiLevelType w:val="hybridMultilevel"/>
    <w:tmpl w:val="BAC0CDEC"/>
    <w:lvl w:ilvl="0" w:tplc="0BB2163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73BD5E52"/>
    <w:multiLevelType w:val="hybridMultilevel"/>
    <w:tmpl w:val="97AC1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73BD6F0F"/>
    <w:multiLevelType w:val="hybridMultilevel"/>
    <w:tmpl w:val="F66E7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4A11EE0"/>
    <w:multiLevelType w:val="hybridMultilevel"/>
    <w:tmpl w:val="60B09A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74E84817"/>
    <w:multiLevelType w:val="hybridMultilevel"/>
    <w:tmpl w:val="B7CC7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5284069"/>
    <w:multiLevelType w:val="hybridMultilevel"/>
    <w:tmpl w:val="87F66FC0"/>
    <w:lvl w:ilvl="0" w:tplc="368E6E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7" w15:restartNumberingAfterBreak="0">
    <w:nsid w:val="75E92FAF"/>
    <w:multiLevelType w:val="hybridMultilevel"/>
    <w:tmpl w:val="FABEF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5F919E6"/>
    <w:multiLevelType w:val="hybridMultilevel"/>
    <w:tmpl w:val="85F8EFC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6823CD8"/>
    <w:multiLevelType w:val="hybridMultilevel"/>
    <w:tmpl w:val="EE84C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77857E46"/>
    <w:multiLevelType w:val="hybridMultilevel"/>
    <w:tmpl w:val="1930C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91A1BB0"/>
    <w:multiLevelType w:val="hybridMultilevel"/>
    <w:tmpl w:val="D83C2A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95743B7"/>
    <w:multiLevelType w:val="hybridMultilevel"/>
    <w:tmpl w:val="3484124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A4E4FB6"/>
    <w:multiLevelType w:val="hybridMultilevel"/>
    <w:tmpl w:val="969A0BF0"/>
    <w:lvl w:ilvl="0" w:tplc="2F8453B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7B4C70A3"/>
    <w:multiLevelType w:val="hybridMultilevel"/>
    <w:tmpl w:val="C00C082C"/>
    <w:lvl w:ilvl="0" w:tplc="6A222904">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B611EA1"/>
    <w:multiLevelType w:val="hybridMultilevel"/>
    <w:tmpl w:val="6BC26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B8A3930"/>
    <w:multiLevelType w:val="hybridMultilevel"/>
    <w:tmpl w:val="9EAE2AC6"/>
    <w:lvl w:ilvl="0" w:tplc="3C5AD7EA">
      <w:start w:val="1"/>
      <w:numFmt w:val="lowerLetter"/>
      <w:lvlText w:val="%1."/>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BC217B5"/>
    <w:multiLevelType w:val="hybridMultilevel"/>
    <w:tmpl w:val="3CCA9F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8508823">
    <w:abstractNumId w:val="81"/>
  </w:num>
  <w:num w:numId="2" w16cid:durableId="877468447">
    <w:abstractNumId w:val="142"/>
  </w:num>
  <w:num w:numId="3" w16cid:durableId="171377722">
    <w:abstractNumId w:val="172"/>
  </w:num>
  <w:num w:numId="4" w16cid:durableId="683750618">
    <w:abstractNumId w:val="177"/>
  </w:num>
  <w:num w:numId="5" w16cid:durableId="607465949">
    <w:abstractNumId w:val="135"/>
  </w:num>
  <w:num w:numId="6" w16cid:durableId="376587792">
    <w:abstractNumId w:val="57"/>
  </w:num>
  <w:num w:numId="7" w16cid:durableId="36663016">
    <w:abstractNumId w:val="149"/>
  </w:num>
  <w:num w:numId="8" w16cid:durableId="679357860">
    <w:abstractNumId w:val="101"/>
  </w:num>
  <w:num w:numId="9" w16cid:durableId="1598098198">
    <w:abstractNumId w:val="76"/>
  </w:num>
  <w:num w:numId="10" w16cid:durableId="239218404">
    <w:abstractNumId w:val="109"/>
  </w:num>
  <w:num w:numId="11" w16cid:durableId="1774593468">
    <w:abstractNumId w:val="114"/>
  </w:num>
  <w:num w:numId="12" w16cid:durableId="970553516">
    <w:abstractNumId w:val="42"/>
  </w:num>
  <w:num w:numId="13" w16cid:durableId="1187987738">
    <w:abstractNumId w:val="0"/>
  </w:num>
  <w:num w:numId="14" w16cid:durableId="362562287">
    <w:abstractNumId w:val="117"/>
  </w:num>
  <w:num w:numId="15" w16cid:durableId="229003861">
    <w:abstractNumId w:val="2"/>
  </w:num>
  <w:num w:numId="16" w16cid:durableId="1865243895">
    <w:abstractNumId w:val="130"/>
  </w:num>
  <w:num w:numId="17" w16cid:durableId="1151404798">
    <w:abstractNumId w:val="62"/>
  </w:num>
  <w:num w:numId="18" w16cid:durableId="1389720241">
    <w:abstractNumId w:val="137"/>
  </w:num>
  <w:num w:numId="19" w16cid:durableId="1550528752">
    <w:abstractNumId w:val="60"/>
  </w:num>
  <w:num w:numId="20" w16cid:durableId="2129398291">
    <w:abstractNumId w:val="143"/>
  </w:num>
  <w:num w:numId="21" w16cid:durableId="1748528996">
    <w:abstractNumId w:val="68"/>
  </w:num>
  <w:num w:numId="22" w16cid:durableId="1039164566">
    <w:abstractNumId w:val="96"/>
  </w:num>
  <w:num w:numId="23" w16cid:durableId="462775372">
    <w:abstractNumId w:val="83"/>
  </w:num>
  <w:num w:numId="24" w16cid:durableId="998581986">
    <w:abstractNumId w:val="18"/>
  </w:num>
  <w:num w:numId="25" w16cid:durableId="623578350">
    <w:abstractNumId w:val="104"/>
  </w:num>
  <w:num w:numId="26" w16cid:durableId="812647157">
    <w:abstractNumId w:val="66"/>
  </w:num>
  <w:num w:numId="27" w16cid:durableId="898900352">
    <w:abstractNumId w:val="124"/>
  </w:num>
  <w:num w:numId="28" w16cid:durableId="110321049">
    <w:abstractNumId w:val="98"/>
  </w:num>
  <w:num w:numId="29" w16cid:durableId="634333245">
    <w:abstractNumId w:val="24"/>
  </w:num>
  <w:num w:numId="30" w16cid:durableId="1841432858">
    <w:abstractNumId w:val="99"/>
  </w:num>
  <w:num w:numId="31" w16cid:durableId="1476919669">
    <w:abstractNumId w:val="171"/>
  </w:num>
  <w:num w:numId="32" w16cid:durableId="813061025">
    <w:abstractNumId w:val="87"/>
  </w:num>
  <w:num w:numId="33" w16cid:durableId="1364358957">
    <w:abstractNumId w:val="33"/>
  </w:num>
  <w:num w:numId="34" w16cid:durableId="561602088">
    <w:abstractNumId w:val="161"/>
  </w:num>
  <w:num w:numId="35" w16cid:durableId="1721436303">
    <w:abstractNumId w:val="134"/>
  </w:num>
  <w:num w:numId="36" w16cid:durableId="1544712267">
    <w:abstractNumId w:val="148"/>
  </w:num>
  <w:num w:numId="37" w16cid:durableId="1753160156">
    <w:abstractNumId w:val="73"/>
  </w:num>
  <w:num w:numId="38" w16cid:durableId="1598101243">
    <w:abstractNumId w:val="79"/>
  </w:num>
  <w:num w:numId="39" w16cid:durableId="1811946380">
    <w:abstractNumId w:val="51"/>
  </w:num>
  <w:num w:numId="40" w16cid:durableId="568269457">
    <w:abstractNumId w:val="128"/>
  </w:num>
  <w:num w:numId="41" w16cid:durableId="1702434072">
    <w:abstractNumId w:val="44"/>
  </w:num>
  <w:num w:numId="42" w16cid:durableId="1428110763">
    <w:abstractNumId w:val="93"/>
  </w:num>
  <w:num w:numId="43" w16cid:durableId="1968705661">
    <w:abstractNumId w:val="132"/>
  </w:num>
  <w:num w:numId="44" w16cid:durableId="91438339">
    <w:abstractNumId w:val="64"/>
  </w:num>
  <w:num w:numId="45" w16cid:durableId="1521511856">
    <w:abstractNumId w:val="80"/>
  </w:num>
  <w:num w:numId="46" w16cid:durableId="73363040">
    <w:abstractNumId w:val="174"/>
  </w:num>
  <w:num w:numId="47" w16cid:durableId="155148093">
    <w:abstractNumId w:val="147"/>
  </w:num>
  <w:num w:numId="48" w16cid:durableId="1888957409">
    <w:abstractNumId w:val="89"/>
  </w:num>
  <w:num w:numId="49" w16cid:durableId="1426488599">
    <w:abstractNumId w:val="45"/>
  </w:num>
  <w:num w:numId="50" w16cid:durableId="1008559807">
    <w:abstractNumId w:val="48"/>
  </w:num>
  <w:num w:numId="51" w16cid:durableId="1288390642">
    <w:abstractNumId w:val="58"/>
  </w:num>
  <w:num w:numId="52" w16cid:durableId="1113598606">
    <w:abstractNumId w:val="27"/>
  </w:num>
  <w:num w:numId="53" w16cid:durableId="1890146175">
    <w:abstractNumId w:val="84"/>
  </w:num>
  <w:num w:numId="54" w16cid:durableId="1800996720">
    <w:abstractNumId w:val="13"/>
  </w:num>
  <w:num w:numId="55" w16cid:durableId="973633665">
    <w:abstractNumId w:val="102"/>
  </w:num>
  <w:num w:numId="56" w16cid:durableId="1242520682">
    <w:abstractNumId w:val="19"/>
  </w:num>
  <w:num w:numId="57" w16cid:durableId="1202282544">
    <w:abstractNumId w:val="144"/>
  </w:num>
  <w:num w:numId="58" w16cid:durableId="2058241400">
    <w:abstractNumId w:val="38"/>
  </w:num>
  <w:num w:numId="59" w16cid:durableId="677460384">
    <w:abstractNumId w:val="14"/>
  </w:num>
  <w:num w:numId="60" w16cid:durableId="721754837">
    <w:abstractNumId w:val="72"/>
  </w:num>
  <w:num w:numId="61" w16cid:durableId="1175147806">
    <w:abstractNumId w:val="52"/>
  </w:num>
  <w:num w:numId="62" w16cid:durableId="1759522500">
    <w:abstractNumId w:val="46"/>
  </w:num>
  <w:num w:numId="63" w16cid:durableId="1114596552">
    <w:abstractNumId w:val="30"/>
  </w:num>
  <w:num w:numId="64" w16cid:durableId="1760788190">
    <w:abstractNumId w:val="26"/>
  </w:num>
  <w:num w:numId="65" w16cid:durableId="1507864447">
    <w:abstractNumId w:val="153"/>
  </w:num>
  <w:num w:numId="66" w16cid:durableId="777872531">
    <w:abstractNumId w:val="167"/>
  </w:num>
  <w:num w:numId="67" w16cid:durableId="638539929">
    <w:abstractNumId w:val="21"/>
  </w:num>
  <w:num w:numId="68" w16cid:durableId="1907298752">
    <w:abstractNumId w:val="10"/>
  </w:num>
  <w:num w:numId="69" w16cid:durableId="2047368160">
    <w:abstractNumId w:val="4"/>
  </w:num>
  <w:num w:numId="70" w16cid:durableId="377095248">
    <w:abstractNumId w:val="82"/>
  </w:num>
  <w:num w:numId="71" w16cid:durableId="605188146">
    <w:abstractNumId w:val="71"/>
  </w:num>
  <w:num w:numId="72" w16cid:durableId="1285113601">
    <w:abstractNumId w:val="173"/>
  </w:num>
  <w:num w:numId="73" w16cid:durableId="1625425549">
    <w:abstractNumId w:val="6"/>
  </w:num>
  <w:num w:numId="74" w16cid:durableId="1941987005">
    <w:abstractNumId w:val="113"/>
  </w:num>
  <w:num w:numId="75" w16cid:durableId="509296499">
    <w:abstractNumId w:val="25"/>
  </w:num>
  <w:num w:numId="76" w16cid:durableId="2072188173">
    <w:abstractNumId w:val="29"/>
  </w:num>
  <w:num w:numId="77" w16cid:durableId="758714501">
    <w:abstractNumId w:val="166"/>
  </w:num>
  <w:num w:numId="78" w16cid:durableId="1168014578">
    <w:abstractNumId w:val="122"/>
  </w:num>
  <w:num w:numId="79" w16cid:durableId="1952739030">
    <w:abstractNumId w:val="11"/>
  </w:num>
  <w:num w:numId="80" w16cid:durableId="1257977195">
    <w:abstractNumId w:val="138"/>
  </w:num>
  <w:num w:numId="81" w16cid:durableId="1879274424">
    <w:abstractNumId w:val="1"/>
  </w:num>
  <w:num w:numId="82" w16cid:durableId="962199759">
    <w:abstractNumId w:val="43"/>
  </w:num>
  <w:num w:numId="83" w16cid:durableId="173345565">
    <w:abstractNumId w:val="90"/>
  </w:num>
  <w:num w:numId="84" w16cid:durableId="1372923539">
    <w:abstractNumId w:val="15"/>
  </w:num>
  <w:num w:numId="85" w16cid:durableId="1701205989">
    <w:abstractNumId w:val="156"/>
  </w:num>
  <w:num w:numId="86" w16cid:durableId="179971523">
    <w:abstractNumId w:val="169"/>
  </w:num>
  <w:num w:numId="87" w16cid:durableId="205800875">
    <w:abstractNumId w:val="77"/>
  </w:num>
  <w:num w:numId="88" w16cid:durableId="610937676">
    <w:abstractNumId w:val="69"/>
  </w:num>
  <w:num w:numId="89" w16cid:durableId="1433159911">
    <w:abstractNumId w:val="100"/>
  </w:num>
  <w:num w:numId="90" w16cid:durableId="2010206524">
    <w:abstractNumId w:val="47"/>
  </w:num>
  <w:num w:numId="91" w16cid:durableId="597444569">
    <w:abstractNumId w:val="163"/>
  </w:num>
  <w:num w:numId="92" w16cid:durableId="1367755337">
    <w:abstractNumId w:val="86"/>
  </w:num>
  <w:num w:numId="93" w16cid:durableId="376012000">
    <w:abstractNumId w:val="16"/>
  </w:num>
  <w:num w:numId="94" w16cid:durableId="590893148">
    <w:abstractNumId w:val="50"/>
  </w:num>
  <w:num w:numId="95" w16cid:durableId="812793787">
    <w:abstractNumId w:val="28"/>
  </w:num>
  <w:num w:numId="96" w16cid:durableId="960304108">
    <w:abstractNumId w:val="3"/>
  </w:num>
  <w:num w:numId="97" w16cid:durableId="1032269008">
    <w:abstractNumId w:val="75"/>
  </w:num>
  <w:num w:numId="98" w16cid:durableId="1513490860">
    <w:abstractNumId w:val="91"/>
  </w:num>
  <w:num w:numId="99" w16cid:durableId="78064593">
    <w:abstractNumId w:val="120"/>
  </w:num>
  <w:num w:numId="100" w16cid:durableId="2041201951">
    <w:abstractNumId w:val="88"/>
  </w:num>
  <w:num w:numId="101" w16cid:durableId="2104370985">
    <w:abstractNumId w:val="32"/>
  </w:num>
  <w:num w:numId="102" w16cid:durableId="395903906">
    <w:abstractNumId w:val="119"/>
  </w:num>
  <w:num w:numId="103" w16cid:durableId="1679037209">
    <w:abstractNumId w:val="170"/>
  </w:num>
  <w:num w:numId="104" w16cid:durableId="725489753">
    <w:abstractNumId w:val="54"/>
  </w:num>
  <w:num w:numId="105" w16cid:durableId="748960048">
    <w:abstractNumId w:val="160"/>
  </w:num>
  <w:num w:numId="106" w16cid:durableId="1619290166">
    <w:abstractNumId w:val="95"/>
  </w:num>
  <w:num w:numId="107" w16cid:durableId="54159711">
    <w:abstractNumId w:val="23"/>
  </w:num>
  <w:num w:numId="108" w16cid:durableId="790245951">
    <w:abstractNumId w:val="35"/>
  </w:num>
  <w:num w:numId="109" w16cid:durableId="1535993818">
    <w:abstractNumId w:val="7"/>
  </w:num>
  <w:num w:numId="110" w16cid:durableId="691150947">
    <w:abstractNumId w:val="164"/>
  </w:num>
  <w:num w:numId="111" w16cid:durableId="1735160761">
    <w:abstractNumId w:val="12"/>
  </w:num>
  <w:num w:numId="112" w16cid:durableId="1320647115">
    <w:abstractNumId w:val="175"/>
  </w:num>
  <w:num w:numId="113" w16cid:durableId="85151879">
    <w:abstractNumId w:val="112"/>
  </w:num>
  <w:num w:numId="114" w16cid:durableId="1864896681">
    <w:abstractNumId w:val="115"/>
  </w:num>
  <w:num w:numId="115" w16cid:durableId="1265261188">
    <w:abstractNumId w:val="34"/>
  </w:num>
  <w:num w:numId="116" w16cid:durableId="1424717895">
    <w:abstractNumId w:val="123"/>
  </w:num>
  <w:num w:numId="117" w16cid:durableId="235094451">
    <w:abstractNumId w:val="17"/>
  </w:num>
  <w:num w:numId="118" w16cid:durableId="973677356">
    <w:abstractNumId w:val="20"/>
  </w:num>
  <w:num w:numId="119" w16cid:durableId="1718775635">
    <w:abstractNumId w:val="151"/>
  </w:num>
  <w:num w:numId="120" w16cid:durableId="776489271">
    <w:abstractNumId w:val="121"/>
  </w:num>
  <w:num w:numId="121" w16cid:durableId="132797018">
    <w:abstractNumId w:val="31"/>
  </w:num>
  <w:num w:numId="122" w16cid:durableId="936057362">
    <w:abstractNumId w:val="74"/>
  </w:num>
  <w:num w:numId="123" w16cid:durableId="833376842">
    <w:abstractNumId w:val="168"/>
  </w:num>
  <w:num w:numId="124" w16cid:durableId="1702972869">
    <w:abstractNumId w:val="140"/>
  </w:num>
  <w:num w:numId="125" w16cid:durableId="961889059">
    <w:abstractNumId w:val="105"/>
  </w:num>
  <w:num w:numId="126" w16cid:durableId="505485198">
    <w:abstractNumId w:val="61"/>
  </w:num>
  <w:num w:numId="127" w16cid:durableId="981084395">
    <w:abstractNumId w:val="127"/>
  </w:num>
  <w:num w:numId="128" w16cid:durableId="369305150">
    <w:abstractNumId w:val="41"/>
  </w:num>
  <w:num w:numId="129" w16cid:durableId="42874233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84962060">
    <w:abstractNumId w:val="8"/>
  </w:num>
  <w:num w:numId="131" w16cid:durableId="1228540978">
    <w:abstractNumId w:val="157"/>
  </w:num>
  <w:num w:numId="132" w16cid:durableId="15815376">
    <w:abstractNumId w:val="22"/>
  </w:num>
  <w:num w:numId="133" w16cid:durableId="599607152">
    <w:abstractNumId w:val="55"/>
  </w:num>
  <w:num w:numId="134" w16cid:durableId="433288695">
    <w:abstractNumId w:val="152"/>
  </w:num>
  <w:num w:numId="135" w16cid:durableId="1101800380">
    <w:abstractNumId w:val="59"/>
  </w:num>
  <w:num w:numId="136" w16cid:durableId="2126997707">
    <w:abstractNumId w:val="158"/>
  </w:num>
  <w:num w:numId="137" w16cid:durableId="478033077">
    <w:abstractNumId w:val="53"/>
  </w:num>
  <w:num w:numId="138" w16cid:durableId="432240811">
    <w:abstractNumId w:val="154"/>
  </w:num>
  <w:num w:numId="139" w16cid:durableId="2057775722">
    <w:abstractNumId w:val="136"/>
  </w:num>
  <w:num w:numId="140" w16cid:durableId="239953087">
    <w:abstractNumId w:val="116"/>
  </w:num>
  <w:num w:numId="141" w16cid:durableId="974287500">
    <w:abstractNumId w:val="150"/>
  </w:num>
  <w:num w:numId="142" w16cid:durableId="2073038836">
    <w:abstractNumId w:val="165"/>
  </w:num>
  <w:num w:numId="143" w16cid:durableId="170073402">
    <w:abstractNumId w:val="111"/>
  </w:num>
  <w:num w:numId="144" w16cid:durableId="407581999">
    <w:abstractNumId w:val="162"/>
  </w:num>
  <w:num w:numId="145" w16cid:durableId="651711421">
    <w:abstractNumId w:val="40"/>
  </w:num>
  <w:num w:numId="146" w16cid:durableId="1872306446">
    <w:abstractNumId w:val="94"/>
  </w:num>
  <w:num w:numId="147" w16cid:durableId="973099272">
    <w:abstractNumId w:val="78"/>
  </w:num>
  <w:num w:numId="148" w16cid:durableId="2033602567">
    <w:abstractNumId w:val="145"/>
  </w:num>
  <w:num w:numId="149" w16cid:durableId="708140590">
    <w:abstractNumId w:val="67"/>
  </w:num>
  <w:num w:numId="150" w16cid:durableId="632634760">
    <w:abstractNumId w:val="131"/>
  </w:num>
  <w:num w:numId="151" w16cid:durableId="13196176">
    <w:abstractNumId w:val="118"/>
  </w:num>
  <w:num w:numId="152" w16cid:durableId="906110162">
    <w:abstractNumId w:val="141"/>
  </w:num>
  <w:num w:numId="153" w16cid:durableId="231742825">
    <w:abstractNumId w:val="5"/>
  </w:num>
  <w:num w:numId="154" w16cid:durableId="2041735400">
    <w:abstractNumId w:val="39"/>
  </w:num>
  <w:num w:numId="155" w16cid:durableId="2120948326">
    <w:abstractNumId w:val="176"/>
  </w:num>
  <w:num w:numId="156" w16cid:durableId="855004722">
    <w:abstractNumId w:val="155"/>
  </w:num>
  <w:num w:numId="157" w16cid:durableId="387071752">
    <w:abstractNumId w:val="65"/>
  </w:num>
  <w:num w:numId="158" w16cid:durableId="296183684">
    <w:abstractNumId w:val="103"/>
  </w:num>
  <w:num w:numId="159" w16cid:durableId="505365172">
    <w:abstractNumId w:val="49"/>
  </w:num>
  <w:num w:numId="160" w16cid:durableId="844514727">
    <w:abstractNumId w:val="70"/>
  </w:num>
  <w:num w:numId="161" w16cid:durableId="1770079219">
    <w:abstractNumId w:val="63"/>
  </w:num>
  <w:num w:numId="162" w16cid:durableId="639264434">
    <w:abstractNumId w:val="139"/>
  </w:num>
  <w:num w:numId="163" w16cid:durableId="1886604414">
    <w:abstractNumId w:val="106"/>
  </w:num>
  <w:num w:numId="164" w16cid:durableId="37316679">
    <w:abstractNumId w:val="85"/>
  </w:num>
  <w:num w:numId="165" w16cid:durableId="1261568990">
    <w:abstractNumId w:val="97"/>
  </w:num>
  <w:num w:numId="166" w16cid:durableId="778136474">
    <w:abstractNumId w:val="107"/>
  </w:num>
  <w:num w:numId="167" w16cid:durableId="451557550">
    <w:abstractNumId w:val="36"/>
  </w:num>
  <w:num w:numId="168" w16cid:durableId="1094132366">
    <w:abstractNumId w:val="133"/>
  </w:num>
  <w:num w:numId="169" w16cid:durableId="284115189">
    <w:abstractNumId w:val="159"/>
  </w:num>
  <w:num w:numId="170" w16cid:durableId="5714041">
    <w:abstractNumId w:val="125"/>
  </w:num>
  <w:num w:numId="171" w16cid:durableId="327565932">
    <w:abstractNumId w:val="92"/>
  </w:num>
  <w:num w:numId="172" w16cid:durableId="1719090996">
    <w:abstractNumId w:val="9"/>
    <w:lvlOverride w:ilvl="0">
      <w:lvl w:ilvl="0">
        <w:start w:val="1"/>
        <w:numFmt w:val="upperRoman"/>
        <w:pStyle w:val="Nagwek1"/>
        <w:lvlText w:val="%1."/>
        <w:lvlJc w:val="left"/>
        <w:pPr>
          <w:ind w:left="0" w:firstLine="0"/>
        </w:pPr>
        <w:rPr>
          <w:rFonts w:ascii="Bahnschrift" w:hAnsi="Bahnschrift" w:hint="default"/>
          <w:sz w:val="44"/>
          <w:szCs w:val="24"/>
        </w:rPr>
      </w:lvl>
    </w:lvlOverride>
    <w:lvlOverride w:ilvl="1">
      <w:lvl w:ilvl="1">
        <w:start w:val="1"/>
        <w:numFmt w:val="decimal"/>
        <w:pStyle w:val="Nagwek2"/>
        <w:suff w:val="space"/>
        <w:lvlText w:val="%2."/>
        <w:lvlJc w:val="left"/>
        <w:pPr>
          <w:ind w:left="567" w:hanging="567"/>
        </w:pPr>
        <w:rPr>
          <w:rFonts w:hint="default"/>
          <w:color w:val="000000" w:themeColor="text1"/>
        </w:rPr>
      </w:lvl>
    </w:lvlOverride>
    <w:lvlOverride w:ilvl="2">
      <w:lvl w:ilvl="2">
        <w:start w:val="1"/>
        <w:numFmt w:val="decimal"/>
        <w:pStyle w:val="Nagwek3"/>
        <w:lvlText w:val="Obszar %2.%3."/>
        <w:lvlJc w:val="left"/>
        <w:pPr>
          <w:ind w:left="3544" w:hanging="3544"/>
        </w:pPr>
        <w:rPr>
          <w:rFonts w:hint="default"/>
        </w:rPr>
      </w:lvl>
    </w:lvlOverride>
    <w:lvlOverride w:ilvl="3">
      <w:lvl w:ilvl="3">
        <w:start w:val="1"/>
        <w:numFmt w:val="decimal"/>
        <w:pStyle w:val="Nagwek4"/>
        <w:lvlText w:val="Cel %2.%3.%4."/>
        <w:lvlJc w:val="left"/>
        <w:pPr>
          <w:ind w:left="1418" w:hanging="1418"/>
        </w:pPr>
        <w:rPr>
          <w:rFonts w:hint="default"/>
        </w:rPr>
      </w:lvl>
    </w:lvlOverride>
    <w:lvlOverride w:ilvl="4">
      <w:lvl w:ilvl="4">
        <w:start w:val="1"/>
        <w:numFmt w:val="none"/>
        <w:pStyle w:val="Nagwek5"/>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decimal"/>
        <w:pStyle w:val="Nagwek7"/>
        <w:lvlText w:val="%2.%3.%4%6.%7"/>
        <w:lvlJc w:val="left"/>
        <w:pPr>
          <w:ind w:left="1296" w:hanging="1296"/>
        </w:pPr>
        <w:rPr>
          <w:rFonts w:hint="default"/>
        </w:rPr>
      </w:lvl>
    </w:lvlOverride>
    <w:lvlOverride w:ilvl="7">
      <w:lvl w:ilvl="7">
        <w:start w:val="1"/>
        <w:numFmt w:val="decimal"/>
        <w:pStyle w:val="Nagwek8"/>
        <w:lvlText w:val="%2.%3.%4.%5%6.%7.%8"/>
        <w:lvlJc w:val="left"/>
        <w:pPr>
          <w:ind w:left="1440" w:hanging="1440"/>
        </w:pPr>
        <w:rPr>
          <w:rFonts w:hint="default"/>
        </w:rPr>
      </w:lvl>
    </w:lvlOverride>
    <w:lvlOverride w:ilvl="8">
      <w:lvl w:ilvl="8">
        <w:start w:val="1"/>
        <w:numFmt w:val="decimal"/>
        <w:pStyle w:val="Nagwek9"/>
        <w:lvlText w:val="%2.%3.%4.%5.%6.%7.%8.%9"/>
        <w:lvlJc w:val="left"/>
        <w:pPr>
          <w:ind w:left="1584" w:hanging="1584"/>
        </w:pPr>
        <w:rPr>
          <w:rFonts w:hint="default"/>
        </w:rPr>
      </w:lvl>
    </w:lvlOverride>
  </w:num>
  <w:num w:numId="173" w16cid:durableId="1745764391">
    <w:abstractNumId w:val="126"/>
  </w:num>
  <w:num w:numId="174" w16cid:durableId="539703052">
    <w:abstractNumId w:val="110"/>
  </w:num>
  <w:num w:numId="175" w16cid:durableId="1753119657">
    <w:abstractNumId w:val="9"/>
    <w:lvlOverride w:ilvl="0">
      <w:startOverride w:val="1"/>
      <w:lvl w:ilvl="0">
        <w:start w:val="1"/>
        <w:numFmt w:val="upperRoman"/>
        <w:pStyle w:val="Nagwek1"/>
        <w:lvlText w:val="%1."/>
        <w:lvlJc w:val="left"/>
        <w:pPr>
          <w:ind w:left="0" w:firstLine="0"/>
        </w:pPr>
        <w:rPr>
          <w:rFonts w:ascii="Bahnschrift" w:hAnsi="Bahnschrift" w:hint="default"/>
          <w:sz w:val="44"/>
          <w:szCs w:val="24"/>
        </w:rPr>
      </w:lvl>
    </w:lvlOverride>
    <w:lvlOverride w:ilvl="1">
      <w:startOverride w:val="1"/>
      <w:lvl w:ilvl="1">
        <w:start w:val="1"/>
        <w:numFmt w:val="decimal"/>
        <w:pStyle w:val="Nagwek2"/>
        <w:suff w:val="space"/>
        <w:lvlText w:val="%2."/>
        <w:lvlJc w:val="left"/>
        <w:pPr>
          <w:ind w:left="567" w:hanging="567"/>
        </w:pPr>
        <w:rPr>
          <w:rFonts w:hint="default"/>
          <w:color w:val="FFFFFF" w:themeColor="background1"/>
        </w:rPr>
      </w:lvl>
    </w:lvlOverride>
    <w:lvlOverride w:ilvl="2">
      <w:startOverride w:val="1"/>
      <w:lvl w:ilvl="2">
        <w:start w:val="1"/>
        <w:numFmt w:val="decimal"/>
        <w:pStyle w:val="Nagwek3"/>
        <w:lvlText w:val="Obszar %2.%3."/>
        <w:lvlJc w:val="left"/>
        <w:pPr>
          <w:ind w:left="3544" w:hanging="3544"/>
        </w:pPr>
        <w:rPr>
          <w:rFonts w:hint="default"/>
        </w:rPr>
      </w:lvl>
    </w:lvlOverride>
    <w:lvlOverride w:ilvl="3">
      <w:startOverride w:val="1"/>
      <w:lvl w:ilvl="3">
        <w:start w:val="1"/>
        <w:numFmt w:val="decimal"/>
        <w:pStyle w:val="Nagwek4"/>
        <w:lvlText w:val="Cel %2.%3.%4."/>
        <w:lvlJc w:val="left"/>
        <w:pPr>
          <w:ind w:left="1418" w:hanging="1418"/>
        </w:pPr>
        <w:rPr>
          <w:rFonts w:hint="default"/>
        </w:rPr>
      </w:lvl>
    </w:lvlOverride>
    <w:lvlOverride w:ilvl="4">
      <w:startOverride w:val="1"/>
      <w:lvl w:ilvl="4">
        <w:start w:val="1"/>
        <w:numFmt w:val="none"/>
        <w:pStyle w:val="Nagwek5"/>
        <w:lvlText w:val=""/>
        <w:lvlJc w:val="left"/>
        <w:pPr>
          <w:ind w:left="0" w:firstLine="0"/>
        </w:pPr>
        <w:rPr>
          <w:rFonts w:hint="default"/>
        </w:rPr>
      </w:lvl>
    </w:lvlOverride>
    <w:lvlOverride w:ilvl="5">
      <w:startOverride w:val="1"/>
      <w:lvl w:ilvl="5">
        <w:start w:val="1"/>
        <w:numFmt w:val="none"/>
        <w:lvlText w:val=""/>
        <w:lvlJc w:val="left"/>
        <w:pPr>
          <w:ind w:left="0" w:firstLine="0"/>
        </w:pPr>
        <w:rPr>
          <w:rFonts w:hint="default"/>
        </w:rPr>
      </w:lvl>
    </w:lvlOverride>
    <w:lvlOverride w:ilvl="6">
      <w:startOverride w:val="1"/>
      <w:lvl w:ilvl="6">
        <w:start w:val="1"/>
        <w:numFmt w:val="decimal"/>
        <w:pStyle w:val="Nagwek7"/>
        <w:lvlText w:val="%2.%3.%4%6.%7"/>
        <w:lvlJc w:val="left"/>
        <w:pPr>
          <w:ind w:left="1296" w:hanging="1296"/>
        </w:pPr>
        <w:rPr>
          <w:rFonts w:hint="default"/>
        </w:rPr>
      </w:lvl>
    </w:lvlOverride>
    <w:lvlOverride w:ilvl="7">
      <w:startOverride w:val="1"/>
      <w:lvl w:ilvl="7">
        <w:start w:val="1"/>
        <w:numFmt w:val="decimal"/>
        <w:pStyle w:val="Nagwek8"/>
        <w:lvlText w:val="%2.%3.%4.%5%6.%7.%8"/>
        <w:lvlJc w:val="left"/>
        <w:pPr>
          <w:ind w:left="1440" w:hanging="1440"/>
        </w:pPr>
        <w:rPr>
          <w:rFonts w:hint="default"/>
        </w:rPr>
      </w:lvl>
    </w:lvlOverride>
    <w:lvlOverride w:ilvl="8">
      <w:startOverride w:val="1"/>
      <w:lvl w:ilvl="8">
        <w:start w:val="1"/>
        <w:numFmt w:val="decimal"/>
        <w:pStyle w:val="Nagwek9"/>
        <w:lvlText w:val="%2.%3.%4.%5.%6.%7.%8.%9"/>
        <w:lvlJc w:val="left"/>
        <w:pPr>
          <w:ind w:left="1584" w:hanging="1584"/>
        </w:pPr>
        <w:rPr>
          <w:rFonts w:hint="default"/>
        </w:rPr>
      </w:lvl>
    </w:lvlOverride>
  </w:num>
  <w:num w:numId="176" w16cid:durableId="2130388180">
    <w:abstractNumId w:val="129"/>
  </w:num>
  <w:num w:numId="177" w16cid:durableId="2024433145">
    <w:abstractNumId w:val="56"/>
  </w:num>
  <w:num w:numId="178" w16cid:durableId="922489610">
    <w:abstractNumId w:val="37"/>
  </w:num>
  <w:num w:numId="179" w16cid:durableId="1412197471">
    <w:abstractNumId w:val="108"/>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61"/>
    <w:rsid w:val="000000B3"/>
    <w:rsid w:val="0000016C"/>
    <w:rsid w:val="000002B5"/>
    <w:rsid w:val="00000392"/>
    <w:rsid w:val="00000467"/>
    <w:rsid w:val="00000690"/>
    <w:rsid w:val="00000734"/>
    <w:rsid w:val="0000074A"/>
    <w:rsid w:val="00000B17"/>
    <w:rsid w:val="00000B56"/>
    <w:rsid w:val="00000BD1"/>
    <w:rsid w:val="00000C5E"/>
    <w:rsid w:val="00000E4F"/>
    <w:rsid w:val="00000F89"/>
    <w:rsid w:val="0000115A"/>
    <w:rsid w:val="00001523"/>
    <w:rsid w:val="00001692"/>
    <w:rsid w:val="0000176F"/>
    <w:rsid w:val="0000180D"/>
    <w:rsid w:val="000018E6"/>
    <w:rsid w:val="00001999"/>
    <w:rsid w:val="000019F1"/>
    <w:rsid w:val="00001C82"/>
    <w:rsid w:val="00001C9F"/>
    <w:rsid w:val="00001ED5"/>
    <w:rsid w:val="00001F80"/>
    <w:rsid w:val="00001FAF"/>
    <w:rsid w:val="0000201B"/>
    <w:rsid w:val="00002241"/>
    <w:rsid w:val="0000237C"/>
    <w:rsid w:val="0000259A"/>
    <w:rsid w:val="000027F5"/>
    <w:rsid w:val="000027F6"/>
    <w:rsid w:val="000029E7"/>
    <w:rsid w:val="00002C7B"/>
    <w:rsid w:val="00002D7E"/>
    <w:rsid w:val="00002E8D"/>
    <w:rsid w:val="00002E9B"/>
    <w:rsid w:val="00002F07"/>
    <w:rsid w:val="00002F60"/>
    <w:rsid w:val="00003427"/>
    <w:rsid w:val="00003507"/>
    <w:rsid w:val="00003631"/>
    <w:rsid w:val="0000366F"/>
    <w:rsid w:val="00003C21"/>
    <w:rsid w:val="00003FBD"/>
    <w:rsid w:val="000041E0"/>
    <w:rsid w:val="0000434F"/>
    <w:rsid w:val="000045D9"/>
    <w:rsid w:val="0000478C"/>
    <w:rsid w:val="000048A5"/>
    <w:rsid w:val="000048E1"/>
    <w:rsid w:val="00004CD0"/>
    <w:rsid w:val="00004EDF"/>
    <w:rsid w:val="00005090"/>
    <w:rsid w:val="00005331"/>
    <w:rsid w:val="000055BE"/>
    <w:rsid w:val="0000565B"/>
    <w:rsid w:val="00005785"/>
    <w:rsid w:val="00005843"/>
    <w:rsid w:val="000058F7"/>
    <w:rsid w:val="00005C46"/>
    <w:rsid w:val="00005CE3"/>
    <w:rsid w:val="00005DA8"/>
    <w:rsid w:val="00005F76"/>
    <w:rsid w:val="00006055"/>
    <w:rsid w:val="00006189"/>
    <w:rsid w:val="000061AC"/>
    <w:rsid w:val="000061D4"/>
    <w:rsid w:val="000061E0"/>
    <w:rsid w:val="0000626E"/>
    <w:rsid w:val="0000627E"/>
    <w:rsid w:val="00006760"/>
    <w:rsid w:val="000068F0"/>
    <w:rsid w:val="00006E5B"/>
    <w:rsid w:val="000072CF"/>
    <w:rsid w:val="0000737C"/>
    <w:rsid w:val="0000738C"/>
    <w:rsid w:val="000073EA"/>
    <w:rsid w:val="000074BB"/>
    <w:rsid w:val="00007980"/>
    <w:rsid w:val="00007B2D"/>
    <w:rsid w:val="00007CF3"/>
    <w:rsid w:val="00007D8D"/>
    <w:rsid w:val="00007E44"/>
    <w:rsid w:val="00007FA3"/>
    <w:rsid w:val="000101D3"/>
    <w:rsid w:val="000102F9"/>
    <w:rsid w:val="000106B7"/>
    <w:rsid w:val="000106E6"/>
    <w:rsid w:val="000107D8"/>
    <w:rsid w:val="00010B51"/>
    <w:rsid w:val="00010C05"/>
    <w:rsid w:val="00010C17"/>
    <w:rsid w:val="00010C45"/>
    <w:rsid w:val="00010CFD"/>
    <w:rsid w:val="00010DD9"/>
    <w:rsid w:val="0001104D"/>
    <w:rsid w:val="000111A9"/>
    <w:rsid w:val="00011236"/>
    <w:rsid w:val="000112FE"/>
    <w:rsid w:val="0001132C"/>
    <w:rsid w:val="000113A5"/>
    <w:rsid w:val="000114ED"/>
    <w:rsid w:val="0001153E"/>
    <w:rsid w:val="00011612"/>
    <w:rsid w:val="0001163F"/>
    <w:rsid w:val="00011683"/>
    <w:rsid w:val="000116DF"/>
    <w:rsid w:val="000119A9"/>
    <w:rsid w:val="000119C3"/>
    <w:rsid w:val="00011AF7"/>
    <w:rsid w:val="00011C5B"/>
    <w:rsid w:val="00011CD0"/>
    <w:rsid w:val="00011ED3"/>
    <w:rsid w:val="00011EE3"/>
    <w:rsid w:val="00011F11"/>
    <w:rsid w:val="00012127"/>
    <w:rsid w:val="0001212A"/>
    <w:rsid w:val="00012235"/>
    <w:rsid w:val="000122FE"/>
    <w:rsid w:val="0001243A"/>
    <w:rsid w:val="00012704"/>
    <w:rsid w:val="00012842"/>
    <w:rsid w:val="00012914"/>
    <w:rsid w:val="000129A6"/>
    <w:rsid w:val="00012A6F"/>
    <w:rsid w:val="00012D5E"/>
    <w:rsid w:val="00012E4E"/>
    <w:rsid w:val="00013036"/>
    <w:rsid w:val="000131EE"/>
    <w:rsid w:val="00013573"/>
    <w:rsid w:val="00013675"/>
    <w:rsid w:val="00013893"/>
    <w:rsid w:val="00013950"/>
    <w:rsid w:val="00013B57"/>
    <w:rsid w:val="00013C9E"/>
    <w:rsid w:val="00013D10"/>
    <w:rsid w:val="00013FA0"/>
    <w:rsid w:val="00014313"/>
    <w:rsid w:val="000143AC"/>
    <w:rsid w:val="00014500"/>
    <w:rsid w:val="00014547"/>
    <w:rsid w:val="0001459E"/>
    <w:rsid w:val="00014635"/>
    <w:rsid w:val="00014683"/>
    <w:rsid w:val="0001475A"/>
    <w:rsid w:val="000148DB"/>
    <w:rsid w:val="00014A86"/>
    <w:rsid w:val="00014BBC"/>
    <w:rsid w:val="00014C17"/>
    <w:rsid w:val="00014C2B"/>
    <w:rsid w:val="00014C30"/>
    <w:rsid w:val="00014C5F"/>
    <w:rsid w:val="00014C8E"/>
    <w:rsid w:val="00014DF4"/>
    <w:rsid w:val="00014E08"/>
    <w:rsid w:val="00014FBC"/>
    <w:rsid w:val="0001503A"/>
    <w:rsid w:val="0001513F"/>
    <w:rsid w:val="00015158"/>
    <w:rsid w:val="000152EE"/>
    <w:rsid w:val="00015577"/>
    <w:rsid w:val="00015594"/>
    <w:rsid w:val="000155A2"/>
    <w:rsid w:val="000158DD"/>
    <w:rsid w:val="000159A5"/>
    <w:rsid w:val="00015C72"/>
    <w:rsid w:val="00015C8D"/>
    <w:rsid w:val="00015CC4"/>
    <w:rsid w:val="00015D14"/>
    <w:rsid w:val="00015D37"/>
    <w:rsid w:val="00015D90"/>
    <w:rsid w:val="00015DC0"/>
    <w:rsid w:val="00015E72"/>
    <w:rsid w:val="00015F5E"/>
    <w:rsid w:val="0001611B"/>
    <w:rsid w:val="0001613B"/>
    <w:rsid w:val="00016637"/>
    <w:rsid w:val="00016761"/>
    <w:rsid w:val="000167F6"/>
    <w:rsid w:val="0001699A"/>
    <w:rsid w:val="000169F7"/>
    <w:rsid w:val="00016D16"/>
    <w:rsid w:val="000170E0"/>
    <w:rsid w:val="000171F3"/>
    <w:rsid w:val="0001721F"/>
    <w:rsid w:val="00017230"/>
    <w:rsid w:val="00017250"/>
    <w:rsid w:val="0001780D"/>
    <w:rsid w:val="00017932"/>
    <w:rsid w:val="000179C1"/>
    <w:rsid w:val="00017C1C"/>
    <w:rsid w:val="00017D6D"/>
    <w:rsid w:val="00017E6C"/>
    <w:rsid w:val="00017F38"/>
    <w:rsid w:val="00020008"/>
    <w:rsid w:val="000201DF"/>
    <w:rsid w:val="00020287"/>
    <w:rsid w:val="000202ED"/>
    <w:rsid w:val="00020517"/>
    <w:rsid w:val="000205CF"/>
    <w:rsid w:val="00020643"/>
    <w:rsid w:val="00020918"/>
    <w:rsid w:val="00020A8B"/>
    <w:rsid w:val="00020CC5"/>
    <w:rsid w:val="00020D1C"/>
    <w:rsid w:val="00020D2F"/>
    <w:rsid w:val="00020DAD"/>
    <w:rsid w:val="00020F56"/>
    <w:rsid w:val="00021030"/>
    <w:rsid w:val="0002129E"/>
    <w:rsid w:val="000213B5"/>
    <w:rsid w:val="00021535"/>
    <w:rsid w:val="000215C6"/>
    <w:rsid w:val="0002176A"/>
    <w:rsid w:val="0002183D"/>
    <w:rsid w:val="00021953"/>
    <w:rsid w:val="00021B99"/>
    <w:rsid w:val="00021BB7"/>
    <w:rsid w:val="00021CF4"/>
    <w:rsid w:val="00022091"/>
    <w:rsid w:val="00022099"/>
    <w:rsid w:val="0002223F"/>
    <w:rsid w:val="000223E5"/>
    <w:rsid w:val="00022406"/>
    <w:rsid w:val="000225D9"/>
    <w:rsid w:val="00022613"/>
    <w:rsid w:val="00022A46"/>
    <w:rsid w:val="00022B06"/>
    <w:rsid w:val="00022D5D"/>
    <w:rsid w:val="00022D66"/>
    <w:rsid w:val="00022D78"/>
    <w:rsid w:val="00022D81"/>
    <w:rsid w:val="00022FDB"/>
    <w:rsid w:val="00023031"/>
    <w:rsid w:val="0002312E"/>
    <w:rsid w:val="00023196"/>
    <w:rsid w:val="000231E0"/>
    <w:rsid w:val="000232E7"/>
    <w:rsid w:val="000233DD"/>
    <w:rsid w:val="000234D6"/>
    <w:rsid w:val="00023721"/>
    <w:rsid w:val="00023732"/>
    <w:rsid w:val="00023876"/>
    <w:rsid w:val="000238BC"/>
    <w:rsid w:val="00023909"/>
    <w:rsid w:val="000239AD"/>
    <w:rsid w:val="00023B2D"/>
    <w:rsid w:val="00023B87"/>
    <w:rsid w:val="00023C5F"/>
    <w:rsid w:val="00023D11"/>
    <w:rsid w:val="00023D2B"/>
    <w:rsid w:val="00023D8B"/>
    <w:rsid w:val="00023E9F"/>
    <w:rsid w:val="00023EC1"/>
    <w:rsid w:val="0002423B"/>
    <w:rsid w:val="00024489"/>
    <w:rsid w:val="0002463D"/>
    <w:rsid w:val="00024875"/>
    <w:rsid w:val="00024A4F"/>
    <w:rsid w:val="00024AB4"/>
    <w:rsid w:val="00024AFC"/>
    <w:rsid w:val="00024B97"/>
    <w:rsid w:val="00024BB9"/>
    <w:rsid w:val="00024BC6"/>
    <w:rsid w:val="00025214"/>
    <w:rsid w:val="000252C0"/>
    <w:rsid w:val="000253D7"/>
    <w:rsid w:val="00025446"/>
    <w:rsid w:val="00025783"/>
    <w:rsid w:val="00025984"/>
    <w:rsid w:val="00025A4A"/>
    <w:rsid w:val="00025AD9"/>
    <w:rsid w:val="00025ADB"/>
    <w:rsid w:val="00025B9C"/>
    <w:rsid w:val="00025BDA"/>
    <w:rsid w:val="00025C95"/>
    <w:rsid w:val="00025D4B"/>
    <w:rsid w:val="00025E77"/>
    <w:rsid w:val="00026078"/>
    <w:rsid w:val="00026087"/>
    <w:rsid w:val="00026162"/>
    <w:rsid w:val="000261E0"/>
    <w:rsid w:val="0002625F"/>
    <w:rsid w:val="0002626C"/>
    <w:rsid w:val="000262E7"/>
    <w:rsid w:val="00026419"/>
    <w:rsid w:val="000268B6"/>
    <w:rsid w:val="0002690B"/>
    <w:rsid w:val="00026968"/>
    <w:rsid w:val="00026B76"/>
    <w:rsid w:val="00026BE2"/>
    <w:rsid w:val="0002700A"/>
    <w:rsid w:val="000270BF"/>
    <w:rsid w:val="0002719B"/>
    <w:rsid w:val="00027494"/>
    <w:rsid w:val="00027638"/>
    <w:rsid w:val="00027776"/>
    <w:rsid w:val="00027804"/>
    <w:rsid w:val="000278E9"/>
    <w:rsid w:val="00027AC5"/>
    <w:rsid w:val="00027C7B"/>
    <w:rsid w:val="00027D4A"/>
    <w:rsid w:val="00027D60"/>
    <w:rsid w:val="0003027A"/>
    <w:rsid w:val="0003036C"/>
    <w:rsid w:val="00030513"/>
    <w:rsid w:val="0003057B"/>
    <w:rsid w:val="00030619"/>
    <w:rsid w:val="00030ADB"/>
    <w:rsid w:val="00030B36"/>
    <w:rsid w:val="00030C14"/>
    <w:rsid w:val="00030C32"/>
    <w:rsid w:val="00030E13"/>
    <w:rsid w:val="00030F24"/>
    <w:rsid w:val="000313B0"/>
    <w:rsid w:val="000313B4"/>
    <w:rsid w:val="00031400"/>
    <w:rsid w:val="000315E9"/>
    <w:rsid w:val="000316E7"/>
    <w:rsid w:val="00031B15"/>
    <w:rsid w:val="00031C95"/>
    <w:rsid w:val="00031F56"/>
    <w:rsid w:val="00032088"/>
    <w:rsid w:val="0003237A"/>
    <w:rsid w:val="00032708"/>
    <w:rsid w:val="00032786"/>
    <w:rsid w:val="00032791"/>
    <w:rsid w:val="00032812"/>
    <w:rsid w:val="0003282D"/>
    <w:rsid w:val="000328D7"/>
    <w:rsid w:val="00032982"/>
    <w:rsid w:val="00032A22"/>
    <w:rsid w:val="00032C85"/>
    <w:rsid w:val="00032E1F"/>
    <w:rsid w:val="00032E20"/>
    <w:rsid w:val="000330C9"/>
    <w:rsid w:val="0003336F"/>
    <w:rsid w:val="00033566"/>
    <w:rsid w:val="00033BE3"/>
    <w:rsid w:val="00033DE0"/>
    <w:rsid w:val="00033EEF"/>
    <w:rsid w:val="00033F49"/>
    <w:rsid w:val="00034045"/>
    <w:rsid w:val="00034211"/>
    <w:rsid w:val="000344C1"/>
    <w:rsid w:val="000345B8"/>
    <w:rsid w:val="00034679"/>
    <w:rsid w:val="00034ACB"/>
    <w:rsid w:val="00034E60"/>
    <w:rsid w:val="00034F2E"/>
    <w:rsid w:val="00035104"/>
    <w:rsid w:val="00035216"/>
    <w:rsid w:val="0003531B"/>
    <w:rsid w:val="00035395"/>
    <w:rsid w:val="00035400"/>
    <w:rsid w:val="00035445"/>
    <w:rsid w:val="00035598"/>
    <w:rsid w:val="000355BD"/>
    <w:rsid w:val="00035710"/>
    <w:rsid w:val="000357C8"/>
    <w:rsid w:val="00035B66"/>
    <w:rsid w:val="00035F8C"/>
    <w:rsid w:val="00035FD5"/>
    <w:rsid w:val="000360A8"/>
    <w:rsid w:val="0003622C"/>
    <w:rsid w:val="0003659D"/>
    <w:rsid w:val="0003661F"/>
    <w:rsid w:val="000369B4"/>
    <w:rsid w:val="00036A30"/>
    <w:rsid w:val="00036CFF"/>
    <w:rsid w:val="00036DF3"/>
    <w:rsid w:val="0003705C"/>
    <w:rsid w:val="000375CF"/>
    <w:rsid w:val="0003769A"/>
    <w:rsid w:val="00037780"/>
    <w:rsid w:val="000378D1"/>
    <w:rsid w:val="00037B51"/>
    <w:rsid w:val="00037B6F"/>
    <w:rsid w:val="00037BD1"/>
    <w:rsid w:val="00037C6B"/>
    <w:rsid w:val="00037E94"/>
    <w:rsid w:val="00037EE1"/>
    <w:rsid w:val="00037EE7"/>
    <w:rsid w:val="00037F6F"/>
    <w:rsid w:val="00037FA4"/>
    <w:rsid w:val="0004006C"/>
    <w:rsid w:val="00040407"/>
    <w:rsid w:val="000406CB"/>
    <w:rsid w:val="000407E7"/>
    <w:rsid w:val="00040A60"/>
    <w:rsid w:val="00040B97"/>
    <w:rsid w:val="00040D0F"/>
    <w:rsid w:val="00040D2F"/>
    <w:rsid w:val="000410C2"/>
    <w:rsid w:val="000413B3"/>
    <w:rsid w:val="000413CC"/>
    <w:rsid w:val="00041437"/>
    <w:rsid w:val="00041612"/>
    <w:rsid w:val="000417FA"/>
    <w:rsid w:val="000419A8"/>
    <w:rsid w:val="00041A35"/>
    <w:rsid w:val="00041B34"/>
    <w:rsid w:val="00041D35"/>
    <w:rsid w:val="00042063"/>
    <w:rsid w:val="000420DA"/>
    <w:rsid w:val="00042183"/>
    <w:rsid w:val="000422E3"/>
    <w:rsid w:val="000424AD"/>
    <w:rsid w:val="000427EC"/>
    <w:rsid w:val="00042AD2"/>
    <w:rsid w:val="00042B3A"/>
    <w:rsid w:val="00042CB5"/>
    <w:rsid w:val="00042EBD"/>
    <w:rsid w:val="00042FB3"/>
    <w:rsid w:val="000431E2"/>
    <w:rsid w:val="0004344B"/>
    <w:rsid w:val="00043521"/>
    <w:rsid w:val="0004358B"/>
    <w:rsid w:val="000435A5"/>
    <w:rsid w:val="000435F1"/>
    <w:rsid w:val="00043685"/>
    <w:rsid w:val="000438D2"/>
    <w:rsid w:val="00043992"/>
    <w:rsid w:val="00044263"/>
    <w:rsid w:val="000442AE"/>
    <w:rsid w:val="00044318"/>
    <w:rsid w:val="00044565"/>
    <w:rsid w:val="000445D9"/>
    <w:rsid w:val="00044716"/>
    <w:rsid w:val="0004473B"/>
    <w:rsid w:val="000448BC"/>
    <w:rsid w:val="00044918"/>
    <w:rsid w:val="00044D05"/>
    <w:rsid w:val="00044FCC"/>
    <w:rsid w:val="00045087"/>
    <w:rsid w:val="000450BA"/>
    <w:rsid w:val="000452DF"/>
    <w:rsid w:val="00045353"/>
    <w:rsid w:val="0004535A"/>
    <w:rsid w:val="00045465"/>
    <w:rsid w:val="0004567E"/>
    <w:rsid w:val="000456B8"/>
    <w:rsid w:val="00045740"/>
    <w:rsid w:val="0004591E"/>
    <w:rsid w:val="00045984"/>
    <w:rsid w:val="000459D7"/>
    <w:rsid w:val="000459FA"/>
    <w:rsid w:val="00045AE1"/>
    <w:rsid w:val="00045D11"/>
    <w:rsid w:val="00045F14"/>
    <w:rsid w:val="00045F4B"/>
    <w:rsid w:val="00045F65"/>
    <w:rsid w:val="00046044"/>
    <w:rsid w:val="00046112"/>
    <w:rsid w:val="0004619D"/>
    <w:rsid w:val="00046218"/>
    <w:rsid w:val="000463E1"/>
    <w:rsid w:val="00046580"/>
    <w:rsid w:val="00046777"/>
    <w:rsid w:val="000467CE"/>
    <w:rsid w:val="00046B99"/>
    <w:rsid w:val="00046CDD"/>
    <w:rsid w:val="00046D6D"/>
    <w:rsid w:val="00046DC3"/>
    <w:rsid w:val="00046E25"/>
    <w:rsid w:val="00046E28"/>
    <w:rsid w:val="0004702F"/>
    <w:rsid w:val="00047083"/>
    <w:rsid w:val="000470B0"/>
    <w:rsid w:val="00047117"/>
    <w:rsid w:val="00047318"/>
    <w:rsid w:val="000473C2"/>
    <w:rsid w:val="00047473"/>
    <w:rsid w:val="00047741"/>
    <w:rsid w:val="00047772"/>
    <w:rsid w:val="00047932"/>
    <w:rsid w:val="000479C0"/>
    <w:rsid w:val="00047C9D"/>
    <w:rsid w:val="00047D91"/>
    <w:rsid w:val="00047F04"/>
    <w:rsid w:val="00047F2B"/>
    <w:rsid w:val="00047F9C"/>
    <w:rsid w:val="0005000E"/>
    <w:rsid w:val="00050278"/>
    <w:rsid w:val="000502F4"/>
    <w:rsid w:val="00050501"/>
    <w:rsid w:val="00050655"/>
    <w:rsid w:val="00050699"/>
    <w:rsid w:val="000506D2"/>
    <w:rsid w:val="000507A9"/>
    <w:rsid w:val="000508D4"/>
    <w:rsid w:val="0005095E"/>
    <w:rsid w:val="00050A28"/>
    <w:rsid w:val="00050C91"/>
    <w:rsid w:val="00050EC3"/>
    <w:rsid w:val="000511B3"/>
    <w:rsid w:val="000512E1"/>
    <w:rsid w:val="000512F6"/>
    <w:rsid w:val="00051345"/>
    <w:rsid w:val="00051561"/>
    <w:rsid w:val="000517DB"/>
    <w:rsid w:val="00051843"/>
    <w:rsid w:val="00051845"/>
    <w:rsid w:val="00051899"/>
    <w:rsid w:val="00051C34"/>
    <w:rsid w:val="00051D66"/>
    <w:rsid w:val="00051E7F"/>
    <w:rsid w:val="00051F95"/>
    <w:rsid w:val="000520C2"/>
    <w:rsid w:val="00052128"/>
    <w:rsid w:val="0005231E"/>
    <w:rsid w:val="0005250D"/>
    <w:rsid w:val="0005254B"/>
    <w:rsid w:val="00052571"/>
    <w:rsid w:val="00052602"/>
    <w:rsid w:val="00052927"/>
    <w:rsid w:val="00052C48"/>
    <w:rsid w:val="00052EBA"/>
    <w:rsid w:val="000530AB"/>
    <w:rsid w:val="00053229"/>
    <w:rsid w:val="00053738"/>
    <w:rsid w:val="000539F7"/>
    <w:rsid w:val="00053C82"/>
    <w:rsid w:val="00053DE1"/>
    <w:rsid w:val="00053F51"/>
    <w:rsid w:val="000541F6"/>
    <w:rsid w:val="00054234"/>
    <w:rsid w:val="00054354"/>
    <w:rsid w:val="00054383"/>
    <w:rsid w:val="000545E1"/>
    <w:rsid w:val="00054704"/>
    <w:rsid w:val="00054863"/>
    <w:rsid w:val="000548F9"/>
    <w:rsid w:val="00054957"/>
    <w:rsid w:val="000549D9"/>
    <w:rsid w:val="00054E5A"/>
    <w:rsid w:val="00054ED0"/>
    <w:rsid w:val="00054EE6"/>
    <w:rsid w:val="00054F89"/>
    <w:rsid w:val="00055023"/>
    <w:rsid w:val="000552AB"/>
    <w:rsid w:val="0005567A"/>
    <w:rsid w:val="000557EE"/>
    <w:rsid w:val="000559D5"/>
    <w:rsid w:val="00055BDB"/>
    <w:rsid w:val="00055C6F"/>
    <w:rsid w:val="00055DAB"/>
    <w:rsid w:val="00055FCC"/>
    <w:rsid w:val="00055FD0"/>
    <w:rsid w:val="000560AD"/>
    <w:rsid w:val="00056287"/>
    <w:rsid w:val="00056529"/>
    <w:rsid w:val="00056585"/>
    <w:rsid w:val="0005664A"/>
    <w:rsid w:val="00056821"/>
    <w:rsid w:val="000568B6"/>
    <w:rsid w:val="000568D3"/>
    <w:rsid w:val="00056AAE"/>
    <w:rsid w:val="00056C00"/>
    <w:rsid w:val="00056F35"/>
    <w:rsid w:val="00056F39"/>
    <w:rsid w:val="00056F8D"/>
    <w:rsid w:val="00056FFE"/>
    <w:rsid w:val="000571B6"/>
    <w:rsid w:val="000573E9"/>
    <w:rsid w:val="0005741B"/>
    <w:rsid w:val="000574EA"/>
    <w:rsid w:val="000577C1"/>
    <w:rsid w:val="000577D8"/>
    <w:rsid w:val="000578AD"/>
    <w:rsid w:val="000579AA"/>
    <w:rsid w:val="00057BF6"/>
    <w:rsid w:val="00057C30"/>
    <w:rsid w:val="00057DB4"/>
    <w:rsid w:val="00057DD7"/>
    <w:rsid w:val="00057EFF"/>
    <w:rsid w:val="00057FAB"/>
    <w:rsid w:val="00060092"/>
    <w:rsid w:val="0006016A"/>
    <w:rsid w:val="000601BF"/>
    <w:rsid w:val="0006034D"/>
    <w:rsid w:val="00060354"/>
    <w:rsid w:val="000608EA"/>
    <w:rsid w:val="00060927"/>
    <w:rsid w:val="00060A19"/>
    <w:rsid w:val="00060B07"/>
    <w:rsid w:val="00060C25"/>
    <w:rsid w:val="00060E23"/>
    <w:rsid w:val="00060F18"/>
    <w:rsid w:val="00060FD1"/>
    <w:rsid w:val="00060FF0"/>
    <w:rsid w:val="0006110F"/>
    <w:rsid w:val="000611E8"/>
    <w:rsid w:val="000612DF"/>
    <w:rsid w:val="0006147D"/>
    <w:rsid w:val="000614B7"/>
    <w:rsid w:val="00061546"/>
    <w:rsid w:val="00061784"/>
    <w:rsid w:val="000618C0"/>
    <w:rsid w:val="000619B3"/>
    <w:rsid w:val="000619EF"/>
    <w:rsid w:val="00061C80"/>
    <w:rsid w:val="00061DB3"/>
    <w:rsid w:val="00061F52"/>
    <w:rsid w:val="000620F5"/>
    <w:rsid w:val="000621BA"/>
    <w:rsid w:val="000623A7"/>
    <w:rsid w:val="000624EE"/>
    <w:rsid w:val="00062512"/>
    <w:rsid w:val="00062557"/>
    <w:rsid w:val="000625AC"/>
    <w:rsid w:val="0006271C"/>
    <w:rsid w:val="000627A5"/>
    <w:rsid w:val="000627D6"/>
    <w:rsid w:val="000628AA"/>
    <w:rsid w:val="00062A8F"/>
    <w:rsid w:val="00062B82"/>
    <w:rsid w:val="00062B85"/>
    <w:rsid w:val="00062E68"/>
    <w:rsid w:val="000630B5"/>
    <w:rsid w:val="0006321B"/>
    <w:rsid w:val="0006322E"/>
    <w:rsid w:val="00063292"/>
    <w:rsid w:val="00063303"/>
    <w:rsid w:val="000634CB"/>
    <w:rsid w:val="000634F1"/>
    <w:rsid w:val="000638CD"/>
    <w:rsid w:val="000639DA"/>
    <w:rsid w:val="00063A08"/>
    <w:rsid w:val="00063BDC"/>
    <w:rsid w:val="00063C80"/>
    <w:rsid w:val="00063E13"/>
    <w:rsid w:val="00063E3D"/>
    <w:rsid w:val="00063F4D"/>
    <w:rsid w:val="0006422D"/>
    <w:rsid w:val="00064282"/>
    <w:rsid w:val="00064337"/>
    <w:rsid w:val="00064456"/>
    <w:rsid w:val="00064471"/>
    <w:rsid w:val="00064700"/>
    <w:rsid w:val="000647DB"/>
    <w:rsid w:val="00064AED"/>
    <w:rsid w:val="00064C0D"/>
    <w:rsid w:val="00064D11"/>
    <w:rsid w:val="00064DA3"/>
    <w:rsid w:val="00064DBC"/>
    <w:rsid w:val="00065077"/>
    <w:rsid w:val="00065464"/>
    <w:rsid w:val="000654C3"/>
    <w:rsid w:val="00065586"/>
    <w:rsid w:val="000656F9"/>
    <w:rsid w:val="000657B4"/>
    <w:rsid w:val="00065850"/>
    <w:rsid w:val="00065B76"/>
    <w:rsid w:val="00065D2A"/>
    <w:rsid w:val="00065D7A"/>
    <w:rsid w:val="00065F31"/>
    <w:rsid w:val="00066047"/>
    <w:rsid w:val="000660C9"/>
    <w:rsid w:val="00066165"/>
    <w:rsid w:val="00066247"/>
    <w:rsid w:val="0006624B"/>
    <w:rsid w:val="00066289"/>
    <w:rsid w:val="00066367"/>
    <w:rsid w:val="000665B7"/>
    <w:rsid w:val="0006667D"/>
    <w:rsid w:val="00066C5F"/>
    <w:rsid w:val="00066D0D"/>
    <w:rsid w:val="00066E59"/>
    <w:rsid w:val="00067184"/>
    <w:rsid w:val="000672C8"/>
    <w:rsid w:val="000673EC"/>
    <w:rsid w:val="00067639"/>
    <w:rsid w:val="000677AE"/>
    <w:rsid w:val="00067979"/>
    <w:rsid w:val="000679F3"/>
    <w:rsid w:val="00067A39"/>
    <w:rsid w:val="00067A8B"/>
    <w:rsid w:val="00067AA5"/>
    <w:rsid w:val="00067B05"/>
    <w:rsid w:val="00067C66"/>
    <w:rsid w:val="00067DA4"/>
    <w:rsid w:val="00067FE5"/>
    <w:rsid w:val="0007032E"/>
    <w:rsid w:val="00070373"/>
    <w:rsid w:val="000703D0"/>
    <w:rsid w:val="0007040E"/>
    <w:rsid w:val="00070432"/>
    <w:rsid w:val="000704C5"/>
    <w:rsid w:val="000704EE"/>
    <w:rsid w:val="00070583"/>
    <w:rsid w:val="0007068D"/>
    <w:rsid w:val="000706A1"/>
    <w:rsid w:val="00070704"/>
    <w:rsid w:val="00070873"/>
    <w:rsid w:val="000708A6"/>
    <w:rsid w:val="000708F0"/>
    <w:rsid w:val="00070986"/>
    <w:rsid w:val="00070A1E"/>
    <w:rsid w:val="00070A38"/>
    <w:rsid w:val="00070AAD"/>
    <w:rsid w:val="00070D86"/>
    <w:rsid w:val="00070E26"/>
    <w:rsid w:val="00071109"/>
    <w:rsid w:val="00071177"/>
    <w:rsid w:val="000713D5"/>
    <w:rsid w:val="0007146A"/>
    <w:rsid w:val="0007178C"/>
    <w:rsid w:val="00071804"/>
    <w:rsid w:val="00071890"/>
    <w:rsid w:val="000718EC"/>
    <w:rsid w:val="00071A0A"/>
    <w:rsid w:val="00071AC8"/>
    <w:rsid w:val="00071BB6"/>
    <w:rsid w:val="00071EB7"/>
    <w:rsid w:val="00071F4C"/>
    <w:rsid w:val="0007201B"/>
    <w:rsid w:val="000722AD"/>
    <w:rsid w:val="00072408"/>
    <w:rsid w:val="0007244C"/>
    <w:rsid w:val="000724CF"/>
    <w:rsid w:val="00072534"/>
    <w:rsid w:val="00072741"/>
    <w:rsid w:val="00072799"/>
    <w:rsid w:val="000727A7"/>
    <w:rsid w:val="000727C4"/>
    <w:rsid w:val="0007283E"/>
    <w:rsid w:val="00072C97"/>
    <w:rsid w:val="00072CF2"/>
    <w:rsid w:val="00072E37"/>
    <w:rsid w:val="00072EC4"/>
    <w:rsid w:val="00072FA9"/>
    <w:rsid w:val="000730A0"/>
    <w:rsid w:val="000730FC"/>
    <w:rsid w:val="0007330E"/>
    <w:rsid w:val="000733AD"/>
    <w:rsid w:val="0007351C"/>
    <w:rsid w:val="00073624"/>
    <w:rsid w:val="000736C6"/>
    <w:rsid w:val="0007374D"/>
    <w:rsid w:val="00073A38"/>
    <w:rsid w:val="00073A90"/>
    <w:rsid w:val="00073B46"/>
    <w:rsid w:val="00073B68"/>
    <w:rsid w:val="00073BB3"/>
    <w:rsid w:val="00073E97"/>
    <w:rsid w:val="00073F99"/>
    <w:rsid w:val="0007411D"/>
    <w:rsid w:val="00074153"/>
    <w:rsid w:val="000741E9"/>
    <w:rsid w:val="000741F9"/>
    <w:rsid w:val="00074286"/>
    <w:rsid w:val="00074315"/>
    <w:rsid w:val="000743B6"/>
    <w:rsid w:val="00074531"/>
    <w:rsid w:val="000746A0"/>
    <w:rsid w:val="00074813"/>
    <w:rsid w:val="000748F8"/>
    <w:rsid w:val="00074973"/>
    <w:rsid w:val="00074DF8"/>
    <w:rsid w:val="00074E2F"/>
    <w:rsid w:val="00074E69"/>
    <w:rsid w:val="000751B7"/>
    <w:rsid w:val="000752AE"/>
    <w:rsid w:val="0007530C"/>
    <w:rsid w:val="0007540B"/>
    <w:rsid w:val="000756E9"/>
    <w:rsid w:val="0007577B"/>
    <w:rsid w:val="000758EA"/>
    <w:rsid w:val="00075A9C"/>
    <w:rsid w:val="00075CFB"/>
    <w:rsid w:val="00075D24"/>
    <w:rsid w:val="00076585"/>
    <w:rsid w:val="0007663C"/>
    <w:rsid w:val="00076714"/>
    <w:rsid w:val="0007672F"/>
    <w:rsid w:val="00076810"/>
    <w:rsid w:val="00076839"/>
    <w:rsid w:val="0007683E"/>
    <w:rsid w:val="00076990"/>
    <w:rsid w:val="000769F5"/>
    <w:rsid w:val="00076A4F"/>
    <w:rsid w:val="00076BC4"/>
    <w:rsid w:val="00076CBC"/>
    <w:rsid w:val="00076D32"/>
    <w:rsid w:val="00076EED"/>
    <w:rsid w:val="00076FDC"/>
    <w:rsid w:val="00077004"/>
    <w:rsid w:val="0007704D"/>
    <w:rsid w:val="0007716D"/>
    <w:rsid w:val="0007745E"/>
    <w:rsid w:val="0007750D"/>
    <w:rsid w:val="0007759C"/>
    <w:rsid w:val="00077605"/>
    <w:rsid w:val="00077730"/>
    <w:rsid w:val="00077731"/>
    <w:rsid w:val="00077A35"/>
    <w:rsid w:val="00077B09"/>
    <w:rsid w:val="00077B36"/>
    <w:rsid w:val="000801C7"/>
    <w:rsid w:val="0008032D"/>
    <w:rsid w:val="00080366"/>
    <w:rsid w:val="000803FB"/>
    <w:rsid w:val="00080948"/>
    <w:rsid w:val="00080967"/>
    <w:rsid w:val="00080991"/>
    <w:rsid w:val="00080A3A"/>
    <w:rsid w:val="00080AC3"/>
    <w:rsid w:val="00080B0D"/>
    <w:rsid w:val="00080B32"/>
    <w:rsid w:val="00080BA7"/>
    <w:rsid w:val="00080BAB"/>
    <w:rsid w:val="00080DB1"/>
    <w:rsid w:val="00080DEE"/>
    <w:rsid w:val="000810C7"/>
    <w:rsid w:val="000810E3"/>
    <w:rsid w:val="00081179"/>
    <w:rsid w:val="0008139D"/>
    <w:rsid w:val="000817A2"/>
    <w:rsid w:val="000817A4"/>
    <w:rsid w:val="00081803"/>
    <w:rsid w:val="00081930"/>
    <w:rsid w:val="000819AA"/>
    <w:rsid w:val="00081C33"/>
    <w:rsid w:val="00081D15"/>
    <w:rsid w:val="00082192"/>
    <w:rsid w:val="000821AC"/>
    <w:rsid w:val="000821CB"/>
    <w:rsid w:val="000824D0"/>
    <w:rsid w:val="000824EB"/>
    <w:rsid w:val="000825B7"/>
    <w:rsid w:val="000826C8"/>
    <w:rsid w:val="00082A29"/>
    <w:rsid w:val="00082A37"/>
    <w:rsid w:val="00082C16"/>
    <w:rsid w:val="00082D8F"/>
    <w:rsid w:val="00082F06"/>
    <w:rsid w:val="0008306E"/>
    <w:rsid w:val="000831DA"/>
    <w:rsid w:val="0008327E"/>
    <w:rsid w:val="000833C8"/>
    <w:rsid w:val="0008342B"/>
    <w:rsid w:val="00083460"/>
    <w:rsid w:val="00083497"/>
    <w:rsid w:val="000834E4"/>
    <w:rsid w:val="00083563"/>
    <w:rsid w:val="000836FE"/>
    <w:rsid w:val="00083AF9"/>
    <w:rsid w:val="00083C61"/>
    <w:rsid w:val="00083C69"/>
    <w:rsid w:val="00083D43"/>
    <w:rsid w:val="00083E77"/>
    <w:rsid w:val="000840AF"/>
    <w:rsid w:val="0008420F"/>
    <w:rsid w:val="00084514"/>
    <w:rsid w:val="0008466F"/>
    <w:rsid w:val="000847E4"/>
    <w:rsid w:val="000847E7"/>
    <w:rsid w:val="00084915"/>
    <w:rsid w:val="00084A20"/>
    <w:rsid w:val="00084BF4"/>
    <w:rsid w:val="00084F32"/>
    <w:rsid w:val="0008521F"/>
    <w:rsid w:val="00085307"/>
    <w:rsid w:val="00085388"/>
    <w:rsid w:val="000853ED"/>
    <w:rsid w:val="000855B2"/>
    <w:rsid w:val="000858ED"/>
    <w:rsid w:val="00085B3F"/>
    <w:rsid w:val="00085C83"/>
    <w:rsid w:val="00085E3F"/>
    <w:rsid w:val="00085F8F"/>
    <w:rsid w:val="0008629B"/>
    <w:rsid w:val="000863D9"/>
    <w:rsid w:val="0008650F"/>
    <w:rsid w:val="00086518"/>
    <w:rsid w:val="000865CC"/>
    <w:rsid w:val="000865CF"/>
    <w:rsid w:val="00086894"/>
    <w:rsid w:val="00086907"/>
    <w:rsid w:val="00086983"/>
    <w:rsid w:val="000869F2"/>
    <w:rsid w:val="00086A1C"/>
    <w:rsid w:val="00086A25"/>
    <w:rsid w:val="00086BE7"/>
    <w:rsid w:val="00086C10"/>
    <w:rsid w:val="00086C3F"/>
    <w:rsid w:val="00086CF1"/>
    <w:rsid w:val="000871B5"/>
    <w:rsid w:val="00087216"/>
    <w:rsid w:val="00087231"/>
    <w:rsid w:val="00087279"/>
    <w:rsid w:val="000875BC"/>
    <w:rsid w:val="0008782D"/>
    <w:rsid w:val="00087A5C"/>
    <w:rsid w:val="00087B1D"/>
    <w:rsid w:val="00087C6D"/>
    <w:rsid w:val="00087D48"/>
    <w:rsid w:val="00087FBE"/>
    <w:rsid w:val="0009039C"/>
    <w:rsid w:val="00090530"/>
    <w:rsid w:val="0009073E"/>
    <w:rsid w:val="000907AD"/>
    <w:rsid w:val="00090859"/>
    <w:rsid w:val="0009095B"/>
    <w:rsid w:val="00090963"/>
    <w:rsid w:val="00090A45"/>
    <w:rsid w:val="00090BDA"/>
    <w:rsid w:val="00090D73"/>
    <w:rsid w:val="00090DE7"/>
    <w:rsid w:val="00090F42"/>
    <w:rsid w:val="00091329"/>
    <w:rsid w:val="00091500"/>
    <w:rsid w:val="000916B3"/>
    <w:rsid w:val="000916FE"/>
    <w:rsid w:val="000917C9"/>
    <w:rsid w:val="000918C5"/>
    <w:rsid w:val="000918FF"/>
    <w:rsid w:val="00091927"/>
    <w:rsid w:val="00091B34"/>
    <w:rsid w:val="00091DF8"/>
    <w:rsid w:val="000920CC"/>
    <w:rsid w:val="000920D2"/>
    <w:rsid w:val="000922F9"/>
    <w:rsid w:val="00092576"/>
    <w:rsid w:val="000925DE"/>
    <w:rsid w:val="000927CB"/>
    <w:rsid w:val="000927FE"/>
    <w:rsid w:val="00092CFA"/>
    <w:rsid w:val="00092DE8"/>
    <w:rsid w:val="00093018"/>
    <w:rsid w:val="000932E9"/>
    <w:rsid w:val="000933B9"/>
    <w:rsid w:val="0009343E"/>
    <w:rsid w:val="00093500"/>
    <w:rsid w:val="00093598"/>
    <w:rsid w:val="000935D3"/>
    <w:rsid w:val="0009362A"/>
    <w:rsid w:val="00093722"/>
    <w:rsid w:val="000939B8"/>
    <w:rsid w:val="00093A77"/>
    <w:rsid w:val="00093AAE"/>
    <w:rsid w:val="00093AFF"/>
    <w:rsid w:val="00093B03"/>
    <w:rsid w:val="00093B81"/>
    <w:rsid w:val="00093D74"/>
    <w:rsid w:val="00093EAB"/>
    <w:rsid w:val="00093FBB"/>
    <w:rsid w:val="000940CD"/>
    <w:rsid w:val="000940FA"/>
    <w:rsid w:val="00094226"/>
    <w:rsid w:val="00094349"/>
    <w:rsid w:val="0009434B"/>
    <w:rsid w:val="00094466"/>
    <w:rsid w:val="0009451A"/>
    <w:rsid w:val="000947CE"/>
    <w:rsid w:val="0009485A"/>
    <w:rsid w:val="00094AC3"/>
    <w:rsid w:val="00094C7B"/>
    <w:rsid w:val="00095015"/>
    <w:rsid w:val="00095165"/>
    <w:rsid w:val="00095200"/>
    <w:rsid w:val="00095234"/>
    <w:rsid w:val="00095280"/>
    <w:rsid w:val="000952A4"/>
    <w:rsid w:val="000953B4"/>
    <w:rsid w:val="000954F2"/>
    <w:rsid w:val="00095523"/>
    <w:rsid w:val="00095708"/>
    <w:rsid w:val="0009578E"/>
    <w:rsid w:val="000957CD"/>
    <w:rsid w:val="00095819"/>
    <w:rsid w:val="00095A57"/>
    <w:rsid w:val="00095AC4"/>
    <w:rsid w:val="00095AE5"/>
    <w:rsid w:val="00095BC3"/>
    <w:rsid w:val="00095D69"/>
    <w:rsid w:val="00095DB5"/>
    <w:rsid w:val="0009629F"/>
    <w:rsid w:val="000963BE"/>
    <w:rsid w:val="0009656F"/>
    <w:rsid w:val="00096B89"/>
    <w:rsid w:val="00096BB0"/>
    <w:rsid w:val="00096D6B"/>
    <w:rsid w:val="000970C9"/>
    <w:rsid w:val="0009710F"/>
    <w:rsid w:val="000971A1"/>
    <w:rsid w:val="000973FB"/>
    <w:rsid w:val="000974A1"/>
    <w:rsid w:val="000975F0"/>
    <w:rsid w:val="00097740"/>
    <w:rsid w:val="00097824"/>
    <w:rsid w:val="00097856"/>
    <w:rsid w:val="000978A6"/>
    <w:rsid w:val="00097B10"/>
    <w:rsid w:val="00097C0D"/>
    <w:rsid w:val="00097C76"/>
    <w:rsid w:val="00097DE5"/>
    <w:rsid w:val="00097F80"/>
    <w:rsid w:val="00097FAA"/>
    <w:rsid w:val="000A0007"/>
    <w:rsid w:val="000A0297"/>
    <w:rsid w:val="000A0AE9"/>
    <w:rsid w:val="000A0C24"/>
    <w:rsid w:val="000A0FDB"/>
    <w:rsid w:val="000A1142"/>
    <w:rsid w:val="000A1177"/>
    <w:rsid w:val="000A12E2"/>
    <w:rsid w:val="000A156A"/>
    <w:rsid w:val="000A163C"/>
    <w:rsid w:val="000A186D"/>
    <w:rsid w:val="000A1903"/>
    <w:rsid w:val="000A1925"/>
    <w:rsid w:val="000A1998"/>
    <w:rsid w:val="000A1F48"/>
    <w:rsid w:val="000A1FDA"/>
    <w:rsid w:val="000A2084"/>
    <w:rsid w:val="000A2176"/>
    <w:rsid w:val="000A21AA"/>
    <w:rsid w:val="000A25BE"/>
    <w:rsid w:val="000A296A"/>
    <w:rsid w:val="000A2DE7"/>
    <w:rsid w:val="000A2E02"/>
    <w:rsid w:val="000A3027"/>
    <w:rsid w:val="000A3150"/>
    <w:rsid w:val="000A31B1"/>
    <w:rsid w:val="000A35A5"/>
    <w:rsid w:val="000A3687"/>
    <w:rsid w:val="000A372A"/>
    <w:rsid w:val="000A3745"/>
    <w:rsid w:val="000A3A49"/>
    <w:rsid w:val="000A3B32"/>
    <w:rsid w:val="000A3D86"/>
    <w:rsid w:val="000A3DA1"/>
    <w:rsid w:val="000A3DDB"/>
    <w:rsid w:val="000A3FA5"/>
    <w:rsid w:val="000A3FDD"/>
    <w:rsid w:val="000A4005"/>
    <w:rsid w:val="000A40EF"/>
    <w:rsid w:val="000A436E"/>
    <w:rsid w:val="000A441E"/>
    <w:rsid w:val="000A449B"/>
    <w:rsid w:val="000A4587"/>
    <w:rsid w:val="000A458D"/>
    <w:rsid w:val="000A461A"/>
    <w:rsid w:val="000A462F"/>
    <w:rsid w:val="000A47F0"/>
    <w:rsid w:val="000A47FA"/>
    <w:rsid w:val="000A4800"/>
    <w:rsid w:val="000A4ADB"/>
    <w:rsid w:val="000A4BFB"/>
    <w:rsid w:val="000A4BFC"/>
    <w:rsid w:val="000A4E2A"/>
    <w:rsid w:val="000A4EC5"/>
    <w:rsid w:val="000A541B"/>
    <w:rsid w:val="000A55F0"/>
    <w:rsid w:val="000A56DE"/>
    <w:rsid w:val="000A5767"/>
    <w:rsid w:val="000A5835"/>
    <w:rsid w:val="000A58CB"/>
    <w:rsid w:val="000A592D"/>
    <w:rsid w:val="000A5A32"/>
    <w:rsid w:val="000A5A45"/>
    <w:rsid w:val="000A5CA2"/>
    <w:rsid w:val="000A5ED3"/>
    <w:rsid w:val="000A5F4B"/>
    <w:rsid w:val="000A6046"/>
    <w:rsid w:val="000A60B0"/>
    <w:rsid w:val="000A6243"/>
    <w:rsid w:val="000A62DF"/>
    <w:rsid w:val="000A6562"/>
    <w:rsid w:val="000A6585"/>
    <w:rsid w:val="000A658B"/>
    <w:rsid w:val="000A65EB"/>
    <w:rsid w:val="000A6737"/>
    <w:rsid w:val="000A6C5A"/>
    <w:rsid w:val="000A6DB3"/>
    <w:rsid w:val="000A6E24"/>
    <w:rsid w:val="000A6EB6"/>
    <w:rsid w:val="000A71C2"/>
    <w:rsid w:val="000A728F"/>
    <w:rsid w:val="000A72D6"/>
    <w:rsid w:val="000A7360"/>
    <w:rsid w:val="000A7561"/>
    <w:rsid w:val="000A7856"/>
    <w:rsid w:val="000A7B74"/>
    <w:rsid w:val="000B000E"/>
    <w:rsid w:val="000B00B7"/>
    <w:rsid w:val="000B02A4"/>
    <w:rsid w:val="000B091F"/>
    <w:rsid w:val="000B0D49"/>
    <w:rsid w:val="000B13C1"/>
    <w:rsid w:val="000B1596"/>
    <w:rsid w:val="000B1673"/>
    <w:rsid w:val="000B170C"/>
    <w:rsid w:val="000B1813"/>
    <w:rsid w:val="000B18A8"/>
    <w:rsid w:val="000B1987"/>
    <w:rsid w:val="000B1C24"/>
    <w:rsid w:val="000B1ECE"/>
    <w:rsid w:val="000B1F17"/>
    <w:rsid w:val="000B1FC7"/>
    <w:rsid w:val="000B1FFD"/>
    <w:rsid w:val="000B20E4"/>
    <w:rsid w:val="000B21FD"/>
    <w:rsid w:val="000B2278"/>
    <w:rsid w:val="000B22B7"/>
    <w:rsid w:val="000B231F"/>
    <w:rsid w:val="000B24F8"/>
    <w:rsid w:val="000B2576"/>
    <w:rsid w:val="000B35EF"/>
    <w:rsid w:val="000B35FE"/>
    <w:rsid w:val="000B376A"/>
    <w:rsid w:val="000B38B9"/>
    <w:rsid w:val="000B393A"/>
    <w:rsid w:val="000B3C1C"/>
    <w:rsid w:val="000B3F7E"/>
    <w:rsid w:val="000B4132"/>
    <w:rsid w:val="000B417C"/>
    <w:rsid w:val="000B42E3"/>
    <w:rsid w:val="000B42F4"/>
    <w:rsid w:val="000B42FC"/>
    <w:rsid w:val="000B43F5"/>
    <w:rsid w:val="000B4464"/>
    <w:rsid w:val="000B45AD"/>
    <w:rsid w:val="000B4730"/>
    <w:rsid w:val="000B4808"/>
    <w:rsid w:val="000B4972"/>
    <w:rsid w:val="000B4A37"/>
    <w:rsid w:val="000B4C0F"/>
    <w:rsid w:val="000B4E07"/>
    <w:rsid w:val="000B4F01"/>
    <w:rsid w:val="000B51A0"/>
    <w:rsid w:val="000B522E"/>
    <w:rsid w:val="000B581D"/>
    <w:rsid w:val="000B5831"/>
    <w:rsid w:val="000B5849"/>
    <w:rsid w:val="000B58C5"/>
    <w:rsid w:val="000B5A2B"/>
    <w:rsid w:val="000B5B92"/>
    <w:rsid w:val="000B5BED"/>
    <w:rsid w:val="000B5DA3"/>
    <w:rsid w:val="000B5DCB"/>
    <w:rsid w:val="000B64C8"/>
    <w:rsid w:val="000B64FC"/>
    <w:rsid w:val="000B65C9"/>
    <w:rsid w:val="000B695D"/>
    <w:rsid w:val="000B6A5C"/>
    <w:rsid w:val="000B6B71"/>
    <w:rsid w:val="000B6C5B"/>
    <w:rsid w:val="000B6E7D"/>
    <w:rsid w:val="000B71B7"/>
    <w:rsid w:val="000B727E"/>
    <w:rsid w:val="000B7861"/>
    <w:rsid w:val="000B79EC"/>
    <w:rsid w:val="000B7A79"/>
    <w:rsid w:val="000B7B58"/>
    <w:rsid w:val="000B7C47"/>
    <w:rsid w:val="000B7C81"/>
    <w:rsid w:val="000B7CCA"/>
    <w:rsid w:val="000B7D01"/>
    <w:rsid w:val="000B7D86"/>
    <w:rsid w:val="000B7D8C"/>
    <w:rsid w:val="000B7EDE"/>
    <w:rsid w:val="000B7FEB"/>
    <w:rsid w:val="000C0215"/>
    <w:rsid w:val="000C0224"/>
    <w:rsid w:val="000C0494"/>
    <w:rsid w:val="000C067F"/>
    <w:rsid w:val="000C099A"/>
    <w:rsid w:val="000C0D0E"/>
    <w:rsid w:val="000C0D63"/>
    <w:rsid w:val="000C0DDC"/>
    <w:rsid w:val="000C10A1"/>
    <w:rsid w:val="000C131A"/>
    <w:rsid w:val="000C1495"/>
    <w:rsid w:val="000C150D"/>
    <w:rsid w:val="000C156D"/>
    <w:rsid w:val="000C15EE"/>
    <w:rsid w:val="000C170E"/>
    <w:rsid w:val="000C1881"/>
    <w:rsid w:val="000C1B8A"/>
    <w:rsid w:val="000C1BAE"/>
    <w:rsid w:val="000C21A0"/>
    <w:rsid w:val="000C26AA"/>
    <w:rsid w:val="000C293D"/>
    <w:rsid w:val="000C2A6C"/>
    <w:rsid w:val="000C2B2E"/>
    <w:rsid w:val="000C2BE4"/>
    <w:rsid w:val="000C2C09"/>
    <w:rsid w:val="000C2E88"/>
    <w:rsid w:val="000C3073"/>
    <w:rsid w:val="000C31DA"/>
    <w:rsid w:val="000C3223"/>
    <w:rsid w:val="000C337C"/>
    <w:rsid w:val="000C3472"/>
    <w:rsid w:val="000C3496"/>
    <w:rsid w:val="000C36CE"/>
    <w:rsid w:val="000C37CD"/>
    <w:rsid w:val="000C39D7"/>
    <w:rsid w:val="000C3A31"/>
    <w:rsid w:val="000C3A47"/>
    <w:rsid w:val="000C3A5D"/>
    <w:rsid w:val="000C3B0E"/>
    <w:rsid w:val="000C3E76"/>
    <w:rsid w:val="000C4014"/>
    <w:rsid w:val="000C40B0"/>
    <w:rsid w:val="000C4182"/>
    <w:rsid w:val="000C41E9"/>
    <w:rsid w:val="000C42EC"/>
    <w:rsid w:val="000C441D"/>
    <w:rsid w:val="000C4428"/>
    <w:rsid w:val="000C44A2"/>
    <w:rsid w:val="000C45BB"/>
    <w:rsid w:val="000C465F"/>
    <w:rsid w:val="000C477A"/>
    <w:rsid w:val="000C489F"/>
    <w:rsid w:val="000C48A5"/>
    <w:rsid w:val="000C497C"/>
    <w:rsid w:val="000C4AB5"/>
    <w:rsid w:val="000C4AD3"/>
    <w:rsid w:val="000C4B0C"/>
    <w:rsid w:val="000C4C73"/>
    <w:rsid w:val="000C4C77"/>
    <w:rsid w:val="000C4CDA"/>
    <w:rsid w:val="000C4D92"/>
    <w:rsid w:val="000C4EB2"/>
    <w:rsid w:val="000C505E"/>
    <w:rsid w:val="000C507A"/>
    <w:rsid w:val="000C511A"/>
    <w:rsid w:val="000C523A"/>
    <w:rsid w:val="000C5244"/>
    <w:rsid w:val="000C52B5"/>
    <w:rsid w:val="000C5373"/>
    <w:rsid w:val="000C53D0"/>
    <w:rsid w:val="000C55DD"/>
    <w:rsid w:val="000C57BB"/>
    <w:rsid w:val="000C5986"/>
    <w:rsid w:val="000C5A30"/>
    <w:rsid w:val="000C5CA2"/>
    <w:rsid w:val="000C60E4"/>
    <w:rsid w:val="000C6106"/>
    <w:rsid w:val="000C633A"/>
    <w:rsid w:val="000C6396"/>
    <w:rsid w:val="000C6440"/>
    <w:rsid w:val="000C6575"/>
    <w:rsid w:val="000C680B"/>
    <w:rsid w:val="000C69BC"/>
    <w:rsid w:val="000C6E4B"/>
    <w:rsid w:val="000C711C"/>
    <w:rsid w:val="000C714E"/>
    <w:rsid w:val="000C728B"/>
    <w:rsid w:val="000C734A"/>
    <w:rsid w:val="000C7403"/>
    <w:rsid w:val="000C75AE"/>
    <w:rsid w:val="000C7666"/>
    <w:rsid w:val="000C7768"/>
    <w:rsid w:val="000C77B5"/>
    <w:rsid w:val="000C7A8C"/>
    <w:rsid w:val="000C7A9A"/>
    <w:rsid w:val="000C7BCC"/>
    <w:rsid w:val="000C7C02"/>
    <w:rsid w:val="000C7DF4"/>
    <w:rsid w:val="000C7E8D"/>
    <w:rsid w:val="000C7F4A"/>
    <w:rsid w:val="000C7FF1"/>
    <w:rsid w:val="000D00EF"/>
    <w:rsid w:val="000D0117"/>
    <w:rsid w:val="000D055D"/>
    <w:rsid w:val="000D0580"/>
    <w:rsid w:val="000D068B"/>
    <w:rsid w:val="000D07BB"/>
    <w:rsid w:val="000D081F"/>
    <w:rsid w:val="000D0A63"/>
    <w:rsid w:val="000D0CF6"/>
    <w:rsid w:val="000D10AB"/>
    <w:rsid w:val="000D122A"/>
    <w:rsid w:val="000D1252"/>
    <w:rsid w:val="000D131B"/>
    <w:rsid w:val="000D15E3"/>
    <w:rsid w:val="000D173D"/>
    <w:rsid w:val="000D183B"/>
    <w:rsid w:val="000D1909"/>
    <w:rsid w:val="000D1944"/>
    <w:rsid w:val="000D1AC6"/>
    <w:rsid w:val="000D1CBD"/>
    <w:rsid w:val="000D1CF3"/>
    <w:rsid w:val="000D1D08"/>
    <w:rsid w:val="000D1E51"/>
    <w:rsid w:val="000D1F76"/>
    <w:rsid w:val="000D2104"/>
    <w:rsid w:val="000D2201"/>
    <w:rsid w:val="000D23DE"/>
    <w:rsid w:val="000D27C3"/>
    <w:rsid w:val="000D28BB"/>
    <w:rsid w:val="000D2929"/>
    <w:rsid w:val="000D29AD"/>
    <w:rsid w:val="000D2AFB"/>
    <w:rsid w:val="000D2B1A"/>
    <w:rsid w:val="000D2CE3"/>
    <w:rsid w:val="000D2D29"/>
    <w:rsid w:val="000D2DFB"/>
    <w:rsid w:val="000D2EC4"/>
    <w:rsid w:val="000D2EF6"/>
    <w:rsid w:val="000D30B5"/>
    <w:rsid w:val="000D3294"/>
    <w:rsid w:val="000D36C1"/>
    <w:rsid w:val="000D370C"/>
    <w:rsid w:val="000D3722"/>
    <w:rsid w:val="000D37B8"/>
    <w:rsid w:val="000D39F6"/>
    <w:rsid w:val="000D3C2F"/>
    <w:rsid w:val="000D3E75"/>
    <w:rsid w:val="000D3EAD"/>
    <w:rsid w:val="000D4011"/>
    <w:rsid w:val="000D4062"/>
    <w:rsid w:val="000D422B"/>
    <w:rsid w:val="000D4363"/>
    <w:rsid w:val="000D4397"/>
    <w:rsid w:val="000D487C"/>
    <w:rsid w:val="000D4915"/>
    <w:rsid w:val="000D4994"/>
    <w:rsid w:val="000D4CC0"/>
    <w:rsid w:val="000D4E8C"/>
    <w:rsid w:val="000D50D4"/>
    <w:rsid w:val="000D547F"/>
    <w:rsid w:val="000D5676"/>
    <w:rsid w:val="000D57A5"/>
    <w:rsid w:val="000D58DE"/>
    <w:rsid w:val="000D591A"/>
    <w:rsid w:val="000D5A52"/>
    <w:rsid w:val="000D5C45"/>
    <w:rsid w:val="000D5C79"/>
    <w:rsid w:val="000D5CF4"/>
    <w:rsid w:val="000D5D30"/>
    <w:rsid w:val="000D5F13"/>
    <w:rsid w:val="000D5FAD"/>
    <w:rsid w:val="000D6000"/>
    <w:rsid w:val="000D601C"/>
    <w:rsid w:val="000D641B"/>
    <w:rsid w:val="000D65BB"/>
    <w:rsid w:val="000D6861"/>
    <w:rsid w:val="000D69FC"/>
    <w:rsid w:val="000D6B4F"/>
    <w:rsid w:val="000D6B7C"/>
    <w:rsid w:val="000D6C95"/>
    <w:rsid w:val="000D6CC7"/>
    <w:rsid w:val="000D6DB7"/>
    <w:rsid w:val="000D6E76"/>
    <w:rsid w:val="000D704C"/>
    <w:rsid w:val="000D7292"/>
    <w:rsid w:val="000D74A4"/>
    <w:rsid w:val="000D74C9"/>
    <w:rsid w:val="000D7793"/>
    <w:rsid w:val="000D7891"/>
    <w:rsid w:val="000D7AB1"/>
    <w:rsid w:val="000D7C4E"/>
    <w:rsid w:val="000D7D4D"/>
    <w:rsid w:val="000D7D80"/>
    <w:rsid w:val="000D7FA8"/>
    <w:rsid w:val="000E0373"/>
    <w:rsid w:val="000E03E4"/>
    <w:rsid w:val="000E03F4"/>
    <w:rsid w:val="000E0427"/>
    <w:rsid w:val="000E06FD"/>
    <w:rsid w:val="000E075B"/>
    <w:rsid w:val="000E07AA"/>
    <w:rsid w:val="000E0860"/>
    <w:rsid w:val="000E0C6B"/>
    <w:rsid w:val="000E0CF7"/>
    <w:rsid w:val="000E0DD3"/>
    <w:rsid w:val="000E0E9C"/>
    <w:rsid w:val="000E0EED"/>
    <w:rsid w:val="000E10E9"/>
    <w:rsid w:val="000E1116"/>
    <w:rsid w:val="000E116F"/>
    <w:rsid w:val="000E125B"/>
    <w:rsid w:val="000E14FF"/>
    <w:rsid w:val="000E157F"/>
    <w:rsid w:val="000E1799"/>
    <w:rsid w:val="000E19D4"/>
    <w:rsid w:val="000E1A0D"/>
    <w:rsid w:val="000E1AC6"/>
    <w:rsid w:val="000E1B45"/>
    <w:rsid w:val="000E1BCD"/>
    <w:rsid w:val="000E1C49"/>
    <w:rsid w:val="000E1D6C"/>
    <w:rsid w:val="000E1F77"/>
    <w:rsid w:val="000E2060"/>
    <w:rsid w:val="000E22C9"/>
    <w:rsid w:val="000E23F4"/>
    <w:rsid w:val="000E240E"/>
    <w:rsid w:val="000E24A2"/>
    <w:rsid w:val="000E24E3"/>
    <w:rsid w:val="000E2778"/>
    <w:rsid w:val="000E2856"/>
    <w:rsid w:val="000E2D7B"/>
    <w:rsid w:val="000E2E35"/>
    <w:rsid w:val="000E2EF8"/>
    <w:rsid w:val="000E2FB0"/>
    <w:rsid w:val="000E316B"/>
    <w:rsid w:val="000E3395"/>
    <w:rsid w:val="000E33E1"/>
    <w:rsid w:val="000E341D"/>
    <w:rsid w:val="000E3489"/>
    <w:rsid w:val="000E356F"/>
    <w:rsid w:val="000E3697"/>
    <w:rsid w:val="000E36A8"/>
    <w:rsid w:val="000E375A"/>
    <w:rsid w:val="000E37FF"/>
    <w:rsid w:val="000E3A22"/>
    <w:rsid w:val="000E3A2F"/>
    <w:rsid w:val="000E3C73"/>
    <w:rsid w:val="000E3DA6"/>
    <w:rsid w:val="000E44C0"/>
    <w:rsid w:val="000E4580"/>
    <w:rsid w:val="000E465B"/>
    <w:rsid w:val="000E4937"/>
    <w:rsid w:val="000E4A15"/>
    <w:rsid w:val="000E4C30"/>
    <w:rsid w:val="000E4DDA"/>
    <w:rsid w:val="000E5153"/>
    <w:rsid w:val="000E5172"/>
    <w:rsid w:val="000E51BB"/>
    <w:rsid w:val="000E529E"/>
    <w:rsid w:val="000E556C"/>
    <w:rsid w:val="000E569A"/>
    <w:rsid w:val="000E5834"/>
    <w:rsid w:val="000E58D6"/>
    <w:rsid w:val="000E5C6F"/>
    <w:rsid w:val="000E5E5B"/>
    <w:rsid w:val="000E608F"/>
    <w:rsid w:val="000E6185"/>
    <w:rsid w:val="000E668D"/>
    <w:rsid w:val="000E68E0"/>
    <w:rsid w:val="000E6C24"/>
    <w:rsid w:val="000E6C73"/>
    <w:rsid w:val="000E6ECC"/>
    <w:rsid w:val="000E6F34"/>
    <w:rsid w:val="000E7124"/>
    <w:rsid w:val="000E71A6"/>
    <w:rsid w:val="000E71DA"/>
    <w:rsid w:val="000E7591"/>
    <w:rsid w:val="000E7619"/>
    <w:rsid w:val="000E765E"/>
    <w:rsid w:val="000E77D8"/>
    <w:rsid w:val="000E78FF"/>
    <w:rsid w:val="000E7965"/>
    <w:rsid w:val="000E7A72"/>
    <w:rsid w:val="000E7CBA"/>
    <w:rsid w:val="000E7E63"/>
    <w:rsid w:val="000E7E86"/>
    <w:rsid w:val="000F0427"/>
    <w:rsid w:val="000F07B2"/>
    <w:rsid w:val="000F0A8F"/>
    <w:rsid w:val="000F0B33"/>
    <w:rsid w:val="000F0F23"/>
    <w:rsid w:val="000F0F7F"/>
    <w:rsid w:val="000F0FD3"/>
    <w:rsid w:val="000F1168"/>
    <w:rsid w:val="000F11B4"/>
    <w:rsid w:val="000F1271"/>
    <w:rsid w:val="000F1563"/>
    <w:rsid w:val="000F16DA"/>
    <w:rsid w:val="000F1C94"/>
    <w:rsid w:val="000F22C5"/>
    <w:rsid w:val="000F22CA"/>
    <w:rsid w:val="000F2321"/>
    <w:rsid w:val="000F2358"/>
    <w:rsid w:val="000F2378"/>
    <w:rsid w:val="000F25AF"/>
    <w:rsid w:val="000F296E"/>
    <w:rsid w:val="000F2F7E"/>
    <w:rsid w:val="000F2FFF"/>
    <w:rsid w:val="000F303D"/>
    <w:rsid w:val="000F312B"/>
    <w:rsid w:val="000F31A7"/>
    <w:rsid w:val="000F31C9"/>
    <w:rsid w:val="000F3257"/>
    <w:rsid w:val="000F3547"/>
    <w:rsid w:val="000F37B3"/>
    <w:rsid w:val="000F3810"/>
    <w:rsid w:val="000F38FA"/>
    <w:rsid w:val="000F3A3C"/>
    <w:rsid w:val="000F3BB1"/>
    <w:rsid w:val="000F3CA6"/>
    <w:rsid w:val="000F4134"/>
    <w:rsid w:val="000F41D1"/>
    <w:rsid w:val="000F43AB"/>
    <w:rsid w:val="000F4552"/>
    <w:rsid w:val="000F465F"/>
    <w:rsid w:val="000F46B9"/>
    <w:rsid w:val="000F477F"/>
    <w:rsid w:val="000F4C8E"/>
    <w:rsid w:val="000F4CFA"/>
    <w:rsid w:val="000F4D59"/>
    <w:rsid w:val="000F4E71"/>
    <w:rsid w:val="000F4F53"/>
    <w:rsid w:val="000F4FC1"/>
    <w:rsid w:val="000F50A7"/>
    <w:rsid w:val="000F50E7"/>
    <w:rsid w:val="000F514E"/>
    <w:rsid w:val="000F538C"/>
    <w:rsid w:val="000F5391"/>
    <w:rsid w:val="000F54A2"/>
    <w:rsid w:val="000F5631"/>
    <w:rsid w:val="000F567F"/>
    <w:rsid w:val="000F5682"/>
    <w:rsid w:val="000F5706"/>
    <w:rsid w:val="000F5744"/>
    <w:rsid w:val="000F5759"/>
    <w:rsid w:val="000F581F"/>
    <w:rsid w:val="000F5997"/>
    <w:rsid w:val="000F5AFE"/>
    <w:rsid w:val="000F5B02"/>
    <w:rsid w:val="000F5B87"/>
    <w:rsid w:val="000F62FD"/>
    <w:rsid w:val="000F652F"/>
    <w:rsid w:val="000F660A"/>
    <w:rsid w:val="000F67C6"/>
    <w:rsid w:val="000F6886"/>
    <w:rsid w:val="000F698E"/>
    <w:rsid w:val="000F698F"/>
    <w:rsid w:val="000F6A2D"/>
    <w:rsid w:val="000F6DBF"/>
    <w:rsid w:val="000F6DC1"/>
    <w:rsid w:val="000F70E1"/>
    <w:rsid w:val="000F73A3"/>
    <w:rsid w:val="000F76DD"/>
    <w:rsid w:val="000F783E"/>
    <w:rsid w:val="000F78F6"/>
    <w:rsid w:val="000F7F55"/>
    <w:rsid w:val="001000A5"/>
    <w:rsid w:val="00100114"/>
    <w:rsid w:val="00100371"/>
    <w:rsid w:val="00100674"/>
    <w:rsid w:val="00100755"/>
    <w:rsid w:val="00100897"/>
    <w:rsid w:val="001008EF"/>
    <w:rsid w:val="00100A80"/>
    <w:rsid w:val="00100A8A"/>
    <w:rsid w:val="00100BB5"/>
    <w:rsid w:val="00100D40"/>
    <w:rsid w:val="00100DA6"/>
    <w:rsid w:val="00100EE5"/>
    <w:rsid w:val="00100EE6"/>
    <w:rsid w:val="00101181"/>
    <w:rsid w:val="001012F2"/>
    <w:rsid w:val="00101655"/>
    <w:rsid w:val="001016D4"/>
    <w:rsid w:val="00101743"/>
    <w:rsid w:val="0010180F"/>
    <w:rsid w:val="00101814"/>
    <w:rsid w:val="00101A4F"/>
    <w:rsid w:val="00101A73"/>
    <w:rsid w:val="00101A99"/>
    <w:rsid w:val="00101DF9"/>
    <w:rsid w:val="00102073"/>
    <w:rsid w:val="00102109"/>
    <w:rsid w:val="0010215F"/>
    <w:rsid w:val="00102164"/>
    <w:rsid w:val="001023B8"/>
    <w:rsid w:val="0010243C"/>
    <w:rsid w:val="0010268C"/>
    <w:rsid w:val="00102A4E"/>
    <w:rsid w:val="00102AC5"/>
    <w:rsid w:val="00102BD8"/>
    <w:rsid w:val="00102E18"/>
    <w:rsid w:val="00102E84"/>
    <w:rsid w:val="001031EC"/>
    <w:rsid w:val="001032C3"/>
    <w:rsid w:val="001032EF"/>
    <w:rsid w:val="00103318"/>
    <w:rsid w:val="00103429"/>
    <w:rsid w:val="00103457"/>
    <w:rsid w:val="001034F3"/>
    <w:rsid w:val="00103531"/>
    <w:rsid w:val="00103532"/>
    <w:rsid w:val="001035CB"/>
    <w:rsid w:val="00103724"/>
    <w:rsid w:val="00103729"/>
    <w:rsid w:val="001039C2"/>
    <w:rsid w:val="001039C9"/>
    <w:rsid w:val="00103A5E"/>
    <w:rsid w:val="00103ADD"/>
    <w:rsid w:val="00103C17"/>
    <w:rsid w:val="00103EE1"/>
    <w:rsid w:val="00104005"/>
    <w:rsid w:val="00104016"/>
    <w:rsid w:val="001041A8"/>
    <w:rsid w:val="00104297"/>
    <w:rsid w:val="00104406"/>
    <w:rsid w:val="0010462B"/>
    <w:rsid w:val="001046D1"/>
    <w:rsid w:val="0010490C"/>
    <w:rsid w:val="00104985"/>
    <w:rsid w:val="00104A5A"/>
    <w:rsid w:val="00104B1F"/>
    <w:rsid w:val="00104C4D"/>
    <w:rsid w:val="00104D78"/>
    <w:rsid w:val="00105050"/>
    <w:rsid w:val="001050A9"/>
    <w:rsid w:val="00105306"/>
    <w:rsid w:val="00105448"/>
    <w:rsid w:val="00105498"/>
    <w:rsid w:val="001058BD"/>
    <w:rsid w:val="00105C45"/>
    <w:rsid w:val="00105F4B"/>
    <w:rsid w:val="00106007"/>
    <w:rsid w:val="001060BD"/>
    <w:rsid w:val="00106138"/>
    <w:rsid w:val="0010621E"/>
    <w:rsid w:val="001062BA"/>
    <w:rsid w:val="0010631D"/>
    <w:rsid w:val="001064D7"/>
    <w:rsid w:val="001066CA"/>
    <w:rsid w:val="001067C5"/>
    <w:rsid w:val="001067C6"/>
    <w:rsid w:val="00106968"/>
    <w:rsid w:val="00106BAF"/>
    <w:rsid w:val="00106C71"/>
    <w:rsid w:val="00106E10"/>
    <w:rsid w:val="00106E4A"/>
    <w:rsid w:val="00106E50"/>
    <w:rsid w:val="00106FE3"/>
    <w:rsid w:val="001070B2"/>
    <w:rsid w:val="00107103"/>
    <w:rsid w:val="00107382"/>
    <w:rsid w:val="00107434"/>
    <w:rsid w:val="00107448"/>
    <w:rsid w:val="00107509"/>
    <w:rsid w:val="00107688"/>
    <w:rsid w:val="001076B7"/>
    <w:rsid w:val="00107779"/>
    <w:rsid w:val="001077AB"/>
    <w:rsid w:val="00107865"/>
    <w:rsid w:val="00107868"/>
    <w:rsid w:val="001078D9"/>
    <w:rsid w:val="001078DE"/>
    <w:rsid w:val="001078E9"/>
    <w:rsid w:val="00107A82"/>
    <w:rsid w:val="00107AA4"/>
    <w:rsid w:val="00107D61"/>
    <w:rsid w:val="00107E7C"/>
    <w:rsid w:val="00107EDA"/>
    <w:rsid w:val="00107EF8"/>
    <w:rsid w:val="00107FE3"/>
    <w:rsid w:val="0011020D"/>
    <w:rsid w:val="00110219"/>
    <w:rsid w:val="00110315"/>
    <w:rsid w:val="00110412"/>
    <w:rsid w:val="00110501"/>
    <w:rsid w:val="00110505"/>
    <w:rsid w:val="001105C1"/>
    <w:rsid w:val="001108C2"/>
    <w:rsid w:val="001108F9"/>
    <w:rsid w:val="00110991"/>
    <w:rsid w:val="00110C57"/>
    <w:rsid w:val="00110CAD"/>
    <w:rsid w:val="0011100A"/>
    <w:rsid w:val="0011141B"/>
    <w:rsid w:val="0011141D"/>
    <w:rsid w:val="00111808"/>
    <w:rsid w:val="0011195F"/>
    <w:rsid w:val="00111A2B"/>
    <w:rsid w:val="00111B9E"/>
    <w:rsid w:val="00111BE2"/>
    <w:rsid w:val="00111CB9"/>
    <w:rsid w:val="00111DC8"/>
    <w:rsid w:val="00111E5C"/>
    <w:rsid w:val="00111EDC"/>
    <w:rsid w:val="00111F2E"/>
    <w:rsid w:val="00111FE7"/>
    <w:rsid w:val="0011214B"/>
    <w:rsid w:val="001121FA"/>
    <w:rsid w:val="0011251C"/>
    <w:rsid w:val="001126B4"/>
    <w:rsid w:val="001126CE"/>
    <w:rsid w:val="00112AFA"/>
    <w:rsid w:val="00112E13"/>
    <w:rsid w:val="00112EBE"/>
    <w:rsid w:val="0011335E"/>
    <w:rsid w:val="001134F6"/>
    <w:rsid w:val="001134FC"/>
    <w:rsid w:val="00113921"/>
    <w:rsid w:val="00113D85"/>
    <w:rsid w:val="00114066"/>
    <w:rsid w:val="00114070"/>
    <w:rsid w:val="00114465"/>
    <w:rsid w:val="001144FC"/>
    <w:rsid w:val="0011451D"/>
    <w:rsid w:val="00114618"/>
    <w:rsid w:val="0011496D"/>
    <w:rsid w:val="00114992"/>
    <w:rsid w:val="00114ADD"/>
    <w:rsid w:val="00114D74"/>
    <w:rsid w:val="00114DE8"/>
    <w:rsid w:val="00114EFE"/>
    <w:rsid w:val="00114FA6"/>
    <w:rsid w:val="00114FAF"/>
    <w:rsid w:val="00115018"/>
    <w:rsid w:val="001150BC"/>
    <w:rsid w:val="0011527F"/>
    <w:rsid w:val="001152AB"/>
    <w:rsid w:val="001155C8"/>
    <w:rsid w:val="00115628"/>
    <w:rsid w:val="001156F7"/>
    <w:rsid w:val="00115798"/>
    <w:rsid w:val="00115B2C"/>
    <w:rsid w:val="00115BE4"/>
    <w:rsid w:val="00115C14"/>
    <w:rsid w:val="00115E5D"/>
    <w:rsid w:val="00115EB7"/>
    <w:rsid w:val="00116046"/>
    <w:rsid w:val="0011604D"/>
    <w:rsid w:val="00116058"/>
    <w:rsid w:val="0011634C"/>
    <w:rsid w:val="00116406"/>
    <w:rsid w:val="001164B3"/>
    <w:rsid w:val="00116706"/>
    <w:rsid w:val="00116735"/>
    <w:rsid w:val="00116894"/>
    <w:rsid w:val="00116A00"/>
    <w:rsid w:val="00116B65"/>
    <w:rsid w:val="00116C26"/>
    <w:rsid w:val="00116DA9"/>
    <w:rsid w:val="00116DF5"/>
    <w:rsid w:val="001170B7"/>
    <w:rsid w:val="00117197"/>
    <w:rsid w:val="00117277"/>
    <w:rsid w:val="00117314"/>
    <w:rsid w:val="001176B9"/>
    <w:rsid w:val="00117768"/>
    <w:rsid w:val="00117791"/>
    <w:rsid w:val="00117865"/>
    <w:rsid w:val="00117961"/>
    <w:rsid w:val="0011796A"/>
    <w:rsid w:val="0011798F"/>
    <w:rsid w:val="001179F1"/>
    <w:rsid w:val="00117B20"/>
    <w:rsid w:val="00117B86"/>
    <w:rsid w:val="00117EEB"/>
    <w:rsid w:val="0012008E"/>
    <w:rsid w:val="001200D3"/>
    <w:rsid w:val="001200DF"/>
    <w:rsid w:val="001206A8"/>
    <w:rsid w:val="001207CB"/>
    <w:rsid w:val="001207CD"/>
    <w:rsid w:val="00120802"/>
    <w:rsid w:val="00120955"/>
    <w:rsid w:val="00120981"/>
    <w:rsid w:val="00120A7D"/>
    <w:rsid w:val="00120C03"/>
    <w:rsid w:val="00120DB7"/>
    <w:rsid w:val="001211D2"/>
    <w:rsid w:val="0012138E"/>
    <w:rsid w:val="0012139E"/>
    <w:rsid w:val="001214BA"/>
    <w:rsid w:val="001214FA"/>
    <w:rsid w:val="00121606"/>
    <w:rsid w:val="0012166F"/>
    <w:rsid w:val="00121735"/>
    <w:rsid w:val="00121815"/>
    <w:rsid w:val="00121876"/>
    <w:rsid w:val="00121BC1"/>
    <w:rsid w:val="00121CAC"/>
    <w:rsid w:val="00121F03"/>
    <w:rsid w:val="00121F37"/>
    <w:rsid w:val="00122008"/>
    <w:rsid w:val="0012214F"/>
    <w:rsid w:val="00122156"/>
    <w:rsid w:val="0012217E"/>
    <w:rsid w:val="00122386"/>
    <w:rsid w:val="001223B7"/>
    <w:rsid w:val="00122423"/>
    <w:rsid w:val="0012247E"/>
    <w:rsid w:val="00122867"/>
    <w:rsid w:val="0012294D"/>
    <w:rsid w:val="00122B0B"/>
    <w:rsid w:val="00122E23"/>
    <w:rsid w:val="00122F94"/>
    <w:rsid w:val="0012304B"/>
    <w:rsid w:val="0012346C"/>
    <w:rsid w:val="0012374B"/>
    <w:rsid w:val="00123895"/>
    <w:rsid w:val="00123AA5"/>
    <w:rsid w:val="00123DBF"/>
    <w:rsid w:val="00123DCF"/>
    <w:rsid w:val="00123FB9"/>
    <w:rsid w:val="00123FC5"/>
    <w:rsid w:val="0012406D"/>
    <w:rsid w:val="001240E6"/>
    <w:rsid w:val="00124281"/>
    <w:rsid w:val="0012432D"/>
    <w:rsid w:val="001243B1"/>
    <w:rsid w:val="0012460B"/>
    <w:rsid w:val="0012482E"/>
    <w:rsid w:val="00124895"/>
    <w:rsid w:val="00124DBA"/>
    <w:rsid w:val="00124F37"/>
    <w:rsid w:val="001251E1"/>
    <w:rsid w:val="00125317"/>
    <w:rsid w:val="0012531C"/>
    <w:rsid w:val="001253DF"/>
    <w:rsid w:val="0012542A"/>
    <w:rsid w:val="001254A7"/>
    <w:rsid w:val="001255EF"/>
    <w:rsid w:val="00125731"/>
    <w:rsid w:val="0012579A"/>
    <w:rsid w:val="0012582B"/>
    <w:rsid w:val="001259B8"/>
    <w:rsid w:val="00125A37"/>
    <w:rsid w:val="00125B13"/>
    <w:rsid w:val="00125C45"/>
    <w:rsid w:val="00125DD4"/>
    <w:rsid w:val="00125F31"/>
    <w:rsid w:val="00125F5F"/>
    <w:rsid w:val="00125F7D"/>
    <w:rsid w:val="00126101"/>
    <w:rsid w:val="0012621D"/>
    <w:rsid w:val="0012626A"/>
    <w:rsid w:val="00126494"/>
    <w:rsid w:val="0012657D"/>
    <w:rsid w:val="00126625"/>
    <w:rsid w:val="0012689B"/>
    <w:rsid w:val="001268C5"/>
    <w:rsid w:val="0012699E"/>
    <w:rsid w:val="00126A0B"/>
    <w:rsid w:val="00126A88"/>
    <w:rsid w:val="00126AD7"/>
    <w:rsid w:val="00126AF1"/>
    <w:rsid w:val="00126C01"/>
    <w:rsid w:val="00126D8C"/>
    <w:rsid w:val="0012706A"/>
    <w:rsid w:val="001271ED"/>
    <w:rsid w:val="00127253"/>
    <w:rsid w:val="00127315"/>
    <w:rsid w:val="001273C5"/>
    <w:rsid w:val="00127424"/>
    <w:rsid w:val="00127511"/>
    <w:rsid w:val="0012757C"/>
    <w:rsid w:val="001276CD"/>
    <w:rsid w:val="00127792"/>
    <w:rsid w:val="001277B3"/>
    <w:rsid w:val="001278DC"/>
    <w:rsid w:val="00127AD1"/>
    <w:rsid w:val="00127CD5"/>
    <w:rsid w:val="00127CFA"/>
    <w:rsid w:val="00127F41"/>
    <w:rsid w:val="00127FD7"/>
    <w:rsid w:val="00127FE4"/>
    <w:rsid w:val="0013050A"/>
    <w:rsid w:val="0013051F"/>
    <w:rsid w:val="001305A8"/>
    <w:rsid w:val="001306EA"/>
    <w:rsid w:val="001309DA"/>
    <w:rsid w:val="00130A7F"/>
    <w:rsid w:val="00130A9A"/>
    <w:rsid w:val="00130CFE"/>
    <w:rsid w:val="001310F6"/>
    <w:rsid w:val="00131164"/>
    <w:rsid w:val="00131195"/>
    <w:rsid w:val="0013128C"/>
    <w:rsid w:val="0013145D"/>
    <w:rsid w:val="0013167C"/>
    <w:rsid w:val="00131939"/>
    <w:rsid w:val="00131AC9"/>
    <w:rsid w:val="00131B45"/>
    <w:rsid w:val="00131BA8"/>
    <w:rsid w:val="00131BBC"/>
    <w:rsid w:val="00131C23"/>
    <w:rsid w:val="00131CA6"/>
    <w:rsid w:val="00131D02"/>
    <w:rsid w:val="00131D8B"/>
    <w:rsid w:val="00131E32"/>
    <w:rsid w:val="00131E84"/>
    <w:rsid w:val="00131EE8"/>
    <w:rsid w:val="00132004"/>
    <w:rsid w:val="00132035"/>
    <w:rsid w:val="00132067"/>
    <w:rsid w:val="00132131"/>
    <w:rsid w:val="001323B0"/>
    <w:rsid w:val="00132490"/>
    <w:rsid w:val="00132512"/>
    <w:rsid w:val="001325A9"/>
    <w:rsid w:val="00132783"/>
    <w:rsid w:val="00132792"/>
    <w:rsid w:val="001327E9"/>
    <w:rsid w:val="001327F1"/>
    <w:rsid w:val="00132806"/>
    <w:rsid w:val="00132840"/>
    <w:rsid w:val="001328BD"/>
    <w:rsid w:val="00132B5F"/>
    <w:rsid w:val="00133049"/>
    <w:rsid w:val="00133109"/>
    <w:rsid w:val="001333CC"/>
    <w:rsid w:val="0013349E"/>
    <w:rsid w:val="001334D8"/>
    <w:rsid w:val="001336A8"/>
    <w:rsid w:val="001338B1"/>
    <w:rsid w:val="00133B72"/>
    <w:rsid w:val="00133E1E"/>
    <w:rsid w:val="00133E89"/>
    <w:rsid w:val="0013403E"/>
    <w:rsid w:val="00134049"/>
    <w:rsid w:val="001340A8"/>
    <w:rsid w:val="001341AB"/>
    <w:rsid w:val="001342D5"/>
    <w:rsid w:val="0013439F"/>
    <w:rsid w:val="00134700"/>
    <w:rsid w:val="00134926"/>
    <w:rsid w:val="00134A61"/>
    <w:rsid w:val="00134BDA"/>
    <w:rsid w:val="00134BE3"/>
    <w:rsid w:val="00134C4F"/>
    <w:rsid w:val="00134E9F"/>
    <w:rsid w:val="00134EDC"/>
    <w:rsid w:val="00134FB0"/>
    <w:rsid w:val="00135367"/>
    <w:rsid w:val="001353AE"/>
    <w:rsid w:val="001355E4"/>
    <w:rsid w:val="001359E5"/>
    <w:rsid w:val="00135B7D"/>
    <w:rsid w:val="00135D54"/>
    <w:rsid w:val="00135E40"/>
    <w:rsid w:val="00135E47"/>
    <w:rsid w:val="00135F37"/>
    <w:rsid w:val="00136182"/>
    <w:rsid w:val="00136196"/>
    <w:rsid w:val="0013643C"/>
    <w:rsid w:val="00136584"/>
    <w:rsid w:val="0013658B"/>
    <w:rsid w:val="00136A15"/>
    <w:rsid w:val="00136C08"/>
    <w:rsid w:val="00136D7A"/>
    <w:rsid w:val="001372B2"/>
    <w:rsid w:val="00137338"/>
    <w:rsid w:val="00137765"/>
    <w:rsid w:val="00137912"/>
    <w:rsid w:val="00137955"/>
    <w:rsid w:val="0013799F"/>
    <w:rsid w:val="00137A05"/>
    <w:rsid w:val="00137E45"/>
    <w:rsid w:val="00137F12"/>
    <w:rsid w:val="001401AB"/>
    <w:rsid w:val="0014060A"/>
    <w:rsid w:val="0014081E"/>
    <w:rsid w:val="001409C8"/>
    <w:rsid w:val="00140C4D"/>
    <w:rsid w:val="00140CA7"/>
    <w:rsid w:val="0014116D"/>
    <w:rsid w:val="001412C1"/>
    <w:rsid w:val="00141BDE"/>
    <w:rsid w:val="00141C7E"/>
    <w:rsid w:val="00141D4E"/>
    <w:rsid w:val="00141DEF"/>
    <w:rsid w:val="0014216A"/>
    <w:rsid w:val="0014223F"/>
    <w:rsid w:val="001423D1"/>
    <w:rsid w:val="00142400"/>
    <w:rsid w:val="00142462"/>
    <w:rsid w:val="00142802"/>
    <w:rsid w:val="00142A20"/>
    <w:rsid w:val="00142A30"/>
    <w:rsid w:val="00142AC8"/>
    <w:rsid w:val="00142AD1"/>
    <w:rsid w:val="00142AD5"/>
    <w:rsid w:val="00142D1C"/>
    <w:rsid w:val="00142DF1"/>
    <w:rsid w:val="00142E79"/>
    <w:rsid w:val="0014308A"/>
    <w:rsid w:val="001432DC"/>
    <w:rsid w:val="00143A90"/>
    <w:rsid w:val="00143B9A"/>
    <w:rsid w:val="00143CC7"/>
    <w:rsid w:val="00143DD6"/>
    <w:rsid w:val="00143E8E"/>
    <w:rsid w:val="0014402C"/>
    <w:rsid w:val="00144326"/>
    <w:rsid w:val="001443C9"/>
    <w:rsid w:val="001443FE"/>
    <w:rsid w:val="001444D3"/>
    <w:rsid w:val="00144624"/>
    <w:rsid w:val="00144E83"/>
    <w:rsid w:val="00144F03"/>
    <w:rsid w:val="001450BB"/>
    <w:rsid w:val="001451E9"/>
    <w:rsid w:val="001452A4"/>
    <w:rsid w:val="00145410"/>
    <w:rsid w:val="00145625"/>
    <w:rsid w:val="00145658"/>
    <w:rsid w:val="00145745"/>
    <w:rsid w:val="00145DB3"/>
    <w:rsid w:val="00145DC5"/>
    <w:rsid w:val="001461F0"/>
    <w:rsid w:val="00146245"/>
    <w:rsid w:val="00146331"/>
    <w:rsid w:val="0014668E"/>
    <w:rsid w:val="00146692"/>
    <w:rsid w:val="00146798"/>
    <w:rsid w:val="0014685C"/>
    <w:rsid w:val="001468C1"/>
    <w:rsid w:val="00146BB6"/>
    <w:rsid w:val="00146E5C"/>
    <w:rsid w:val="00147008"/>
    <w:rsid w:val="001471A4"/>
    <w:rsid w:val="00147213"/>
    <w:rsid w:val="001473F6"/>
    <w:rsid w:val="00147709"/>
    <w:rsid w:val="001477DB"/>
    <w:rsid w:val="00147915"/>
    <w:rsid w:val="001479A5"/>
    <w:rsid w:val="00147ADD"/>
    <w:rsid w:val="00147E6E"/>
    <w:rsid w:val="00147F83"/>
    <w:rsid w:val="0015010C"/>
    <w:rsid w:val="001502AC"/>
    <w:rsid w:val="00150375"/>
    <w:rsid w:val="0015051C"/>
    <w:rsid w:val="001506F1"/>
    <w:rsid w:val="00150A1C"/>
    <w:rsid w:val="00150B30"/>
    <w:rsid w:val="00150B9A"/>
    <w:rsid w:val="00150C2D"/>
    <w:rsid w:val="00150E08"/>
    <w:rsid w:val="00150E71"/>
    <w:rsid w:val="00150F16"/>
    <w:rsid w:val="001510D5"/>
    <w:rsid w:val="001510ED"/>
    <w:rsid w:val="00151365"/>
    <w:rsid w:val="001514FE"/>
    <w:rsid w:val="001516F5"/>
    <w:rsid w:val="00151AB6"/>
    <w:rsid w:val="00151B1F"/>
    <w:rsid w:val="00151C1B"/>
    <w:rsid w:val="0015217F"/>
    <w:rsid w:val="0015226A"/>
    <w:rsid w:val="00152284"/>
    <w:rsid w:val="001522C1"/>
    <w:rsid w:val="001524BF"/>
    <w:rsid w:val="001526FC"/>
    <w:rsid w:val="001529C6"/>
    <w:rsid w:val="00152BC2"/>
    <w:rsid w:val="00152DA0"/>
    <w:rsid w:val="00152DE4"/>
    <w:rsid w:val="00152F57"/>
    <w:rsid w:val="00153020"/>
    <w:rsid w:val="0015304E"/>
    <w:rsid w:val="001532AD"/>
    <w:rsid w:val="00153420"/>
    <w:rsid w:val="00153428"/>
    <w:rsid w:val="001535AE"/>
    <w:rsid w:val="001537AE"/>
    <w:rsid w:val="00153837"/>
    <w:rsid w:val="00153926"/>
    <w:rsid w:val="00153B61"/>
    <w:rsid w:val="00153C52"/>
    <w:rsid w:val="00153D02"/>
    <w:rsid w:val="00153D54"/>
    <w:rsid w:val="00153EB0"/>
    <w:rsid w:val="001541BB"/>
    <w:rsid w:val="00154246"/>
    <w:rsid w:val="0015424A"/>
    <w:rsid w:val="0015427D"/>
    <w:rsid w:val="00154436"/>
    <w:rsid w:val="0015443A"/>
    <w:rsid w:val="00154469"/>
    <w:rsid w:val="00154516"/>
    <w:rsid w:val="00154639"/>
    <w:rsid w:val="00154673"/>
    <w:rsid w:val="00154684"/>
    <w:rsid w:val="001547DA"/>
    <w:rsid w:val="001548AA"/>
    <w:rsid w:val="00154993"/>
    <w:rsid w:val="001549F7"/>
    <w:rsid w:val="001549FD"/>
    <w:rsid w:val="00154A48"/>
    <w:rsid w:val="00154ACD"/>
    <w:rsid w:val="00154CBE"/>
    <w:rsid w:val="00154DC4"/>
    <w:rsid w:val="00154DDF"/>
    <w:rsid w:val="00155158"/>
    <w:rsid w:val="001551FA"/>
    <w:rsid w:val="00155354"/>
    <w:rsid w:val="00155410"/>
    <w:rsid w:val="001554A1"/>
    <w:rsid w:val="0015555C"/>
    <w:rsid w:val="001555EB"/>
    <w:rsid w:val="0015570E"/>
    <w:rsid w:val="0015579D"/>
    <w:rsid w:val="00155A83"/>
    <w:rsid w:val="00155BD4"/>
    <w:rsid w:val="001561A8"/>
    <w:rsid w:val="00156373"/>
    <w:rsid w:val="0015658B"/>
    <w:rsid w:val="00156737"/>
    <w:rsid w:val="00156749"/>
    <w:rsid w:val="00156848"/>
    <w:rsid w:val="00156957"/>
    <w:rsid w:val="00156977"/>
    <w:rsid w:val="00156A8A"/>
    <w:rsid w:val="00156DCF"/>
    <w:rsid w:val="00156F00"/>
    <w:rsid w:val="0015709E"/>
    <w:rsid w:val="0015711F"/>
    <w:rsid w:val="0015712A"/>
    <w:rsid w:val="00157193"/>
    <w:rsid w:val="001571C0"/>
    <w:rsid w:val="00157610"/>
    <w:rsid w:val="001578A9"/>
    <w:rsid w:val="00157A82"/>
    <w:rsid w:val="00157CF7"/>
    <w:rsid w:val="00157D10"/>
    <w:rsid w:val="00160084"/>
    <w:rsid w:val="0016045D"/>
    <w:rsid w:val="001604D4"/>
    <w:rsid w:val="00160608"/>
    <w:rsid w:val="00160667"/>
    <w:rsid w:val="00160767"/>
    <w:rsid w:val="00160DF6"/>
    <w:rsid w:val="00160EC9"/>
    <w:rsid w:val="00161186"/>
    <w:rsid w:val="00161470"/>
    <w:rsid w:val="0016173A"/>
    <w:rsid w:val="001617D3"/>
    <w:rsid w:val="001618AF"/>
    <w:rsid w:val="001618B2"/>
    <w:rsid w:val="001619CD"/>
    <w:rsid w:val="001619D7"/>
    <w:rsid w:val="00161ADC"/>
    <w:rsid w:val="00161BCE"/>
    <w:rsid w:val="00161CC6"/>
    <w:rsid w:val="00161E84"/>
    <w:rsid w:val="001620AD"/>
    <w:rsid w:val="001621FB"/>
    <w:rsid w:val="0016224E"/>
    <w:rsid w:val="001622F2"/>
    <w:rsid w:val="0016238A"/>
    <w:rsid w:val="001623B7"/>
    <w:rsid w:val="00162433"/>
    <w:rsid w:val="001624AE"/>
    <w:rsid w:val="00162752"/>
    <w:rsid w:val="001629F8"/>
    <w:rsid w:val="00162BD9"/>
    <w:rsid w:val="00162C07"/>
    <w:rsid w:val="00162C82"/>
    <w:rsid w:val="00162CF0"/>
    <w:rsid w:val="00162D1E"/>
    <w:rsid w:val="00162D51"/>
    <w:rsid w:val="00162DE6"/>
    <w:rsid w:val="00162E11"/>
    <w:rsid w:val="00162ECF"/>
    <w:rsid w:val="00163053"/>
    <w:rsid w:val="001634B4"/>
    <w:rsid w:val="001637B5"/>
    <w:rsid w:val="001637D7"/>
    <w:rsid w:val="00163813"/>
    <w:rsid w:val="0016390F"/>
    <w:rsid w:val="00163A5B"/>
    <w:rsid w:val="00163B6B"/>
    <w:rsid w:val="00163C88"/>
    <w:rsid w:val="00163CB4"/>
    <w:rsid w:val="00163CF0"/>
    <w:rsid w:val="00163D55"/>
    <w:rsid w:val="0016413F"/>
    <w:rsid w:val="001644C5"/>
    <w:rsid w:val="001644F7"/>
    <w:rsid w:val="0016455E"/>
    <w:rsid w:val="001646DC"/>
    <w:rsid w:val="0016474B"/>
    <w:rsid w:val="00164ABE"/>
    <w:rsid w:val="00164AC4"/>
    <w:rsid w:val="00164AEF"/>
    <w:rsid w:val="00164B46"/>
    <w:rsid w:val="00164E09"/>
    <w:rsid w:val="0016520B"/>
    <w:rsid w:val="0016533D"/>
    <w:rsid w:val="00165366"/>
    <w:rsid w:val="0016571F"/>
    <w:rsid w:val="001658CD"/>
    <w:rsid w:val="001658FD"/>
    <w:rsid w:val="001659DF"/>
    <w:rsid w:val="00165A9C"/>
    <w:rsid w:val="00165BD1"/>
    <w:rsid w:val="00165BF7"/>
    <w:rsid w:val="00165BFC"/>
    <w:rsid w:val="00165D38"/>
    <w:rsid w:val="00165DF1"/>
    <w:rsid w:val="0016610B"/>
    <w:rsid w:val="00166149"/>
    <w:rsid w:val="0016618B"/>
    <w:rsid w:val="001661AF"/>
    <w:rsid w:val="00166424"/>
    <w:rsid w:val="00166762"/>
    <w:rsid w:val="0016693D"/>
    <w:rsid w:val="00166A08"/>
    <w:rsid w:val="00166A14"/>
    <w:rsid w:val="00166BE5"/>
    <w:rsid w:val="00166DCE"/>
    <w:rsid w:val="00166E47"/>
    <w:rsid w:val="00166EFF"/>
    <w:rsid w:val="00166FEB"/>
    <w:rsid w:val="001670F1"/>
    <w:rsid w:val="0016716A"/>
    <w:rsid w:val="00167248"/>
    <w:rsid w:val="001673B2"/>
    <w:rsid w:val="001673D1"/>
    <w:rsid w:val="00167464"/>
    <w:rsid w:val="001675FD"/>
    <w:rsid w:val="001676C2"/>
    <w:rsid w:val="00167945"/>
    <w:rsid w:val="00167C8A"/>
    <w:rsid w:val="00167DE2"/>
    <w:rsid w:val="00167E0E"/>
    <w:rsid w:val="00167FED"/>
    <w:rsid w:val="0017003D"/>
    <w:rsid w:val="00170167"/>
    <w:rsid w:val="001701F4"/>
    <w:rsid w:val="00170229"/>
    <w:rsid w:val="00170330"/>
    <w:rsid w:val="0017043D"/>
    <w:rsid w:val="0017055B"/>
    <w:rsid w:val="001705FB"/>
    <w:rsid w:val="0017061F"/>
    <w:rsid w:val="001709BE"/>
    <w:rsid w:val="00170AC3"/>
    <w:rsid w:val="00170B2F"/>
    <w:rsid w:val="00170D34"/>
    <w:rsid w:val="00170DEE"/>
    <w:rsid w:val="0017116C"/>
    <w:rsid w:val="0017128C"/>
    <w:rsid w:val="001712D8"/>
    <w:rsid w:val="00171474"/>
    <w:rsid w:val="001715AB"/>
    <w:rsid w:val="001716D1"/>
    <w:rsid w:val="001718E9"/>
    <w:rsid w:val="00171BB2"/>
    <w:rsid w:val="00171C66"/>
    <w:rsid w:val="00171CB4"/>
    <w:rsid w:val="001722C1"/>
    <w:rsid w:val="001724F8"/>
    <w:rsid w:val="0017250A"/>
    <w:rsid w:val="001726C6"/>
    <w:rsid w:val="0017285E"/>
    <w:rsid w:val="00172B73"/>
    <w:rsid w:val="00172D0B"/>
    <w:rsid w:val="00172D0C"/>
    <w:rsid w:val="00172DA0"/>
    <w:rsid w:val="00172E5D"/>
    <w:rsid w:val="00172E9C"/>
    <w:rsid w:val="001731D6"/>
    <w:rsid w:val="0017331C"/>
    <w:rsid w:val="00173360"/>
    <w:rsid w:val="0017340A"/>
    <w:rsid w:val="00173540"/>
    <w:rsid w:val="0017379A"/>
    <w:rsid w:val="00173807"/>
    <w:rsid w:val="0017383B"/>
    <w:rsid w:val="0017386C"/>
    <w:rsid w:val="00173AF5"/>
    <w:rsid w:val="00173CF7"/>
    <w:rsid w:val="00173EEC"/>
    <w:rsid w:val="001742CC"/>
    <w:rsid w:val="001744BA"/>
    <w:rsid w:val="001744E8"/>
    <w:rsid w:val="00174542"/>
    <w:rsid w:val="0017463E"/>
    <w:rsid w:val="00174660"/>
    <w:rsid w:val="001746B0"/>
    <w:rsid w:val="00174952"/>
    <w:rsid w:val="00174B0F"/>
    <w:rsid w:val="00174B10"/>
    <w:rsid w:val="00174C5E"/>
    <w:rsid w:val="00174C6A"/>
    <w:rsid w:val="00174C91"/>
    <w:rsid w:val="00174CE4"/>
    <w:rsid w:val="00174DBB"/>
    <w:rsid w:val="00174E06"/>
    <w:rsid w:val="001750D7"/>
    <w:rsid w:val="00175112"/>
    <w:rsid w:val="0017530F"/>
    <w:rsid w:val="00175467"/>
    <w:rsid w:val="0017561C"/>
    <w:rsid w:val="0017579F"/>
    <w:rsid w:val="001757D8"/>
    <w:rsid w:val="00175855"/>
    <w:rsid w:val="00175A92"/>
    <w:rsid w:val="00175B22"/>
    <w:rsid w:val="00175CB4"/>
    <w:rsid w:val="00175D27"/>
    <w:rsid w:val="00175E85"/>
    <w:rsid w:val="00175F35"/>
    <w:rsid w:val="001760D6"/>
    <w:rsid w:val="00176101"/>
    <w:rsid w:val="00176124"/>
    <w:rsid w:val="001761D3"/>
    <w:rsid w:val="0017657F"/>
    <w:rsid w:val="001765AF"/>
    <w:rsid w:val="00176834"/>
    <w:rsid w:val="00176A86"/>
    <w:rsid w:val="00176CE2"/>
    <w:rsid w:val="00176FB6"/>
    <w:rsid w:val="0017709F"/>
    <w:rsid w:val="00177297"/>
    <w:rsid w:val="0017750F"/>
    <w:rsid w:val="001776A5"/>
    <w:rsid w:val="00177939"/>
    <w:rsid w:val="001779B0"/>
    <w:rsid w:val="00177B1C"/>
    <w:rsid w:val="00177E0D"/>
    <w:rsid w:val="00177E58"/>
    <w:rsid w:val="001790CB"/>
    <w:rsid w:val="001804B2"/>
    <w:rsid w:val="00180607"/>
    <w:rsid w:val="0018061C"/>
    <w:rsid w:val="0018072E"/>
    <w:rsid w:val="00180788"/>
    <w:rsid w:val="001807BE"/>
    <w:rsid w:val="001808B7"/>
    <w:rsid w:val="00180BB8"/>
    <w:rsid w:val="00180DA8"/>
    <w:rsid w:val="00180DEA"/>
    <w:rsid w:val="00180E99"/>
    <w:rsid w:val="0018112B"/>
    <w:rsid w:val="00181185"/>
    <w:rsid w:val="00181407"/>
    <w:rsid w:val="00181529"/>
    <w:rsid w:val="0018157B"/>
    <w:rsid w:val="00181714"/>
    <w:rsid w:val="001819CE"/>
    <w:rsid w:val="00181A5D"/>
    <w:rsid w:val="00181A7D"/>
    <w:rsid w:val="00181CD5"/>
    <w:rsid w:val="00181EC1"/>
    <w:rsid w:val="001820E7"/>
    <w:rsid w:val="001822C3"/>
    <w:rsid w:val="00182B28"/>
    <w:rsid w:val="00182BFF"/>
    <w:rsid w:val="00182D13"/>
    <w:rsid w:val="00182F07"/>
    <w:rsid w:val="00183200"/>
    <w:rsid w:val="0018324B"/>
    <w:rsid w:val="00183379"/>
    <w:rsid w:val="0018346D"/>
    <w:rsid w:val="001834C7"/>
    <w:rsid w:val="001834E9"/>
    <w:rsid w:val="00183501"/>
    <w:rsid w:val="001835E8"/>
    <w:rsid w:val="00183760"/>
    <w:rsid w:val="00183CF4"/>
    <w:rsid w:val="00183DEB"/>
    <w:rsid w:val="00183F25"/>
    <w:rsid w:val="001841AB"/>
    <w:rsid w:val="00184214"/>
    <w:rsid w:val="00184275"/>
    <w:rsid w:val="0018461B"/>
    <w:rsid w:val="00184647"/>
    <w:rsid w:val="001846CB"/>
    <w:rsid w:val="001846F3"/>
    <w:rsid w:val="00184B05"/>
    <w:rsid w:val="00184C80"/>
    <w:rsid w:val="00184CD3"/>
    <w:rsid w:val="00184D1D"/>
    <w:rsid w:val="0018501E"/>
    <w:rsid w:val="00185279"/>
    <w:rsid w:val="00185354"/>
    <w:rsid w:val="00185430"/>
    <w:rsid w:val="001855C2"/>
    <w:rsid w:val="001857E1"/>
    <w:rsid w:val="00185832"/>
    <w:rsid w:val="00185C12"/>
    <w:rsid w:val="001860E8"/>
    <w:rsid w:val="0018632A"/>
    <w:rsid w:val="001863D2"/>
    <w:rsid w:val="00186786"/>
    <w:rsid w:val="00186920"/>
    <w:rsid w:val="0018696A"/>
    <w:rsid w:val="0018699D"/>
    <w:rsid w:val="001869F0"/>
    <w:rsid w:val="00186A12"/>
    <w:rsid w:val="00186C30"/>
    <w:rsid w:val="00186C63"/>
    <w:rsid w:val="00186E46"/>
    <w:rsid w:val="00186E90"/>
    <w:rsid w:val="00186F24"/>
    <w:rsid w:val="00186F75"/>
    <w:rsid w:val="0018728E"/>
    <w:rsid w:val="001874E9"/>
    <w:rsid w:val="001875B5"/>
    <w:rsid w:val="0018760E"/>
    <w:rsid w:val="001876EA"/>
    <w:rsid w:val="001876EB"/>
    <w:rsid w:val="001877D5"/>
    <w:rsid w:val="00187A35"/>
    <w:rsid w:val="00187B25"/>
    <w:rsid w:val="00187C07"/>
    <w:rsid w:val="00187E9C"/>
    <w:rsid w:val="001903CA"/>
    <w:rsid w:val="00190601"/>
    <w:rsid w:val="0019078A"/>
    <w:rsid w:val="001908CF"/>
    <w:rsid w:val="00190A5D"/>
    <w:rsid w:val="00190BDE"/>
    <w:rsid w:val="00190C0F"/>
    <w:rsid w:val="00190CD1"/>
    <w:rsid w:val="00190E7D"/>
    <w:rsid w:val="00191006"/>
    <w:rsid w:val="00191357"/>
    <w:rsid w:val="00191363"/>
    <w:rsid w:val="0019141B"/>
    <w:rsid w:val="001914C7"/>
    <w:rsid w:val="0019165F"/>
    <w:rsid w:val="001916D3"/>
    <w:rsid w:val="001916EF"/>
    <w:rsid w:val="00191714"/>
    <w:rsid w:val="0019182B"/>
    <w:rsid w:val="00191885"/>
    <w:rsid w:val="00191928"/>
    <w:rsid w:val="001920B7"/>
    <w:rsid w:val="001921C2"/>
    <w:rsid w:val="00192261"/>
    <w:rsid w:val="001923EB"/>
    <w:rsid w:val="001925B8"/>
    <w:rsid w:val="001926D3"/>
    <w:rsid w:val="001927D4"/>
    <w:rsid w:val="00192834"/>
    <w:rsid w:val="001928BC"/>
    <w:rsid w:val="00192A5A"/>
    <w:rsid w:val="00192AFD"/>
    <w:rsid w:val="00192B41"/>
    <w:rsid w:val="00192CC1"/>
    <w:rsid w:val="00192CCF"/>
    <w:rsid w:val="00192E5A"/>
    <w:rsid w:val="00193059"/>
    <w:rsid w:val="0019330A"/>
    <w:rsid w:val="0019338D"/>
    <w:rsid w:val="0019397A"/>
    <w:rsid w:val="00193AD5"/>
    <w:rsid w:val="00193B4E"/>
    <w:rsid w:val="00193BEC"/>
    <w:rsid w:val="00193E8B"/>
    <w:rsid w:val="00193F8D"/>
    <w:rsid w:val="001940A2"/>
    <w:rsid w:val="001942AB"/>
    <w:rsid w:val="00194461"/>
    <w:rsid w:val="00194659"/>
    <w:rsid w:val="001946F2"/>
    <w:rsid w:val="0019470E"/>
    <w:rsid w:val="00194819"/>
    <w:rsid w:val="00194A82"/>
    <w:rsid w:val="00194ABD"/>
    <w:rsid w:val="00194CC1"/>
    <w:rsid w:val="00194CF4"/>
    <w:rsid w:val="00194D5D"/>
    <w:rsid w:val="00194E90"/>
    <w:rsid w:val="00194F9A"/>
    <w:rsid w:val="00194FC1"/>
    <w:rsid w:val="001950D1"/>
    <w:rsid w:val="001950F5"/>
    <w:rsid w:val="001952D6"/>
    <w:rsid w:val="00195677"/>
    <w:rsid w:val="001959A7"/>
    <w:rsid w:val="00195A1C"/>
    <w:rsid w:val="00195AD3"/>
    <w:rsid w:val="00195BB5"/>
    <w:rsid w:val="00195C84"/>
    <w:rsid w:val="00195CFD"/>
    <w:rsid w:val="00195F88"/>
    <w:rsid w:val="001962A2"/>
    <w:rsid w:val="001963FF"/>
    <w:rsid w:val="001966ED"/>
    <w:rsid w:val="00196818"/>
    <w:rsid w:val="0019683B"/>
    <w:rsid w:val="001968D9"/>
    <w:rsid w:val="001968E0"/>
    <w:rsid w:val="00196B11"/>
    <w:rsid w:val="00196C1F"/>
    <w:rsid w:val="00196C30"/>
    <w:rsid w:val="00196EBA"/>
    <w:rsid w:val="0019704A"/>
    <w:rsid w:val="0019717B"/>
    <w:rsid w:val="00197197"/>
    <w:rsid w:val="001972CB"/>
    <w:rsid w:val="001972F8"/>
    <w:rsid w:val="001973F9"/>
    <w:rsid w:val="00197477"/>
    <w:rsid w:val="001974B7"/>
    <w:rsid w:val="00197535"/>
    <w:rsid w:val="00197591"/>
    <w:rsid w:val="0019781A"/>
    <w:rsid w:val="0019791B"/>
    <w:rsid w:val="0019799C"/>
    <w:rsid w:val="00197D5E"/>
    <w:rsid w:val="00197E86"/>
    <w:rsid w:val="00197FFB"/>
    <w:rsid w:val="001A00B0"/>
    <w:rsid w:val="001A01A6"/>
    <w:rsid w:val="001A04F5"/>
    <w:rsid w:val="001A0629"/>
    <w:rsid w:val="001A0652"/>
    <w:rsid w:val="001A0684"/>
    <w:rsid w:val="001A09EB"/>
    <w:rsid w:val="001A0B65"/>
    <w:rsid w:val="001A0C6D"/>
    <w:rsid w:val="001A1448"/>
    <w:rsid w:val="001A160E"/>
    <w:rsid w:val="001A163F"/>
    <w:rsid w:val="001A1861"/>
    <w:rsid w:val="001A18D4"/>
    <w:rsid w:val="001A1A68"/>
    <w:rsid w:val="001A1AD9"/>
    <w:rsid w:val="001A1C4D"/>
    <w:rsid w:val="001A1F97"/>
    <w:rsid w:val="001A1F9F"/>
    <w:rsid w:val="001A20A4"/>
    <w:rsid w:val="001A21C7"/>
    <w:rsid w:val="001A268E"/>
    <w:rsid w:val="001A26B5"/>
    <w:rsid w:val="001A26E0"/>
    <w:rsid w:val="001A2739"/>
    <w:rsid w:val="001A27D2"/>
    <w:rsid w:val="001A27F5"/>
    <w:rsid w:val="001A28EB"/>
    <w:rsid w:val="001A2BD9"/>
    <w:rsid w:val="001A2D79"/>
    <w:rsid w:val="001A304A"/>
    <w:rsid w:val="001A31F0"/>
    <w:rsid w:val="001A33C6"/>
    <w:rsid w:val="001A33D9"/>
    <w:rsid w:val="001A3441"/>
    <w:rsid w:val="001A37E8"/>
    <w:rsid w:val="001A39AB"/>
    <w:rsid w:val="001A3A92"/>
    <w:rsid w:val="001A3B65"/>
    <w:rsid w:val="001A3B96"/>
    <w:rsid w:val="001A3C1C"/>
    <w:rsid w:val="001A3CDE"/>
    <w:rsid w:val="001A3CE2"/>
    <w:rsid w:val="001A3DAB"/>
    <w:rsid w:val="001A3ED7"/>
    <w:rsid w:val="001A3FF2"/>
    <w:rsid w:val="001A40FA"/>
    <w:rsid w:val="001A416C"/>
    <w:rsid w:val="001A42A8"/>
    <w:rsid w:val="001A4506"/>
    <w:rsid w:val="001A4595"/>
    <w:rsid w:val="001A45B6"/>
    <w:rsid w:val="001A4B0B"/>
    <w:rsid w:val="001A4B34"/>
    <w:rsid w:val="001A4B5E"/>
    <w:rsid w:val="001A4E92"/>
    <w:rsid w:val="001A4F9E"/>
    <w:rsid w:val="001A4FCA"/>
    <w:rsid w:val="001A5040"/>
    <w:rsid w:val="001A51DB"/>
    <w:rsid w:val="001A52D7"/>
    <w:rsid w:val="001A55A8"/>
    <w:rsid w:val="001A55EB"/>
    <w:rsid w:val="001A563D"/>
    <w:rsid w:val="001A567B"/>
    <w:rsid w:val="001A5ED5"/>
    <w:rsid w:val="001A5F2D"/>
    <w:rsid w:val="001A6211"/>
    <w:rsid w:val="001A632F"/>
    <w:rsid w:val="001A64DF"/>
    <w:rsid w:val="001A69AF"/>
    <w:rsid w:val="001A6BC6"/>
    <w:rsid w:val="001A6CA4"/>
    <w:rsid w:val="001A6E15"/>
    <w:rsid w:val="001A6FD6"/>
    <w:rsid w:val="001A7386"/>
    <w:rsid w:val="001A74BF"/>
    <w:rsid w:val="001A74C8"/>
    <w:rsid w:val="001A755C"/>
    <w:rsid w:val="001A757F"/>
    <w:rsid w:val="001A76E4"/>
    <w:rsid w:val="001A77F6"/>
    <w:rsid w:val="001A7849"/>
    <w:rsid w:val="001A7A65"/>
    <w:rsid w:val="001A7AF6"/>
    <w:rsid w:val="001A7C33"/>
    <w:rsid w:val="001B00AB"/>
    <w:rsid w:val="001B048F"/>
    <w:rsid w:val="001B04FC"/>
    <w:rsid w:val="001B0601"/>
    <w:rsid w:val="001B0BE5"/>
    <w:rsid w:val="001B0D7A"/>
    <w:rsid w:val="001B111D"/>
    <w:rsid w:val="001B1299"/>
    <w:rsid w:val="001B12FD"/>
    <w:rsid w:val="001B132F"/>
    <w:rsid w:val="001B1463"/>
    <w:rsid w:val="001B14D4"/>
    <w:rsid w:val="001B161B"/>
    <w:rsid w:val="001B165D"/>
    <w:rsid w:val="001B1984"/>
    <w:rsid w:val="001B198E"/>
    <w:rsid w:val="001B1C36"/>
    <w:rsid w:val="001B1ED1"/>
    <w:rsid w:val="001B1F8E"/>
    <w:rsid w:val="001B2059"/>
    <w:rsid w:val="001B23A1"/>
    <w:rsid w:val="001B23F0"/>
    <w:rsid w:val="001B249A"/>
    <w:rsid w:val="001B2525"/>
    <w:rsid w:val="001B2529"/>
    <w:rsid w:val="001B2566"/>
    <w:rsid w:val="001B268B"/>
    <w:rsid w:val="001B26F1"/>
    <w:rsid w:val="001B27C6"/>
    <w:rsid w:val="001B2875"/>
    <w:rsid w:val="001B2C6B"/>
    <w:rsid w:val="001B2EEF"/>
    <w:rsid w:val="001B2FD8"/>
    <w:rsid w:val="001B3282"/>
    <w:rsid w:val="001B3512"/>
    <w:rsid w:val="001B3931"/>
    <w:rsid w:val="001B39BF"/>
    <w:rsid w:val="001B3C2E"/>
    <w:rsid w:val="001B4012"/>
    <w:rsid w:val="001B42F0"/>
    <w:rsid w:val="001B432E"/>
    <w:rsid w:val="001B458E"/>
    <w:rsid w:val="001B4684"/>
    <w:rsid w:val="001B4738"/>
    <w:rsid w:val="001B4774"/>
    <w:rsid w:val="001B49A5"/>
    <w:rsid w:val="001B4D1A"/>
    <w:rsid w:val="001B4D95"/>
    <w:rsid w:val="001B4F17"/>
    <w:rsid w:val="001B501E"/>
    <w:rsid w:val="001B5399"/>
    <w:rsid w:val="001B53F9"/>
    <w:rsid w:val="001B5408"/>
    <w:rsid w:val="001B581A"/>
    <w:rsid w:val="001B58F9"/>
    <w:rsid w:val="001B5A88"/>
    <w:rsid w:val="001B5B66"/>
    <w:rsid w:val="001B5BFC"/>
    <w:rsid w:val="001B5E38"/>
    <w:rsid w:val="001B5FBB"/>
    <w:rsid w:val="001B60E6"/>
    <w:rsid w:val="001B62EF"/>
    <w:rsid w:val="001B637D"/>
    <w:rsid w:val="001B63CE"/>
    <w:rsid w:val="001B6485"/>
    <w:rsid w:val="001B64B9"/>
    <w:rsid w:val="001B6AA3"/>
    <w:rsid w:val="001B6B0A"/>
    <w:rsid w:val="001B6BEF"/>
    <w:rsid w:val="001B6DBE"/>
    <w:rsid w:val="001B6E89"/>
    <w:rsid w:val="001B70EF"/>
    <w:rsid w:val="001B7200"/>
    <w:rsid w:val="001B731C"/>
    <w:rsid w:val="001B7602"/>
    <w:rsid w:val="001B7693"/>
    <w:rsid w:val="001B7892"/>
    <w:rsid w:val="001B7CB8"/>
    <w:rsid w:val="001B7D14"/>
    <w:rsid w:val="001C0370"/>
    <w:rsid w:val="001C0413"/>
    <w:rsid w:val="001C0684"/>
    <w:rsid w:val="001C079C"/>
    <w:rsid w:val="001C0A6D"/>
    <w:rsid w:val="001C0F0D"/>
    <w:rsid w:val="001C103B"/>
    <w:rsid w:val="001C106F"/>
    <w:rsid w:val="001C126E"/>
    <w:rsid w:val="001C13F7"/>
    <w:rsid w:val="001C141A"/>
    <w:rsid w:val="001C161E"/>
    <w:rsid w:val="001C1859"/>
    <w:rsid w:val="001C1968"/>
    <w:rsid w:val="001C19D8"/>
    <w:rsid w:val="001C1D1E"/>
    <w:rsid w:val="001C1F86"/>
    <w:rsid w:val="001C1FE6"/>
    <w:rsid w:val="001C2077"/>
    <w:rsid w:val="001C2240"/>
    <w:rsid w:val="001C23FB"/>
    <w:rsid w:val="001C26F2"/>
    <w:rsid w:val="001C27EE"/>
    <w:rsid w:val="001C2816"/>
    <w:rsid w:val="001C29C1"/>
    <w:rsid w:val="001C2C10"/>
    <w:rsid w:val="001C2C2F"/>
    <w:rsid w:val="001C2CF3"/>
    <w:rsid w:val="001C2D15"/>
    <w:rsid w:val="001C2DE0"/>
    <w:rsid w:val="001C2E78"/>
    <w:rsid w:val="001C30BA"/>
    <w:rsid w:val="001C31F6"/>
    <w:rsid w:val="001C3571"/>
    <w:rsid w:val="001C36CC"/>
    <w:rsid w:val="001C379B"/>
    <w:rsid w:val="001C38F1"/>
    <w:rsid w:val="001C398C"/>
    <w:rsid w:val="001C3C09"/>
    <w:rsid w:val="001C3E15"/>
    <w:rsid w:val="001C443B"/>
    <w:rsid w:val="001C450F"/>
    <w:rsid w:val="001C45E6"/>
    <w:rsid w:val="001C483F"/>
    <w:rsid w:val="001C4B86"/>
    <w:rsid w:val="001C4C90"/>
    <w:rsid w:val="001C4F5B"/>
    <w:rsid w:val="001C4FCC"/>
    <w:rsid w:val="001C518D"/>
    <w:rsid w:val="001C52C4"/>
    <w:rsid w:val="001C554B"/>
    <w:rsid w:val="001C5577"/>
    <w:rsid w:val="001C57BA"/>
    <w:rsid w:val="001C5841"/>
    <w:rsid w:val="001C59E6"/>
    <w:rsid w:val="001C5A3E"/>
    <w:rsid w:val="001C5A65"/>
    <w:rsid w:val="001C5BBD"/>
    <w:rsid w:val="001C5BCE"/>
    <w:rsid w:val="001C5FB4"/>
    <w:rsid w:val="001C6019"/>
    <w:rsid w:val="001C606A"/>
    <w:rsid w:val="001C6230"/>
    <w:rsid w:val="001C6544"/>
    <w:rsid w:val="001C66C6"/>
    <w:rsid w:val="001C6706"/>
    <w:rsid w:val="001C685C"/>
    <w:rsid w:val="001C6963"/>
    <w:rsid w:val="001C69D5"/>
    <w:rsid w:val="001C6A1C"/>
    <w:rsid w:val="001C6A90"/>
    <w:rsid w:val="001C6ABC"/>
    <w:rsid w:val="001C6D8F"/>
    <w:rsid w:val="001C6DA1"/>
    <w:rsid w:val="001C6EE4"/>
    <w:rsid w:val="001C7392"/>
    <w:rsid w:val="001C741E"/>
    <w:rsid w:val="001C742B"/>
    <w:rsid w:val="001C7562"/>
    <w:rsid w:val="001C7595"/>
    <w:rsid w:val="001C75D7"/>
    <w:rsid w:val="001C7638"/>
    <w:rsid w:val="001C7807"/>
    <w:rsid w:val="001C78E3"/>
    <w:rsid w:val="001C7BAB"/>
    <w:rsid w:val="001C7BFC"/>
    <w:rsid w:val="001C7C66"/>
    <w:rsid w:val="001C7EDF"/>
    <w:rsid w:val="001C7FF4"/>
    <w:rsid w:val="001D0272"/>
    <w:rsid w:val="001D048F"/>
    <w:rsid w:val="001D0503"/>
    <w:rsid w:val="001D09D3"/>
    <w:rsid w:val="001D09E4"/>
    <w:rsid w:val="001D0B49"/>
    <w:rsid w:val="001D0CAF"/>
    <w:rsid w:val="001D0E4E"/>
    <w:rsid w:val="001D0F59"/>
    <w:rsid w:val="001D0FB1"/>
    <w:rsid w:val="001D106A"/>
    <w:rsid w:val="001D109D"/>
    <w:rsid w:val="001D11EA"/>
    <w:rsid w:val="001D128B"/>
    <w:rsid w:val="001D162A"/>
    <w:rsid w:val="001D1663"/>
    <w:rsid w:val="001D1AB2"/>
    <w:rsid w:val="001D1B16"/>
    <w:rsid w:val="001D1D88"/>
    <w:rsid w:val="001D1FBC"/>
    <w:rsid w:val="001D203C"/>
    <w:rsid w:val="001D21AA"/>
    <w:rsid w:val="001D21F1"/>
    <w:rsid w:val="001D2271"/>
    <w:rsid w:val="001D22B4"/>
    <w:rsid w:val="001D2309"/>
    <w:rsid w:val="001D23B5"/>
    <w:rsid w:val="001D2458"/>
    <w:rsid w:val="001D254E"/>
    <w:rsid w:val="001D2591"/>
    <w:rsid w:val="001D2611"/>
    <w:rsid w:val="001D264E"/>
    <w:rsid w:val="001D2767"/>
    <w:rsid w:val="001D2C64"/>
    <w:rsid w:val="001D2C8C"/>
    <w:rsid w:val="001D2C90"/>
    <w:rsid w:val="001D2E33"/>
    <w:rsid w:val="001D2F6E"/>
    <w:rsid w:val="001D31E5"/>
    <w:rsid w:val="001D3258"/>
    <w:rsid w:val="001D34C8"/>
    <w:rsid w:val="001D34EB"/>
    <w:rsid w:val="001D3710"/>
    <w:rsid w:val="001D379F"/>
    <w:rsid w:val="001D390E"/>
    <w:rsid w:val="001D3A36"/>
    <w:rsid w:val="001D3BBF"/>
    <w:rsid w:val="001D3C24"/>
    <w:rsid w:val="001D3C9A"/>
    <w:rsid w:val="001D3C9E"/>
    <w:rsid w:val="001D3F0F"/>
    <w:rsid w:val="001D4031"/>
    <w:rsid w:val="001D40E9"/>
    <w:rsid w:val="001D4132"/>
    <w:rsid w:val="001D4338"/>
    <w:rsid w:val="001D44AD"/>
    <w:rsid w:val="001D4713"/>
    <w:rsid w:val="001D477A"/>
    <w:rsid w:val="001D4935"/>
    <w:rsid w:val="001D4A9B"/>
    <w:rsid w:val="001D4B45"/>
    <w:rsid w:val="001D4BA5"/>
    <w:rsid w:val="001D4C71"/>
    <w:rsid w:val="001D4E82"/>
    <w:rsid w:val="001D4F3C"/>
    <w:rsid w:val="001D5078"/>
    <w:rsid w:val="001D5196"/>
    <w:rsid w:val="001D5272"/>
    <w:rsid w:val="001D558A"/>
    <w:rsid w:val="001D5630"/>
    <w:rsid w:val="001D5651"/>
    <w:rsid w:val="001D56BD"/>
    <w:rsid w:val="001D5784"/>
    <w:rsid w:val="001D5906"/>
    <w:rsid w:val="001D5B6D"/>
    <w:rsid w:val="001D5D24"/>
    <w:rsid w:val="001D5DD6"/>
    <w:rsid w:val="001D602A"/>
    <w:rsid w:val="001D61A9"/>
    <w:rsid w:val="001D643A"/>
    <w:rsid w:val="001D6611"/>
    <w:rsid w:val="001D667C"/>
    <w:rsid w:val="001D66D5"/>
    <w:rsid w:val="001D6725"/>
    <w:rsid w:val="001D6756"/>
    <w:rsid w:val="001D6785"/>
    <w:rsid w:val="001D68F5"/>
    <w:rsid w:val="001D6982"/>
    <w:rsid w:val="001D6A7F"/>
    <w:rsid w:val="001D6D63"/>
    <w:rsid w:val="001D6DBA"/>
    <w:rsid w:val="001D6E21"/>
    <w:rsid w:val="001D7259"/>
    <w:rsid w:val="001D72D0"/>
    <w:rsid w:val="001D73C8"/>
    <w:rsid w:val="001D77AE"/>
    <w:rsid w:val="001D79FD"/>
    <w:rsid w:val="001D7B36"/>
    <w:rsid w:val="001D7BA2"/>
    <w:rsid w:val="001D7BFB"/>
    <w:rsid w:val="001D7D1D"/>
    <w:rsid w:val="001D7DF4"/>
    <w:rsid w:val="001D7E02"/>
    <w:rsid w:val="001D7E17"/>
    <w:rsid w:val="001D7E45"/>
    <w:rsid w:val="001E015C"/>
    <w:rsid w:val="001E018F"/>
    <w:rsid w:val="001E0343"/>
    <w:rsid w:val="001E03B8"/>
    <w:rsid w:val="001E052F"/>
    <w:rsid w:val="001E053A"/>
    <w:rsid w:val="001E071E"/>
    <w:rsid w:val="001E0C97"/>
    <w:rsid w:val="001E0E33"/>
    <w:rsid w:val="001E0E5A"/>
    <w:rsid w:val="001E0FEF"/>
    <w:rsid w:val="001E1029"/>
    <w:rsid w:val="001E10E1"/>
    <w:rsid w:val="001E11C7"/>
    <w:rsid w:val="001E11D4"/>
    <w:rsid w:val="001E1265"/>
    <w:rsid w:val="001E14AF"/>
    <w:rsid w:val="001E14F2"/>
    <w:rsid w:val="001E1632"/>
    <w:rsid w:val="001E1754"/>
    <w:rsid w:val="001E1894"/>
    <w:rsid w:val="001E193A"/>
    <w:rsid w:val="001E1B34"/>
    <w:rsid w:val="001E1D29"/>
    <w:rsid w:val="001E1D5F"/>
    <w:rsid w:val="001E1F6F"/>
    <w:rsid w:val="001E1FD9"/>
    <w:rsid w:val="001E20B8"/>
    <w:rsid w:val="001E2117"/>
    <w:rsid w:val="001E237A"/>
    <w:rsid w:val="001E24F0"/>
    <w:rsid w:val="001E25A0"/>
    <w:rsid w:val="001E288E"/>
    <w:rsid w:val="001E2890"/>
    <w:rsid w:val="001E2894"/>
    <w:rsid w:val="001E2B50"/>
    <w:rsid w:val="001E2DE7"/>
    <w:rsid w:val="001E2EEE"/>
    <w:rsid w:val="001E301F"/>
    <w:rsid w:val="001E3179"/>
    <w:rsid w:val="001E3601"/>
    <w:rsid w:val="001E3620"/>
    <w:rsid w:val="001E36C8"/>
    <w:rsid w:val="001E371E"/>
    <w:rsid w:val="001E38C3"/>
    <w:rsid w:val="001E3949"/>
    <w:rsid w:val="001E3A1F"/>
    <w:rsid w:val="001E3AEE"/>
    <w:rsid w:val="001E3D0D"/>
    <w:rsid w:val="001E3FBA"/>
    <w:rsid w:val="001E419B"/>
    <w:rsid w:val="001E41FA"/>
    <w:rsid w:val="001E4542"/>
    <w:rsid w:val="001E47E4"/>
    <w:rsid w:val="001E492F"/>
    <w:rsid w:val="001E49CC"/>
    <w:rsid w:val="001E4AF0"/>
    <w:rsid w:val="001E4CC6"/>
    <w:rsid w:val="001E5030"/>
    <w:rsid w:val="001E506D"/>
    <w:rsid w:val="001E5083"/>
    <w:rsid w:val="001E50A5"/>
    <w:rsid w:val="001E512A"/>
    <w:rsid w:val="001E514F"/>
    <w:rsid w:val="001E518B"/>
    <w:rsid w:val="001E567F"/>
    <w:rsid w:val="001E56C6"/>
    <w:rsid w:val="001E5734"/>
    <w:rsid w:val="001E58F0"/>
    <w:rsid w:val="001E5D05"/>
    <w:rsid w:val="001E5E1B"/>
    <w:rsid w:val="001E5E88"/>
    <w:rsid w:val="001E5E97"/>
    <w:rsid w:val="001E6225"/>
    <w:rsid w:val="001E62A2"/>
    <w:rsid w:val="001E633D"/>
    <w:rsid w:val="001E6617"/>
    <w:rsid w:val="001E6751"/>
    <w:rsid w:val="001E687C"/>
    <w:rsid w:val="001E692B"/>
    <w:rsid w:val="001E69CC"/>
    <w:rsid w:val="001E6B20"/>
    <w:rsid w:val="001E6B5C"/>
    <w:rsid w:val="001E6C1D"/>
    <w:rsid w:val="001E6CEF"/>
    <w:rsid w:val="001E6D6E"/>
    <w:rsid w:val="001E6EA5"/>
    <w:rsid w:val="001E7007"/>
    <w:rsid w:val="001E711C"/>
    <w:rsid w:val="001E75C1"/>
    <w:rsid w:val="001E761F"/>
    <w:rsid w:val="001E7639"/>
    <w:rsid w:val="001E781E"/>
    <w:rsid w:val="001E7899"/>
    <w:rsid w:val="001E7BB5"/>
    <w:rsid w:val="001E7C99"/>
    <w:rsid w:val="001E7F9E"/>
    <w:rsid w:val="001F00C8"/>
    <w:rsid w:val="001F013A"/>
    <w:rsid w:val="001F022F"/>
    <w:rsid w:val="001F04CF"/>
    <w:rsid w:val="001F04EF"/>
    <w:rsid w:val="001F0618"/>
    <w:rsid w:val="001F09B8"/>
    <w:rsid w:val="001F0AC7"/>
    <w:rsid w:val="001F0BC8"/>
    <w:rsid w:val="001F0D29"/>
    <w:rsid w:val="001F0D57"/>
    <w:rsid w:val="001F0E7D"/>
    <w:rsid w:val="001F115A"/>
    <w:rsid w:val="001F116F"/>
    <w:rsid w:val="001F1270"/>
    <w:rsid w:val="001F13B3"/>
    <w:rsid w:val="001F15F3"/>
    <w:rsid w:val="001F1902"/>
    <w:rsid w:val="001F19A5"/>
    <w:rsid w:val="001F1A0E"/>
    <w:rsid w:val="001F1ADE"/>
    <w:rsid w:val="001F1F27"/>
    <w:rsid w:val="001F2109"/>
    <w:rsid w:val="001F22F9"/>
    <w:rsid w:val="001F2384"/>
    <w:rsid w:val="001F24F3"/>
    <w:rsid w:val="001F287B"/>
    <w:rsid w:val="001F2C24"/>
    <w:rsid w:val="001F2C42"/>
    <w:rsid w:val="001F2E1A"/>
    <w:rsid w:val="001F2E2E"/>
    <w:rsid w:val="001F2EE7"/>
    <w:rsid w:val="001F341F"/>
    <w:rsid w:val="001F34FE"/>
    <w:rsid w:val="001F3622"/>
    <w:rsid w:val="001F36E6"/>
    <w:rsid w:val="001F39A7"/>
    <w:rsid w:val="001F3A23"/>
    <w:rsid w:val="001F3B79"/>
    <w:rsid w:val="001F3C75"/>
    <w:rsid w:val="001F4203"/>
    <w:rsid w:val="001F42F9"/>
    <w:rsid w:val="001F4342"/>
    <w:rsid w:val="001F4645"/>
    <w:rsid w:val="001F491F"/>
    <w:rsid w:val="001F4A72"/>
    <w:rsid w:val="001F4BE7"/>
    <w:rsid w:val="001F506E"/>
    <w:rsid w:val="001F5312"/>
    <w:rsid w:val="001F56C6"/>
    <w:rsid w:val="001F58B1"/>
    <w:rsid w:val="001F58BF"/>
    <w:rsid w:val="001F5B8D"/>
    <w:rsid w:val="001F5BC1"/>
    <w:rsid w:val="001F5D13"/>
    <w:rsid w:val="001F5D53"/>
    <w:rsid w:val="001F5D99"/>
    <w:rsid w:val="001F5E90"/>
    <w:rsid w:val="001F60DE"/>
    <w:rsid w:val="001F612C"/>
    <w:rsid w:val="001F6289"/>
    <w:rsid w:val="001F6468"/>
    <w:rsid w:val="001F6524"/>
    <w:rsid w:val="001F66A9"/>
    <w:rsid w:val="001F7281"/>
    <w:rsid w:val="001F7689"/>
    <w:rsid w:val="001F7757"/>
    <w:rsid w:val="001F77EB"/>
    <w:rsid w:val="001F784A"/>
    <w:rsid w:val="001F7C2D"/>
    <w:rsid w:val="001F7D50"/>
    <w:rsid w:val="001F7D7C"/>
    <w:rsid w:val="001F7DAC"/>
    <w:rsid w:val="001F7E5E"/>
    <w:rsid w:val="001F7F05"/>
    <w:rsid w:val="00200102"/>
    <w:rsid w:val="00200124"/>
    <w:rsid w:val="0020020D"/>
    <w:rsid w:val="00200384"/>
    <w:rsid w:val="0020055F"/>
    <w:rsid w:val="002005D6"/>
    <w:rsid w:val="002008A3"/>
    <w:rsid w:val="002009F8"/>
    <w:rsid w:val="002009FB"/>
    <w:rsid w:val="00200B0D"/>
    <w:rsid w:val="00200C4F"/>
    <w:rsid w:val="00200D01"/>
    <w:rsid w:val="00200F44"/>
    <w:rsid w:val="0020108B"/>
    <w:rsid w:val="00201145"/>
    <w:rsid w:val="002012C7"/>
    <w:rsid w:val="0020132E"/>
    <w:rsid w:val="002014CA"/>
    <w:rsid w:val="002015F4"/>
    <w:rsid w:val="00201943"/>
    <w:rsid w:val="002019EE"/>
    <w:rsid w:val="00201B47"/>
    <w:rsid w:val="00201B60"/>
    <w:rsid w:val="00201DD4"/>
    <w:rsid w:val="00202031"/>
    <w:rsid w:val="00202432"/>
    <w:rsid w:val="00202579"/>
    <w:rsid w:val="002025E9"/>
    <w:rsid w:val="00202650"/>
    <w:rsid w:val="00202A32"/>
    <w:rsid w:val="00202AF4"/>
    <w:rsid w:val="00202CBA"/>
    <w:rsid w:val="00202CBB"/>
    <w:rsid w:val="00202CC6"/>
    <w:rsid w:val="00202F00"/>
    <w:rsid w:val="002031AD"/>
    <w:rsid w:val="0020322D"/>
    <w:rsid w:val="00203235"/>
    <w:rsid w:val="002032A9"/>
    <w:rsid w:val="002033A0"/>
    <w:rsid w:val="00203644"/>
    <w:rsid w:val="002036AF"/>
    <w:rsid w:val="00203836"/>
    <w:rsid w:val="002038A0"/>
    <w:rsid w:val="00203A65"/>
    <w:rsid w:val="00203BAA"/>
    <w:rsid w:val="00203BB4"/>
    <w:rsid w:val="00203C68"/>
    <w:rsid w:val="00203CD1"/>
    <w:rsid w:val="00203FB6"/>
    <w:rsid w:val="002040AF"/>
    <w:rsid w:val="0020417A"/>
    <w:rsid w:val="00204200"/>
    <w:rsid w:val="0020425D"/>
    <w:rsid w:val="0020429D"/>
    <w:rsid w:val="00204340"/>
    <w:rsid w:val="0020456B"/>
    <w:rsid w:val="0020457B"/>
    <w:rsid w:val="0020460C"/>
    <w:rsid w:val="00204676"/>
    <w:rsid w:val="00204889"/>
    <w:rsid w:val="002048DD"/>
    <w:rsid w:val="002048FC"/>
    <w:rsid w:val="002049AC"/>
    <w:rsid w:val="00204AA1"/>
    <w:rsid w:val="00204F8E"/>
    <w:rsid w:val="00204FAC"/>
    <w:rsid w:val="0020500F"/>
    <w:rsid w:val="002052FA"/>
    <w:rsid w:val="00205458"/>
    <w:rsid w:val="00205786"/>
    <w:rsid w:val="002057D7"/>
    <w:rsid w:val="0020582E"/>
    <w:rsid w:val="00205B84"/>
    <w:rsid w:val="00205C68"/>
    <w:rsid w:val="00206086"/>
    <w:rsid w:val="0020609D"/>
    <w:rsid w:val="002060B5"/>
    <w:rsid w:val="00206116"/>
    <w:rsid w:val="00206500"/>
    <w:rsid w:val="002066BF"/>
    <w:rsid w:val="002067C2"/>
    <w:rsid w:val="00206804"/>
    <w:rsid w:val="002069B0"/>
    <w:rsid w:val="00206AF6"/>
    <w:rsid w:val="00206EB8"/>
    <w:rsid w:val="0020709E"/>
    <w:rsid w:val="002076B4"/>
    <w:rsid w:val="00207A9E"/>
    <w:rsid w:val="00207B02"/>
    <w:rsid w:val="00207BDB"/>
    <w:rsid w:val="00207C08"/>
    <w:rsid w:val="00207ED9"/>
    <w:rsid w:val="00207F14"/>
    <w:rsid w:val="00207F70"/>
    <w:rsid w:val="00207F9C"/>
    <w:rsid w:val="00210421"/>
    <w:rsid w:val="0021070C"/>
    <w:rsid w:val="002107D3"/>
    <w:rsid w:val="00210A29"/>
    <w:rsid w:val="00210C6D"/>
    <w:rsid w:val="00210C71"/>
    <w:rsid w:val="00210CCD"/>
    <w:rsid w:val="00210D0C"/>
    <w:rsid w:val="00211255"/>
    <w:rsid w:val="00211484"/>
    <w:rsid w:val="002116CF"/>
    <w:rsid w:val="002118FD"/>
    <w:rsid w:val="00211A95"/>
    <w:rsid w:val="00211C8B"/>
    <w:rsid w:val="00211DDF"/>
    <w:rsid w:val="00211E33"/>
    <w:rsid w:val="00211EF4"/>
    <w:rsid w:val="00212177"/>
    <w:rsid w:val="00212281"/>
    <w:rsid w:val="00212373"/>
    <w:rsid w:val="002125E1"/>
    <w:rsid w:val="002128BC"/>
    <w:rsid w:val="002128C1"/>
    <w:rsid w:val="00212BD7"/>
    <w:rsid w:val="00212CCF"/>
    <w:rsid w:val="00212CF2"/>
    <w:rsid w:val="00213092"/>
    <w:rsid w:val="00213194"/>
    <w:rsid w:val="0021335D"/>
    <w:rsid w:val="00213432"/>
    <w:rsid w:val="002134AD"/>
    <w:rsid w:val="0021356A"/>
    <w:rsid w:val="0021361E"/>
    <w:rsid w:val="0021363A"/>
    <w:rsid w:val="00213738"/>
    <w:rsid w:val="002137A8"/>
    <w:rsid w:val="00213817"/>
    <w:rsid w:val="00213984"/>
    <w:rsid w:val="00213CB3"/>
    <w:rsid w:val="00213DD3"/>
    <w:rsid w:val="00213F40"/>
    <w:rsid w:val="0021404A"/>
    <w:rsid w:val="002143FC"/>
    <w:rsid w:val="002145F9"/>
    <w:rsid w:val="002148E4"/>
    <w:rsid w:val="0021492F"/>
    <w:rsid w:val="00214D04"/>
    <w:rsid w:val="00214D9B"/>
    <w:rsid w:val="00214E03"/>
    <w:rsid w:val="00214E2C"/>
    <w:rsid w:val="00214F1C"/>
    <w:rsid w:val="00214F20"/>
    <w:rsid w:val="00214F3A"/>
    <w:rsid w:val="00214F4D"/>
    <w:rsid w:val="002151C0"/>
    <w:rsid w:val="0021534D"/>
    <w:rsid w:val="002156FC"/>
    <w:rsid w:val="00215AF4"/>
    <w:rsid w:val="00215BE8"/>
    <w:rsid w:val="00215D3B"/>
    <w:rsid w:val="00215EFB"/>
    <w:rsid w:val="0021601D"/>
    <w:rsid w:val="002160F1"/>
    <w:rsid w:val="00216471"/>
    <w:rsid w:val="002164B8"/>
    <w:rsid w:val="002164CD"/>
    <w:rsid w:val="0021652A"/>
    <w:rsid w:val="0021653D"/>
    <w:rsid w:val="00216678"/>
    <w:rsid w:val="0021674A"/>
    <w:rsid w:val="00216775"/>
    <w:rsid w:val="002167E9"/>
    <w:rsid w:val="002168A6"/>
    <w:rsid w:val="0021697F"/>
    <w:rsid w:val="00216AE5"/>
    <w:rsid w:val="00216BE9"/>
    <w:rsid w:val="00217033"/>
    <w:rsid w:val="002171AD"/>
    <w:rsid w:val="002171CF"/>
    <w:rsid w:val="002171FC"/>
    <w:rsid w:val="00217218"/>
    <w:rsid w:val="00217575"/>
    <w:rsid w:val="00217697"/>
    <w:rsid w:val="002178AC"/>
    <w:rsid w:val="00217905"/>
    <w:rsid w:val="00217D77"/>
    <w:rsid w:val="00217DD2"/>
    <w:rsid w:val="00217F28"/>
    <w:rsid w:val="00217FFE"/>
    <w:rsid w:val="00220261"/>
    <w:rsid w:val="00220367"/>
    <w:rsid w:val="00220412"/>
    <w:rsid w:val="0022051D"/>
    <w:rsid w:val="00220537"/>
    <w:rsid w:val="002206DC"/>
    <w:rsid w:val="0022079F"/>
    <w:rsid w:val="002207B6"/>
    <w:rsid w:val="00220A44"/>
    <w:rsid w:val="00220A47"/>
    <w:rsid w:val="00220A79"/>
    <w:rsid w:val="00220D81"/>
    <w:rsid w:val="0022101D"/>
    <w:rsid w:val="002211B1"/>
    <w:rsid w:val="002212D5"/>
    <w:rsid w:val="002213D5"/>
    <w:rsid w:val="002213F3"/>
    <w:rsid w:val="00221420"/>
    <w:rsid w:val="002214D4"/>
    <w:rsid w:val="0022172C"/>
    <w:rsid w:val="00221E80"/>
    <w:rsid w:val="00222024"/>
    <w:rsid w:val="002221E4"/>
    <w:rsid w:val="00222245"/>
    <w:rsid w:val="002223C2"/>
    <w:rsid w:val="0022248A"/>
    <w:rsid w:val="00222799"/>
    <w:rsid w:val="00222925"/>
    <w:rsid w:val="00222955"/>
    <w:rsid w:val="002229B4"/>
    <w:rsid w:val="00222A6B"/>
    <w:rsid w:val="00222B9E"/>
    <w:rsid w:val="00222CFC"/>
    <w:rsid w:val="00222E95"/>
    <w:rsid w:val="00222ECE"/>
    <w:rsid w:val="00222EE5"/>
    <w:rsid w:val="0022321F"/>
    <w:rsid w:val="002233BE"/>
    <w:rsid w:val="002234BE"/>
    <w:rsid w:val="002235A2"/>
    <w:rsid w:val="0022368D"/>
    <w:rsid w:val="002236E7"/>
    <w:rsid w:val="00223704"/>
    <w:rsid w:val="00223783"/>
    <w:rsid w:val="00223870"/>
    <w:rsid w:val="002239A3"/>
    <w:rsid w:val="00223C1B"/>
    <w:rsid w:val="00223CD3"/>
    <w:rsid w:val="00223D2D"/>
    <w:rsid w:val="00223D80"/>
    <w:rsid w:val="00223F84"/>
    <w:rsid w:val="002240F4"/>
    <w:rsid w:val="002242ED"/>
    <w:rsid w:val="0022435E"/>
    <w:rsid w:val="002243CE"/>
    <w:rsid w:val="00224416"/>
    <w:rsid w:val="002245EA"/>
    <w:rsid w:val="00224613"/>
    <w:rsid w:val="00224987"/>
    <w:rsid w:val="00224A65"/>
    <w:rsid w:val="00224F68"/>
    <w:rsid w:val="00224FCE"/>
    <w:rsid w:val="00225037"/>
    <w:rsid w:val="00225163"/>
    <w:rsid w:val="00225341"/>
    <w:rsid w:val="002254E0"/>
    <w:rsid w:val="0022550E"/>
    <w:rsid w:val="00225896"/>
    <w:rsid w:val="0022598A"/>
    <w:rsid w:val="00225A3B"/>
    <w:rsid w:val="00225A3D"/>
    <w:rsid w:val="00225DCF"/>
    <w:rsid w:val="00225EA8"/>
    <w:rsid w:val="002260DB"/>
    <w:rsid w:val="0022621B"/>
    <w:rsid w:val="002264CE"/>
    <w:rsid w:val="00226509"/>
    <w:rsid w:val="00226612"/>
    <w:rsid w:val="0022671D"/>
    <w:rsid w:val="00226939"/>
    <w:rsid w:val="00226BD8"/>
    <w:rsid w:val="00226C6F"/>
    <w:rsid w:val="00226C93"/>
    <w:rsid w:val="00226E1B"/>
    <w:rsid w:val="00226EC6"/>
    <w:rsid w:val="00226FAC"/>
    <w:rsid w:val="00226FAD"/>
    <w:rsid w:val="00227222"/>
    <w:rsid w:val="0022740D"/>
    <w:rsid w:val="0022752A"/>
    <w:rsid w:val="00227653"/>
    <w:rsid w:val="00227664"/>
    <w:rsid w:val="002276D7"/>
    <w:rsid w:val="00227825"/>
    <w:rsid w:val="00227851"/>
    <w:rsid w:val="0022791E"/>
    <w:rsid w:val="00227975"/>
    <w:rsid w:val="002279C6"/>
    <w:rsid w:val="00227AEE"/>
    <w:rsid w:val="00227B1E"/>
    <w:rsid w:val="00227BC0"/>
    <w:rsid w:val="00227C92"/>
    <w:rsid w:val="002300E7"/>
    <w:rsid w:val="002302BA"/>
    <w:rsid w:val="0023030B"/>
    <w:rsid w:val="002306B4"/>
    <w:rsid w:val="002307CC"/>
    <w:rsid w:val="00230A79"/>
    <w:rsid w:val="00230B03"/>
    <w:rsid w:val="0023106C"/>
    <w:rsid w:val="0023107B"/>
    <w:rsid w:val="00231093"/>
    <w:rsid w:val="00231281"/>
    <w:rsid w:val="00231357"/>
    <w:rsid w:val="0023159C"/>
    <w:rsid w:val="002318C6"/>
    <w:rsid w:val="002318D0"/>
    <w:rsid w:val="00231979"/>
    <w:rsid w:val="0023199D"/>
    <w:rsid w:val="00231BB8"/>
    <w:rsid w:val="00231E15"/>
    <w:rsid w:val="00232064"/>
    <w:rsid w:val="0023234A"/>
    <w:rsid w:val="0023234C"/>
    <w:rsid w:val="002325E4"/>
    <w:rsid w:val="00232663"/>
    <w:rsid w:val="002326A0"/>
    <w:rsid w:val="0023282E"/>
    <w:rsid w:val="002329C4"/>
    <w:rsid w:val="00232A65"/>
    <w:rsid w:val="00232AA4"/>
    <w:rsid w:val="00232FFB"/>
    <w:rsid w:val="0023307D"/>
    <w:rsid w:val="0023311C"/>
    <w:rsid w:val="00233279"/>
    <w:rsid w:val="00233477"/>
    <w:rsid w:val="00233787"/>
    <w:rsid w:val="002337E0"/>
    <w:rsid w:val="0023388E"/>
    <w:rsid w:val="00233C27"/>
    <w:rsid w:val="00233CCA"/>
    <w:rsid w:val="00234054"/>
    <w:rsid w:val="002340B5"/>
    <w:rsid w:val="00234103"/>
    <w:rsid w:val="002343AF"/>
    <w:rsid w:val="0023462F"/>
    <w:rsid w:val="0023477C"/>
    <w:rsid w:val="002348EE"/>
    <w:rsid w:val="00234928"/>
    <w:rsid w:val="00234971"/>
    <w:rsid w:val="00234A6A"/>
    <w:rsid w:val="00234ACE"/>
    <w:rsid w:val="00234B94"/>
    <w:rsid w:val="002350DD"/>
    <w:rsid w:val="0023536B"/>
    <w:rsid w:val="002353AC"/>
    <w:rsid w:val="00235613"/>
    <w:rsid w:val="002357E4"/>
    <w:rsid w:val="00235E52"/>
    <w:rsid w:val="002360B9"/>
    <w:rsid w:val="00236186"/>
    <w:rsid w:val="00236220"/>
    <w:rsid w:val="002363D9"/>
    <w:rsid w:val="00236558"/>
    <w:rsid w:val="0023656A"/>
    <w:rsid w:val="00236770"/>
    <w:rsid w:val="002368B8"/>
    <w:rsid w:val="00236E6A"/>
    <w:rsid w:val="002371A3"/>
    <w:rsid w:val="002371DD"/>
    <w:rsid w:val="0023727C"/>
    <w:rsid w:val="002372C8"/>
    <w:rsid w:val="002372CF"/>
    <w:rsid w:val="002376DC"/>
    <w:rsid w:val="0023775B"/>
    <w:rsid w:val="00237849"/>
    <w:rsid w:val="00237B7C"/>
    <w:rsid w:val="00237C00"/>
    <w:rsid w:val="00237CF4"/>
    <w:rsid w:val="00237D99"/>
    <w:rsid w:val="00237E69"/>
    <w:rsid w:val="00237FC7"/>
    <w:rsid w:val="00240115"/>
    <w:rsid w:val="002401B3"/>
    <w:rsid w:val="00240208"/>
    <w:rsid w:val="0024041A"/>
    <w:rsid w:val="0024049B"/>
    <w:rsid w:val="002404A7"/>
    <w:rsid w:val="002405F2"/>
    <w:rsid w:val="0024060D"/>
    <w:rsid w:val="00240691"/>
    <w:rsid w:val="002406F6"/>
    <w:rsid w:val="002408E6"/>
    <w:rsid w:val="002409C8"/>
    <w:rsid w:val="00240AFD"/>
    <w:rsid w:val="00240BD6"/>
    <w:rsid w:val="00240E12"/>
    <w:rsid w:val="00240ED3"/>
    <w:rsid w:val="00240F37"/>
    <w:rsid w:val="0024106A"/>
    <w:rsid w:val="00241075"/>
    <w:rsid w:val="00241179"/>
    <w:rsid w:val="002411A2"/>
    <w:rsid w:val="002412E2"/>
    <w:rsid w:val="0024150E"/>
    <w:rsid w:val="00241689"/>
    <w:rsid w:val="002419F3"/>
    <w:rsid w:val="00241A6C"/>
    <w:rsid w:val="00241AAF"/>
    <w:rsid w:val="00241BFA"/>
    <w:rsid w:val="00241E51"/>
    <w:rsid w:val="00241E70"/>
    <w:rsid w:val="00241F19"/>
    <w:rsid w:val="00242187"/>
    <w:rsid w:val="00242320"/>
    <w:rsid w:val="0024236B"/>
    <w:rsid w:val="002423C2"/>
    <w:rsid w:val="00242488"/>
    <w:rsid w:val="002425DA"/>
    <w:rsid w:val="0024262B"/>
    <w:rsid w:val="002428DA"/>
    <w:rsid w:val="00242969"/>
    <w:rsid w:val="0024298C"/>
    <w:rsid w:val="00242AB8"/>
    <w:rsid w:val="00242F65"/>
    <w:rsid w:val="002430F7"/>
    <w:rsid w:val="0024344F"/>
    <w:rsid w:val="002434DB"/>
    <w:rsid w:val="002435E5"/>
    <w:rsid w:val="00243707"/>
    <w:rsid w:val="002438BD"/>
    <w:rsid w:val="00243955"/>
    <w:rsid w:val="00243AA2"/>
    <w:rsid w:val="00243E6E"/>
    <w:rsid w:val="00243EFA"/>
    <w:rsid w:val="0024412E"/>
    <w:rsid w:val="002441B7"/>
    <w:rsid w:val="002441E6"/>
    <w:rsid w:val="0024425E"/>
    <w:rsid w:val="00244538"/>
    <w:rsid w:val="002445E0"/>
    <w:rsid w:val="00244715"/>
    <w:rsid w:val="00244760"/>
    <w:rsid w:val="00244772"/>
    <w:rsid w:val="00244A4A"/>
    <w:rsid w:val="00244A97"/>
    <w:rsid w:val="00244D6A"/>
    <w:rsid w:val="00244D78"/>
    <w:rsid w:val="002450AF"/>
    <w:rsid w:val="002452B7"/>
    <w:rsid w:val="002456EA"/>
    <w:rsid w:val="00245990"/>
    <w:rsid w:val="00245BD0"/>
    <w:rsid w:val="00245FB3"/>
    <w:rsid w:val="00246053"/>
    <w:rsid w:val="00246140"/>
    <w:rsid w:val="0024625B"/>
    <w:rsid w:val="002462DF"/>
    <w:rsid w:val="002464BB"/>
    <w:rsid w:val="0024659F"/>
    <w:rsid w:val="00246616"/>
    <w:rsid w:val="002469F0"/>
    <w:rsid w:val="00246AF5"/>
    <w:rsid w:val="00246C12"/>
    <w:rsid w:val="00246C46"/>
    <w:rsid w:val="00246C79"/>
    <w:rsid w:val="00246F30"/>
    <w:rsid w:val="00247155"/>
    <w:rsid w:val="00247306"/>
    <w:rsid w:val="0024757E"/>
    <w:rsid w:val="00247718"/>
    <w:rsid w:val="0024780B"/>
    <w:rsid w:val="00247A90"/>
    <w:rsid w:val="00247D75"/>
    <w:rsid w:val="00247DA9"/>
    <w:rsid w:val="00247EC3"/>
    <w:rsid w:val="00247F3B"/>
    <w:rsid w:val="00247F9B"/>
    <w:rsid w:val="00250227"/>
    <w:rsid w:val="0025035F"/>
    <w:rsid w:val="002503F5"/>
    <w:rsid w:val="002504DA"/>
    <w:rsid w:val="00250604"/>
    <w:rsid w:val="002507B3"/>
    <w:rsid w:val="00250991"/>
    <w:rsid w:val="00250B49"/>
    <w:rsid w:val="00250BBB"/>
    <w:rsid w:val="00250D20"/>
    <w:rsid w:val="00250F63"/>
    <w:rsid w:val="00251170"/>
    <w:rsid w:val="002511E4"/>
    <w:rsid w:val="002512C7"/>
    <w:rsid w:val="002512D9"/>
    <w:rsid w:val="002513BD"/>
    <w:rsid w:val="00251498"/>
    <w:rsid w:val="002514CC"/>
    <w:rsid w:val="0025150B"/>
    <w:rsid w:val="002515C1"/>
    <w:rsid w:val="00251609"/>
    <w:rsid w:val="0025199E"/>
    <w:rsid w:val="00251B17"/>
    <w:rsid w:val="00251CD3"/>
    <w:rsid w:val="00251EB3"/>
    <w:rsid w:val="00252170"/>
    <w:rsid w:val="00252340"/>
    <w:rsid w:val="002523CD"/>
    <w:rsid w:val="002524C8"/>
    <w:rsid w:val="00252781"/>
    <w:rsid w:val="002531AC"/>
    <w:rsid w:val="00253240"/>
    <w:rsid w:val="002532EC"/>
    <w:rsid w:val="00253621"/>
    <w:rsid w:val="00253672"/>
    <w:rsid w:val="0025386E"/>
    <w:rsid w:val="002539DB"/>
    <w:rsid w:val="00253A7C"/>
    <w:rsid w:val="00253ACD"/>
    <w:rsid w:val="00253B16"/>
    <w:rsid w:val="00253B54"/>
    <w:rsid w:val="0025401D"/>
    <w:rsid w:val="0025410D"/>
    <w:rsid w:val="00254155"/>
    <w:rsid w:val="002542B1"/>
    <w:rsid w:val="002542B4"/>
    <w:rsid w:val="002543A3"/>
    <w:rsid w:val="0025451C"/>
    <w:rsid w:val="00254A2D"/>
    <w:rsid w:val="00254B04"/>
    <w:rsid w:val="00254C98"/>
    <w:rsid w:val="00254F08"/>
    <w:rsid w:val="00254F9E"/>
    <w:rsid w:val="0025506B"/>
    <w:rsid w:val="00255098"/>
    <w:rsid w:val="00255169"/>
    <w:rsid w:val="00255267"/>
    <w:rsid w:val="002552C3"/>
    <w:rsid w:val="0025539E"/>
    <w:rsid w:val="00255636"/>
    <w:rsid w:val="002556EA"/>
    <w:rsid w:val="002557EA"/>
    <w:rsid w:val="00255914"/>
    <w:rsid w:val="002559EF"/>
    <w:rsid w:val="00255A40"/>
    <w:rsid w:val="00255AE2"/>
    <w:rsid w:val="00255C7C"/>
    <w:rsid w:val="00255CB2"/>
    <w:rsid w:val="00255F34"/>
    <w:rsid w:val="00255F5C"/>
    <w:rsid w:val="00256256"/>
    <w:rsid w:val="00256312"/>
    <w:rsid w:val="002563CA"/>
    <w:rsid w:val="002563E9"/>
    <w:rsid w:val="00256424"/>
    <w:rsid w:val="0025642B"/>
    <w:rsid w:val="00256446"/>
    <w:rsid w:val="00256520"/>
    <w:rsid w:val="00256530"/>
    <w:rsid w:val="00256556"/>
    <w:rsid w:val="00256586"/>
    <w:rsid w:val="002565DB"/>
    <w:rsid w:val="00256854"/>
    <w:rsid w:val="00256880"/>
    <w:rsid w:val="002569AF"/>
    <w:rsid w:val="00256C2B"/>
    <w:rsid w:val="00256C69"/>
    <w:rsid w:val="00256D24"/>
    <w:rsid w:val="00256D98"/>
    <w:rsid w:val="00256F76"/>
    <w:rsid w:val="00256FA4"/>
    <w:rsid w:val="00257004"/>
    <w:rsid w:val="0025717E"/>
    <w:rsid w:val="002571AB"/>
    <w:rsid w:val="002571B9"/>
    <w:rsid w:val="002571C3"/>
    <w:rsid w:val="00257358"/>
    <w:rsid w:val="002573F4"/>
    <w:rsid w:val="0025747F"/>
    <w:rsid w:val="002576D3"/>
    <w:rsid w:val="0025772E"/>
    <w:rsid w:val="002578B2"/>
    <w:rsid w:val="00257ADF"/>
    <w:rsid w:val="00257B3E"/>
    <w:rsid w:val="00257DBD"/>
    <w:rsid w:val="00257E96"/>
    <w:rsid w:val="00257F67"/>
    <w:rsid w:val="002600A3"/>
    <w:rsid w:val="002602EF"/>
    <w:rsid w:val="002603BC"/>
    <w:rsid w:val="0026057C"/>
    <w:rsid w:val="00260B2A"/>
    <w:rsid w:val="00260E21"/>
    <w:rsid w:val="00260F5F"/>
    <w:rsid w:val="002610DE"/>
    <w:rsid w:val="002610E0"/>
    <w:rsid w:val="002610E1"/>
    <w:rsid w:val="00261236"/>
    <w:rsid w:val="0026143B"/>
    <w:rsid w:val="002615C1"/>
    <w:rsid w:val="002615D7"/>
    <w:rsid w:val="0026177B"/>
    <w:rsid w:val="0026186D"/>
    <w:rsid w:val="0026196B"/>
    <w:rsid w:val="00261C3A"/>
    <w:rsid w:val="00261D5C"/>
    <w:rsid w:val="00261D78"/>
    <w:rsid w:val="00261ED7"/>
    <w:rsid w:val="00262240"/>
    <w:rsid w:val="002622DC"/>
    <w:rsid w:val="0026243D"/>
    <w:rsid w:val="00262478"/>
    <w:rsid w:val="00262577"/>
    <w:rsid w:val="00262743"/>
    <w:rsid w:val="00262982"/>
    <w:rsid w:val="00262BF8"/>
    <w:rsid w:val="00262CA8"/>
    <w:rsid w:val="00262EC7"/>
    <w:rsid w:val="00262FD0"/>
    <w:rsid w:val="00263092"/>
    <w:rsid w:val="0026311B"/>
    <w:rsid w:val="002631F2"/>
    <w:rsid w:val="0026344E"/>
    <w:rsid w:val="002635F5"/>
    <w:rsid w:val="00263634"/>
    <w:rsid w:val="00263643"/>
    <w:rsid w:val="00263847"/>
    <w:rsid w:val="00263B5B"/>
    <w:rsid w:val="00263B80"/>
    <w:rsid w:val="00263D90"/>
    <w:rsid w:val="00263DC6"/>
    <w:rsid w:val="00263EE8"/>
    <w:rsid w:val="00263F08"/>
    <w:rsid w:val="002640AC"/>
    <w:rsid w:val="00264297"/>
    <w:rsid w:val="0026461D"/>
    <w:rsid w:val="002647A4"/>
    <w:rsid w:val="00264820"/>
    <w:rsid w:val="00264875"/>
    <w:rsid w:val="002649E0"/>
    <w:rsid w:val="00264C02"/>
    <w:rsid w:val="00264ECB"/>
    <w:rsid w:val="00264F23"/>
    <w:rsid w:val="002650ED"/>
    <w:rsid w:val="0026517A"/>
    <w:rsid w:val="00265497"/>
    <w:rsid w:val="00265608"/>
    <w:rsid w:val="00265729"/>
    <w:rsid w:val="00265A88"/>
    <w:rsid w:val="00265B42"/>
    <w:rsid w:val="00265BC3"/>
    <w:rsid w:val="00265D1D"/>
    <w:rsid w:val="00265DF9"/>
    <w:rsid w:val="00265EEF"/>
    <w:rsid w:val="00265EFE"/>
    <w:rsid w:val="00266210"/>
    <w:rsid w:val="00266332"/>
    <w:rsid w:val="00266346"/>
    <w:rsid w:val="002663A6"/>
    <w:rsid w:val="002663B8"/>
    <w:rsid w:val="002664CF"/>
    <w:rsid w:val="002665C0"/>
    <w:rsid w:val="002665FD"/>
    <w:rsid w:val="00266787"/>
    <w:rsid w:val="00266BAA"/>
    <w:rsid w:val="00266C79"/>
    <w:rsid w:val="00266C92"/>
    <w:rsid w:val="00266DA1"/>
    <w:rsid w:val="00266E9B"/>
    <w:rsid w:val="00266F38"/>
    <w:rsid w:val="00266F5E"/>
    <w:rsid w:val="00266FA5"/>
    <w:rsid w:val="00267725"/>
    <w:rsid w:val="0026772C"/>
    <w:rsid w:val="00267A28"/>
    <w:rsid w:val="00267A69"/>
    <w:rsid w:val="00267CC5"/>
    <w:rsid w:val="00267D4F"/>
    <w:rsid w:val="00267DA0"/>
    <w:rsid w:val="00270212"/>
    <w:rsid w:val="002703FD"/>
    <w:rsid w:val="00270502"/>
    <w:rsid w:val="00270514"/>
    <w:rsid w:val="00270892"/>
    <w:rsid w:val="00270BCB"/>
    <w:rsid w:val="00270D73"/>
    <w:rsid w:val="00270E3F"/>
    <w:rsid w:val="00270EB3"/>
    <w:rsid w:val="0027105D"/>
    <w:rsid w:val="00271483"/>
    <w:rsid w:val="002714AB"/>
    <w:rsid w:val="00271621"/>
    <w:rsid w:val="00271750"/>
    <w:rsid w:val="0027189A"/>
    <w:rsid w:val="00271A44"/>
    <w:rsid w:val="00271B8B"/>
    <w:rsid w:val="00271D8D"/>
    <w:rsid w:val="00271E55"/>
    <w:rsid w:val="00271F05"/>
    <w:rsid w:val="00272117"/>
    <w:rsid w:val="002721BD"/>
    <w:rsid w:val="002721E2"/>
    <w:rsid w:val="00272216"/>
    <w:rsid w:val="0027239B"/>
    <w:rsid w:val="0027241C"/>
    <w:rsid w:val="00272883"/>
    <w:rsid w:val="0027293F"/>
    <w:rsid w:val="00272ABE"/>
    <w:rsid w:val="00272C8A"/>
    <w:rsid w:val="00273066"/>
    <w:rsid w:val="002735FD"/>
    <w:rsid w:val="00273790"/>
    <w:rsid w:val="00273D23"/>
    <w:rsid w:val="00273FD8"/>
    <w:rsid w:val="0027406A"/>
    <w:rsid w:val="00274458"/>
    <w:rsid w:val="0027446E"/>
    <w:rsid w:val="00274519"/>
    <w:rsid w:val="002746AB"/>
    <w:rsid w:val="002746BE"/>
    <w:rsid w:val="00274708"/>
    <w:rsid w:val="00274896"/>
    <w:rsid w:val="00274DA3"/>
    <w:rsid w:val="00274F08"/>
    <w:rsid w:val="00275346"/>
    <w:rsid w:val="002753F1"/>
    <w:rsid w:val="00275497"/>
    <w:rsid w:val="00275594"/>
    <w:rsid w:val="00275619"/>
    <w:rsid w:val="002757D7"/>
    <w:rsid w:val="00275994"/>
    <w:rsid w:val="00275D9E"/>
    <w:rsid w:val="00276010"/>
    <w:rsid w:val="00276183"/>
    <w:rsid w:val="0027639D"/>
    <w:rsid w:val="0027657E"/>
    <w:rsid w:val="0027666A"/>
    <w:rsid w:val="0027671D"/>
    <w:rsid w:val="00276897"/>
    <w:rsid w:val="0027693E"/>
    <w:rsid w:val="00276A06"/>
    <w:rsid w:val="00276A3A"/>
    <w:rsid w:val="00276A56"/>
    <w:rsid w:val="00276AF7"/>
    <w:rsid w:val="00276C19"/>
    <w:rsid w:val="00276CEB"/>
    <w:rsid w:val="00276D9C"/>
    <w:rsid w:val="00276E1C"/>
    <w:rsid w:val="00276F2C"/>
    <w:rsid w:val="00276FD6"/>
    <w:rsid w:val="00276FFC"/>
    <w:rsid w:val="002771D6"/>
    <w:rsid w:val="00277311"/>
    <w:rsid w:val="00277411"/>
    <w:rsid w:val="00277433"/>
    <w:rsid w:val="0027747E"/>
    <w:rsid w:val="002775E3"/>
    <w:rsid w:val="00277764"/>
    <w:rsid w:val="002777B8"/>
    <w:rsid w:val="002779E7"/>
    <w:rsid w:val="00277AE6"/>
    <w:rsid w:val="00277B6F"/>
    <w:rsid w:val="00277DAF"/>
    <w:rsid w:val="00277F3A"/>
    <w:rsid w:val="002801CE"/>
    <w:rsid w:val="002802EC"/>
    <w:rsid w:val="00280367"/>
    <w:rsid w:val="00280609"/>
    <w:rsid w:val="002807E9"/>
    <w:rsid w:val="00280972"/>
    <w:rsid w:val="002809DB"/>
    <w:rsid w:val="00280A13"/>
    <w:rsid w:val="00280A4F"/>
    <w:rsid w:val="00280B01"/>
    <w:rsid w:val="00280BF1"/>
    <w:rsid w:val="00280CA2"/>
    <w:rsid w:val="00280E2A"/>
    <w:rsid w:val="00280EBF"/>
    <w:rsid w:val="00280FB4"/>
    <w:rsid w:val="0028112A"/>
    <w:rsid w:val="00281205"/>
    <w:rsid w:val="00281284"/>
    <w:rsid w:val="00281336"/>
    <w:rsid w:val="0028155C"/>
    <w:rsid w:val="00281A40"/>
    <w:rsid w:val="00281B94"/>
    <w:rsid w:val="0028209F"/>
    <w:rsid w:val="00282127"/>
    <w:rsid w:val="0028214D"/>
    <w:rsid w:val="00282168"/>
    <w:rsid w:val="00282259"/>
    <w:rsid w:val="002822C3"/>
    <w:rsid w:val="00282378"/>
    <w:rsid w:val="00282394"/>
    <w:rsid w:val="002825C1"/>
    <w:rsid w:val="002826B0"/>
    <w:rsid w:val="002827C8"/>
    <w:rsid w:val="00282875"/>
    <w:rsid w:val="002828A0"/>
    <w:rsid w:val="00282C35"/>
    <w:rsid w:val="00282C36"/>
    <w:rsid w:val="00282D6E"/>
    <w:rsid w:val="00282FB9"/>
    <w:rsid w:val="00283004"/>
    <w:rsid w:val="002830C5"/>
    <w:rsid w:val="00283468"/>
    <w:rsid w:val="00283547"/>
    <w:rsid w:val="002835B8"/>
    <w:rsid w:val="0028369E"/>
    <w:rsid w:val="002839B9"/>
    <w:rsid w:val="002839E0"/>
    <w:rsid w:val="00283A08"/>
    <w:rsid w:val="00283A76"/>
    <w:rsid w:val="00283B6A"/>
    <w:rsid w:val="00283D2D"/>
    <w:rsid w:val="00283FB5"/>
    <w:rsid w:val="00284099"/>
    <w:rsid w:val="00284148"/>
    <w:rsid w:val="0028429C"/>
    <w:rsid w:val="002842A5"/>
    <w:rsid w:val="00284308"/>
    <w:rsid w:val="002844DA"/>
    <w:rsid w:val="00284561"/>
    <w:rsid w:val="00284572"/>
    <w:rsid w:val="00284921"/>
    <w:rsid w:val="00284AB2"/>
    <w:rsid w:val="00284B4D"/>
    <w:rsid w:val="00284E0B"/>
    <w:rsid w:val="00285287"/>
    <w:rsid w:val="002858A9"/>
    <w:rsid w:val="00285A0B"/>
    <w:rsid w:val="00285AE9"/>
    <w:rsid w:val="00285C72"/>
    <w:rsid w:val="00285D5F"/>
    <w:rsid w:val="0028623F"/>
    <w:rsid w:val="0028635D"/>
    <w:rsid w:val="002864E7"/>
    <w:rsid w:val="0028654B"/>
    <w:rsid w:val="00286879"/>
    <w:rsid w:val="0028697E"/>
    <w:rsid w:val="00286A45"/>
    <w:rsid w:val="00286B9A"/>
    <w:rsid w:val="00286C98"/>
    <w:rsid w:val="00286EEA"/>
    <w:rsid w:val="002870CC"/>
    <w:rsid w:val="0028718A"/>
    <w:rsid w:val="002871BF"/>
    <w:rsid w:val="002871C3"/>
    <w:rsid w:val="00287301"/>
    <w:rsid w:val="002874A5"/>
    <w:rsid w:val="00287516"/>
    <w:rsid w:val="002876FE"/>
    <w:rsid w:val="00287862"/>
    <w:rsid w:val="00287974"/>
    <w:rsid w:val="00287B67"/>
    <w:rsid w:val="00287B8C"/>
    <w:rsid w:val="00287DE6"/>
    <w:rsid w:val="00287EC8"/>
    <w:rsid w:val="00287F39"/>
    <w:rsid w:val="0028C16D"/>
    <w:rsid w:val="00290127"/>
    <w:rsid w:val="0029019B"/>
    <w:rsid w:val="0029055F"/>
    <w:rsid w:val="002906E4"/>
    <w:rsid w:val="002907F9"/>
    <w:rsid w:val="00290B3E"/>
    <w:rsid w:val="00290C75"/>
    <w:rsid w:val="00290E3E"/>
    <w:rsid w:val="0029167D"/>
    <w:rsid w:val="00291A48"/>
    <w:rsid w:val="00291B40"/>
    <w:rsid w:val="00291EE8"/>
    <w:rsid w:val="00291F7D"/>
    <w:rsid w:val="0029209B"/>
    <w:rsid w:val="0029236E"/>
    <w:rsid w:val="002923EB"/>
    <w:rsid w:val="002925C8"/>
    <w:rsid w:val="0029262A"/>
    <w:rsid w:val="00292793"/>
    <w:rsid w:val="00292842"/>
    <w:rsid w:val="00292881"/>
    <w:rsid w:val="002928F9"/>
    <w:rsid w:val="00292CC6"/>
    <w:rsid w:val="00292D7F"/>
    <w:rsid w:val="00292DE9"/>
    <w:rsid w:val="00292F28"/>
    <w:rsid w:val="0029307F"/>
    <w:rsid w:val="002930D1"/>
    <w:rsid w:val="00293170"/>
    <w:rsid w:val="0029322A"/>
    <w:rsid w:val="00293240"/>
    <w:rsid w:val="002932B8"/>
    <w:rsid w:val="002935A6"/>
    <w:rsid w:val="002936D4"/>
    <w:rsid w:val="002937FE"/>
    <w:rsid w:val="002939D3"/>
    <w:rsid w:val="00293AA3"/>
    <w:rsid w:val="00293B28"/>
    <w:rsid w:val="00293C3B"/>
    <w:rsid w:val="00293CD2"/>
    <w:rsid w:val="00293DC1"/>
    <w:rsid w:val="00293E13"/>
    <w:rsid w:val="00293EDA"/>
    <w:rsid w:val="00294083"/>
    <w:rsid w:val="0029456A"/>
    <w:rsid w:val="0029458C"/>
    <w:rsid w:val="002946A8"/>
    <w:rsid w:val="00294805"/>
    <w:rsid w:val="00294C33"/>
    <w:rsid w:val="00294EC5"/>
    <w:rsid w:val="002950BF"/>
    <w:rsid w:val="002950E2"/>
    <w:rsid w:val="00295136"/>
    <w:rsid w:val="0029531E"/>
    <w:rsid w:val="00295381"/>
    <w:rsid w:val="00295625"/>
    <w:rsid w:val="0029599A"/>
    <w:rsid w:val="00295C4E"/>
    <w:rsid w:val="00295C92"/>
    <w:rsid w:val="00295DBB"/>
    <w:rsid w:val="00295FC8"/>
    <w:rsid w:val="0029608B"/>
    <w:rsid w:val="00296359"/>
    <w:rsid w:val="00296419"/>
    <w:rsid w:val="00296476"/>
    <w:rsid w:val="002966AA"/>
    <w:rsid w:val="00296737"/>
    <w:rsid w:val="002967F8"/>
    <w:rsid w:val="002968F0"/>
    <w:rsid w:val="00296996"/>
    <w:rsid w:val="00296B61"/>
    <w:rsid w:val="00296B83"/>
    <w:rsid w:val="00296CB5"/>
    <w:rsid w:val="00296D6B"/>
    <w:rsid w:val="0029728B"/>
    <w:rsid w:val="00297357"/>
    <w:rsid w:val="002974CF"/>
    <w:rsid w:val="00297643"/>
    <w:rsid w:val="00297688"/>
    <w:rsid w:val="002976E0"/>
    <w:rsid w:val="00297DBC"/>
    <w:rsid w:val="00297E72"/>
    <w:rsid w:val="00297FB8"/>
    <w:rsid w:val="002A0084"/>
    <w:rsid w:val="002A020F"/>
    <w:rsid w:val="002A021F"/>
    <w:rsid w:val="002A03D4"/>
    <w:rsid w:val="002A05BE"/>
    <w:rsid w:val="002A0733"/>
    <w:rsid w:val="002A0740"/>
    <w:rsid w:val="002A07B8"/>
    <w:rsid w:val="002A087D"/>
    <w:rsid w:val="002A0A40"/>
    <w:rsid w:val="002A0A90"/>
    <w:rsid w:val="002A0AD2"/>
    <w:rsid w:val="002A0B76"/>
    <w:rsid w:val="002A0D99"/>
    <w:rsid w:val="002A0EF2"/>
    <w:rsid w:val="002A0EFF"/>
    <w:rsid w:val="002A102B"/>
    <w:rsid w:val="002A111A"/>
    <w:rsid w:val="002A1259"/>
    <w:rsid w:val="002A12AD"/>
    <w:rsid w:val="002A1433"/>
    <w:rsid w:val="002A14FB"/>
    <w:rsid w:val="002A16A7"/>
    <w:rsid w:val="002A1752"/>
    <w:rsid w:val="002A18E8"/>
    <w:rsid w:val="002A19B6"/>
    <w:rsid w:val="002A1C9C"/>
    <w:rsid w:val="002A1CE4"/>
    <w:rsid w:val="002A1DF3"/>
    <w:rsid w:val="002A1EDE"/>
    <w:rsid w:val="002A203E"/>
    <w:rsid w:val="002A213F"/>
    <w:rsid w:val="002A2298"/>
    <w:rsid w:val="002A2B56"/>
    <w:rsid w:val="002A2BB4"/>
    <w:rsid w:val="002A2F96"/>
    <w:rsid w:val="002A2FC6"/>
    <w:rsid w:val="002A2FCD"/>
    <w:rsid w:val="002A3058"/>
    <w:rsid w:val="002A3161"/>
    <w:rsid w:val="002A31E1"/>
    <w:rsid w:val="002A3212"/>
    <w:rsid w:val="002A3217"/>
    <w:rsid w:val="002A3278"/>
    <w:rsid w:val="002A3479"/>
    <w:rsid w:val="002A356D"/>
    <w:rsid w:val="002A35EE"/>
    <w:rsid w:val="002A3724"/>
    <w:rsid w:val="002A374B"/>
    <w:rsid w:val="002A375E"/>
    <w:rsid w:val="002A38D3"/>
    <w:rsid w:val="002A391D"/>
    <w:rsid w:val="002A3B60"/>
    <w:rsid w:val="002A3C70"/>
    <w:rsid w:val="002A3D06"/>
    <w:rsid w:val="002A3E2E"/>
    <w:rsid w:val="002A4207"/>
    <w:rsid w:val="002A4246"/>
    <w:rsid w:val="002A424D"/>
    <w:rsid w:val="002A42C3"/>
    <w:rsid w:val="002A431F"/>
    <w:rsid w:val="002A4374"/>
    <w:rsid w:val="002A4595"/>
    <w:rsid w:val="002A483A"/>
    <w:rsid w:val="002A4882"/>
    <w:rsid w:val="002A4B12"/>
    <w:rsid w:val="002A4BDA"/>
    <w:rsid w:val="002A4CC1"/>
    <w:rsid w:val="002A4D48"/>
    <w:rsid w:val="002A4E97"/>
    <w:rsid w:val="002A4F5F"/>
    <w:rsid w:val="002A5014"/>
    <w:rsid w:val="002A50C5"/>
    <w:rsid w:val="002A51A8"/>
    <w:rsid w:val="002A52EC"/>
    <w:rsid w:val="002A5406"/>
    <w:rsid w:val="002A56E5"/>
    <w:rsid w:val="002A5705"/>
    <w:rsid w:val="002A5755"/>
    <w:rsid w:val="002A5871"/>
    <w:rsid w:val="002A589F"/>
    <w:rsid w:val="002A58FD"/>
    <w:rsid w:val="002A5A38"/>
    <w:rsid w:val="002A5AA4"/>
    <w:rsid w:val="002A5BD7"/>
    <w:rsid w:val="002A5F96"/>
    <w:rsid w:val="002A6023"/>
    <w:rsid w:val="002A6176"/>
    <w:rsid w:val="002A62AC"/>
    <w:rsid w:val="002A62EA"/>
    <w:rsid w:val="002A637D"/>
    <w:rsid w:val="002A66AD"/>
    <w:rsid w:val="002A6728"/>
    <w:rsid w:val="002A680D"/>
    <w:rsid w:val="002A6887"/>
    <w:rsid w:val="002A6961"/>
    <w:rsid w:val="002A6C3A"/>
    <w:rsid w:val="002A6DFA"/>
    <w:rsid w:val="002A6E5D"/>
    <w:rsid w:val="002A7446"/>
    <w:rsid w:val="002A76F0"/>
    <w:rsid w:val="002A7783"/>
    <w:rsid w:val="002A782B"/>
    <w:rsid w:val="002A7A7F"/>
    <w:rsid w:val="002A7A87"/>
    <w:rsid w:val="002A7DCE"/>
    <w:rsid w:val="002A7EA0"/>
    <w:rsid w:val="002A7FBE"/>
    <w:rsid w:val="002B0159"/>
    <w:rsid w:val="002B0512"/>
    <w:rsid w:val="002B05D2"/>
    <w:rsid w:val="002B0709"/>
    <w:rsid w:val="002B0720"/>
    <w:rsid w:val="002B08B9"/>
    <w:rsid w:val="002B0C64"/>
    <w:rsid w:val="002B0C7B"/>
    <w:rsid w:val="002B12D0"/>
    <w:rsid w:val="002B12F9"/>
    <w:rsid w:val="002B14D3"/>
    <w:rsid w:val="002B1644"/>
    <w:rsid w:val="002B172C"/>
    <w:rsid w:val="002B1738"/>
    <w:rsid w:val="002B1760"/>
    <w:rsid w:val="002B1794"/>
    <w:rsid w:val="002B18A5"/>
    <w:rsid w:val="002B1902"/>
    <w:rsid w:val="002B19A6"/>
    <w:rsid w:val="002B1DFC"/>
    <w:rsid w:val="002B1E64"/>
    <w:rsid w:val="002B1F7C"/>
    <w:rsid w:val="002B1FC0"/>
    <w:rsid w:val="002B22FF"/>
    <w:rsid w:val="002B233F"/>
    <w:rsid w:val="002B23F2"/>
    <w:rsid w:val="002B23F5"/>
    <w:rsid w:val="002B26C2"/>
    <w:rsid w:val="002B2715"/>
    <w:rsid w:val="002B2717"/>
    <w:rsid w:val="002B2BF4"/>
    <w:rsid w:val="002B2C6A"/>
    <w:rsid w:val="002B2DE7"/>
    <w:rsid w:val="002B2E76"/>
    <w:rsid w:val="002B2F4C"/>
    <w:rsid w:val="002B2FF7"/>
    <w:rsid w:val="002B3036"/>
    <w:rsid w:val="002B315E"/>
    <w:rsid w:val="002B367B"/>
    <w:rsid w:val="002B36ED"/>
    <w:rsid w:val="002B3724"/>
    <w:rsid w:val="002B37FB"/>
    <w:rsid w:val="002B387F"/>
    <w:rsid w:val="002B394B"/>
    <w:rsid w:val="002B39BA"/>
    <w:rsid w:val="002B3E20"/>
    <w:rsid w:val="002B3E3C"/>
    <w:rsid w:val="002B3ECD"/>
    <w:rsid w:val="002B3F17"/>
    <w:rsid w:val="002B3FD7"/>
    <w:rsid w:val="002B4495"/>
    <w:rsid w:val="002B4497"/>
    <w:rsid w:val="002B44C3"/>
    <w:rsid w:val="002B46C9"/>
    <w:rsid w:val="002B47CF"/>
    <w:rsid w:val="002B495F"/>
    <w:rsid w:val="002B4A7E"/>
    <w:rsid w:val="002B4B13"/>
    <w:rsid w:val="002B4BEC"/>
    <w:rsid w:val="002B4CE1"/>
    <w:rsid w:val="002B4DFC"/>
    <w:rsid w:val="002B4F0C"/>
    <w:rsid w:val="002B4FF2"/>
    <w:rsid w:val="002B502D"/>
    <w:rsid w:val="002B5071"/>
    <w:rsid w:val="002B5236"/>
    <w:rsid w:val="002B5245"/>
    <w:rsid w:val="002B5376"/>
    <w:rsid w:val="002B546B"/>
    <w:rsid w:val="002B5679"/>
    <w:rsid w:val="002B5688"/>
    <w:rsid w:val="002B57BB"/>
    <w:rsid w:val="002B5930"/>
    <w:rsid w:val="002B5A62"/>
    <w:rsid w:val="002B5CA3"/>
    <w:rsid w:val="002B5CFB"/>
    <w:rsid w:val="002B5F2C"/>
    <w:rsid w:val="002B607E"/>
    <w:rsid w:val="002B62F7"/>
    <w:rsid w:val="002B651E"/>
    <w:rsid w:val="002B6609"/>
    <w:rsid w:val="002B66B6"/>
    <w:rsid w:val="002B66D9"/>
    <w:rsid w:val="002B66E5"/>
    <w:rsid w:val="002B6714"/>
    <w:rsid w:val="002B6AC5"/>
    <w:rsid w:val="002B6CA2"/>
    <w:rsid w:val="002B700F"/>
    <w:rsid w:val="002B7127"/>
    <w:rsid w:val="002B716E"/>
    <w:rsid w:val="002B7202"/>
    <w:rsid w:val="002B7216"/>
    <w:rsid w:val="002B7247"/>
    <w:rsid w:val="002B7297"/>
    <w:rsid w:val="002B786C"/>
    <w:rsid w:val="002B7905"/>
    <w:rsid w:val="002B7BFD"/>
    <w:rsid w:val="002B7D56"/>
    <w:rsid w:val="002B7F38"/>
    <w:rsid w:val="002B7F78"/>
    <w:rsid w:val="002B7F94"/>
    <w:rsid w:val="002C0334"/>
    <w:rsid w:val="002C06A0"/>
    <w:rsid w:val="002C08CC"/>
    <w:rsid w:val="002C0973"/>
    <w:rsid w:val="002C0AA9"/>
    <w:rsid w:val="002C0B1F"/>
    <w:rsid w:val="002C0F52"/>
    <w:rsid w:val="002C1309"/>
    <w:rsid w:val="002C1395"/>
    <w:rsid w:val="002C13B4"/>
    <w:rsid w:val="002C1565"/>
    <w:rsid w:val="002C15A3"/>
    <w:rsid w:val="002C178D"/>
    <w:rsid w:val="002C1813"/>
    <w:rsid w:val="002C1888"/>
    <w:rsid w:val="002C19D6"/>
    <w:rsid w:val="002C1BDD"/>
    <w:rsid w:val="002C1CDC"/>
    <w:rsid w:val="002C1E52"/>
    <w:rsid w:val="002C1EDA"/>
    <w:rsid w:val="002C1FEB"/>
    <w:rsid w:val="002C2085"/>
    <w:rsid w:val="002C236C"/>
    <w:rsid w:val="002C2450"/>
    <w:rsid w:val="002C249F"/>
    <w:rsid w:val="002C2501"/>
    <w:rsid w:val="002C2B12"/>
    <w:rsid w:val="002C2B86"/>
    <w:rsid w:val="002C2E58"/>
    <w:rsid w:val="002C2E96"/>
    <w:rsid w:val="002C2E9B"/>
    <w:rsid w:val="002C3060"/>
    <w:rsid w:val="002C335D"/>
    <w:rsid w:val="002C3556"/>
    <w:rsid w:val="002C3586"/>
    <w:rsid w:val="002C36E7"/>
    <w:rsid w:val="002C3732"/>
    <w:rsid w:val="002C382E"/>
    <w:rsid w:val="002C3A8A"/>
    <w:rsid w:val="002C3B28"/>
    <w:rsid w:val="002C3B82"/>
    <w:rsid w:val="002C3D2D"/>
    <w:rsid w:val="002C3D30"/>
    <w:rsid w:val="002C3EEE"/>
    <w:rsid w:val="002C4078"/>
    <w:rsid w:val="002C40C9"/>
    <w:rsid w:val="002C423B"/>
    <w:rsid w:val="002C43AE"/>
    <w:rsid w:val="002C45F5"/>
    <w:rsid w:val="002C484E"/>
    <w:rsid w:val="002C48BB"/>
    <w:rsid w:val="002C4908"/>
    <w:rsid w:val="002C49A8"/>
    <w:rsid w:val="002C4B10"/>
    <w:rsid w:val="002C4B5C"/>
    <w:rsid w:val="002C4C32"/>
    <w:rsid w:val="002C4DAD"/>
    <w:rsid w:val="002C4E90"/>
    <w:rsid w:val="002C4FF0"/>
    <w:rsid w:val="002C5464"/>
    <w:rsid w:val="002C5497"/>
    <w:rsid w:val="002C5577"/>
    <w:rsid w:val="002C5608"/>
    <w:rsid w:val="002C574F"/>
    <w:rsid w:val="002C599D"/>
    <w:rsid w:val="002C5C00"/>
    <w:rsid w:val="002C5C76"/>
    <w:rsid w:val="002C5C98"/>
    <w:rsid w:val="002C5CD2"/>
    <w:rsid w:val="002C5D2A"/>
    <w:rsid w:val="002C5D8D"/>
    <w:rsid w:val="002C5E7A"/>
    <w:rsid w:val="002C5EEC"/>
    <w:rsid w:val="002C5EF4"/>
    <w:rsid w:val="002C6129"/>
    <w:rsid w:val="002C63EF"/>
    <w:rsid w:val="002C65B9"/>
    <w:rsid w:val="002C670C"/>
    <w:rsid w:val="002C67AF"/>
    <w:rsid w:val="002C6A6B"/>
    <w:rsid w:val="002C6B58"/>
    <w:rsid w:val="002C6ED1"/>
    <w:rsid w:val="002C6F32"/>
    <w:rsid w:val="002C71B5"/>
    <w:rsid w:val="002C7344"/>
    <w:rsid w:val="002C7367"/>
    <w:rsid w:val="002C7399"/>
    <w:rsid w:val="002C750A"/>
    <w:rsid w:val="002C75A9"/>
    <w:rsid w:val="002C760B"/>
    <w:rsid w:val="002C763F"/>
    <w:rsid w:val="002C7937"/>
    <w:rsid w:val="002C7C8F"/>
    <w:rsid w:val="002C7CDB"/>
    <w:rsid w:val="002C7DDB"/>
    <w:rsid w:val="002C7F9A"/>
    <w:rsid w:val="002D012F"/>
    <w:rsid w:val="002D016B"/>
    <w:rsid w:val="002D02DC"/>
    <w:rsid w:val="002D03B8"/>
    <w:rsid w:val="002D0608"/>
    <w:rsid w:val="002D0669"/>
    <w:rsid w:val="002D0BFE"/>
    <w:rsid w:val="002D0C15"/>
    <w:rsid w:val="002D0C2A"/>
    <w:rsid w:val="002D0C55"/>
    <w:rsid w:val="002D0DEF"/>
    <w:rsid w:val="002D1179"/>
    <w:rsid w:val="002D13B8"/>
    <w:rsid w:val="002D13D5"/>
    <w:rsid w:val="002D141F"/>
    <w:rsid w:val="002D212A"/>
    <w:rsid w:val="002D2339"/>
    <w:rsid w:val="002D2421"/>
    <w:rsid w:val="002D253C"/>
    <w:rsid w:val="002D258C"/>
    <w:rsid w:val="002D2603"/>
    <w:rsid w:val="002D2629"/>
    <w:rsid w:val="002D26C3"/>
    <w:rsid w:val="002D28BA"/>
    <w:rsid w:val="002D2CAD"/>
    <w:rsid w:val="002D2FA5"/>
    <w:rsid w:val="002D3080"/>
    <w:rsid w:val="002D30B2"/>
    <w:rsid w:val="002D3294"/>
    <w:rsid w:val="002D32C6"/>
    <w:rsid w:val="002D386E"/>
    <w:rsid w:val="002D38AA"/>
    <w:rsid w:val="002D3978"/>
    <w:rsid w:val="002D39C8"/>
    <w:rsid w:val="002D3C8B"/>
    <w:rsid w:val="002D3C8F"/>
    <w:rsid w:val="002D3EA9"/>
    <w:rsid w:val="002D3F0D"/>
    <w:rsid w:val="002D406C"/>
    <w:rsid w:val="002D44CA"/>
    <w:rsid w:val="002D4815"/>
    <w:rsid w:val="002D4988"/>
    <w:rsid w:val="002D4A41"/>
    <w:rsid w:val="002D4C16"/>
    <w:rsid w:val="002D4C2E"/>
    <w:rsid w:val="002D4C58"/>
    <w:rsid w:val="002D4F13"/>
    <w:rsid w:val="002D4F24"/>
    <w:rsid w:val="002D4FA7"/>
    <w:rsid w:val="002D512A"/>
    <w:rsid w:val="002D513B"/>
    <w:rsid w:val="002D52E0"/>
    <w:rsid w:val="002D5475"/>
    <w:rsid w:val="002D56A8"/>
    <w:rsid w:val="002D5CF0"/>
    <w:rsid w:val="002D5D8E"/>
    <w:rsid w:val="002D5F04"/>
    <w:rsid w:val="002D5FF8"/>
    <w:rsid w:val="002D60A7"/>
    <w:rsid w:val="002D61C0"/>
    <w:rsid w:val="002D62B4"/>
    <w:rsid w:val="002D642C"/>
    <w:rsid w:val="002D650E"/>
    <w:rsid w:val="002D653F"/>
    <w:rsid w:val="002D6705"/>
    <w:rsid w:val="002D6A5A"/>
    <w:rsid w:val="002D6C0C"/>
    <w:rsid w:val="002D6D57"/>
    <w:rsid w:val="002D6DE9"/>
    <w:rsid w:val="002D7052"/>
    <w:rsid w:val="002D728A"/>
    <w:rsid w:val="002D7326"/>
    <w:rsid w:val="002D7648"/>
    <w:rsid w:val="002D78DC"/>
    <w:rsid w:val="002D78DE"/>
    <w:rsid w:val="002D7A3B"/>
    <w:rsid w:val="002D7B0C"/>
    <w:rsid w:val="002D7BAB"/>
    <w:rsid w:val="002D7BEB"/>
    <w:rsid w:val="002D7EB7"/>
    <w:rsid w:val="002D7F65"/>
    <w:rsid w:val="002D7FD6"/>
    <w:rsid w:val="002E0033"/>
    <w:rsid w:val="002E00A1"/>
    <w:rsid w:val="002E00AF"/>
    <w:rsid w:val="002E0108"/>
    <w:rsid w:val="002E013A"/>
    <w:rsid w:val="002E0140"/>
    <w:rsid w:val="002E036B"/>
    <w:rsid w:val="002E03E2"/>
    <w:rsid w:val="002E0473"/>
    <w:rsid w:val="002E047C"/>
    <w:rsid w:val="002E04BF"/>
    <w:rsid w:val="002E068E"/>
    <w:rsid w:val="002E07E0"/>
    <w:rsid w:val="002E09C9"/>
    <w:rsid w:val="002E0E2B"/>
    <w:rsid w:val="002E0EF4"/>
    <w:rsid w:val="002E0F11"/>
    <w:rsid w:val="002E0FCF"/>
    <w:rsid w:val="002E10E1"/>
    <w:rsid w:val="002E113C"/>
    <w:rsid w:val="002E1280"/>
    <w:rsid w:val="002E12BA"/>
    <w:rsid w:val="002E13AD"/>
    <w:rsid w:val="002E13F1"/>
    <w:rsid w:val="002E14F1"/>
    <w:rsid w:val="002E197D"/>
    <w:rsid w:val="002E1C31"/>
    <w:rsid w:val="002E1CC4"/>
    <w:rsid w:val="002E1DF4"/>
    <w:rsid w:val="002E1EDD"/>
    <w:rsid w:val="002E1EEC"/>
    <w:rsid w:val="002E1FBE"/>
    <w:rsid w:val="002E21AC"/>
    <w:rsid w:val="002E2342"/>
    <w:rsid w:val="002E23D3"/>
    <w:rsid w:val="002E24C5"/>
    <w:rsid w:val="002E2517"/>
    <w:rsid w:val="002E2677"/>
    <w:rsid w:val="002E28C3"/>
    <w:rsid w:val="002E2988"/>
    <w:rsid w:val="002E2ADB"/>
    <w:rsid w:val="002E2C0F"/>
    <w:rsid w:val="002E2CAC"/>
    <w:rsid w:val="002E2CDA"/>
    <w:rsid w:val="002E2D85"/>
    <w:rsid w:val="002E2EAA"/>
    <w:rsid w:val="002E302E"/>
    <w:rsid w:val="002E321E"/>
    <w:rsid w:val="002E35B5"/>
    <w:rsid w:val="002E36E7"/>
    <w:rsid w:val="002E373D"/>
    <w:rsid w:val="002E3794"/>
    <w:rsid w:val="002E3810"/>
    <w:rsid w:val="002E3837"/>
    <w:rsid w:val="002E3ACF"/>
    <w:rsid w:val="002E3B79"/>
    <w:rsid w:val="002E3C65"/>
    <w:rsid w:val="002E3D94"/>
    <w:rsid w:val="002E3EC8"/>
    <w:rsid w:val="002E3F8F"/>
    <w:rsid w:val="002E3FAF"/>
    <w:rsid w:val="002E4350"/>
    <w:rsid w:val="002E441C"/>
    <w:rsid w:val="002E446E"/>
    <w:rsid w:val="002E4BFF"/>
    <w:rsid w:val="002E4D19"/>
    <w:rsid w:val="002E50DF"/>
    <w:rsid w:val="002E51AC"/>
    <w:rsid w:val="002E51CE"/>
    <w:rsid w:val="002E52A9"/>
    <w:rsid w:val="002E5435"/>
    <w:rsid w:val="002E5608"/>
    <w:rsid w:val="002E57BF"/>
    <w:rsid w:val="002E5940"/>
    <w:rsid w:val="002E5AEE"/>
    <w:rsid w:val="002E5B03"/>
    <w:rsid w:val="002E5CA0"/>
    <w:rsid w:val="002E5DAB"/>
    <w:rsid w:val="002E5EDF"/>
    <w:rsid w:val="002E6122"/>
    <w:rsid w:val="002E6277"/>
    <w:rsid w:val="002E6322"/>
    <w:rsid w:val="002E656C"/>
    <w:rsid w:val="002E67A6"/>
    <w:rsid w:val="002E6870"/>
    <w:rsid w:val="002E6883"/>
    <w:rsid w:val="002E691D"/>
    <w:rsid w:val="002E69F5"/>
    <w:rsid w:val="002E6AE7"/>
    <w:rsid w:val="002E6BF7"/>
    <w:rsid w:val="002E6D27"/>
    <w:rsid w:val="002E6D85"/>
    <w:rsid w:val="002E6DE1"/>
    <w:rsid w:val="002E6F8D"/>
    <w:rsid w:val="002E6F9B"/>
    <w:rsid w:val="002E7134"/>
    <w:rsid w:val="002E718B"/>
    <w:rsid w:val="002E7214"/>
    <w:rsid w:val="002E7294"/>
    <w:rsid w:val="002E72F6"/>
    <w:rsid w:val="002E756E"/>
    <w:rsid w:val="002E75FF"/>
    <w:rsid w:val="002E779D"/>
    <w:rsid w:val="002E77A4"/>
    <w:rsid w:val="002E784E"/>
    <w:rsid w:val="002E785C"/>
    <w:rsid w:val="002E7983"/>
    <w:rsid w:val="002E7A77"/>
    <w:rsid w:val="002E7A9F"/>
    <w:rsid w:val="002E7B46"/>
    <w:rsid w:val="002E7E3A"/>
    <w:rsid w:val="002F0069"/>
    <w:rsid w:val="002F0079"/>
    <w:rsid w:val="002F0188"/>
    <w:rsid w:val="002F03B9"/>
    <w:rsid w:val="002F0537"/>
    <w:rsid w:val="002F05CC"/>
    <w:rsid w:val="002F06DD"/>
    <w:rsid w:val="002F08A7"/>
    <w:rsid w:val="002F0E30"/>
    <w:rsid w:val="002F0EAF"/>
    <w:rsid w:val="002F0EC5"/>
    <w:rsid w:val="002F10AE"/>
    <w:rsid w:val="002F10EA"/>
    <w:rsid w:val="002F11B1"/>
    <w:rsid w:val="002F1208"/>
    <w:rsid w:val="002F156B"/>
    <w:rsid w:val="002F1AA6"/>
    <w:rsid w:val="002F1FAE"/>
    <w:rsid w:val="002F2642"/>
    <w:rsid w:val="002F27F1"/>
    <w:rsid w:val="002F2DCD"/>
    <w:rsid w:val="002F2E47"/>
    <w:rsid w:val="002F2E65"/>
    <w:rsid w:val="002F2FCB"/>
    <w:rsid w:val="002F3058"/>
    <w:rsid w:val="002F343C"/>
    <w:rsid w:val="002F360B"/>
    <w:rsid w:val="002F371B"/>
    <w:rsid w:val="002F38F5"/>
    <w:rsid w:val="002F3A88"/>
    <w:rsid w:val="002F3C26"/>
    <w:rsid w:val="002F3C71"/>
    <w:rsid w:val="002F3C9D"/>
    <w:rsid w:val="002F3D1C"/>
    <w:rsid w:val="002F3E06"/>
    <w:rsid w:val="002F3F8A"/>
    <w:rsid w:val="002F3F9F"/>
    <w:rsid w:val="002F3FD1"/>
    <w:rsid w:val="002F406F"/>
    <w:rsid w:val="002F40D0"/>
    <w:rsid w:val="002F4305"/>
    <w:rsid w:val="002F444D"/>
    <w:rsid w:val="002F449A"/>
    <w:rsid w:val="002F46DF"/>
    <w:rsid w:val="002F470F"/>
    <w:rsid w:val="002F4A66"/>
    <w:rsid w:val="002F4E5D"/>
    <w:rsid w:val="002F4EC0"/>
    <w:rsid w:val="002F542C"/>
    <w:rsid w:val="002F5499"/>
    <w:rsid w:val="002F551E"/>
    <w:rsid w:val="002F5C50"/>
    <w:rsid w:val="002F5F1F"/>
    <w:rsid w:val="002F5F51"/>
    <w:rsid w:val="002F5F97"/>
    <w:rsid w:val="002F600D"/>
    <w:rsid w:val="002F618F"/>
    <w:rsid w:val="002F65EA"/>
    <w:rsid w:val="002F68D3"/>
    <w:rsid w:val="002F68FD"/>
    <w:rsid w:val="002F69ED"/>
    <w:rsid w:val="002F6A71"/>
    <w:rsid w:val="002F6B33"/>
    <w:rsid w:val="002F6CB4"/>
    <w:rsid w:val="002F6F62"/>
    <w:rsid w:val="002F6F65"/>
    <w:rsid w:val="002F6FCF"/>
    <w:rsid w:val="002F6FE8"/>
    <w:rsid w:val="002F7057"/>
    <w:rsid w:val="002F72AB"/>
    <w:rsid w:val="002F7632"/>
    <w:rsid w:val="002F76DA"/>
    <w:rsid w:val="002F770E"/>
    <w:rsid w:val="002F7748"/>
    <w:rsid w:val="002F78F6"/>
    <w:rsid w:val="002F7A7E"/>
    <w:rsid w:val="002F7C80"/>
    <w:rsid w:val="002F7CFE"/>
    <w:rsid w:val="002F7D26"/>
    <w:rsid w:val="002F7EE2"/>
    <w:rsid w:val="002F7FE7"/>
    <w:rsid w:val="003001C8"/>
    <w:rsid w:val="003004C4"/>
    <w:rsid w:val="00300548"/>
    <w:rsid w:val="003005A0"/>
    <w:rsid w:val="003005D2"/>
    <w:rsid w:val="0030066C"/>
    <w:rsid w:val="003006CA"/>
    <w:rsid w:val="00300E23"/>
    <w:rsid w:val="00300E28"/>
    <w:rsid w:val="00301018"/>
    <w:rsid w:val="00301051"/>
    <w:rsid w:val="00301294"/>
    <w:rsid w:val="00301308"/>
    <w:rsid w:val="0030131D"/>
    <w:rsid w:val="0030143B"/>
    <w:rsid w:val="003014A1"/>
    <w:rsid w:val="0030179F"/>
    <w:rsid w:val="003017C8"/>
    <w:rsid w:val="003018BC"/>
    <w:rsid w:val="003018CD"/>
    <w:rsid w:val="0030191F"/>
    <w:rsid w:val="00301D40"/>
    <w:rsid w:val="00301D74"/>
    <w:rsid w:val="00301E5D"/>
    <w:rsid w:val="00301FDE"/>
    <w:rsid w:val="00302036"/>
    <w:rsid w:val="003021CA"/>
    <w:rsid w:val="003021D6"/>
    <w:rsid w:val="00302298"/>
    <w:rsid w:val="00302435"/>
    <w:rsid w:val="00302461"/>
    <w:rsid w:val="00302542"/>
    <w:rsid w:val="00302709"/>
    <w:rsid w:val="00302755"/>
    <w:rsid w:val="003028EB"/>
    <w:rsid w:val="0030293F"/>
    <w:rsid w:val="00302E1D"/>
    <w:rsid w:val="00302F97"/>
    <w:rsid w:val="00303046"/>
    <w:rsid w:val="0030318C"/>
    <w:rsid w:val="00303640"/>
    <w:rsid w:val="003036B9"/>
    <w:rsid w:val="00303C09"/>
    <w:rsid w:val="00303C7C"/>
    <w:rsid w:val="00303CAE"/>
    <w:rsid w:val="00303EE0"/>
    <w:rsid w:val="00303F67"/>
    <w:rsid w:val="0030400A"/>
    <w:rsid w:val="00304093"/>
    <w:rsid w:val="003040B2"/>
    <w:rsid w:val="0030426E"/>
    <w:rsid w:val="0030457C"/>
    <w:rsid w:val="00304686"/>
    <w:rsid w:val="003046F1"/>
    <w:rsid w:val="00304900"/>
    <w:rsid w:val="00304A1D"/>
    <w:rsid w:val="00304AAE"/>
    <w:rsid w:val="00304F58"/>
    <w:rsid w:val="00304F5A"/>
    <w:rsid w:val="00304FD1"/>
    <w:rsid w:val="00305069"/>
    <w:rsid w:val="00305132"/>
    <w:rsid w:val="003052AF"/>
    <w:rsid w:val="003052F5"/>
    <w:rsid w:val="003053C0"/>
    <w:rsid w:val="0030541E"/>
    <w:rsid w:val="0030550B"/>
    <w:rsid w:val="00305987"/>
    <w:rsid w:val="003059C7"/>
    <w:rsid w:val="00305AE5"/>
    <w:rsid w:val="00305C1B"/>
    <w:rsid w:val="00305CDC"/>
    <w:rsid w:val="00305FBE"/>
    <w:rsid w:val="00306029"/>
    <w:rsid w:val="00306041"/>
    <w:rsid w:val="003061D6"/>
    <w:rsid w:val="003062A1"/>
    <w:rsid w:val="003063FA"/>
    <w:rsid w:val="003064D8"/>
    <w:rsid w:val="00306542"/>
    <w:rsid w:val="003065A5"/>
    <w:rsid w:val="0030684D"/>
    <w:rsid w:val="0030688B"/>
    <w:rsid w:val="00306A61"/>
    <w:rsid w:val="00306B87"/>
    <w:rsid w:val="00306C8F"/>
    <w:rsid w:val="00306F99"/>
    <w:rsid w:val="00306FA4"/>
    <w:rsid w:val="00307023"/>
    <w:rsid w:val="003074EF"/>
    <w:rsid w:val="00307551"/>
    <w:rsid w:val="003076E3"/>
    <w:rsid w:val="00307911"/>
    <w:rsid w:val="00307DDD"/>
    <w:rsid w:val="00307E70"/>
    <w:rsid w:val="003100CA"/>
    <w:rsid w:val="0031039F"/>
    <w:rsid w:val="003103B4"/>
    <w:rsid w:val="003106C8"/>
    <w:rsid w:val="003109C9"/>
    <w:rsid w:val="00310BCA"/>
    <w:rsid w:val="00310DBA"/>
    <w:rsid w:val="00310EC7"/>
    <w:rsid w:val="00310F35"/>
    <w:rsid w:val="00310F39"/>
    <w:rsid w:val="0031102E"/>
    <w:rsid w:val="00311039"/>
    <w:rsid w:val="0031128A"/>
    <w:rsid w:val="0031163E"/>
    <w:rsid w:val="003117A2"/>
    <w:rsid w:val="003118F1"/>
    <w:rsid w:val="00311D67"/>
    <w:rsid w:val="00311F2C"/>
    <w:rsid w:val="00311F9F"/>
    <w:rsid w:val="00311FCC"/>
    <w:rsid w:val="00312024"/>
    <w:rsid w:val="00312330"/>
    <w:rsid w:val="003124AD"/>
    <w:rsid w:val="003124BB"/>
    <w:rsid w:val="0031259F"/>
    <w:rsid w:val="00312692"/>
    <w:rsid w:val="0031280D"/>
    <w:rsid w:val="00312A70"/>
    <w:rsid w:val="00312C24"/>
    <w:rsid w:val="00312C6B"/>
    <w:rsid w:val="00312F74"/>
    <w:rsid w:val="00312FE1"/>
    <w:rsid w:val="003130AD"/>
    <w:rsid w:val="003130C5"/>
    <w:rsid w:val="0031315D"/>
    <w:rsid w:val="00313257"/>
    <w:rsid w:val="003133B3"/>
    <w:rsid w:val="003135B0"/>
    <w:rsid w:val="003135ED"/>
    <w:rsid w:val="00313989"/>
    <w:rsid w:val="00313B30"/>
    <w:rsid w:val="00313B9D"/>
    <w:rsid w:val="00313DE1"/>
    <w:rsid w:val="00314140"/>
    <w:rsid w:val="003142A0"/>
    <w:rsid w:val="00314666"/>
    <w:rsid w:val="003147B4"/>
    <w:rsid w:val="0031489E"/>
    <w:rsid w:val="003149CE"/>
    <w:rsid w:val="003149D9"/>
    <w:rsid w:val="00314A14"/>
    <w:rsid w:val="00314C87"/>
    <w:rsid w:val="00314CA1"/>
    <w:rsid w:val="00314CDC"/>
    <w:rsid w:val="00314D68"/>
    <w:rsid w:val="003151EC"/>
    <w:rsid w:val="0031536E"/>
    <w:rsid w:val="00315490"/>
    <w:rsid w:val="0031556F"/>
    <w:rsid w:val="0031562F"/>
    <w:rsid w:val="00315642"/>
    <w:rsid w:val="003156A4"/>
    <w:rsid w:val="00315728"/>
    <w:rsid w:val="00315734"/>
    <w:rsid w:val="00315A09"/>
    <w:rsid w:val="00315C3E"/>
    <w:rsid w:val="00315CCB"/>
    <w:rsid w:val="00315CD1"/>
    <w:rsid w:val="00315FAD"/>
    <w:rsid w:val="0031648D"/>
    <w:rsid w:val="00316492"/>
    <w:rsid w:val="003164CF"/>
    <w:rsid w:val="0031651D"/>
    <w:rsid w:val="00316649"/>
    <w:rsid w:val="00316659"/>
    <w:rsid w:val="00316674"/>
    <w:rsid w:val="00316686"/>
    <w:rsid w:val="00316716"/>
    <w:rsid w:val="003168BE"/>
    <w:rsid w:val="003169E3"/>
    <w:rsid w:val="003169E8"/>
    <w:rsid w:val="003169ED"/>
    <w:rsid w:val="00316A32"/>
    <w:rsid w:val="00316A73"/>
    <w:rsid w:val="00316C7D"/>
    <w:rsid w:val="00316C99"/>
    <w:rsid w:val="00316DD4"/>
    <w:rsid w:val="00316FB5"/>
    <w:rsid w:val="00317135"/>
    <w:rsid w:val="00317B92"/>
    <w:rsid w:val="0032001F"/>
    <w:rsid w:val="003201C3"/>
    <w:rsid w:val="00320568"/>
    <w:rsid w:val="003205C5"/>
    <w:rsid w:val="003205CB"/>
    <w:rsid w:val="0032078D"/>
    <w:rsid w:val="00320874"/>
    <w:rsid w:val="00320A0A"/>
    <w:rsid w:val="00320B01"/>
    <w:rsid w:val="00320BB1"/>
    <w:rsid w:val="00320C06"/>
    <w:rsid w:val="00320C2E"/>
    <w:rsid w:val="00320F61"/>
    <w:rsid w:val="00321020"/>
    <w:rsid w:val="0032120A"/>
    <w:rsid w:val="003212F9"/>
    <w:rsid w:val="00321339"/>
    <w:rsid w:val="003213F8"/>
    <w:rsid w:val="0032159B"/>
    <w:rsid w:val="003215CE"/>
    <w:rsid w:val="003217FD"/>
    <w:rsid w:val="00321A03"/>
    <w:rsid w:val="00321A3C"/>
    <w:rsid w:val="00321B68"/>
    <w:rsid w:val="00321BBC"/>
    <w:rsid w:val="00321C1D"/>
    <w:rsid w:val="00321E1D"/>
    <w:rsid w:val="00321FC1"/>
    <w:rsid w:val="00321FE7"/>
    <w:rsid w:val="00322077"/>
    <w:rsid w:val="003221F6"/>
    <w:rsid w:val="00322279"/>
    <w:rsid w:val="00322493"/>
    <w:rsid w:val="003224A5"/>
    <w:rsid w:val="003226BE"/>
    <w:rsid w:val="00322797"/>
    <w:rsid w:val="00322A74"/>
    <w:rsid w:val="00322BEB"/>
    <w:rsid w:val="00322CE9"/>
    <w:rsid w:val="00322D3A"/>
    <w:rsid w:val="00322D51"/>
    <w:rsid w:val="00322ED3"/>
    <w:rsid w:val="00322F2E"/>
    <w:rsid w:val="003230B6"/>
    <w:rsid w:val="003232AC"/>
    <w:rsid w:val="0032337D"/>
    <w:rsid w:val="00323495"/>
    <w:rsid w:val="00323678"/>
    <w:rsid w:val="003237AF"/>
    <w:rsid w:val="00323B58"/>
    <w:rsid w:val="00323CD0"/>
    <w:rsid w:val="00323F9B"/>
    <w:rsid w:val="00323FD0"/>
    <w:rsid w:val="003240E7"/>
    <w:rsid w:val="0032445E"/>
    <w:rsid w:val="00324753"/>
    <w:rsid w:val="0032489A"/>
    <w:rsid w:val="003248FD"/>
    <w:rsid w:val="003249BB"/>
    <w:rsid w:val="00324BCB"/>
    <w:rsid w:val="00324C73"/>
    <w:rsid w:val="00324E10"/>
    <w:rsid w:val="00324E64"/>
    <w:rsid w:val="00324F4B"/>
    <w:rsid w:val="00325067"/>
    <w:rsid w:val="003252A9"/>
    <w:rsid w:val="003252FD"/>
    <w:rsid w:val="00325415"/>
    <w:rsid w:val="00325572"/>
    <w:rsid w:val="00325853"/>
    <w:rsid w:val="00325867"/>
    <w:rsid w:val="003258C8"/>
    <w:rsid w:val="003258E7"/>
    <w:rsid w:val="00325C69"/>
    <w:rsid w:val="00325CD4"/>
    <w:rsid w:val="00325DCE"/>
    <w:rsid w:val="00325DEB"/>
    <w:rsid w:val="00325EFB"/>
    <w:rsid w:val="003260C9"/>
    <w:rsid w:val="00326191"/>
    <w:rsid w:val="003262AD"/>
    <w:rsid w:val="003263D6"/>
    <w:rsid w:val="003263DC"/>
    <w:rsid w:val="003266CE"/>
    <w:rsid w:val="00326AAE"/>
    <w:rsid w:val="00326ACF"/>
    <w:rsid w:val="00326B63"/>
    <w:rsid w:val="00326D5A"/>
    <w:rsid w:val="00326D75"/>
    <w:rsid w:val="00326F63"/>
    <w:rsid w:val="00326FFE"/>
    <w:rsid w:val="00327156"/>
    <w:rsid w:val="00327309"/>
    <w:rsid w:val="00327382"/>
    <w:rsid w:val="00327449"/>
    <w:rsid w:val="00327668"/>
    <w:rsid w:val="003276A3"/>
    <w:rsid w:val="00327728"/>
    <w:rsid w:val="0032781C"/>
    <w:rsid w:val="0032784B"/>
    <w:rsid w:val="00327933"/>
    <w:rsid w:val="00327A54"/>
    <w:rsid w:val="00327A8D"/>
    <w:rsid w:val="00327C6E"/>
    <w:rsid w:val="00327D12"/>
    <w:rsid w:val="00327D5F"/>
    <w:rsid w:val="00327E1E"/>
    <w:rsid w:val="00327EBD"/>
    <w:rsid w:val="00327F90"/>
    <w:rsid w:val="00327FE9"/>
    <w:rsid w:val="003303CB"/>
    <w:rsid w:val="0033041E"/>
    <w:rsid w:val="00330449"/>
    <w:rsid w:val="003306B8"/>
    <w:rsid w:val="00330978"/>
    <w:rsid w:val="00330AC2"/>
    <w:rsid w:val="00330D8C"/>
    <w:rsid w:val="00330E26"/>
    <w:rsid w:val="00330E56"/>
    <w:rsid w:val="00330F64"/>
    <w:rsid w:val="003313D2"/>
    <w:rsid w:val="00331437"/>
    <w:rsid w:val="0033150C"/>
    <w:rsid w:val="003316B0"/>
    <w:rsid w:val="00331920"/>
    <w:rsid w:val="00331980"/>
    <w:rsid w:val="00331A3C"/>
    <w:rsid w:val="00331EC7"/>
    <w:rsid w:val="00331F87"/>
    <w:rsid w:val="0033205D"/>
    <w:rsid w:val="00332264"/>
    <w:rsid w:val="003323B2"/>
    <w:rsid w:val="0033270F"/>
    <w:rsid w:val="00332968"/>
    <w:rsid w:val="00332CFC"/>
    <w:rsid w:val="00333387"/>
    <w:rsid w:val="003333A3"/>
    <w:rsid w:val="003333B6"/>
    <w:rsid w:val="00333447"/>
    <w:rsid w:val="00333813"/>
    <w:rsid w:val="0033397D"/>
    <w:rsid w:val="00333B70"/>
    <w:rsid w:val="00334206"/>
    <w:rsid w:val="003344EA"/>
    <w:rsid w:val="003345A9"/>
    <w:rsid w:val="003345C8"/>
    <w:rsid w:val="00334663"/>
    <w:rsid w:val="00334889"/>
    <w:rsid w:val="003349C7"/>
    <w:rsid w:val="003349CA"/>
    <w:rsid w:val="00334B34"/>
    <w:rsid w:val="00334B8F"/>
    <w:rsid w:val="00334BD7"/>
    <w:rsid w:val="00334CD6"/>
    <w:rsid w:val="00334CDD"/>
    <w:rsid w:val="00334F19"/>
    <w:rsid w:val="0033505A"/>
    <w:rsid w:val="003350D7"/>
    <w:rsid w:val="003351C9"/>
    <w:rsid w:val="003352F5"/>
    <w:rsid w:val="0033535A"/>
    <w:rsid w:val="00335784"/>
    <w:rsid w:val="003359E3"/>
    <w:rsid w:val="00335AE5"/>
    <w:rsid w:val="00335AF1"/>
    <w:rsid w:val="00335C12"/>
    <w:rsid w:val="00335C1E"/>
    <w:rsid w:val="00336239"/>
    <w:rsid w:val="00336510"/>
    <w:rsid w:val="00336558"/>
    <w:rsid w:val="00336579"/>
    <w:rsid w:val="00336587"/>
    <w:rsid w:val="003368A5"/>
    <w:rsid w:val="003369C8"/>
    <w:rsid w:val="00336AA9"/>
    <w:rsid w:val="00336B48"/>
    <w:rsid w:val="0033719D"/>
    <w:rsid w:val="00337413"/>
    <w:rsid w:val="00337888"/>
    <w:rsid w:val="00337AC5"/>
    <w:rsid w:val="00337BB1"/>
    <w:rsid w:val="00337BC2"/>
    <w:rsid w:val="00337C0E"/>
    <w:rsid w:val="00337C3F"/>
    <w:rsid w:val="00337DD8"/>
    <w:rsid w:val="00337E93"/>
    <w:rsid w:val="00340046"/>
    <w:rsid w:val="00340273"/>
    <w:rsid w:val="003402C4"/>
    <w:rsid w:val="00340305"/>
    <w:rsid w:val="00340398"/>
    <w:rsid w:val="0034043C"/>
    <w:rsid w:val="003404F1"/>
    <w:rsid w:val="00340561"/>
    <w:rsid w:val="003405C1"/>
    <w:rsid w:val="003405C6"/>
    <w:rsid w:val="0034078D"/>
    <w:rsid w:val="003408B5"/>
    <w:rsid w:val="0034094E"/>
    <w:rsid w:val="003409EB"/>
    <w:rsid w:val="003409F5"/>
    <w:rsid w:val="00340CDF"/>
    <w:rsid w:val="00340CF6"/>
    <w:rsid w:val="00340E51"/>
    <w:rsid w:val="00340F05"/>
    <w:rsid w:val="0034105C"/>
    <w:rsid w:val="00341404"/>
    <w:rsid w:val="00341467"/>
    <w:rsid w:val="00341690"/>
    <w:rsid w:val="0034179E"/>
    <w:rsid w:val="0034185F"/>
    <w:rsid w:val="00341883"/>
    <w:rsid w:val="00341986"/>
    <w:rsid w:val="00341BAC"/>
    <w:rsid w:val="00341C30"/>
    <w:rsid w:val="00341C93"/>
    <w:rsid w:val="0034200E"/>
    <w:rsid w:val="00342034"/>
    <w:rsid w:val="0034203F"/>
    <w:rsid w:val="0034240A"/>
    <w:rsid w:val="00342A43"/>
    <w:rsid w:val="00342C26"/>
    <w:rsid w:val="00342CB3"/>
    <w:rsid w:val="00342DCB"/>
    <w:rsid w:val="00343054"/>
    <w:rsid w:val="00343213"/>
    <w:rsid w:val="00343262"/>
    <w:rsid w:val="003432D5"/>
    <w:rsid w:val="00343378"/>
    <w:rsid w:val="00343664"/>
    <w:rsid w:val="003438B3"/>
    <w:rsid w:val="00343CE1"/>
    <w:rsid w:val="003441C4"/>
    <w:rsid w:val="003442D1"/>
    <w:rsid w:val="00344315"/>
    <w:rsid w:val="00344341"/>
    <w:rsid w:val="0034449B"/>
    <w:rsid w:val="0034473F"/>
    <w:rsid w:val="00344813"/>
    <w:rsid w:val="00344830"/>
    <w:rsid w:val="00344BC1"/>
    <w:rsid w:val="00344D48"/>
    <w:rsid w:val="00344F4C"/>
    <w:rsid w:val="0034523F"/>
    <w:rsid w:val="00345241"/>
    <w:rsid w:val="003452A5"/>
    <w:rsid w:val="00345470"/>
    <w:rsid w:val="00345739"/>
    <w:rsid w:val="00345993"/>
    <w:rsid w:val="003459AE"/>
    <w:rsid w:val="00345AE8"/>
    <w:rsid w:val="00345F61"/>
    <w:rsid w:val="00346087"/>
    <w:rsid w:val="00346113"/>
    <w:rsid w:val="0034614B"/>
    <w:rsid w:val="0034615B"/>
    <w:rsid w:val="00346193"/>
    <w:rsid w:val="0034650B"/>
    <w:rsid w:val="0034654D"/>
    <w:rsid w:val="00346594"/>
    <w:rsid w:val="00346774"/>
    <w:rsid w:val="003468B2"/>
    <w:rsid w:val="0034690F"/>
    <w:rsid w:val="00346929"/>
    <w:rsid w:val="0034693C"/>
    <w:rsid w:val="00346A9B"/>
    <w:rsid w:val="00346AC6"/>
    <w:rsid w:val="00346B89"/>
    <w:rsid w:val="00346C64"/>
    <w:rsid w:val="00346E13"/>
    <w:rsid w:val="00346ECA"/>
    <w:rsid w:val="0034716C"/>
    <w:rsid w:val="00347273"/>
    <w:rsid w:val="0034746E"/>
    <w:rsid w:val="003474B7"/>
    <w:rsid w:val="0034761A"/>
    <w:rsid w:val="00347791"/>
    <w:rsid w:val="0034791E"/>
    <w:rsid w:val="00347987"/>
    <w:rsid w:val="00347B35"/>
    <w:rsid w:val="00347B40"/>
    <w:rsid w:val="00347C77"/>
    <w:rsid w:val="00350037"/>
    <w:rsid w:val="00350269"/>
    <w:rsid w:val="0035029A"/>
    <w:rsid w:val="0035034F"/>
    <w:rsid w:val="00350397"/>
    <w:rsid w:val="00350493"/>
    <w:rsid w:val="003505A9"/>
    <w:rsid w:val="0035074C"/>
    <w:rsid w:val="003509B2"/>
    <w:rsid w:val="003509D1"/>
    <w:rsid w:val="00350DCC"/>
    <w:rsid w:val="00350E50"/>
    <w:rsid w:val="00350E63"/>
    <w:rsid w:val="00350EE2"/>
    <w:rsid w:val="00351422"/>
    <w:rsid w:val="00351445"/>
    <w:rsid w:val="003514CF"/>
    <w:rsid w:val="00351536"/>
    <w:rsid w:val="003515F6"/>
    <w:rsid w:val="0035169B"/>
    <w:rsid w:val="00351BA1"/>
    <w:rsid w:val="00351C0B"/>
    <w:rsid w:val="00351D0E"/>
    <w:rsid w:val="00351D5B"/>
    <w:rsid w:val="00351E08"/>
    <w:rsid w:val="00351E4B"/>
    <w:rsid w:val="0035207F"/>
    <w:rsid w:val="003521B5"/>
    <w:rsid w:val="00352445"/>
    <w:rsid w:val="003526B1"/>
    <w:rsid w:val="003527BA"/>
    <w:rsid w:val="00352A7D"/>
    <w:rsid w:val="00352A8D"/>
    <w:rsid w:val="00352E0C"/>
    <w:rsid w:val="00352EB9"/>
    <w:rsid w:val="00352F10"/>
    <w:rsid w:val="00352F26"/>
    <w:rsid w:val="003530A9"/>
    <w:rsid w:val="00353127"/>
    <w:rsid w:val="0035319C"/>
    <w:rsid w:val="003532DB"/>
    <w:rsid w:val="0035331E"/>
    <w:rsid w:val="00353321"/>
    <w:rsid w:val="00353391"/>
    <w:rsid w:val="003535CB"/>
    <w:rsid w:val="00353D6C"/>
    <w:rsid w:val="00353F84"/>
    <w:rsid w:val="0035404E"/>
    <w:rsid w:val="003540A9"/>
    <w:rsid w:val="0035424F"/>
    <w:rsid w:val="003543BF"/>
    <w:rsid w:val="00354485"/>
    <w:rsid w:val="003545E8"/>
    <w:rsid w:val="00354A08"/>
    <w:rsid w:val="00354AF7"/>
    <w:rsid w:val="00354B19"/>
    <w:rsid w:val="00354BCB"/>
    <w:rsid w:val="00354D8B"/>
    <w:rsid w:val="00354E31"/>
    <w:rsid w:val="00354F25"/>
    <w:rsid w:val="00354F4F"/>
    <w:rsid w:val="00355044"/>
    <w:rsid w:val="0035507C"/>
    <w:rsid w:val="00355797"/>
    <w:rsid w:val="00355A38"/>
    <w:rsid w:val="00355D18"/>
    <w:rsid w:val="00355F90"/>
    <w:rsid w:val="003561B0"/>
    <w:rsid w:val="003561C4"/>
    <w:rsid w:val="003561D8"/>
    <w:rsid w:val="003561EE"/>
    <w:rsid w:val="00356234"/>
    <w:rsid w:val="0035660D"/>
    <w:rsid w:val="0035675C"/>
    <w:rsid w:val="00356804"/>
    <w:rsid w:val="00356B22"/>
    <w:rsid w:val="00356B54"/>
    <w:rsid w:val="00356C26"/>
    <w:rsid w:val="00356CF5"/>
    <w:rsid w:val="00356E01"/>
    <w:rsid w:val="00356F22"/>
    <w:rsid w:val="003570E4"/>
    <w:rsid w:val="00357353"/>
    <w:rsid w:val="00357398"/>
    <w:rsid w:val="0035760B"/>
    <w:rsid w:val="00357BDD"/>
    <w:rsid w:val="003601D0"/>
    <w:rsid w:val="0036031B"/>
    <w:rsid w:val="0036032B"/>
    <w:rsid w:val="003603E0"/>
    <w:rsid w:val="00360409"/>
    <w:rsid w:val="00360574"/>
    <w:rsid w:val="00360963"/>
    <w:rsid w:val="00360A28"/>
    <w:rsid w:val="00360ACE"/>
    <w:rsid w:val="00360B89"/>
    <w:rsid w:val="00360CFE"/>
    <w:rsid w:val="00360D81"/>
    <w:rsid w:val="00360E65"/>
    <w:rsid w:val="00360F44"/>
    <w:rsid w:val="003610C0"/>
    <w:rsid w:val="003612DE"/>
    <w:rsid w:val="003615D6"/>
    <w:rsid w:val="003617B1"/>
    <w:rsid w:val="00361BED"/>
    <w:rsid w:val="00361EF9"/>
    <w:rsid w:val="00362112"/>
    <w:rsid w:val="00362392"/>
    <w:rsid w:val="00362589"/>
    <w:rsid w:val="003626DF"/>
    <w:rsid w:val="003627DC"/>
    <w:rsid w:val="00362966"/>
    <w:rsid w:val="003629FB"/>
    <w:rsid w:val="00362D65"/>
    <w:rsid w:val="00362D6B"/>
    <w:rsid w:val="00362E38"/>
    <w:rsid w:val="00362EAF"/>
    <w:rsid w:val="00362F51"/>
    <w:rsid w:val="00362FD9"/>
    <w:rsid w:val="0036305B"/>
    <w:rsid w:val="00363592"/>
    <w:rsid w:val="003636CE"/>
    <w:rsid w:val="00363838"/>
    <w:rsid w:val="00363A6D"/>
    <w:rsid w:val="00363C5A"/>
    <w:rsid w:val="00363D8B"/>
    <w:rsid w:val="00363EC5"/>
    <w:rsid w:val="00363EF7"/>
    <w:rsid w:val="00363F87"/>
    <w:rsid w:val="00363F97"/>
    <w:rsid w:val="003640E1"/>
    <w:rsid w:val="00364192"/>
    <w:rsid w:val="003645BF"/>
    <w:rsid w:val="00364754"/>
    <w:rsid w:val="00364762"/>
    <w:rsid w:val="00364787"/>
    <w:rsid w:val="00364996"/>
    <w:rsid w:val="00364B7D"/>
    <w:rsid w:val="00364B90"/>
    <w:rsid w:val="00364B92"/>
    <w:rsid w:val="00364CB8"/>
    <w:rsid w:val="00364E54"/>
    <w:rsid w:val="00364F1B"/>
    <w:rsid w:val="00365058"/>
    <w:rsid w:val="003651D1"/>
    <w:rsid w:val="0036529C"/>
    <w:rsid w:val="003654C6"/>
    <w:rsid w:val="00365532"/>
    <w:rsid w:val="003656D5"/>
    <w:rsid w:val="003657F2"/>
    <w:rsid w:val="00365B44"/>
    <w:rsid w:val="00365B51"/>
    <w:rsid w:val="00365BB1"/>
    <w:rsid w:val="00365CD6"/>
    <w:rsid w:val="00366126"/>
    <w:rsid w:val="0036616A"/>
    <w:rsid w:val="00366179"/>
    <w:rsid w:val="00366469"/>
    <w:rsid w:val="003666DA"/>
    <w:rsid w:val="00366733"/>
    <w:rsid w:val="0036688B"/>
    <w:rsid w:val="0036692E"/>
    <w:rsid w:val="00366A23"/>
    <w:rsid w:val="00366AF0"/>
    <w:rsid w:val="00366B76"/>
    <w:rsid w:val="00366BA8"/>
    <w:rsid w:val="00366C31"/>
    <w:rsid w:val="00366FD8"/>
    <w:rsid w:val="0036745A"/>
    <w:rsid w:val="0036745E"/>
    <w:rsid w:val="0036777C"/>
    <w:rsid w:val="00367838"/>
    <w:rsid w:val="00367D5D"/>
    <w:rsid w:val="00367D68"/>
    <w:rsid w:val="003700F9"/>
    <w:rsid w:val="00370209"/>
    <w:rsid w:val="0037021B"/>
    <w:rsid w:val="003709B9"/>
    <w:rsid w:val="00370AC7"/>
    <w:rsid w:val="00370B64"/>
    <w:rsid w:val="00370BB4"/>
    <w:rsid w:val="00370BE4"/>
    <w:rsid w:val="00370C0A"/>
    <w:rsid w:val="00370C94"/>
    <w:rsid w:val="00370D28"/>
    <w:rsid w:val="00370DAB"/>
    <w:rsid w:val="00370ED8"/>
    <w:rsid w:val="003712E4"/>
    <w:rsid w:val="00371336"/>
    <w:rsid w:val="003717B1"/>
    <w:rsid w:val="0037184B"/>
    <w:rsid w:val="003718E3"/>
    <w:rsid w:val="00371A1B"/>
    <w:rsid w:val="00371A70"/>
    <w:rsid w:val="00371A72"/>
    <w:rsid w:val="00371EFD"/>
    <w:rsid w:val="00372054"/>
    <w:rsid w:val="0037206C"/>
    <w:rsid w:val="003722C6"/>
    <w:rsid w:val="0037230A"/>
    <w:rsid w:val="00372537"/>
    <w:rsid w:val="00372575"/>
    <w:rsid w:val="00372781"/>
    <w:rsid w:val="00372A94"/>
    <w:rsid w:val="00372AD3"/>
    <w:rsid w:val="00372F10"/>
    <w:rsid w:val="00373114"/>
    <w:rsid w:val="0037314E"/>
    <w:rsid w:val="0037341E"/>
    <w:rsid w:val="0037374F"/>
    <w:rsid w:val="0037391C"/>
    <w:rsid w:val="0037395C"/>
    <w:rsid w:val="0037397F"/>
    <w:rsid w:val="00373C52"/>
    <w:rsid w:val="00373E2D"/>
    <w:rsid w:val="00373F4B"/>
    <w:rsid w:val="00373F8E"/>
    <w:rsid w:val="0037403E"/>
    <w:rsid w:val="0037427A"/>
    <w:rsid w:val="003742B2"/>
    <w:rsid w:val="00374393"/>
    <w:rsid w:val="0037453F"/>
    <w:rsid w:val="00374634"/>
    <w:rsid w:val="0037464D"/>
    <w:rsid w:val="003746CA"/>
    <w:rsid w:val="0037474E"/>
    <w:rsid w:val="00374881"/>
    <w:rsid w:val="00374AFB"/>
    <w:rsid w:val="00374B41"/>
    <w:rsid w:val="00374D0F"/>
    <w:rsid w:val="00374E07"/>
    <w:rsid w:val="00374E67"/>
    <w:rsid w:val="00375130"/>
    <w:rsid w:val="00375272"/>
    <w:rsid w:val="003752E9"/>
    <w:rsid w:val="00375412"/>
    <w:rsid w:val="00375519"/>
    <w:rsid w:val="00375667"/>
    <w:rsid w:val="003757BF"/>
    <w:rsid w:val="003757F0"/>
    <w:rsid w:val="00375879"/>
    <w:rsid w:val="003758EF"/>
    <w:rsid w:val="00375B71"/>
    <w:rsid w:val="00375C63"/>
    <w:rsid w:val="00375D0E"/>
    <w:rsid w:val="00375E33"/>
    <w:rsid w:val="00375F87"/>
    <w:rsid w:val="003760FD"/>
    <w:rsid w:val="0037610F"/>
    <w:rsid w:val="0037623E"/>
    <w:rsid w:val="00376700"/>
    <w:rsid w:val="00376732"/>
    <w:rsid w:val="003768A4"/>
    <w:rsid w:val="003769E6"/>
    <w:rsid w:val="00376B4A"/>
    <w:rsid w:val="00376FFB"/>
    <w:rsid w:val="0037724B"/>
    <w:rsid w:val="003772B3"/>
    <w:rsid w:val="0037748D"/>
    <w:rsid w:val="003774DE"/>
    <w:rsid w:val="00377619"/>
    <w:rsid w:val="00377B41"/>
    <w:rsid w:val="00377B47"/>
    <w:rsid w:val="00377BE6"/>
    <w:rsid w:val="00380295"/>
    <w:rsid w:val="003804C9"/>
    <w:rsid w:val="0038059B"/>
    <w:rsid w:val="00380A7E"/>
    <w:rsid w:val="00380AAD"/>
    <w:rsid w:val="00380B62"/>
    <w:rsid w:val="00380BE4"/>
    <w:rsid w:val="00380C6D"/>
    <w:rsid w:val="00380D5F"/>
    <w:rsid w:val="00380DA3"/>
    <w:rsid w:val="00380E2E"/>
    <w:rsid w:val="00380EE7"/>
    <w:rsid w:val="00381068"/>
    <w:rsid w:val="0038115D"/>
    <w:rsid w:val="0038116C"/>
    <w:rsid w:val="00381218"/>
    <w:rsid w:val="0038123E"/>
    <w:rsid w:val="00381352"/>
    <w:rsid w:val="003814AC"/>
    <w:rsid w:val="00381556"/>
    <w:rsid w:val="0038159D"/>
    <w:rsid w:val="0038170A"/>
    <w:rsid w:val="003818EB"/>
    <w:rsid w:val="0038195C"/>
    <w:rsid w:val="00381AC5"/>
    <w:rsid w:val="00381D9A"/>
    <w:rsid w:val="00382350"/>
    <w:rsid w:val="003825E7"/>
    <w:rsid w:val="00382654"/>
    <w:rsid w:val="003828DA"/>
    <w:rsid w:val="003829A5"/>
    <w:rsid w:val="003829EA"/>
    <w:rsid w:val="00382D22"/>
    <w:rsid w:val="0038307F"/>
    <w:rsid w:val="003830D3"/>
    <w:rsid w:val="00383209"/>
    <w:rsid w:val="003832D8"/>
    <w:rsid w:val="00383360"/>
    <w:rsid w:val="00383432"/>
    <w:rsid w:val="00383498"/>
    <w:rsid w:val="0038355E"/>
    <w:rsid w:val="00383693"/>
    <w:rsid w:val="00383774"/>
    <w:rsid w:val="00383888"/>
    <w:rsid w:val="003838A6"/>
    <w:rsid w:val="0038398A"/>
    <w:rsid w:val="003839A2"/>
    <w:rsid w:val="00383ADB"/>
    <w:rsid w:val="00383BEF"/>
    <w:rsid w:val="00383D18"/>
    <w:rsid w:val="00383DB3"/>
    <w:rsid w:val="00383EDC"/>
    <w:rsid w:val="00383F5C"/>
    <w:rsid w:val="00384040"/>
    <w:rsid w:val="00384043"/>
    <w:rsid w:val="003841D2"/>
    <w:rsid w:val="003841E6"/>
    <w:rsid w:val="00384306"/>
    <w:rsid w:val="0038436D"/>
    <w:rsid w:val="00384755"/>
    <w:rsid w:val="0038494D"/>
    <w:rsid w:val="00384978"/>
    <w:rsid w:val="00384AC3"/>
    <w:rsid w:val="00384C28"/>
    <w:rsid w:val="00384E11"/>
    <w:rsid w:val="00384E7A"/>
    <w:rsid w:val="00385094"/>
    <w:rsid w:val="00385110"/>
    <w:rsid w:val="00385437"/>
    <w:rsid w:val="003854EE"/>
    <w:rsid w:val="00385957"/>
    <w:rsid w:val="00385AC6"/>
    <w:rsid w:val="00385BC9"/>
    <w:rsid w:val="00385CDF"/>
    <w:rsid w:val="00385D38"/>
    <w:rsid w:val="00385F7E"/>
    <w:rsid w:val="00386151"/>
    <w:rsid w:val="003864FB"/>
    <w:rsid w:val="00386A0E"/>
    <w:rsid w:val="00386C03"/>
    <w:rsid w:val="00387152"/>
    <w:rsid w:val="003871B7"/>
    <w:rsid w:val="003874D5"/>
    <w:rsid w:val="0038765B"/>
    <w:rsid w:val="003876D4"/>
    <w:rsid w:val="0038776C"/>
    <w:rsid w:val="0038787A"/>
    <w:rsid w:val="003878FC"/>
    <w:rsid w:val="00387A9D"/>
    <w:rsid w:val="00387C6D"/>
    <w:rsid w:val="00387C9F"/>
    <w:rsid w:val="00387CB5"/>
    <w:rsid w:val="00387EA2"/>
    <w:rsid w:val="00390032"/>
    <w:rsid w:val="00390100"/>
    <w:rsid w:val="00390187"/>
    <w:rsid w:val="003903CB"/>
    <w:rsid w:val="003903F9"/>
    <w:rsid w:val="00390528"/>
    <w:rsid w:val="00390898"/>
    <w:rsid w:val="00390AC4"/>
    <w:rsid w:val="00390CD1"/>
    <w:rsid w:val="00390FD0"/>
    <w:rsid w:val="0039113B"/>
    <w:rsid w:val="0039124B"/>
    <w:rsid w:val="0039133D"/>
    <w:rsid w:val="00391588"/>
    <w:rsid w:val="003916C6"/>
    <w:rsid w:val="003916D7"/>
    <w:rsid w:val="0039176C"/>
    <w:rsid w:val="0039195F"/>
    <w:rsid w:val="0039197A"/>
    <w:rsid w:val="00391CBE"/>
    <w:rsid w:val="00391D63"/>
    <w:rsid w:val="00391F08"/>
    <w:rsid w:val="00392046"/>
    <w:rsid w:val="0039216A"/>
    <w:rsid w:val="003921E6"/>
    <w:rsid w:val="003927A7"/>
    <w:rsid w:val="00392A63"/>
    <w:rsid w:val="00392FA3"/>
    <w:rsid w:val="00393080"/>
    <w:rsid w:val="00393124"/>
    <w:rsid w:val="00393172"/>
    <w:rsid w:val="00393266"/>
    <w:rsid w:val="00393283"/>
    <w:rsid w:val="00393309"/>
    <w:rsid w:val="00393313"/>
    <w:rsid w:val="0039338C"/>
    <w:rsid w:val="003933C4"/>
    <w:rsid w:val="0039355D"/>
    <w:rsid w:val="00393597"/>
    <w:rsid w:val="003935AC"/>
    <w:rsid w:val="00393722"/>
    <w:rsid w:val="00393875"/>
    <w:rsid w:val="003938EE"/>
    <w:rsid w:val="00393939"/>
    <w:rsid w:val="00393B35"/>
    <w:rsid w:val="00393B4E"/>
    <w:rsid w:val="00393C94"/>
    <w:rsid w:val="00393F55"/>
    <w:rsid w:val="00393F6B"/>
    <w:rsid w:val="00393FEC"/>
    <w:rsid w:val="003942EA"/>
    <w:rsid w:val="00394388"/>
    <w:rsid w:val="0039442A"/>
    <w:rsid w:val="00394635"/>
    <w:rsid w:val="00394661"/>
    <w:rsid w:val="003946F7"/>
    <w:rsid w:val="00394747"/>
    <w:rsid w:val="0039475A"/>
    <w:rsid w:val="0039483B"/>
    <w:rsid w:val="00394BF6"/>
    <w:rsid w:val="00394D21"/>
    <w:rsid w:val="00394F77"/>
    <w:rsid w:val="0039500F"/>
    <w:rsid w:val="00395196"/>
    <w:rsid w:val="003952E5"/>
    <w:rsid w:val="00395307"/>
    <w:rsid w:val="00395401"/>
    <w:rsid w:val="003955FD"/>
    <w:rsid w:val="0039565B"/>
    <w:rsid w:val="00395868"/>
    <w:rsid w:val="003958A5"/>
    <w:rsid w:val="00395C60"/>
    <w:rsid w:val="00395D96"/>
    <w:rsid w:val="0039602F"/>
    <w:rsid w:val="0039620B"/>
    <w:rsid w:val="003962C1"/>
    <w:rsid w:val="00396306"/>
    <w:rsid w:val="003963C7"/>
    <w:rsid w:val="003963F2"/>
    <w:rsid w:val="00396556"/>
    <w:rsid w:val="003965E8"/>
    <w:rsid w:val="003967BC"/>
    <w:rsid w:val="00396A16"/>
    <w:rsid w:val="00396BEB"/>
    <w:rsid w:val="00396C6D"/>
    <w:rsid w:val="00396D61"/>
    <w:rsid w:val="00396DFA"/>
    <w:rsid w:val="00396E19"/>
    <w:rsid w:val="00396F68"/>
    <w:rsid w:val="00397078"/>
    <w:rsid w:val="0039711B"/>
    <w:rsid w:val="003972FB"/>
    <w:rsid w:val="00397318"/>
    <w:rsid w:val="00397498"/>
    <w:rsid w:val="00397552"/>
    <w:rsid w:val="003976B4"/>
    <w:rsid w:val="003979F9"/>
    <w:rsid w:val="00397A15"/>
    <w:rsid w:val="00397C1E"/>
    <w:rsid w:val="00397EDD"/>
    <w:rsid w:val="003A04C5"/>
    <w:rsid w:val="003A0550"/>
    <w:rsid w:val="003A08B5"/>
    <w:rsid w:val="003A08DE"/>
    <w:rsid w:val="003A0AD4"/>
    <w:rsid w:val="003A0C2B"/>
    <w:rsid w:val="003A0D74"/>
    <w:rsid w:val="003A0ED8"/>
    <w:rsid w:val="003A1390"/>
    <w:rsid w:val="003A13F8"/>
    <w:rsid w:val="003A1538"/>
    <w:rsid w:val="003A1550"/>
    <w:rsid w:val="003A15B1"/>
    <w:rsid w:val="003A15F2"/>
    <w:rsid w:val="003A16DA"/>
    <w:rsid w:val="003A1833"/>
    <w:rsid w:val="003A18E8"/>
    <w:rsid w:val="003A193F"/>
    <w:rsid w:val="003A1983"/>
    <w:rsid w:val="003A198C"/>
    <w:rsid w:val="003A1E7F"/>
    <w:rsid w:val="003A1F43"/>
    <w:rsid w:val="003A1FF7"/>
    <w:rsid w:val="003A2121"/>
    <w:rsid w:val="003A223D"/>
    <w:rsid w:val="003A2268"/>
    <w:rsid w:val="003A23D9"/>
    <w:rsid w:val="003A273D"/>
    <w:rsid w:val="003A2B7F"/>
    <w:rsid w:val="003A2FAC"/>
    <w:rsid w:val="003A3024"/>
    <w:rsid w:val="003A311A"/>
    <w:rsid w:val="003A316C"/>
    <w:rsid w:val="003A33BA"/>
    <w:rsid w:val="003A3576"/>
    <w:rsid w:val="003A369B"/>
    <w:rsid w:val="003A36BB"/>
    <w:rsid w:val="003A37D2"/>
    <w:rsid w:val="003A3808"/>
    <w:rsid w:val="003A3B3B"/>
    <w:rsid w:val="003A3CA1"/>
    <w:rsid w:val="003A3CAC"/>
    <w:rsid w:val="003A3DD4"/>
    <w:rsid w:val="003A3E9E"/>
    <w:rsid w:val="003A3F71"/>
    <w:rsid w:val="003A4009"/>
    <w:rsid w:val="003A41A7"/>
    <w:rsid w:val="003A45DD"/>
    <w:rsid w:val="003A4832"/>
    <w:rsid w:val="003A4837"/>
    <w:rsid w:val="003A4922"/>
    <w:rsid w:val="003A4978"/>
    <w:rsid w:val="003A4979"/>
    <w:rsid w:val="003A49FC"/>
    <w:rsid w:val="003A4A45"/>
    <w:rsid w:val="003A4AAA"/>
    <w:rsid w:val="003A4AED"/>
    <w:rsid w:val="003A4B4B"/>
    <w:rsid w:val="003A4C42"/>
    <w:rsid w:val="003A5034"/>
    <w:rsid w:val="003A504F"/>
    <w:rsid w:val="003A513A"/>
    <w:rsid w:val="003A5232"/>
    <w:rsid w:val="003A53F7"/>
    <w:rsid w:val="003A54B0"/>
    <w:rsid w:val="003A5617"/>
    <w:rsid w:val="003A590D"/>
    <w:rsid w:val="003A5A69"/>
    <w:rsid w:val="003A5A7E"/>
    <w:rsid w:val="003A5F3A"/>
    <w:rsid w:val="003A6111"/>
    <w:rsid w:val="003A638C"/>
    <w:rsid w:val="003A6609"/>
    <w:rsid w:val="003A6776"/>
    <w:rsid w:val="003A6B5F"/>
    <w:rsid w:val="003A6FBC"/>
    <w:rsid w:val="003A746A"/>
    <w:rsid w:val="003A7639"/>
    <w:rsid w:val="003A76BC"/>
    <w:rsid w:val="003A7715"/>
    <w:rsid w:val="003A774D"/>
    <w:rsid w:val="003A7777"/>
    <w:rsid w:val="003A789D"/>
    <w:rsid w:val="003A7BF7"/>
    <w:rsid w:val="003A7C3D"/>
    <w:rsid w:val="003A7C45"/>
    <w:rsid w:val="003A7F45"/>
    <w:rsid w:val="003A7FD7"/>
    <w:rsid w:val="003B01A5"/>
    <w:rsid w:val="003B01B5"/>
    <w:rsid w:val="003B0217"/>
    <w:rsid w:val="003B02C6"/>
    <w:rsid w:val="003B04EC"/>
    <w:rsid w:val="003B05BE"/>
    <w:rsid w:val="003B0618"/>
    <w:rsid w:val="003B066C"/>
    <w:rsid w:val="003B08CC"/>
    <w:rsid w:val="003B092C"/>
    <w:rsid w:val="003B0A39"/>
    <w:rsid w:val="003B0BAF"/>
    <w:rsid w:val="003B0C54"/>
    <w:rsid w:val="003B0D8B"/>
    <w:rsid w:val="003B0DD0"/>
    <w:rsid w:val="003B0DD8"/>
    <w:rsid w:val="003B0EB6"/>
    <w:rsid w:val="003B101D"/>
    <w:rsid w:val="003B1212"/>
    <w:rsid w:val="003B12A2"/>
    <w:rsid w:val="003B1310"/>
    <w:rsid w:val="003B164D"/>
    <w:rsid w:val="003B1A37"/>
    <w:rsid w:val="003B1AA4"/>
    <w:rsid w:val="003B1B78"/>
    <w:rsid w:val="003B1C18"/>
    <w:rsid w:val="003B20C4"/>
    <w:rsid w:val="003B253F"/>
    <w:rsid w:val="003B2790"/>
    <w:rsid w:val="003B2848"/>
    <w:rsid w:val="003B2870"/>
    <w:rsid w:val="003B293F"/>
    <w:rsid w:val="003B2B4C"/>
    <w:rsid w:val="003B2F45"/>
    <w:rsid w:val="003B2F5C"/>
    <w:rsid w:val="003B3279"/>
    <w:rsid w:val="003B371A"/>
    <w:rsid w:val="003B3BF8"/>
    <w:rsid w:val="003B3E09"/>
    <w:rsid w:val="003B3F6A"/>
    <w:rsid w:val="003B3FA4"/>
    <w:rsid w:val="003B4135"/>
    <w:rsid w:val="003B413F"/>
    <w:rsid w:val="003B4401"/>
    <w:rsid w:val="003B4492"/>
    <w:rsid w:val="003B457C"/>
    <w:rsid w:val="003B4623"/>
    <w:rsid w:val="003B46E9"/>
    <w:rsid w:val="003B46F4"/>
    <w:rsid w:val="003B4709"/>
    <w:rsid w:val="003B48D6"/>
    <w:rsid w:val="003B4A84"/>
    <w:rsid w:val="003B4B29"/>
    <w:rsid w:val="003B4C59"/>
    <w:rsid w:val="003B4EA1"/>
    <w:rsid w:val="003B51B1"/>
    <w:rsid w:val="003B51CC"/>
    <w:rsid w:val="003B54C1"/>
    <w:rsid w:val="003B5994"/>
    <w:rsid w:val="003B5A11"/>
    <w:rsid w:val="003B5B10"/>
    <w:rsid w:val="003B5BD3"/>
    <w:rsid w:val="003B5CFB"/>
    <w:rsid w:val="003B5D69"/>
    <w:rsid w:val="003B63D8"/>
    <w:rsid w:val="003B64E6"/>
    <w:rsid w:val="003B667E"/>
    <w:rsid w:val="003B6770"/>
    <w:rsid w:val="003B6773"/>
    <w:rsid w:val="003B6999"/>
    <w:rsid w:val="003B6B34"/>
    <w:rsid w:val="003B6B71"/>
    <w:rsid w:val="003B6E13"/>
    <w:rsid w:val="003B705F"/>
    <w:rsid w:val="003B7146"/>
    <w:rsid w:val="003B718C"/>
    <w:rsid w:val="003B7289"/>
    <w:rsid w:val="003B7387"/>
    <w:rsid w:val="003B73AC"/>
    <w:rsid w:val="003B73D2"/>
    <w:rsid w:val="003B7533"/>
    <w:rsid w:val="003B7626"/>
    <w:rsid w:val="003B7642"/>
    <w:rsid w:val="003B7676"/>
    <w:rsid w:val="003B77A5"/>
    <w:rsid w:val="003B78B0"/>
    <w:rsid w:val="003B7AE5"/>
    <w:rsid w:val="003B7CA1"/>
    <w:rsid w:val="003B7DF2"/>
    <w:rsid w:val="003B7EC0"/>
    <w:rsid w:val="003C0557"/>
    <w:rsid w:val="003C05C2"/>
    <w:rsid w:val="003C08BF"/>
    <w:rsid w:val="003C0D2F"/>
    <w:rsid w:val="003C0DBD"/>
    <w:rsid w:val="003C0EC4"/>
    <w:rsid w:val="003C1126"/>
    <w:rsid w:val="003C125F"/>
    <w:rsid w:val="003C14DA"/>
    <w:rsid w:val="003C1536"/>
    <w:rsid w:val="003C1579"/>
    <w:rsid w:val="003C1650"/>
    <w:rsid w:val="003C194F"/>
    <w:rsid w:val="003C1B1F"/>
    <w:rsid w:val="003C1B2E"/>
    <w:rsid w:val="003C1D90"/>
    <w:rsid w:val="003C1D94"/>
    <w:rsid w:val="003C1F71"/>
    <w:rsid w:val="003C222C"/>
    <w:rsid w:val="003C249D"/>
    <w:rsid w:val="003C273E"/>
    <w:rsid w:val="003C274F"/>
    <w:rsid w:val="003C2787"/>
    <w:rsid w:val="003C28BF"/>
    <w:rsid w:val="003C2C50"/>
    <w:rsid w:val="003C2DF9"/>
    <w:rsid w:val="003C312A"/>
    <w:rsid w:val="003C312F"/>
    <w:rsid w:val="003C3412"/>
    <w:rsid w:val="003C35D6"/>
    <w:rsid w:val="003C3608"/>
    <w:rsid w:val="003C3638"/>
    <w:rsid w:val="003C3642"/>
    <w:rsid w:val="003C37CE"/>
    <w:rsid w:val="003C37F0"/>
    <w:rsid w:val="003C3AFF"/>
    <w:rsid w:val="003C3BC8"/>
    <w:rsid w:val="003C3CB9"/>
    <w:rsid w:val="003C3F32"/>
    <w:rsid w:val="003C4124"/>
    <w:rsid w:val="003C4230"/>
    <w:rsid w:val="003C4292"/>
    <w:rsid w:val="003C43D9"/>
    <w:rsid w:val="003C43E8"/>
    <w:rsid w:val="003C445B"/>
    <w:rsid w:val="003C45A3"/>
    <w:rsid w:val="003C4683"/>
    <w:rsid w:val="003C46A0"/>
    <w:rsid w:val="003C47B7"/>
    <w:rsid w:val="003C499A"/>
    <w:rsid w:val="003C4A00"/>
    <w:rsid w:val="003C4A98"/>
    <w:rsid w:val="003C4BFD"/>
    <w:rsid w:val="003C4D94"/>
    <w:rsid w:val="003C4E28"/>
    <w:rsid w:val="003C4EC8"/>
    <w:rsid w:val="003C50B5"/>
    <w:rsid w:val="003C51E5"/>
    <w:rsid w:val="003C534B"/>
    <w:rsid w:val="003C54AB"/>
    <w:rsid w:val="003C553E"/>
    <w:rsid w:val="003C5556"/>
    <w:rsid w:val="003C5691"/>
    <w:rsid w:val="003C5F88"/>
    <w:rsid w:val="003C5FAD"/>
    <w:rsid w:val="003C6029"/>
    <w:rsid w:val="003C6220"/>
    <w:rsid w:val="003C623C"/>
    <w:rsid w:val="003C6628"/>
    <w:rsid w:val="003C6797"/>
    <w:rsid w:val="003C67E6"/>
    <w:rsid w:val="003C688F"/>
    <w:rsid w:val="003C6A7F"/>
    <w:rsid w:val="003C6AB6"/>
    <w:rsid w:val="003C6B4C"/>
    <w:rsid w:val="003C6C72"/>
    <w:rsid w:val="003C7268"/>
    <w:rsid w:val="003C732F"/>
    <w:rsid w:val="003C7594"/>
    <w:rsid w:val="003C7836"/>
    <w:rsid w:val="003C7866"/>
    <w:rsid w:val="003C7B09"/>
    <w:rsid w:val="003C7BAE"/>
    <w:rsid w:val="003C7D48"/>
    <w:rsid w:val="003C7D5B"/>
    <w:rsid w:val="003C7E34"/>
    <w:rsid w:val="003D01CA"/>
    <w:rsid w:val="003D0326"/>
    <w:rsid w:val="003D03AE"/>
    <w:rsid w:val="003D047F"/>
    <w:rsid w:val="003D04A9"/>
    <w:rsid w:val="003D088E"/>
    <w:rsid w:val="003D0AA0"/>
    <w:rsid w:val="003D0AFE"/>
    <w:rsid w:val="003D0B7C"/>
    <w:rsid w:val="003D0FCC"/>
    <w:rsid w:val="003D105D"/>
    <w:rsid w:val="003D11E0"/>
    <w:rsid w:val="003D12E7"/>
    <w:rsid w:val="003D156C"/>
    <w:rsid w:val="003D16DA"/>
    <w:rsid w:val="003D16F8"/>
    <w:rsid w:val="003D185E"/>
    <w:rsid w:val="003D1A13"/>
    <w:rsid w:val="003D1A58"/>
    <w:rsid w:val="003D1AD6"/>
    <w:rsid w:val="003D1BB3"/>
    <w:rsid w:val="003D1BEA"/>
    <w:rsid w:val="003D1C7E"/>
    <w:rsid w:val="003D1C81"/>
    <w:rsid w:val="003D1DA6"/>
    <w:rsid w:val="003D1E59"/>
    <w:rsid w:val="003D1EA8"/>
    <w:rsid w:val="003D1EFC"/>
    <w:rsid w:val="003D2020"/>
    <w:rsid w:val="003D2256"/>
    <w:rsid w:val="003D2524"/>
    <w:rsid w:val="003D2564"/>
    <w:rsid w:val="003D25AA"/>
    <w:rsid w:val="003D266C"/>
    <w:rsid w:val="003D28D2"/>
    <w:rsid w:val="003D295D"/>
    <w:rsid w:val="003D2A33"/>
    <w:rsid w:val="003D2E35"/>
    <w:rsid w:val="003D2FB0"/>
    <w:rsid w:val="003D31A1"/>
    <w:rsid w:val="003D3326"/>
    <w:rsid w:val="003D3560"/>
    <w:rsid w:val="003D36F1"/>
    <w:rsid w:val="003D377E"/>
    <w:rsid w:val="003D37A6"/>
    <w:rsid w:val="003D3808"/>
    <w:rsid w:val="003D3D15"/>
    <w:rsid w:val="003D3D1A"/>
    <w:rsid w:val="003D3D1E"/>
    <w:rsid w:val="003D3EAC"/>
    <w:rsid w:val="003D3F77"/>
    <w:rsid w:val="003D3F7F"/>
    <w:rsid w:val="003D4028"/>
    <w:rsid w:val="003D4038"/>
    <w:rsid w:val="003D40D9"/>
    <w:rsid w:val="003D4222"/>
    <w:rsid w:val="003D4224"/>
    <w:rsid w:val="003D4258"/>
    <w:rsid w:val="003D4467"/>
    <w:rsid w:val="003D45C5"/>
    <w:rsid w:val="003D463B"/>
    <w:rsid w:val="003D4904"/>
    <w:rsid w:val="003D4B8E"/>
    <w:rsid w:val="003D4E12"/>
    <w:rsid w:val="003D4E3B"/>
    <w:rsid w:val="003D4EFD"/>
    <w:rsid w:val="003D4FC0"/>
    <w:rsid w:val="003D51D0"/>
    <w:rsid w:val="003D5216"/>
    <w:rsid w:val="003D54C4"/>
    <w:rsid w:val="003D554E"/>
    <w:rsid w:val="003D56B0"/>
    <w:rsid w:val="003D5AD9"/>
    <w:rsid w:val="003D5B55"/>
    <w:rsid w:val="003D5CB2"/>
    <w:rsid w:val="003D5CF6"/>
    <w:rsid w:val="003D5E52"/>
    <w:rsid w:val="003D5E58"/>
    <w:rsid w:val="003D6014"/>
    <w:rsid w:val="003D60F7"/>
    <w:rsid w:val="003D6142"/>
    <w:rsid w:val="003D63B7"/>
    <w:rsid w:val="003D68C6"/>
    <w:rsid w:val="003D6A68"/>
    <w:rsid w:val="003D6F48"/>
    <w:rsid w:val="003D708D"/>
    <w:rsid w:val="003D7402"/>
    <w:rsid w:val="003D75AC"/>
    <w:rsid w:val="003D75C4"/>
    <w:rsid w:val="003D7670"/>
    <w:rsid w:val="003D777B"/>
    <w:rsid w:val="003D777D"/>
    <w:rsid w:val="003D7A0E"/>
    <w:rsid w:val="003D7A4A"/>
    <w:rsid w:val="003D7C73"/>
    <w:rsid w:val="003D7E5F"/>
    <w:rsid w:val="003E00B4"/>
    <w:rsid w:val="003E038D"/>
    <w:rsid w:val="003E0550"/>
    <w:rsid w:val="003E0827"/>
    <w:rsid w:val="003E087B"/>
    <w:rsid w:val="003E0DF7"/>
    <w:rsid w:val="003E0F3D"/>
    <w:rsid w:val="003E0F68"/>
    <w:rsid w:val="003E1090"/>
    <w:rsid w:val="003E1760"/>
    <w:rsid w:val="003E1764"/>
    <w:rsid w:val="003E1770"/>
    <w:rsid w:val="003E17BA"/>
    <w:rsid w:val="003E18B9"/>
    <w:rsid w:val="003E1AE2"/>
    <w:rsid w:val="003E1C4C"/>
    <w:rsid w:val="003E1CC6"/>
    <w:rsid w:val="003E1E63"/>
    <w:rsid w:val="003E1E78"/>
    <w:rsid w:val="003E1EC3"/>
    <w:rsid w:val="003E2037"/>
    <w:rsid w:val="003E2139"/>
    <w:rsid w:val="003E2A17"/>
    <w:rsid w:val="003E2A5E"/>
    <w:rsid w:val="003E2B1B"/>
    <w:rsid w:val="003E2CA8"/>
    <w:rsid w:val="003E2DE5"/>
    <w:rsid w:val="003E2FEC"/>
    <w:rsid w:val="003E3018"/>
    <w:rsid w:val="003E3309"/>
    <w:rsid w:val="003E36C0"/>
    <w:rsid w:val="003E3796"/>
    <w:rsid w:val="003E37A1"/>
    <w:rsid w:val="003E3836"/>
    <w:rsid w:val="003E3C5B"/>
    <w:rsid w:val="003E3D7C"/>
    <w:rsid w:val="003E3ED2"/>
    <w:rsid w:val="003E3F43"/>
    <w:rsid w:val="003E411D"/>
    <w:rsid w:val="003E42D9"/>
    <w:rsid w:val="003E4486"/>
    <w:rsid w:val="003E44A5"/>
    <w:rsid w:val="003E4941"/>
    <w:rsid w:val="003E4BE8"/>
    <w:rsid w:val="003E4F91"/>
    <w:rsid w:val="003E5319"/>
    <w:rsid w:val="003E5449"/>
    <w:rsid w:val="003E550F"/>
    <w:rsid w:val="003E5830"/>
    <w:rsid w:val="003E58C1"/>
    <w:rsid w:val="003E58EC"/>
    <w:rsid w:val="003E5986"/>
    <w:rsid w:val="003E5BF8"/>
    <w:rsid w:val="003E5D84"/>
    <w:rsid w:val="003E5E9A"/>
    <w:rsid w:val="003E6041"/>
    <w:rsid w:val="003E6300"/>
    <w:rsid w:val="003E64A6"/>
    <w:rsid w:val="003E6660"/>
    <w:rsid w:val="003E671E"/>
    <w:rsid w:val="003E673D"/>
    <w:rsid w:val="003E67B6"/>
    <w:rsid w:val="003E695D"/>
    <w:rsid w:val="003E6969"/>
    <w:rsid w:val="003E69A8"/>
    <w:rsid w:val="003E6A1F"/>
    <w:rsid w:val="003E6B85"/>
    <w:rsid w:val="003E6D39"/>
    <w:rsid w:val="003E6DC6"/>
    <w:rsid w:val="003E706B"/>
    <w:rsid w:val="003E7155"/>
    <w:rsid w:val="003E7157"/>
    <w:rsid w:val="003E718C"/>
    <w:rsid w:val="003E72C8"/>
    <w:rsid w:val="003E72EF"/>
    <w:rsid w:val="003E7397"/>
    <w:rsid w:val="003E76C4"/>
    <w:rsid w:val="003E7907"/>
    <w:rsid w:val="003E7B21"/>
    <w:rsid w:val="003F031A"/>
    <w:rsid w:val="003F0364"/>
    <w:rsid w:val="003F0371"/>
    <w:rsid w:val="003F05BE"/>
    <w:rsid w:val="003F0B8E"/>
    <w:rsid w:val="003F0C19"/>
    <w:rsid w:val="003F0CEF"/>
    <w:rsid w:val="003F0D77"/>
    <w:rsid w:val="003F0E1F"/>
    <w:rsid w:val="003F0E37"/>
    <w:rsid w:val="003F0F0A"/>
    <w:rsid w:val="003F0F85"/>
    <w:rsid w:val="003F0F94"/>
    <w:rsid w:val="003F115C"/>
    <w:rsid w:val="003F13CF"/>
    <w:rsid w:val="003F1628"/>
    <w:rsid w:val="003F1658"/>
    <w:rsid w:val="003F16AC"/>
    <w:rsid w:val="003F16AE"/>
    <w:rsid w:val="003F187B"/>
    <w:rsid w:val="003F1B2E"/>
    <w:rsid w:val="003F1BFA"/>
    <w:rsid w:val="003F1C13"/>
    <w:rsid w:val="003F1F4D"/>
    <w:rsid w:val="003F21E8"/>
    <w:rsid w:val="003F236C"/>
    <w:rsid w:val="003F2449"/>
    <w:rsid w:val="003F252B"/>
    <w:rsid w:val="003F25E5"/>
    <w:rsid w:val="003F2912"/>
    <w:rsid w:val="003F2A26"/>
    <w:rsid w:val="003F2C17"/>
    <w:rsid w:val="003F30D9"/>
    <w:rsid w:val="003F329D"/>
    <w:rsid w:val="003F3429"/>
    <w:rsid w:val="003F34C5"/>
    <w:rsid w:val="003F3509"/>
    <w:rsid w:val="003F3653"/>
    <w:rsid w:val="003F36BD"/>
    <w:rsid w:val="003F375B"/>
    <w:rsid w:val="003F386F"/>
    <w:rsid w:val="003F3AE4"/>
    <w:rsid w:val="003F3AF6"/>
    <w:rsid w:val="003F3B74"/>
    <w:rsid w:val="003F3D7D"/>
    <w:rsid w:val="003F3DA8"/>
    <w:rsid w:val="003F3FDE"/>
    <w:rsid w:val="003F4131"/>
    <w:rsid w:val="003F418C"/>
    <w:rsid w:val="003F4349"/>
    <w:rsid w:val="003F43FF"/>
    <w:rsid w:val="003F4603"/>
    <w:rsid w:val="003F467D"/>
    <w:rsid w:val="003F477B"/>
    <w:rsid w:val="003F49D7"/>
    <w:rsid w:val="003F4A64"/>
    <w:rsid w:val="003F4C3B"/>
    <w:rsid w:val="003F4C89"/>
    <w:rsid w:val="003F4D7D"/>
    <w:rsid w:val="003F4E91"/>
    <w:rsid w:val="003F4EB3"/>
    <w:rsid w:val="003F4EDF"/>
    <w:rsid w:val="003F5011"/>
    <w:rsid w:val="003F513E"/>
    <w:rsid w:val="003F5558"/>
    <w:rsid w:val="003F55BC"/>
    <w:rsid w:val="003F55D2"/>
    <w:rsid w:val="003F5635"/>
    <w:rsid w:val="003F565F"/>
    <w:rsid w:val="003F5796"/>
    <w:rsid w:val="003F579B"/>
    <w:rsid w:val="003F5833"/>
    <w:rsid w:val="003F5967"/>
    <w:rsid w:val="003F5AED"/>
    <w:rsid w:val="003F5B4C"/>
    <w:rsid w:val="003F5B6D"/>
    <w:rsid w:val="003F5C56"/>
    <w:rsid w:val="003F5F13"/>
    <w:rsid w:val="003F628B"/>
    <w:rsid w:val="003F65EB"/>
    <w:rsid w:val="003F6BB2"/>
    <w:rsid w:val="003F6C43"/>
    <w:rsid w:val="003F6EC8"/>
    <w:rsid w:val="003F70E5"/>
    <w:rsid w:val="003F744E"/>
    <w:rsid w:val="003F7774"/>
    <w:rsid w:val="003F7879"/>
    <w:rsid w:val="003F7A7F"/>
    <w:rsid w:val="003F7C2F"/>
    <w:rsid w:val="003F7E38"/>
    <w:rsid w:val="0040008D"/>
    <w:rsid w:val="0040019B"/>
    <w:rsid w:val="004001F5"/>
    <w:rsid w:val="004003A9"/>
    <w:rsid w:val="004004EE"/>
    <w:rsid w:val="0040051E"/>
    <w:rsid w:val="00400599"/>
    <w:rsid w:val="004005C4"/>
    <w:rsid w:val="00400667"/>
    <w:rsid w:val="0040067B"/>
    <w:rsid w:val="0040077D"/>
    <w:rsid w:val="0040081B"/>
    <w:rsid w:val="00400BF3"/>
    <w:rsid w:val="00400EF1"/>
    <w:rsid w:val="004010C2"/>
    <w:rsid w:val="0040145B"/>
    <w:rsid w:val="004014E3"/>
    <w:rsid w:val="0040150C"/>
    <w:rsid w:val="00401758"/>
    <w:rsid w:val="00401781"/>
    <w:rsid w:val="00401EC2"/>
    <w:rsid w:val="0040233E"/>
    <w:rsid w:val="00402433"/>
    <w:rsid w:val="0040245A"/>
    <w:rsid w:val="00402481"/>
    <w:rsid w:val="00402670"/>
    <w:rsid w:val="00402841"/>
    <w:rsid w:val="00402AD0"/>
    <w:rsid w:val="00402BA3"/>
    <w:rsid w:val="00402BD5"/>
    <w:rsid w:val="00402D3A"/>
    <w:rsid w:val="00402DEA"/>
    <w:rsid w:val="00402E4C"/>
    <w:rsid w:val="00402F96"/>
    <w:rsid w:val="0040311D"/>
    <w:rsid w:val="00403142"/>
    <w:rsid w:val="004032EB"/>
    <w:rsid w:val="00403328"/>
    <w:rsid w:val="00403786"/>
    <w:rsid w:val="0040391F"/>
    <w:rsid w:val="00403923"/>
    <w:rsid w:val="004039E4"/>
    <w:rsid w:val="00403DBF"/>
    <w:rsid w:val="00403FCA"/>
    <w:rsid w:val="004041DF"/>
    <w:rsid w:val="00404353"/>
    <w:rsid w:val="00404375"/>
    <w:rsid w:val="004044ED"/>
    <w:rsid w:val="0040484A"/>
    <w:rsid w:val="004049DE"/>
    <w:rsid w:val="00404A64"/>
    <w:rsid w:val="00404B36"/>
    <w:rsid w:val="00404D36"/>
    <w:rsid w:val="00404FD5"/>
    <w:rsid w:val="00405183"/>
    <w:rsid w:val="0040519F"/>
    <w:rsid w:val="004053FC"/>
    <w:rsid w:val="00405448"/>
    <w:rsid w:val="0040545A"/>
    <w:rsid w:val="00405496"/>
    <w:rsid w:val="00405510"/>
    <w:rsid w:val="0040558D"/>
    <w:rsid w:val="00405769"/>
    <w:rsid w:val="00405775"/>
    <w:rsid w:val="00405A98"/>
    <w:rsid w:val="00405B64"/>
    <w:rsid w:val="00405B6E"/>
    <w:rsid w:val="00405E51"/>
    <w:rsid w:val="00405FBD"/>
    <w:rsid w:val="004060A2"/>
    <w:rsid w:val="004061B2"/>
    <w:rsid w:val="0040623E"/>
    <w:rsid w:val="0040625B"/>
    <w:rsid w:val="00406409"/>
    <w:rsid w:val="004065B1"/>
    <w:rsid w:val="004067D0"/>
    <w:rsid w:val="004069AC"/>
    <w:rsid w:val="004069B0"/>
    <w:rsid w:val="00406C10"/>
    <w:rsid w:val="00406DC6"/>
    <w:rsid w:val="00406F12"/>
    <w:rsid w:val="00406F20"/>
    <w:rsid w:val="00407014"/>
    <w:rsid w:val="00407036"/>
    <w:rsid w:val="004071EC"/>
    <w:rsid w:val="004079A6"/>
    <w:rsid w:val="004079A7"/>
    <w:rsid w:val="00407A59"/>
    <w:rsid w:val="00407B17"/>
    <w:rsid w:val="00407B91"/>
    <w:rsid w:val="00407BD0"/>
    <w:rsid w:val="00407D2A"/>
    <w:rsid w:val="0041009D"/>
    <w:rsid w:val="00410271"/>
    <w:rsid w:val="00410369"/>
    <w:rsid w:val="004105D6"/>
    <w:rsid w:val="004107FB"/>
    <w:rsid w:val="00410908"/>
    <w:rsid w:val="004109DA"/>
    <w:rsid w:val="00410BF9"/>
    <w:rsid w:val="00410C8C"/>
    <w:rsid w:val="00410CFF"/>
    <w:rsid w:val="00411044"/>
    <w:rsid w:val="004110B4"/>
    <w:rsid w:val="004110D6"/>
    <w:rsid w:val="00411148"/>
    <w:rsid w:val="00411372"/>
    <w:rsid w:val="004114A0"/>
    <w:rsid w:val="00411567"/>
    <w:rsid w:val="004115CA"/>
    <w:rsid w:val="004115D5"/>
    <w:rsid w:val="00411856"/>
    <w:rsid w:val="00411B9A"/>
    <w:rsid w:val="00411BB1"/>
    <w:rsid w:val="00411BCF"/>
    <w:rsid w:val="00411BD8"/>
    <w:rsid w:val="00411C01"/>
    <w:rsid w:val="00411D2D"/>
    <w:rsid w:val="00411FD7"/>
    <w:rsid w:val="004120FB"/>
    <w:rsid w:val="0041244B"/>
    <w:rsid w:val="004125EA"/>
    <w:rsid w:val="0041263A"/>
    <w:rsid w:val="004126C6"/>
    <w:rsid w:val="00412BAE"/>
    <w:rsid w:val="00412BDC"/>
    <w:rsid w:val="00412C22"/>
    <w:rsid w:val="00412CF7"/>
    <w:rsid w:val="00412E31"/>
    <w:rsid w:val="00412F9C"/>
    <w:rsid w:val="00412FB9"/>
    <w:rsid w:val="00413189"/>
    <w:rsid w:val="0041319C"/>
    <w:rsid w:val="00413339"/>
    <w:rsid w:val="0041334C"/>
    <w:rsid w:val="004135FC"/>
    <w:rsid w:val="00413639"/>
    <w:rsid w:val="00413790"/>
    <w:rsid w:val="00413792"/>
    <w:rsid w:val="004137A8"/>
    <w:rsid w:val="0041384E"/>
    <w:rsid w:val="004138A3"/>
    <w:rsid w:val="004138AB"/>
    <w:rsid w:val="004138B9"/>
    <w:rsid w:val="004139A0"/>
    <w:rsid w:val="00413A84"/>
    <w:rsid w:val="00413AA2"/>
    <w:rsid w:val="00413C7E"/>
    <w:rsid w:val="00413CF8"/>
    <w:rsid w:val="0041405A"/>
    <w:rsid w:val="00414089"/>
    <w:rsid w:val="004142B3"/>
    <w:rsid w:val="00414428"/>
    <w:rsid w:val="0041452B"/>
    <w:rsid w:val="0041453D"/>
    <w:rsid w:val="00414663"/>
    <w:rsid w:val="00414664"/>
    <w:rsid w:val="00414868"/>
    <w:rsid w:val="004148AE"/>
    <w:rsid w:val="00414B16"/>
    <w:rsid w:val="00414EA3"/>
    <w:rsid w:val="00414FA6"/>
    <w:rsid w:val="00415071"/>
    <w:rsid w:val="0041523A"/>
    <w:rsid w:val="0041527F"/>
    <w:rsid w:val="004152B8"/>
    <w:rsid w:val="0041535E"/>
    <w:rsid w:val="004155BC"/>
    <w:rsid w:val="004155FC"/>
    <w:rsid w:val="00415889"/>
    <w:rsid w:val="004159AB"/>
    <w:rsid w:val="00415A90"/>
    <w:rsid w:val="00415AD5"/>
    <w:rsid w:val="00415BCE"/>
    <w:rsid w:val="00415CB6"/>
    <w:rsid w:val="00415D12"/>
    <w:rsid w:val="00415F6D"/>
    <w:rsid w:val="00415FF5"/>
    <w:rsid w:val="0041601F"/>
    <w:rsid w:val="0041622D"/>
    <w:rsid w:val="004162CA"/>
    <w:rsid w:val="004163EC"/>
    <w:rsid w:val="004163FD"/>
    <w:rsid w:val="00416839"/>
    <w:rsid w:val="00416DDC"/>
    <w:rsid w:val="00416DE9"/>
    <w:rsid w:val="00416FE4"/>
    <w:rsid w:val="0041756F"/>
    <w:rsid w:val="0041775E"/>
    <w:rsid w:val="00417777"/>
    <w:rsid w:val="004177D7"/>
    <w:rsid w:val="004179F7"/>
    <w:rsid w:val="00417A8E"/>
    <w:rsid w:val="00417A97"/>
    <w:rsid w:val="00417B31"/>
    <w:rsid w:val="00417C5E"/>
    <w:rsid w:val="00417D5F"/>
    <w:rsid w:val="00417E5E"/>
    <w:rsid w:val="00417FF8"/>
    <w:rsid w:val="00420129"/>
    <w:rsid w:val="00420527"/>
    <w:rsid w:val="00420555"/>
    <w:rsid w:val="004208A6"/>
    <w:rsid w:val="0042095A"/>
    <w:rsid w:val="00420973"/>
    <w:rsid w:val="00420AE3"/>
    <w:rsid w:val="00420B41"/>
    <w:rsid w:val="00420B9A"/>
    <w:rsid w:val="00420D2D"/>
    <w:rsid w:val="00420E2A"/>
    <w:rsid w:val="00421171"/>
    <w:rsid w:val="0042136F"/>
    <w:rsid w:val="00421383"/>
    <w:rsid w:val="00421420"/>
    <w:rsid w:val="0042154A"/>
    <w:rsid w:val="0042160C"/>
    <w:rsid w:val="004218D8"/>
    <w:rsid w:val="00421932"/>
    <w:rsid w:val="004220B9"/>
    <w:rsid w:val="004223E5"/>
    <w:rsid w:val="00422458"/>
    <w:rsid w:val="00422597"/>
    <w:rsid w:val="0042292A"/>
    <w:rsid w:val="00422962"/>
    <w:rsid w:val="00422A69"/>
    <w:rsid w:val="00422A96"/>
    <w:rsid w:val="00422B7B"/>
    <w:rsid w:val="00422EF6"/>
    <w:rsid w:val="00422FB1"/>
    <w:rsid w:val="00423009"/>
    <w:rsid w:val="004232AC"/>
    <w:rsid w:val="00423352"/>
    <w:rsid w:val="00423599"/>
    <w:rsid w:val="004236FB"/>
    <w:rsid w:val="00423701"/>
    <w:rsid w:val="004238A6"/>
    <w:rsid w:val="004238E0"/>
    <w:rsid w:val="00423976"/>
    <w:rsid w:val="00423A09"/>
    <w:rsid w:val="00423AAF"/>
    <w:rsid w:val="00423BE4"/>
    <w:rsid w:val="00423DF5"/>
    <w:rsid w:val="00423FE2"/>
    <w:rsid w:val="00424195"/>
    <w:rsid w:val="0042429F"/>
    <w:rsid w:val="00424357"/>
    <w:rsid w:val="004245BC"/>
    <w:rsid w:val="0042494B"/>
    <w:rsid w:val="00424ACA"/>
    <w:rsid w:val="00424AED"/>
    <w:rsid w:val="00424C1E"/>
    <w:rsid w:val="00424C33"/>
    <w:rsid w:val="00424D50"/>
    <w:rsid w:val="00424E26"/>
    <w:rsid w:val="00424E38"/>
    <w:rsid w:val="004250A3"/>
    <w:rsid w:val="00425199"/>
    <w:rsid w:val="004253E3"/>
    <w:rsid w:val="0042580D"/>
    <w:rsid w:val="004258AB"/>
    <w:rsid w:val="004259EF"/>
    <w:rsid w:val="00425A36"/>
    <w:rsid w:val="00425C45"/>
    <w:rsid w:val="00425C57"/>
    <w:rsid w:val="00425D7E"/>
    <w:rsid w:val="00425F8E"/>
    <w:rsid w:val="004262E5"/>
    <w:rsid w:val="00426509"/>
    <w:rsid w:val="00426547"/>
    <w:rsid w:val="004265EF"/>
    <w:rsid w:val="004266C4"/>
    <w:rsid w:val="004266CD"/>
    <w:rsid w:val="004267BF"/>
    <w:rsid w:val="00426841"/>
    <w:rsid w:val="0042699D"/>
    <w:rsid w:val="00426BC5"/>
    <w:rsid w:val="00426C28"/>
    <w:rsid w:val="00426C2F"/>
    <w:rsid w:val="00426FEF"/>
    <w:rsid w:val="00427041"/>
    <w:rsid w:val="0042735D"/>
    <w:rsid w:val="00427484"/>
    <w:rsid w:val="004274C2"/>
    <w:rsid w:val="00427525"/>
    <w:rsid w:val="00427672"/>
    <w:rsid w:val="0042790F"/>
    <w:rsid w:val="00427A15"/>
    <w:rsid w:val="00427A46"/>
    <w:rsid w:val="00427B23"/>
    <w:rsid w:val="00427D32"/>
    <w:rsid w:val="00427E9B"/>
    <w:rsid w:val="00430133"/>
    <w:rsid w:val="00430228"/>
    <w:rsid w:val="0043031E"/>
    <w:rsid w:val="0043042C"/>
    <w:rsid w:val="0043044F"/>
    <w:rsid w:val="0043087A"/>
    <w:rsid w:val="004308BE"/>
    <w:rsid w:val="00430B10"/>
    <w:rsid w:val="00430B9C"/>
    <w:rsid w:val="00430C67"/>
    <w:rsid w:val="00430DC6"/>
    <w:rsid w:val="00430DD7"/>
    <w:rsid w:val="00430E21"/>
    <w:rsid w:val="00430E45"/>
    <w:rsid w:val="00431174"/>
    <w:rsid w:val="004311D2"/>
    <w:rsid w:val="00431520"/>
    <w:rsid w:val="00431555"/>
    <w:rsid w:val="0043159B"/>
    <w:rsid w:val="004315D3"/>
    <w:rsid w:val="00431698"/>
    <w:rsid w:val="0043177A"/>
    <w:rsid w:val="0043177F"/>
    <w:rsid w:val="00431806"/>
    <w:rsid w:val="00431927"/>
    <w:rsid w:val="0043199F"/>
    <w:rsid w:val="00431A0A"/>
    <w:rsid w:val="00431A5C"/>
    <w:rsid w:val="00431BA7"/>
    <w:rsid w:val="00431C2F"/>
    <w:rsid w:val="00431F16"/>
    <w:rsid w:val="004320DD"/>
    <w:rsid w:val="0043213A"/>
    <w:rsid w:val="004321AF"/>
    <w:rsid w:val="0043231E"/>
    <w:rsid w:val="004324FC"/>
    <w:rsid w:val="00432567"/>
    <w:rsid w:val="0043256C"/>
    <w:rsid w:val="00432800"/>
    <w:rsid w:val="00432908"/>
    <w:rsid w:val="004329DC"/>
    <w:rsid w:val="00432A9E"/>
    <w:rsid w:val="00432B37"/>
    <w:rsid w:val="00432C47"/>
    <w:rsid w:val="00432CAA"/>
    <w:rsid w:val="00432D28"/>
    <w:rsid w:val="00432F17"/>
    <w:rsid w:val="00433191"/>
    <w:rsid w:val="00433608"/>
    <w:rsid w:val="004339B8"/>
    <w:rsid w:val="00433BFC"/>
    <w:rsid w:val="00433C8C"/>
    <w:rsid w:val="004340EF"/>
    <w:rsid w:val="004343AD"/>
    <w:rsid w:val="0043452D"/>
    <w:rsid w:val="00434578"/>
    <w:rsid w:val="00434636"/>
    <w:rsid w:val="00434655"/>
    <w:rsid w:val="00434B2C"/>
    <w:rsid w:val="00434BA6"/>
    <w:rsid w:val="00434C8B"/>
    <w:rsid w:val="00434DBF"/>
    <w:rsid w:val="00434F62"/>
    <w:rsid w:val="00434FC0"/>
    <w:rsid w:val="00434FD4"/>
    <w:rsid w:val="004350A9"/>
    <w:rsid w:val="004350C2"/>
    <w:rsid w:val="00435549"/>
    <w:rsid w:val="00435741"/>
    <w:rsid w:val="00435783"/>
    <w:rsid w:val="00435886"/>
    <w:rsid w:val="00435897"/>
    <w:rsid w:val="00435CC5"/>
    <w:rsid w:val="00435F5F"/>
    <w:rsid w:val="00436200"/>
    <w:rsid w:val="004362D3"/>
    <w:rsid w:val="0043631A"/>
    <w:rsid w:val="004363B8"/>
    <w:rsid w:val="00436430"/>
    <w:rsid w:val="0043669B"/>
    <w:rsid w:val="0043682C"/>
    <w:rsid w:val="004369B6"/>
    <w:rsid w:val="004369F4"/>
    <w:rsid w:val="00436B33"/>
    <w:rsid w:val="00436C8D"/>
    <w:rsid w:val="004370F6"/>
    <w:rsid w:val="004370F9"/>
    <w:rsid w:val="004372AC"/>
    <w:rsid w:val="004372F3"/>
    <w:rsid w:val="00437418"/>
    <w:rsid w:val="00437519"/>
    <w:rsid w:val="00437670"/>
    <w:rsid w:val="004376DC"/>
    <w:rsid w:val="00437AF7"/>
    <w:rsid w:val="00437E14"/>
    <w:rsid w:val="0044013B"/>
    <w:rsid w:val="00440249"/>
    <w:rsid w:val="00440334"/>
    <w:rsid w:val="004403B6"/>
    <w:rsid w:val="004404CF"/>
    <w:rsid w:val="004406B7"/>
    <w:rsid w:val="00440719"/>
    <w:rsid w:val="004408DC"/>
    <w:rsid w:val="00440A4C"/>
    <w:rsid w:val="00440A51"/>
    <w:rsid w:val="00440A8F"/>
    <w:rsid w:val="00440B6E"/>
    <w:rsid w:val="00440D04"/>
    <w:rsid w:val="00440DAF"/>
    <w:rsid w:val="00440E0A"/>
    <w:rsid w:val="00440E95"/>
    <w:rsid w:val="00440EE4"/>
    <w:rsid w:val="00440F30"/>
    <w:rsid w:val="00440F43"/>
    <w:rsid w:val="00440FAD"/>
    <w:rsid w:val="00441296"/>
    <w:rsid w:val="004414AD"/>
    <w:rsid w:val="00441513"/>
    <w:rsid w:val="004418C5"/>
    <w:rsid w:val="004418C6"/>
    <w:rsid w:val="004418DB"/>
    <w:rsid w:val="00441D50"/>
    <w:rsid w:val="00441E4F"/>
    <w:rsid w:val="00441E5D"/>
    <w:rsid w:val="00441EDE"/>
    <w:rsid w:val="00442046"/>
    <w:rsid w:val="0044228C"/>
    <w:rsid w:val="0044268A"/>
    <w:rsid w:val="0044286C"/>
    <w:rsid w:val="004429F3"/>
    <w:rsid w:val="00442C23"/>
    <w:rsid w:val="00442F37"/>
    <w:rsid w:val="00442F43"/>
    <w:rsid w:val="0044329A"/>
    <w:rsid w:val="004433E9"/>
    <w:rsid w:val="0044365F"/>
    <w:rsid w:val="00443781"/>
    <w:rsid w:val="00443850"/>
    <w:rsid w:val="00443A2A"/>
    <w:rsid w:val="00443BEE"/>
    <w:rsid w:val="00443E62"/>
    <w:rsid w:val="00443E6D"/>
    <w:rsid w:val="00443F58"/>
    <w:rsid w:val="00443FC4"/>
    <w:rsid w:val="004442B0"/>
    <w:rsid w:val="00444329"/>
    <w:rsid w:val="0044441D"/>
    <w:rsid w:val="0044456E"/>
    <w:rsid w:val="00444575"/>
    <w:rsid w:val="004445C5"/>
    <w:rsid w:val="004446DB"/>
    <w:rsid w:val="00444856"/>
    <w:rsid w:val="0044493D"/>
    <w:rsid w:val="00444985"/>
    <w:rsid w:val="004449C0"/>
    <w:rsid w:val="00444A2D"/>
    <w:rsid w:val="00444B60"/>
    <w:rsid w:val="00444BB3"/>
    <w:rsid w:val="00444CC2"/>
    <w:rsid w:val="00444D40"/>
    <w:rsid w:val="00444D43"/>
    <w:rsid w:val="00444D76"/>
    <w:rsid w:val="00444DAE"/>
    <w:rsid w:val="00444E10"/>
    <w:rsid w:val="00444E7D"/>
    <w:rsid w:val="00445223"/>
    <w:rsid w:val="0044539F"/>
    <w:rsid w:val="0044546C"/>
    <w:rsid w:val="00445816"/>
    <w:rsid w:val="0044583E"/>
    <w:rsid w:val="0044584C"/>
    <w:rsid w:val="0044584E"/>
    <w:rsid w:val="0044589C"/>
    <w:rsid w:val="0044589D"/>
    <w:rsid w:val="00445903"/>
    <w:rsid w:val="00445A54"/>
    <w:rsid w:val="00445C1E"/>
    <w:rsid w:val="00445CF1"/>
    <w:rsid w:val="00445D0D"/>
    <w:rsid w:val="00445D36"/>
    <w:rsid w:val="00445EA4"/>
    <w:rsid w:val="00445EEE"/>
    <w:rsid w:val="004464A1"/>
    <w:rsid w:val="004465A9"/>
    <w:rsid w:val="004468B9"/>
    <w:rsid w:val="004468FA"/>
    <w:rsid w:val="00446A93"/>
    <w:rsid w:val="00446B72"/>
    <w:rsid w:val="00446CCD"/>
    <w:rsid w:val="00446E89"/>
    <w:rsid w:val="00446EC7"/>
    <w:rsid w:val="00447163"/>
    <w:rsid w:val="00447355"/>
    <w:rsid w:val="0044763D"/>
    <w:rsid w:val="00447655"/>
    <w:rsid w:val="0044790E"/>
    <w:rsid w:val="00447C25"/>
    <w:rsid w:val="00447CC9"/>
    <w:rsid w:val="00447DEB"/>
    <w:rsid w:val="00450032"/>
    <w:rsid w:val="004501DF"/>
    <w:rsid w:val="00450313"/>
    <w:rsid w:val="00450374"/>
    <w:rsid w:val="00450583"/>
    <w:rsid w:val="0045081C"/>
    <w:rsid w:val="0045086A"/>
    <w:rsid w:val="0045088C"/>
    <w:rsid w:val="0045092C"/>
    <w:rsid w:val="00450B46"/>
    <w:rsid w:val="00450D7F"/>
    <w:rsid w:val="00450DB3"/>
    <w:rsid w:val="00450ECB"/>
    <w:rsid w:val="004510C2"/>
    <w:rsid w:val="0045128D"/>
    <w:rsid w:val="004512C7"/>
    <w:rsid w:val="00451388"/>
    <w:rsid w:val="00451528"/>
    <w:rsid w:val="00451621"/>
    <w:rsid w:val="0045169C"/>
    <w:rsid w:val="004516AF"/>
    <w:rsid w:val="00451A65"/>
    <w:rsid w:val="00451AFB"/>
    <w:rsid w:val="00451E6E"/>
    <w:rsid w:val="00452066"/>
    <w:rsid w:val="0045236C"/>
    <w:rsid w:val="004526B5"/>
    <w:rsid w:val="004526FD"/>
    <w:rsid w:val="00452718"/>
    <w:rsid w:val="004527D0"/>
    <w:rsid w:val="00452932"/>
    <w:rsid w:val="00452AD0"/>
    <w:rsid w:val="00452BC5"/>
    <w:rsid w:val="00452C2A"/>
    <w:rsid w:val="00452C57"/>
    <w:rsid w:val="00452CA2"/>
    <w:rsid w:val="00452D19"/>
    <w:rsid w:val="00452DEC"/>
    <w:rsid w:val="00452EA7"/>
    <w:rsid w:val="00453051"/>
    <w:rsid w:val="00453327"/>
    <w:rsid w:val="004533E0"/>
    <w:rsid w:val="004536C3"/>
    <w:rsid w:val="0045380F"/>
    <w:rsid w:val="0045396E"/>
    <w:rsid w:val="00453B1F"/>
    <w:rsid w:val="00453D77"/>
    <w:rsid w:val="0045404B"/>
    <w:rsid w:val="00454079"/>
    <w:rsid w:val="004540F4"/>
    <w:rsid w:val="0045430A"/>
    <w:rsid w:val="00454322"/>
    <w:rsid w:val="0045433D"/>
    <w:rsid w:val="004545CC"/>
    <w:rsid w:val="00454C74"/>
    <w:rsid w:val="00454C92"/>
    <w:rsid w:val="00454E15"/>
    <w:rsid w:val="00454EB7"/>
    <w:rsid w:val="004552BE"/>
    <w:rsid w:val="0045539E"/>
    <w:rsid w:val="0045541E"/>
    <w:rsid w:val="00455613"/>
    <w:rsid w:val="00455622"/>
    <w:rsid w:val="0045591B"/>
    <w:rsid w:val="00455949"/>
    <w:rsid w:val="004559D3"/>
    <w:rsid w:val="004559E7"/>
    <w:rsid w:val="00455C22"/>
    <w:rsid w:val="00455E98"/>
    <w:rsid w:val="00455F2D"/>
    <w:rsid w:val="00456239"/>
    <w:rsid w:val="00456285"/>
    <w:rsid w:val="00456602"/>
    <w:rsid w:val="0045673D"/>
    <w:rsid w:val="00456CCA"/>
    <w:rsid w:val="00456E17"/>
    <w:rsid w:val="00457245"/>
    <w:rsid w:val="0045748F"/>
    <w:rsid w:val="004574F2"/>
    <w:rsid w:val="004576AD"/>
    <w:rsid w:val="00457998"/>
    <w:rsid w:val="00457C47"/>
    <w:rsid w:val="00457DD5"/>
    <w:rsid w:val="00457FA3"/>
    <w:rsid w:val="00460049"/>
    <w:rsid w:val="004601CC"/>
    <w:rsid w:val="004602CD"/>
    <w:rsid w:val="00460672"/>
    <w:rsid w:val="004606CD"/>
    <w:rsid w:val="00460719"/>
    <w:rsid w:val="00460745"/>
    <w:rsid w:val="00460889"/>
    <w:rsid w:val="00460ACD"/>
    <w:rsid w:val="00460AF8"/>
    <w:rsid w:val="00460C8C"/>
    <w:rsid w:val="00460E2E"/>
    <w:rsid w:val="00461347"/>
    <w:rsid w:val="0046135B"/>
    <w:rsid w:val="00461797"/>
    <w:rsid w:val="004617ED"/>
    <w:rsid w:val="00461A7B"/>
    <w:rsid w:val="00461B0D"/>
    <w:rsid w:val="00461B1B"/>
    <w:rsid w:val="00461D53"/>
    <w:rsid w:val="00461E2E"/>
    <w:rsid w:val="004620FD"/>
    <w:rsid w:val="00462629"/>
    <w:rsid w:val="004627A2"/>
    <w:rsid w:val="004628A0"/>
    <w:rsid w:val="00462A2E"/>
    <w:rsid w:val="00462B16"/>
    <w:rsid w:val="00462BBB"/>
    <w:rsid w:val="00462C09"/>
    <w:rsid w:val="00462D64"/>
    <w:rsid w:val="00462E59"/>
    <w:rsid w:val="00462E61"/>
    <w:rsid w:val="00462F12"/>
    <w:rsid w:val="00463165"/>
    <w:rsid w:val="004632F0"/>
    <w:rsid w:val="00463575"/>
    <w:rsid w:val="00463656"/>
    <w:rsid w:val="0046377F"/>
    <w:rsid w:val="004639BD"/>
    <w:rsid w:val="00463A4D"/>
    <w:rsid w:val="00463D32"/>
    <w:rsid w:val="00463D96"/>
    <w:rsid w:val="00463DEC"/>
    <w:rsid w:val="0046402F"/>
    <w:rsid w:val="004640AE"/>
    <w:rsid w:val="004641ED"/>
    <w:rsid w:val="004643E0"/>
    <w:rsid w:val="00464488"/>
    <w:rsid w:val="00464490"/>
    <w:rsid w:val="00464678"/>
    <w:rsid w:val="004646AB"/>
    <w:rsid w:val="00464B88"/>
    <w:rsid w:val="00464BA5"/>
    <w:rsid w:val="00464C04"/>
    <w:rsid w:val="00464C34"/>
    <w:rsid w:val="00464C64"/>
    <w:rsid w:val="00464D06"/>
    <w:rsid w:val="00464E10"/>
    <w:rsid w:val="00464E56"/>
    <w:rsid w:val="00464F14"/>
    <w:rsid w:val="00465127"/>
    <w:rsid w:val="00465158"/>
    <w:rsid w:val="0046523A"/>
    <w:rsid w:val="004653CF"/>
    <w:rsid w:val="004655D1"/>
    <w:rsid w:val="00465604"/>
    <w:rsid w:val="0046595D"/>
    <w:rsid w:val="00465968"/>
    <w:rsid w:val="00465B99"/>
    <w:rsid w:val="00465BCE"/>
    <w:rsid w:val="00465D61"/>
    <w:rsid w:val="00465F69"/>
    <w:rsid w:val="004661ED"/>
    <w:rsid w:val="00466422"/>
    <w:rsid w:val="004665CF"/>
    <w:rsid w:val="0046691E"/>
    <w:rsid w:val="00466A12"/>
    <w:rsid w:val="00466AC3"/>
    <w:rsid w:val="00466C06"/>
    <w:rsid w:val="00466DC0"/>
    <w:rsid w:val="00466FD4"/>
    <w:rsid w:val="0046703F"/>
    <w:rsid w:val="00467313"/>
    <w:rsid w:val="004673BB"/>
    <w:rsid w:val="00467680"/>
    <w:rsid w:val="004676F4"/>
    <w:rsid w:val="00467AA9"/>
    <w:rsid w:val="00467B5C"/>
    <w:rsid w:val="00467D5A"/>
    <w:rsid w:val="00467F87"/>
    <w:rsid w:val="00470024"/>
    <w:rsid w:val="00470030"/>
    <w:rsid w:val="00470341"/>
    <w:rsid w:val="004703D7"/>
    <w:rsid w:val="00470528"/>
    <w:rsid w:val="00470622"/>
    <w:rsid w:val="004708AC"/>
    <w:rsid w:val="00470BAE"/>
    <w:rsid w:val="00470DD7"/>
    <w:rsid w:val="00470DE5"/>
    <w:rsid w:val="00471449"/>
    <w:rsid w:val="00471587"/>
    <w:rsid w:val="004719C0"/>
    <w:rsid w:val="00471A6A"/>
    <w:rsid w:val="00471B87"/>
    <w:rsid w:val="00471D58"/>
    <w:rsid w:val="00471DA9"/>
    <w:rsid w:val="00471FB3"/>
    <w:rsid w:val="00472291"/>
    <w:rsid w:val="0047233E"/>
    <w:rsid w:val="004723B1"/>
    <w:rsid w:val="0047240E"/>
    <w:rsid w:val="00472412"/>
    <w:rsid w:val="004727AB"/>
    <w:rsid w:val="0047286B"/>
    <w:rsid w:val="0047288E"/>
    <w:rsid w:val="00472918"/>
    <w:rsid w:val="004729B5"/>
    <w:rsid w:val="004729E8"/>
    <w:rsid w:val="00472B46"/>
    <w:rsid w:val="00472B47"/>
    <w:rsid w:val="00472E28"/>
    <w:rsid w:val="0047303E"/>
    <w:rsid w:val="00473066"/>
    <w:rsid w:val="00473117"/>
    <w:rsid w:val="00473488"/>
    <w:rsid w:val="004734A2"/>
    <w:rsid w:val="00473526"/>
    <w:rsid w:val="00473696"/>
    <w:rsid w:val="00473822"/>
    <w:rsid w:val="00473A1A"/>
    <w:rsid w:val="00473D7F"/>
    <w:rsid w:val="00473F4B"/>
    <w:rsid w:val="00473F79"/>
    <w:rsid w:val="00474177"/>
    <w:rsid w:val="00474216"/>
    <w:rsid w:val="00474251"/>
    <w:rsid w:val="00474254"/>
    <w:rsid w:val="004744BA"/>
    <w:rsid w:val="004744E7"/>
    <w:rsid w:val="00474835"/>
    <w:rsid w:val="004749A3"/>
    <w:rsid w:val="00474A2C"/>
    <w:rsid w:val="00474B14"/>
    <w:rsid w:val="00474F74"/>
    <w:rsid w:val="00474FB7"/>
    <w:rsid w:val="00475159"/>
    <w:rsid w:val="00475182"/>
    <w:rsid w:val="004751AB"/>
    <w:rsid w:val="004751D6"/>
    <w:rsid w:val="004755B1"/>
    <w:rsid w:val="00475744"/>
    <w:rsid w:val="00475972"/>
    <w:rsid w:val="00475A50"/>
    <w:rsid w:val="00475C6F"/>
    <w:rsid w:val="00475E09"/>
    <w:rsid w:val="00475EEA"/>
    <w:rsid w:val="00475F55"/>
    <w:rsid w:val="00475F96"/>
    <w:rsid w:val="00475FD0"/>
    <w:rsid w:val="00476238"/>
    <w:rsid w:val="004762D6"/>
    <w:rsid w:val="00476378"/>
    <w:rsid w:val="004764F4"/>
    <w:rsid w:val="0047656F"/>
    <w:rsid w:val="004765BE"/>
    <w:rsid w:val="004766AA"/>
    <w:rsid w:val="004767E5"/>
    <w:rsid w:val="004768E1"/>
    <w:rsid w:val="00476A87"/>
    <w:rsid w:val="00476B57"/>
    <w:rsid w:val="00476C70"/>
    <w:rsid w:val="00477001"/>
    <w:rsid w:val="004770E2"/>
    <w:rsid w:val="00477220"/>
    <w:rsid w:val="00477312"/>
    <w:rsid w:val="00477421"/>
    <w:rsid w:val="0047747F"/>
    <w:rsid w:val="004774DE"/>
    <w:rsid w:val="004775EA"/>
    <w:rsid w:val="004775F8"/>
    <w:rsid w:val="00477601"/>
    <w:rsid w:val="004776A4"/>
    <w:rsid w:val="0047786A"/>
    <w:rsid w:val="004778D2"/>
    <w:rsid w:val="00477B38"/>
    <w:rsid w:val="00477B40"/>
    <w:rsid w:val="00477BF4"/>
    <w:rsid w:val="00477BF5"/>
    <w:rsid w:val="00477E44"/>
    <w:rsid w:val="00477F7D"/>
    <w:rsid w:val="00477FF5"/>
    <w:rsid w:val="004801B5"/>
    <w:rsid w:val="004803B1"/>
    <w:rsid w:val="00480553"/>
    <w:rsid w:val="00480565"/>
    <w:rsid w:val="004805A6"/>
    <w:rsid w:val="0048073D"/>
    <w:rsid w:val="00480883"/>
    <w:rsid w:val="00480AC4"/>
    <w:rsid w:val="00480C2E"/>
    <w:rsid w:val="00480D57"/>
    <w:rsid w:val="00480EED"/>
    <w:rsid w:val="00481479"/>
    <w:rsid w:val="004814AF"/>
    <w:rsid w:val="004814BD"/>
    <w:rsid w:val="00481695"/>
    <w:rsid w:val="004816D6"/>
    <w:rsid w:val="0048185A"/>
    <w:rsid w:val="004818E0"/>
    <w:rsid w:val="00481A04"/>
    <w:rsid w:val="004823FC"/>
    <w:rsid w:val="0048244A"/>
    <w:rsid w:val="0048250B"/>
    <w:rsid w:val="00482537"/>
    <w:rsid w:val="00482662"/>
    <w:rsid w:val="0048266C"/>
    <w:rsid w:val="0048267E"/>
    <w:rsid w:val="004827C7"/>
    <w:rsid w:val="00482846"/>
    <w:rsid w:val="00482A34"/>
    <w:rsid w:val="00482A58"/>
    <w:rsid w:val="00482BF2"/>
    <w:rsid w:val="00482C4B"/>
    <w:rsid w:val="004830A8"/>
    <w:rsid w:val="00483163"/>
    <w:rsid w:val="004831C1"/>
    <w:rsid w:val="0048358A"/>
    <w:rsid w:val="00483770"/>
    <w:rsid w:val="004837B3"/>
    <w:rsid w:val="0048385A"/>
    <w:rsid w:val="00483A9F"/>
    <w:rsid w:val="00483B9F"/>
    <w:rsid w:val="00483BB0"/>
    <w:rsid w:val="00483BCD"/>
    <w:rsid w:val="00483F19"/>
    <w:rsid w:val="00483F68"/>
    <w:rsid w:val="00483F71"/>
    <w:rsid w:val="00483FEC"/>
    <w:rsid w:val="00484023"/>
    <w:rsid w:val="0048416C"/>
    <w:rsid w:val="0048418D"/>
    <w:rsid w:val="00484566"/>
    <w:rsid w:val="0048469A"/>
    <w:rsid w:val="004846E1"/>
    <w:rsid w:val="004848BF"/>
    <w:rsid w:val="00484B75"/>
    <w:rsid w:val="00484C74"/>
    <w:rsid w:val="00484CDD"/>
    <w:rsid w:val="00484D2A"/>
    <w:rsid w:val="00484E4C"/>
    <w:rsid w:val="0048507E"/>
    <w:rsid w:val="004850DF"/>
    <w:rsid w:val="00485348"/>
    <w:rsid w:val="00485363"/>
    <w:rsid w:val="004854E1"/>
    <w:rsid w:val="004856F9"/>
    <w:rsid w:val="00485729"/>
    <w:rsid w:val="00485767"/>
    <w:rsid w:val="00485969"/>
    <w:rsid w:val="00485C0D"/>
    <w:rsid w:val="00485E50"/>
    <w:rsid w:val="00485FAA"/>
    <w:rsid w:val="00486105"/>
    <w:rsid w:val="00486129"/>
    <w:rsid w:val="0048618A"/>
    <w:rsid w:val="0048619C"/>
    <w:rsid w:val="00486235"/>
    <w:rsid w:val="004862BA"/>
    <w:rsid w:val="0048632C"/>
    <w:rsid w:val="004863CD"/>
    <w:rsid w:val="00486582"/>
    <w:rsid w:val="00486632"/>
    <w:rsid w:val="0048673E"/>
    <w:rsid w:val="0048679B"/>
    <w:rsid w:val="0048681E"/>
    <w:rsid w:val="00486CAC"/>
    <w:rsid w:val="00486FD0"/>
    <w:rsid w:val="00487114"/>
    <w:rsid w:val="004872AB"/>
    <w:rsid w:val="004872F8"/>
    <w:rsid w:val="00487403"/>
    <w:rsid w:val="00487530"/>
    <w:rsid w:val="00487928"/>
    <w:rsid w:val="00487F7A"/>
    <w:rsid w:val="0049006C"/>
    <w:rsid w:val="004903D4"/>
    <w:rsid w:val="0049056D"/>
    <w:rsid w:val="00490586"/>
    <w:rsid w:val="00490602"/>
    <w:rsid w:val="00490610"/>
    <w:rsid w:val="00490612"/>
    <w:rsid w:val="00490662"/>
    <w:rsid w:val="0049071F"/>
    <w:rsid w:val="00490762"/>
    <w:rsid w:val="00490841"/>
    <w:rsid w:val="004909A2"/>
    <w:rsid w:val="00490A9A"/>
    <w:rsid w:val="00490B41"/>
    <w:rsid w:val="00490E3D"/>
    <w:rsid w:val="00490FB6"/>
    <w:rsid w:val="00491322"/>
    <w:rsid w:val="00491695"/>
    <w:rsid w:val="00491705"/>
    <w:rsid w:val="0049179E"/>
    <w:rsid w:val="00491B28"/>
    <w:rsid w:val="00491D98"/>
    <w:rsid w:val="00491E60"/>
    <w:rsid w:val="00492076"/>
    <w:rsid w:val="004921DE"/>
    <w:rsid w:val="00492243"/>
    <w:rsid w:val="0049232F"/>
    <w:rsid w:val="004923FA"/>
    <w:rsid w:val="0049251A"/>
    <w:rsid w:val="0049254A"/>
    <w:rsid w:val="00492726"/>
    <w:rsid w:val="004927ED"/>
    <w:rsid w:val="0049286E"/>
    <w:rsid w:val="00492888"/>
    <w:rsid w:val="00492BDC"/>
    <w:rsid w:val="00492C7D"/>
    <w:rsid w:val="00492D11"/>
    <w:rsid w:val="00492E20"/>
    <w:rsid w:val="00492E88"/>
    <w:rsid w:val="00492EFE"/>
    <w:rsid w:val="00492F74"/>
    <w:rsid w:val="00493058"/>
    <w:rsid w:val="00493252"/>
    <w:rsid w:val="00493472"/>
    <w:rsid w:val="00493785"/>
    <w:rsid w:val="00493812"/>
    <w:rsid w:val="004938AB"/>
    <w:rsid w:val="00493A1A"/>
    <w:rsid w:val="00493CE3"/>
    <w:rsid w:val="00493D9A"/>
    <w:rsid w:val="00493DD6"/>
    <w:rsid w:val="00493E73"/>
    <w:rsid w:val="00493F6E"/>
    <w:rsid w:val="00493F8A"/>
    <w:rsid w:val="00493FE7"/>
    <w:rsid w:val="004940BA"/>
    <w:rsid w:val="004942F0"/>
    <w:rsid w:val="00494345"/>
    <w:rsid w:val="00494381"/>
    <w:rsid w:val="0049438A"/>
    <w:rsid w:val="004945FA"/>
    <w:rsid w:val="004948D8"/>
    <w:rsid w:val="0049490B"/>
    <w:rsid w:val="00494973"/>
    <w:rsid w:val="0049497D"/>
    <w:rsid w:val="004949D1"/>
    <w:rsid w:val="00494A1D"/>
    <w:rsid w:val="00494B1B"/>
    <w:rsid w:val="00494B9B"/>
    <w:rsid w:val="00494E9C"/>
    <w:rsid w:val="00494ECB"/>
    <w:rsid w:val="00494F55"/>
    <w:rsid w:val="00494FB5"/>
    <w:rsid w:val="00495083"/>
    <w:rsid w:val="0049516E"/>
    <w:rsid w:val="00495170"/>
    <w:rsid w:val="00495564"/>
    <w:rsid w:val="004955DE"/>
    <w:rsid w:val="004956E5"/>
    <w:rsid w:val="004958B8"/>
    <w:rsid w:val="00495AB3"/>
    <w:rsid w:val="00495C2A"/>
    <w:rsid w:val="00495CA3"/>
    <w:rsid w:val="00495DD1"/>
    <w:rsid w:val="00495E15"/>
    <w:rsid w:val="00495F4A"/>
    <w:rsid w:val="00495F4B"/>
    <w:rsid w:val="00496143"/>
    <w:rsid w:val="004961D1"/>
    <w:rsid w:val="00496242"/>
    <w:rsid w:val="0049628E"/>
    <w:rsid w:val="004963AD"/>
    <w:rsid w:val="00496494"/>
    <w:rsid w:val="004965EB"/>
    <w:rsid w:val="00496682"/>
    <w:rsid w:val="004966BF"/>
    <w:rsid w:val="0049676A"/>
    <w:rsid w:val="004967E1"/>
    <w:rsid w:val="004967E9"/>
    <w:rsid w:val="00496C09"/>
    <w:rsid w:val="004972FB"/>
    <w:rsid w:val="004975D8"/>
    <w:rsid w:val="0049766A"/>
    <w:rsid w:val="004976B6"/>
    <w:rsid w:val="00497706"/>
    <w:rsid w:val="0049785F"/>
    <w:rsid w:val="00497861"/>
    <w:rsid w:val="004978BC"/>
    <w:rsid w:val="004979CC"/>
    <w:rsid w:val="00497A06"/>
    <w:rsid w:val="00497A36"/>
    <w:rsid w:val="00497A7A"/>
    <w:rsid w:val="00497B9D"/>
    <w:rsid w:val="00497C93"/>
    <w:rsid w:val="00497ECB"/>
    <w:rsid w:val="004A0023"/>
    <w:rsid w:val="004A0078"/>
    <w:rsid w:val="004A008D"/>
    <w:rsid w:val="004A0361"/>
    <w:rsid w:val="004A03DF"/>
    <w:rsid w:val="004A0540"/>
    <w:rsid w:val="004A072A"/>
    <w:rsid w:val="004A07A0"/>
    <w:rsid w:val="004A088B"/>
    <w:rsid w:val="004A0F59"/>
    <w:rsid w:val="004A1189"/>
    <w:rsid w:val="004A129F"/>
    <w:rsid w:val="004A1438"/>
    <w:rsid w:val="004A1529"/>
    <w:rsid w:val="004A1611"/>
    <w:rsid w:val="004A1709"/>
    <w:rsid w:val="004A19A3"/>
    <w:rsid w:val="004A1AA6"/>
    <w:rsid w:val="004A1B39"/>
    <w:rsid w:val="004A1EAA"/>
    <w:rsid w:val="004A22DD"/>
    <w:rsid w:val="004A235B"/>
    <w:rsid w:val="004A2378"/>
    <w:rsid w:val="004A2573"/>
    <w:rsid w:val="004A25C2"/>
    <w:rsid w:val="004A25DC"/>
    <w:rsid w:val="004A26F2"/>
    <w:rsid w:val="004A2766"/>
    <w:rsid w:val="004A2819"/>
    <w:rsid w:val="004A28C3"/>
    <w:rsid w:val="004A29D2"/>
    <w:rsid w:val="004A2B98"/>
    <w:rsid w:val="004A2D92"/>
    <w:rsid w:val="004A2F51"/>
    <w:rsid w:val="004A2F82"/>
    <w:rsid w:val="004A2FB9"/>
    <w:rsid w:val="004A300F"/>
    <w:rsid w:val="004A30EA"/>
    <w:rsid w:val="004A34C7"/>
    <w:rsid w:val="004A36EF"/>
    <w:rsid w:val="004A389F"/>
    <w:rsid w:val="004A38D8"/>
    <w:rsid w:val="004A3A42"/>
    <w:rsid w:val="004A3B32"/>
    <w:rsid w:val="004A3BBF"/>
    <w:rsid w:val="004A3D74"/>
    <w:rsid w:val="004A3E2C"/>
    <w:rsid w:val="004A3E80"/>
    <w:rsid w:val="004A44C0"/>
    <w:rsid w:val="004A4855"/>
    <w:rsid w:val="004A49F1"/>
    <w:rsid w:val="004A4A91"/>
    <w:rsid w:val="004A4B2E"/>
    <w:rsid w:val="004A5240"/>
    <w:rsid w:val="004A52D6"/>
    <w:rsid w:val="004A5386"/>
    <w:rsid w:val="004A5389"/>
    <w:rsid w:val="004A5484"/>
    <w:rsid w:val="004A54BE"/>
    <w:rsid w:val="004A56BA"/>
    <w:rsid w:val="004A5B16"/>
    <w:rsid w:val="004A5B74"/>
    <w:rsid w:val="004A5B95"/>
    <w:rsid w:val="004A601C"/>
    <w:rsid w:val="004A60EE"/>
    <w:rsid w:val="004A623B"/>
    <w:rsid w:val="004A629B"/>
    <w:rsid w:val="004A6549"/>
    <w:rsid w:val="004A68B5"/>
    <w:rsid w:val="004A6A6E"/>
    <w:rsid w:val="004A6B57"/>
    <w:rsid w:val="004A6B84"/>
    <w:rsid w:val="004A6BB6"/>
    <w:rsid w:val="004A6C04"/>
    <w:rsid w:val="004A6C3B"/>
    <w:rsid w:val="004A6F34"/>
    <w:rsid w:val="004A7001"/>
    <w:rsid w:val="004A70C0"/>
    <w:rsid w:val="004A74DC"/>
    <w:rsid w:val="004A78C0"/>
    <w:rsid w:val="004A7ADF"/>
    <w:rsid w:val="004A7B38"/>
    <w:rsid w:val="004A7BFB"/>
    <w:rsid w:val="004A7E01"/>
    <w:rsid w:val="004A7E5E"/>
    <w:rsid w:val="004A7F1A"/>
    <w:rsid w:val="004A7F3B"/>
    <w:rsid w:val="004B00DC"/>
    <w:rsid w:val="004B02F6"/>
    <w:rsid w:val="004B0331"/>
    <w:rsid w:val="004B0405"/>
    <w:rsid w:val="004B0560"/>
    <w:rsid w:val="004B060E"/>
    <w:rsid w:val="004B067A"/>
    <w:rsid w:val="004B0779"/>
    <w:rsid w:val="004B081F"/>
    <w:rsid w:val="004B08D4"/>
    <w:rsid w:val="004B0A0D"/>
    <w:rsid w:val="004B0AAF"/>
    <w:rsid w:val="004B0AE8"/>
    <w:rsid w:val="004B0DF0"/>
    <w:rsid w:val="004B0E0F"/>
    <w:rsid w:val="004B0EA1"/>
    <w:rsid w:val="004B103A"/>
    <w:rsid w:val="004B11BC"/>
    <w:rsid w:val="004B1503"/>
    <w:rsid w:val="004B160D"/>
    <w:rsid w:val="004B162F"/>
    <w:rsid w:val="004B17A4"/>
    <w:rsid w:val="004B1851"/>
    <w:rsid w:val="004B1911"/>
    <w:rsid w:val="004B19A5"/>
    <w:rsid w:val="004B19DD"/>
    <w:rsid w:val="004B1A3D"/>
    <w:rsid w:val="004B1D1D"/>
    <w:rsid w:val="004B1EAD"/>
    <w:rsid w:val="004B1F1F"/>
    <w:rsid w:val="004B202F"/>
    <w:rsid w:val="004B2162"/>
    <w:rsid w:val="004B222A"/>
    <w:rsid w:val="004B2248"/>
    <w:rsid w:val="004B2350"/>
    <w:rsid w:val="004B2355"/>
    <w:rsid w:val="004B235E"/>
    <w:rsid w:val="004B23AB"/>
    <w:rsid w:val="004B23B0"/>
    <w:rsid w:val="004B2450"/>
    <w:rsid w:val="004B267E"/>
    <w:rsid w:val="004B273D"/>
    <w:rsid w:val="004B2943"/>
    <w:rsid w:val="004B2B7D"/>
    <w:rsid w:val="004B2CD1"/>
    <w:rsid w:val="004B2E40"/>
    <w:rsid w:val="004B2EF0"/>
    <w:rsid w:val="004B2F62"/>
    <w:rsid w:val="004B30B2"/>
    <w:rsid w:val="004B32D0"/>
    <w:rsid w:val="004B3842"/>
    <w:rsid w:val="004B38F5"/>
    <w:rsid w:val="004B3C7A"/>
    <w:rsid w:val="004B3C8B"/>
    <w:rsid w:val="004B3D63"/>
    <w:rsid w:val="004B3D75"/>
    <w:rsid w:val="004B3DC3"/>
    <w:rsid w:val="004B3F51"/>
    <w:rsid w:val="004B406C"/>
    <w:rsid w:val="004B416C"/>
    <w:rsid w:val="004B4634"/>
    <w:rsid w:val="004B47E8"/>
    <w:rsid w:val="004B49C9"/>
    <w:rsid w:val="004B4B8C"/>
    <w:rsid w:val="004B4EF6"/>
    <w:rsid w:val="004B4F54"/>
    <w:rsid w:val="004B4FDA"/>
    <w:rsid w:val="004B5099"/>
    <w:rsid w:val="004B50AE"/>
    <w:rsid w:val="004B5131"/>
    <w:rsid w:val="004B517D"/>
    <w:rsid w:val="004B54B7"/>
    <w:rsid w:val="004B589B"/>
    <w:rsid w:val="004B59D8"/>
    <w:rsid w:val="004B6189"/>
    <w:rsid w:val="004B61F4"/>
    <w:rsid w:val="004B624F"/>
    <w:rsid w:val="004B63DA"/>
    <w:rsid w:val="004B63EB"/>
    <w:rsid w:val="004B6437"/>
    <w:rsid w:val="004B660F"/>
    <w:rsid w:val="004B6804"/>
    <w:rsid w:val="004B692B"/>
    <w:rsid w:val="004B6A39"/>
    <w:rsid w:val="004B6A71"/>
    <w:rsid w:val="004B6BA9"/>
    <w:rsid w:val="004B727D"/>
    <w:rsid w:val="004B72BD"/>
    <w:rsid w:val="004B7489"/>
    <w:rsid w:val="004B750F"/>
    <w:rsid w:val="004B75A6"/>
    <w:rsid w:val="004B760E"/>
    <w:rsid w:val="004B7C56"/>
    <w:rsid w:val="004B7FD7"/>
    <w:rsid w:val="004C04AB"/>
    <w:rsid w:val="004C04FF"/>
    <w:rsid w:val="004C0503"/>
    <w:rsid w:val="004C0614"/>
    <w:rsid w:val="004C0642"/>
    <w:rsid w:val="004C06C3"/>
    <w:rsid w:val="004C08AB"/>
    <w:rsid w:val="004C092A"/>
    <w:rsid w:val="004C0A30"/>
    <w:rsid w:val="004C0A5D"/>
    <w:rsid w:val="004C0BDA"/>
    <w:rsid w:val="004C0D19"/>
    <w:rsid w:val="004C0E68"/>
    <w:rsid w:val="004C0E8D"/>
    <w:rsid w:val="004C0F1C"/>
    <w:rsid w:val="004C0F40"/>
    <w:rsid w:val="004C145B"/>
    <w:rsid w:val="004C1478"/>
    <w:rsid w:val="004C1792"/>
    <w:rsid w:val="004C17F6"/>
    <w:rsid w:val="004C199F"/>
    <w:rsid w:val="004C19E8"/>
    <w:rsid w:val="004C1A1B"/>
    <w:rsid w:val="004C1A79"/>
    <w:rsid w:val="004C1E35"/>
    <w:rsid w:val="004C1FBE"/>
    <w:rsid w:val="004C2028"/>
    <w:rsid w:val="004C2630"/>
    <w:rsid w:val="004C277E"/>
    <w:rsid w:val="004C27FB"/>
    <w:rsid w:val="004C295D"/>
    <w:rsid w:val="004C2B1A"/>
    <w:rsid w:val="004C2C13"/>
    <w:rsid w:val="004C2C31"/>
    <w:rsid w:val="004C2D99"/>
    <w:rsid w:val="004C2DB0"/>
    <w:rsid w:val="004C2E45"/>
    <w:rsid w:val="004C2FD2"/>
    <w:rsid w:val="004C32B3"/>
    <w:rsid w:val="004C32C6"/>
    <w:rsid w:val="004C32C8"/>
    <w:rsid w:val="004C3365"/>
    <w:rsid w:val="004C33B1"/>
    <w:rsid w:val="004C35AF"/>
    <w:rsid w:val="004C37E4"/>
    <w:rsid w:val="004C3B20"/>
    <w:rsid w:val="004C3C6A"/>
    <w:rsid w:val="004C3F1C"/>
    <w:rsid w:val="004C4101"/>
    <w:rsid w:val="004C41C3"/>
    <w:rsid w:val="004C4297"/>
    <w:rsid w:val="004C42D6"/>
    <w:rsid w:val="004C464F"/>
    <w:rsid w:val="004C47A2"/>
    <w:rsid w:val="004C4852"/>
    <w:rsid w:val="004C493B"/>
    <w:rsid w:val="004C49F8"/>
    <w:rsid w:val="004C4C24"/>
    <w:rsid w:val="004C4C9A"/>
    <w:rsid w:val="004C5149"/>
    <w:rsid w:val="004C524A"/>
    <w:rsid w:val="004C52A4"/>
    <w:rsid w:val="004C5352"/>
    <w:rsid w:val="004C5393"/>
    <w:rsid w:val="004C53C6"/>
    <w:rsid w:val="004C5680"/>
    <w:rsid w:val="004C5827"/>
    <w:rsid w:val="004C597C"/>
    <w:rsid w:val="004C5A28"/>
    <w:rsid w:val="004C5B52"/>
    <w:rsid w:val="004C5C77"/>
    <w:rsid w:val="004C5D61"/>
    <w:rsid w:val="004C6111"/>
    <w:rsid w:val="004C618E"/>
    <w:rsid w:val="004C635A"/>
    <w:rsid w:val="004C635B"/>
    <w:rsid w:val="004C6393"/>
    <w:rsid w:val="004C6467"/>
    <w:rsid w:val="004C65AA"/>
    <w:rsid w:val="004C687D"/>
    <w:rsid w:val="004C69D4"/>
    <w:rsid w:val="004C6ABF"/>
    <w:rsid w:val="004C6E01"/>
    <w:rsid w:val="004C6F08"/>
    <w:rsid w:val="004C6F10"/>
    <w:rsid w:val="004C74E2"/>
    <w:rsid w:val="004C7796"/>
    <w:rsid w:val="004C78BB"/>
    <w:rsid w:val="004C7AEA"/>
    <w:rsid w:val="004C7B4F"/>
    <w:rsid w:val="004C7C6A"/>
    <w:rsid w:val="004C7D83"/>
    <w:rsid w:val="004C7F09"/>
    <w:rsid w:val="004D0045"/>
    <w:rsid w:val="004D00D0"/>
    <w:rsid w:val="004D0170"/>
    <w:rsid w:val="004D0346"/>
    <w:rsid w:val="004D0406"/>
    <w:rsid w:val="004D04A4"/>
    <w:rsid w:val="004D06BB"/>
    <w:rsid w:val="004D0753"/>
    <w:rsid w:val="004D07B1"/>
    <w:rsid w:val="004D0895"/>
    <w:rsid w:val="004D0ACE"/>
    <w:rsid w:val="004D0B6D"/>
    <w:rsid w:val="004D0CEB"/>
    <w:rsid w:val="004D0D98"/>
    <w:rsid w:val="004D0DBA"/>
    <w:rsid w:val="004D0E5C"/>
    <w:rsid w:val="004D13B4"/>
    <w:rsid w:val="004D13FC"/>
    <w:rsid w:val="004D1402"/>
    <w:rsid w:val="004D1572"/>
    <w:rsid w:val="004D19EB"/>
    <w:rsid w:val="004D1A61"/>
    <w:rsid w:val="004D1ABA"/>
    <w:rsid w:val="004D1B6C"/>
    <w:rsid w:val="004D1C1E"/>
    <w:rsid w:val="004D1C50"/>
    <w:rsid w:val="004D1D7A"/>
    <w:rsid w:val="004D1DA6"/>
    <w:rsid w:val="004D1FE3"/>
    <w:rsid w:val="004D23F7"/>
    <w:rsid w:val="004D2842"/>
    <w:rsid w:val="004D287B"/>
    <w:rsid w:val="004D289F"/>
    <w:rsid w:val="004D28A8"/>
    <w:rsid w:val="004D2979"/>
    <w:rsid w:val="004D2A71"/>
    <w:rsid w:val="004D2DF1"/>
    <w:rsid w:val="004D2EC8"/>
    <w:rsid w:val="004D2F37"/>
    <w:rsid w:val="004D31FD"/>
    <w:rsid w:val="004D33D0"/>
    <w:rsid w:val="004D35AE"/>
    <w:rsid w:val="004D35ED"/>
    <w:rsid w:val="004D3D94"/>
    <w:rsid w:val="004D3E6F"/>
    <w:rsid w:val="004D3EF6"/>
    <w:rsid w:val="004D3F06"/>
    <w:rsid w:val="004D403B"/>
    <w:rsid w:val="004D407F"/>
    <w:rsid w:val="004D4241"/>
    <w:rsid w:val="004D43F0"/>
    <w:rsid w:val="004D4403"/>
    <w:rsid w:val="004D4430"/>
    <w:rsid w:val="004D4432"/>
    <w:rsid w:val="004D4620"/>
    <w:rsid w:val="004D4684"/>
    <w:rsid w:val="004D46C1"/>
    <w:rsid w:val="004D470C"/>
    <w:rsid w:val="004D4C95"/>
    <w:rsid w:val="004D50AE"/>
    <w:rsid w:val="004D5129"/>
    <w:rsid w:val="004D5377"/>
    <w:rsid w:val="004D5614"/>
    <w:rsid w:val="004D5779"/>
    <w:rsid w:val="004D5900"/>
    <w:rsid w:val="004D5942"/>
    <w:rsid w:val="004D5AE7"/>
    <w:rsid w:val="004D5BC7"/>
    <w:rsid w:val="004D5D16"/>
    <w:rsid w:val="004D5EDE"/>
    <w:rsid w:val="004D5F68"/>
    <w:rsid w:val="004D5FAC"/>
    <w:rsid w:val="004D603A"/>
    <w:rsid w:val="004D60E8"/>
    <w:rsid w:val="004D6266"/>
    <w:rsid w:val="004D6480"/>
    <w:rsid w:val="004D64CD"/>
    <w:rsid w:val="004D6684"/>
    <w:rsid w:val="004D67DC"/>
    <w:rsid w:val="004D6A10"/>
    <w:rsid w:val="004D6EC0"/>
    <w:rsid w:val="004D731D"/>
    <w:rsid w:val="004D7431"/>
    <w:rsid w:val="004D76F5"/>
    <w:rsid w:val="004D7843"/>
    <w:rsid w:val="004D78DA"/>
    <w:rsid w:val="004D7AF4"/>
    <w:rsid w:val="004D7B5F"/>
    <w:rsid w:val="004D7B64"/>
    <w:rsid w:val="004D7BEE"/>
    <w:rsid w:val="004E000C"/>
    <w:rsid w:val="004E0212"/>
    <w:rsid w:val="004E05B0"/>
    <w:rsid w:val="004E0766"/>
    <w:rsid w:val="004E09BF"/>
    <w:rsid w:val="004E0A9E"/>
    <w:rsid w:val="004E0AFA"/>
    <w:rsid w:val="004E0AFE"/>
    <w:rsid w:val="004E0B21"/>
    <w:rsid w:val="004E0CC0"/>
    <w:rsid w:val="004E0CCD"/>
    <w:rsid w:val="004E0D58"/>
    <w:rsid w:val="004E0D91"/>
    <w:rsid w:val="004E0E87"/>
    <w:rsid w:val="004E0F45"/>
    <w:rsid w:val="004E0F4D"/>
    <w:rsid w:val="004E0FE0"/>
    <w:rsid w:val="004E14E9"/>
    <w:rsid w:val="004E17C6"/>
    <w:rsid w:val="004E183C"/>
    <w:rsid w:val="004E19B3"/>
    <w:rsid w:val="004E19BD"/>
    <w:rsid w:val="004E1D5E"/>
    <w:rsid w:val="004E1E9C"/>
    <w:rsid w:val="004E1F10"/>
    <w:rsid w:val="004E2011"/>
    <w:rsid w:val="004E2084"/>
    <w:rsid w:val="004E20B8"/>
    <w:rsid w:val="004E21CF"/>
    <w:rsid w:val="004E2234"/>
    <w:rsid w:val="004E2497"/>
    <w:rsid w:val="004E24E2"/>
    <w:rsid w:val="004E29DB"/>
    <w:rsid w:val="004E2B8C"/>
    <w:rsid w:val="004E2E3B"/>
    <w:rsid w:val="004E2E61"/>
    <w:rsid w:val="004E2FA3"/>
    <w:rsid w:val="004E30BB"/>
    <w:rsid w:val="004E312D"/>
    <w:rsid w:val="004E32C5"/>
    <w:rsid w:val="004E359E"/>
    <w:rsid w:val="004E3612"/>
    <w:rsid w:val="004E379A"/>
    <w:rsid w:val="004E3962"/>
    <w:rsid w:val="004E3FFA"/>
    <w:rsid w:val="004E40C9"/>
    <w:rsid w:val="004E416A"/>
    <w:rsid w:val="004E42BC"/>
    <w:rsid w:val="004E433C"/>
    <w:rsid w:val="004E43A1"/>
    <w:rsid w:val="004E43C2"/>
    <w:rsid w:val="004E4429"/>
    <w:rsid w:val="004E44F5"/>
    <w:rsid w:val="004E458B"/>
    <w:rsid w:val="004E45A1"/>
    <w:rsid w:val="004E45DB"/>
    <w:rsid w:val="004E467E"/>
    <w:rsid w:val="004E4718"/>
    <w:rsid w:val="004E4A0D"/>
    <w:rsid w:val="004E4A1C"/>
    <w:rsid w:val="004E4A7A"/>
    <w:rsid w:val="004E4A94"/>
    <w:rsid w:val="004E4DA1"/>
    <w:rsid w:val="004E5082"/>
    <w:rsid w:val="004E542E"/>
    <w:rsid w:val="004E5440"/>
    <w:rsid w:val="004E57AB"/>
    <w:rsid w:val="004E5A0F"/>
    <w:rsid w:val="004E5C51"/>
    <w:rsid w:val="004E5CF8"/>
    <w:rsid w:val="004E5E5C"/>
    <w:rsid w:val="004E5E6B"/>
    <w:rsid w:val="004E5EB1"/>
    <w:rsid w:val="004E5F11"/>
    <w:rsid w:val="004E5F36"/>
    <w:rsid w:val="004E5F5B"/>
    <w:rsid w:val="004E6285"/>
    <w:rsid w:val="004E629C"/>
    <w:rsid w:val="004E64CD"/>
    <w:rsid w:val="004E6541"/>
    <w:rsid w:val="004E66F7"/>
    <w:rsid w:val="004E6785"/>
    <w:rsid w:val="004E6955"/>
    <w:rsid w:val="004E69C0"/>
    <w:rsid w:val="004E69D1"/>
    <w:rsid w:val="004E6BAF"/>
    <w:rsid w:val="004E6D13"/>
    <w:rsid w:val="004E6ECB"/>
    <w:rsid w:val="004E7253"/>
    <w:rsid w:val="004E72A3"/>
    <w:rsid w:val="004E72D9"/>
    <w:rsid w:val="004E7361"/>
    <w:rsid w:val="004E7450"/>
    <w:rsid w:val="004E749D"/>
    <w:rsid w:val="004E756B"/>
    <w:rsid w:val="004E777B"/>
    <w:rsid w:val="004E77CF"/>
    <w:rsid w:val="004E7A1E"/>
    <w:rsid w:val="004E7B0B"/>
    <w:rsid w:val="004F01D7"/>
    <w:rsid w:val="004F0313"/>
    <w:rsid w:val="004F0485"/>
    <w:rsid w:val="004F05C3"/>
    <w:rsid w:val="004F0963"/>
    <w:rsid w:val="004F0C8C"/>
    <w:rsid w:val="004F0DCB"/>
    <w:rsid w:val="004F0E17"/>
    <w:rsid w:val="004F0FED"/>
    <w:rsid w:val="004F1064"/>
    <w:rsid w:val="004F1070"/>
    <w:rsid w:val="004F1240"/>
    <w:rsid w:val="004F13F1"/>
    <w:rsid w:val="004F1417"/>
    <w:rsid w:val="004F1BC5"/>
    <w:rsid w:val="004F1C88"/>
    <w:rsid w:val="004F1CB7"/>
    <w:rsid w:val="004F1E20"/>
    <w:rsid w:val="004F203A"/>
    <w:rsid w:val="004F2147"/>
    <w:rsid w:val="004F21C0"/>
    <w:rsid w:val="004F2480"/>
    <w:rsid w:val="004F2510"/>
    <w:rsid w:val="004F25D3"/>
    <w:rsid w:val="004F2B3F"/>
    <w:rsid w:val="004F2D91"/>
    <w:rsid w:val="004F2DFD"/>
    <w:rsid w:val="004F2E39"/>
    <w:rsid w:val="004F2E79"/>
    <w:rsid w:val="004F2F78"/>
    <w:rsid w:val="004F3043"/>
    <w:rsid w:val="004F305A"/>
    <w:rsid w:val="004F3075"/>
    <w:rsid w:val="004F307A"/>
    <w:rsid w:val="004F3085"/>
    <w:rsid w:val="004F31B8"/>
    <w:rsid w:val="004F330E"/>
    <w:rsid w:val="004F3412"/>
    <w:rsid w:val="004F3479"/>
    <w:rsid w:val="004F371A"/>
    <w:rsid w:val="004F377E"/>
    <w:rsid w:val="004F38CF"/>
    <w:rsid w:val="004F390E"/>
    <w:rsid w:val="004F3AD3"/>
    <w:rsid w:val="004F3B09"/>
    <w:rsid w:val="004F42DC"/>
    <w:rsid w:val="004F4332"/>
    <w:rsid w:val="004F43AF"/>
    <w:rsid w:val="004F4447"/>
    <w:rsid w:val="004F470C"/>
    <w:rsid w:val="004F483A"/>
    <w:rsid w:val="004F484B"/>
    <w:rsid w:val="004F4B53"/>
    <w:rsid w:val="004F4C6D"/>
    <w:rsid w:val="004F4D80"/>
    <w:rsid w:val="004F4DB6"/>
    <w:rsid w:val="004F4F82"/>
    <w:rsid w:val="004F5030"/>
    <w:rsid w:val="004F50BC"/>
    <w:rsid w:val="004F5335"/>
    <w:rsid w:val="004F539F"/>
    <w:rsid w:val="004F5514"/>
    <w:rsid w:val="004F5547"/>
    <w:rsid w:val="004F555B"/>
    <w:rsid w:val="004F5872"/>
    <w:rsid w:val="004F5C2C"/>
    <w:rsid w:val="004F5E55"/>
    <w:rsid w:val="004F6173"/>
    <w:rsid w:val="004F6219"/>
    <w:rsid w:val="004F62E7"/>
    <w:rsid w:val="004F64DA"/>
    <w:rsid w:val="004F66C2"/>
    <w:rsid w:val="004F6992"/>
    <w:rsid w:val="004F6A73"/>
    <w:rsid w:val="004F6BA2"/>
    <w:rsid w:val="004F6D1E"/>
    <w:rsid w:val="004F6D8E"/>
    <w:rsid w:val="004F6EB3"/>
    <w:rsid w:val="004F6ED5"/>
    <w:rsid w:val="004F70BB"/>
    <w:rsid w:val="004F71FF"/>
    <w:rsid w:val="004F7281"/>
    <w:rsid w:val="004F7754"/>
    <w:rsid w:val="004F77CB"/>
    <w:rsid w:val="004F78ED"/>
    <w:rsid w:val="004F7903"/>
    <w:rsid w:val="004F7925"/>
    <w:rsid w:val="004F792E"/>
    <w:rsid w:val="004F7954"/>
    <w:rsid w:val="004F795A"/>
    <w:rsid w:val="004F79AC"/>
    <w:rsid w:val="004F79C9"/>
    <w:rsid w:val="004F7AD9"/>
    <w:rsid w:val="004F7CD5"/>
    <w:rsid w:val="004F7D4B"/>
    <w:rsid w:val="004F7E99"/>
    <w:rsid w:val="0050005F"/>
    <w:rsid w:val="00500062"/>
    <w:rsid w:val="00500135"/>
    <w:rsid w:val="00500257"/>
    <w:rsid w:val="00500304"/>
    <w:rsid w:val="005003A7"/>
    <w:rsid w:val="00500439"/>
    <w:rsid w:val="005006B9"/>
    <w:rsid w:val="00500A0A"/>
    <w:rsid w:val="00500A40"/>
    <w:rsid w:val="00500D4B"/>
    <w:rsid w:val="00500E5A"/>
    <w:rsid w:val="00500F05"/>
    <w:rsid w:val="0050102D"/>
    <w:rsid w:val="00501214"/>
    <w:rsid w:val="00501224"/>
    <w:rsid w:val="005012BC"/>
    <w:rsid w:val="005013D2"/>
    <w:rsid w:val="005015D7"/>
    <w:rsid w:val="005016EE"/>
    <w:rsid w:val="00501836"/>
    <w:rsid w:val="0050190B"/>
    <w:rsid w:val="00501973"/>
    <w:rsid w:val="005019FD"/>
    <w:rsid w:val="00501AB3"/>
    <w:rsid w:val="00501B72"/>
    <w:rsid w:val="00501BB8"/>
    <w:rsid w:val="00501C23"/>
    <w:rsid w:val="00501C8D"/>
    <w:rsid w:val="00501FD4"/>
    <w:rsid w:val="00502214"/>
    <w:rsid w:val="0050229C"/>
    <w:rsid w:val="005022B0"/>
    <w:rsid w:val="005023C0"/>
    <w:rsid w:val="00502436"/>
    <w:rsid w:val="005024CE"/>
    <w:rsid w:val="005025AE"/>
    <w:rsid w:val="005025E0"/>
    <w:rsid w:val="005025F5"/>
    <w:rsid w:val="00502824"/>
    <w:rsid w:val="00502861"/>
    <w:rsid w:val="005028BF"/>
    <w:rsid w:val="00502A3B"/>
    <w:rsid w:val="00502B12"/>
    <w:rsid w:val="00502B17"/>
    <w:rsid w:val="00502B27"/>
    <w:rsid w:val="00502D8A"/>
    <w:rsid w:val="0050330A"/>
    <w:rsid w:val="00503466"/>
    <w:rsid w:val="0050350E"/>
    <w:rsid w:val="005035CD"/>
    <w:rsid w:val="005037B2"/>
    <w:rsid w:val="00503848"/>
    <w:rsid w:val="00503899"/>
    <w:rsid w:val="00503C89"/>
    <w:rsid w:val="00503D15"/>
    <w:rsid w:val="00503D69"/>
    <w:rsid w:val="00504020"/>
    <w:rsid w:val="005043AA"/>
    <w:rsid w:val="00504603"/>
    <w:rsid w:val="005046F9"/>
    <w:rsid w:val="00504940"/>
    <w:rsid w:val="00504988"/>
    <w:rsid w:val="00504A57"/>
    <w:rsid w:val="00504AB1"/>
    <w:rsid w:val="00504C04"/>
    <w:rsid w:val="00504CFD"/>
    <w:rsid w:val="00504E57"/>
    <w:rsid w:val="00505084"/>
    <w:rsid w:val="00505141"/>
    <w:rsid w:val="005051BC"/>
    <w:rsid w:val="00505477"/>
    <w:rsid w:val="005055F1"/>
    <w:rsid w:val="005056CD"/>
    <w:rsid w:val="0050577A"/>
    <w:rsid w:val="005057AC"/>
    <w:rsid w:val="005058E1"/>
    <w:rsid w:val="00505997"/>
    <w:rsid w:val="005059CD"/>
    <w:rsid w:val="00505BB6"/>
    <w:rsid w:val="00505D36"/>
    <w:rsid w:val="0050622B"/>
    <w:rsid w:val="00506275"/>
    <w:rsid w:val="00506421"/>
    <w:rsid w:val="00506431"/>
    <w:rsid w:val="0050656B"/>
    <w:rsid w:val="00506631"/>
    <w:rsid w:val="00506974"/>
    <w:rsid w:val="00506B6F"/>
    <w:rsid w:val="00506D09"/>
    <w:rsid w:val="00506EBD"/>
    <w:rsid w:val="00506F9E"/>
    <w:rsid w:val="00506FE0"/>
    <w:rsid w:val="0050701D"/>
    <w:rsid w:val="005072F8"/>
    <w:rsid w:val="00507422"/>
    <w:rsid w:val="005075C8"/>
    <w:rsid w:val="00507647"/>
    <w:rsid w:val="00507B47"/>
    <w:rsid w:val="00507EEB"/>
    <w:rsid w:val="005103D6"/>
    <w:rsid w:val="005104BF"/>
    <w:rsid w:val="005106DD"/>
    <w:rsid w:val="00510976"/>
    <w:rsid w:val="005109A3"/>
    <w:rsid w:val="005109BE"/>
    <w:rsid w:val="00510E02"/>
    <w:rsid w:val="0051116E"/>
    <w:rsid w:val="00511341"/>
    <w:rsid w:val="005115EF"/>
    <w:rsid w:val="0051165B"/>
    <w:rsid w:val="0051199A"/>
    <w:rsid w:val="00511E4A"/>
    <w:rsid w:val="00511E52"/>
    <w:rsid w:val="00511EBA"/>
    <w:rsid w:val="005120D1"/>
    <w:rsid w:val="005121D8"/>
    <w:rsid w:val="005122A8"/>
    <w:rsid w:val="005122D9"/>
    <w:rsid w:val="005125DC"/>
    <w:rsid w:val="005127F5"/>
    <w:rsid w:val="00512881"/>
    <w:rsid w:val="00512A13"/>
    <w:rsid w:val="00512C36"/>
    <w:rsid w:val="00513095"/>
    <w:rsid w:val="00513208"/>
    <w:rsid w:val="005132F8"/>
    <w:rsid w:val="00513395"/>
    <w:rsid w:val="005133D3"/>
    <w:rsid w:val="0051348F"/>
    <w:rsid w:val="00513A2B"/>
    <w:rsid w:val="00513B01"/>
    <w:rsid w:val="00513C9C"/>
    <w:rsid w:val="00514097"/>
    <w:rsid w:val="00514261"/>
    <w:rsid w:val="00514448"/>
    <w:rsid w:val="005144CD"/>
    <w:rsid w:val="005144D9"/>
    <w:rsid w:val="00514919"/>
    <w:rsid w:val="00514A9F"/>
    <w:rsid w:val="00514CC9"/>
    <w:rsid w:val="00514D0A"/>
    <w:rsid w:val="00514FF3"/>
    <w:rsid w:val="005150A3"/>
    <w:rsid w:val="00515199"/>
    <w:rsid w:val="005151C3"/>
    <w:rsid w:val="005153C7"/>
    <w:rsid w:val="005155B2"/>
    <w:rsid w:val="00515611"/>
    <w:rsid w:val="00515785"/>
    <w:rsid w:val="0051595E"/>
    <w:rsid w:val="00515A94"/>
    <w:rsid w:val="00515B92"/>
    <w:rsid w:val="00515EC2"/>
    <w:rsid w:val="0051652B"/>
    <w:rsid w:val="005166ED"/>
    <w:rsid w:val="00516A5F"/>
    <w:rsid w:val="00516AF2"/>
    <w:rsid w:val="00516BA8"/>
    <w:rsid w:val="00516BAE"/>
    <w:rsid w:val="00516BCA"/>
    <w:rsid w:val="00516D41"/>
    <w:rsid w:val="00516DF3"/>
    <w:rsid w:val="00517020"/>
    <w:rsid w:val="0051713B"/>
    <w:rsid w:val="00517305"/>
    <w:rsid w:val="00517313"/>
    <w:rsid w:val="005174E3"/>
    <w:rsid w:val="005176B7"/>
    <w:rsid w:val="0051771E"/>
    <w:rsid w:val="0051776A"/>
    <w:rsid w:val="005178C9"/>
    <w:rsid w:val="00517CE9"/>
    <w:rsid w:val="00517EC3"/>
    <w:rsid w:val="00517F1B"/>
    <w:rsid w:val="00517F8D"/>
    <w:rsid w:val="00517F9D"/>
    <w:rsid w:val="00520166"/>
    <w:rsid w:val="00520292"/>
    <w:rsid w:val="00520377"/>
    <w:rsid w:val="00520463"/>
    <w:rsid w:val="00520563"/>
    <w:rsid w:val="00520769"/>
    <w:rsid w:val="005208AD"/>
    <w:rsid w:val="005209BA"/>
    <w:rsid w:val="005209E3"/>
    <w:rsid w:val="00520B3A"/>
    <w:rsid w:val="00520B89"/>
    <w:rsid w:val="00520D25"/>
    <w:rsid w:val="00520DD4"/>
    <w:rsid w:val="00520FC0"/>
    <w:rsid w:val="0052105A"/>
    <w:rsid w:val="00521104"/>
    <w:rsid w:val="00521219"/>
    <w:rsid w:val="005212B6"/>
    <w:rsid w:val="005213E4"/>
    <w:rsid w:val="00521425"/>
    <w:rsid w:val="00521431"/>
    <w:rsid w:val="00521495"/>
    <w:rsid w:val="0052181B"/>
    <w:rsid w:val="00521C49"/>
    <w:rsid w:val="005220BE"/>
    <w:rsid w:val="00522134"/>
    <w:rsid w:val="00522195"/>
    <w:rsid w:val="0052233E"/>
    <w:rsid w:val="00522515"/>
    <w:rsid w:val="00522680"/>
    <w:rsid w:val="00522889"/>
    <w:rsid w:val="005228A0"/>
    <w:rsid w:val="0052291D"/>
    <w:rsid w:val="005229BA"/>
    <w:rsid w:val="005229BE"/>
    <w:rsid w:val="00522BC0"/>
    <w:rsid w:val="00522CB5"/>
    <w:rsid w:val="00522EB2"/>
    <w:rsid w:val="00522ED0"/>
    <w:rsid w:val="00523288"/>
    <w:rsid w:val="00523609"/>
    <w:rsid w:val="00523632"/>
    <w:rsid w:val="0052374A"/>
    <w:rsid w:val="00523855"/>
    <w:rsid w:val="00523A08"/>
    <w:rsid w:val="00523A77"/>
    <w:rsid w:val="00523C12"/>
    <w:rsid w:val="00523E45"/>
    <w:rsid w:val="00523FD5"/>
    <w:rsid w:val="0052436C"/>
    <w:rsid w:val="005246C5"/>
    <w:rsid w:val="00524BAC"/>
    <w:rsid w:val="00524DB9"/>
    <w:rsid w:val="00524E26"/>
    <w:rsid w:val="00524F24"/>
    <w:rsid w:val="005250BC"/>
    <w:rsid w:val="005250E4"/>
    <w:rsid w:val="0052510E"/>
    <w:rsid w:val="00525138"/>
    <w:rsid w:val="0052518B"/>
    <w:rsid w:val="005251CA"/>
    <w:rsid w:val="00525281"/>
    <w:rsid w:val="00525376"/>
    <w:rsid w:val="00525597"/>
    <w:rsid w:val="005255BE"/>
    <w:rsid w:val="00525675"/>
    <w:rsid w:val="00525736"/>
    <w:rsid w:val="00525A29"/>
    <w:rsid w:val="00525CC5"/>
    <w:rsid w:val="00525CDB"/>
    <w:rsid w:val="00525F8C"/>
    <w:rsid w:val="00525F9D"/>
    <w:rsid w:val="0052618B"/>
    <w:rsid w:val="005262B8"/>
    <w:rsid w:val="005262D9"/>
    <w:rsid w:val="0052630C"/>
    <w:rsid w:val="0052637F"/>
    <w:rsid w:val="005263CC"/>
    <w:rsid w:val="005263EF"/>
    <w:rsid w:val="005264A0"/>
    <w:rsid w:val="005264B2"/>
    <w:rsid w:val="00526A1C"/>
    <w:rsid w:val="00526A72"/>
    <w:rsid w:val="00526B59"/>
    <w:rsid w:val="00526B68"/>
    <w:rsid w:val="00526B9B"/>
    <w:rsid w:val="00526BF1"/>
    <w:rsid w:val="00526C96"/>
    <w:rsid w:val="00526CD9"/>
    <w:rsid w:val="00526CF7"/>
    <w:rsid w:val="00526DC5"/>
    <w:rsid w:val="00526DD5"/>
    <w:rsid w:val="00526E14"/>
    <w:rsid w:val="00526FA3"/>
    <w:rsid w:val="005270DF"/>
    <w:rsid w:val="00527101"/>
    <w:rsid w:val="00527102"/>
    <w:rsid w:val="005272A1"/>
    <w:rsid w:val="00527382"/>
    <w:rsid w:val="0052753C"/>
    <w:rsid w:val="00527548"/>
    <w:rsid w:val="00527635"/>
    <w:rsid w:val="0052777A"/>
    <w:rsid w:val="005278BA"/>
    <w:rsid w:val="005278D0"/>
    <w:rsid w:val="0052793A"/>
    <w:rsid w:val="0052794A"/>
    <w:rsid w:val="00527B63"/>
    <w:rsid w:val="00527BFD"/>
    <w:rsid w:val="00527C33"/>
    <w:rsid w:val="00527D61"/>
    <w:rsid w:val="00527F38"/>
    <w:rsid w:val="00527F4F"/>
    <w:rsid w:val="00527FD1"/>
    <w:rsid w:val="00527FDC"/>
    <w:rsid w:val="00527FE6"/>
    <w:rsid w:val="0053012A"/>
    <w:rsid w:val="00530191"/>
    <w:rsid w:val="005301C5"/>
    <w:rsid w:val="00530240"/>
    <w:rsid w:val="00530669"/>
    <w:rsid w:val="0053094E"/>
    <w:rsid w:val="00530A9F"/>
    <w:rsid w:val="00530B5F"/>
    <w:rsid w:val="00530C4D"/>
    <w:rsid w:val="00530F53"/>
    <w:rsid w:val="0053106B"/>
    <w:rsid w:val="0053127A"/>
    <w:rsid w:val="005314C0"/>
    <w:rsid w:val="00531524"/>
    <w:rsid w:val="00531716"/>
    <w:rsid w:val="005317FE"/>
    <w:rsid w:val="00531A00"/>
    <w:rsid w:val="00531A84"/>
    <w:rsid w:val="00531A96"/>
    <w:rsid w:val="00531C3E"/>
    <w:rsid w:val="00531D55"/>
    <w:rsid w:val="00531E34"/>
    <w:rsid w:val="0053209D"/>
    <w:rsid w:val="005320C5"/>
    <w:rsid w:val="00532110"/>
    <w:rsid w:val="00532116"/>
    <w:rsid w:val="0053246F"/>
    <w:rsid w:val="00532585"/>
    <w:rsid w:val="005325EC"/>
    <w:rsid w:val="00532DB3"/>
    <w:rsid w:val="00532EC6"/>
    <w:rsid w:val="00532FC9"/>
    <w:rsid w:val="00533071"/>
    <w:rsid w:val="005330B0"/>
    <w:rsid w:val="005330F8"/>
    <w:rsid w:val="005332F1"/>
    <w:rsid w:val="005333B5"/>
    <w:rsid w:val="005334F7"/>
    <w:rsid w:val="00533836"/>
    <w:rsid w:val="0053386F"/>
    <w:rsid w:val="005338A8"/>
    <w:rsid w:val="005338B6"/>
    <w:rsid w:val="00533BE2"/>
    <w:rsid w:val="00533C64"/>
    <w:rsid w:val="00533C9B"/>
    <w:rsid w:val="00533E84"/>
    <w:rsid w:val="00533F62"/>
    <w:rsid w:val="005341C3"/>
    <w:rsid w:val="005341DB"/>
    <w:rsid w:val="005342F2"/>
    <w:rsid w:val="0053470B"/>
    <w:rsid w:val="00534863"/>
    <w:rsid w:val="00534B73"/>
    <w:rsid w:val="0053506F"/>
    <w:rsid w:val="005351A7"/>
    <w:rsid w:val="00535213"/>
    <w:rsid w:val="005353D7"/>
    <w:rsid w:val="005355E6"/>
    <w:rsid w:val="005356F5"/>
    <w:rsid w:val="005359AA"/>
    <w:rsid w:val="00535D43"/>
    <w:rsid w:val="00535DD7"/>
    <w:rsid w:val="00535EF6"/>
    <w:rsid w:val="00536118"/>
    <w:rsid w:val="005363A1"/>
    <w:rsid w:val="00536733"/>
    <w:rsid w:val="00536833"/>
    <w:rsid w:val="005368A0"/>
    <w:rsid w:val="00536989"/>
    <w:rsid w:val="00536B8F"/>
    <w:rsid w:val="00536D1F"/>
    <w:rsid w:val="00536DBF"/>
    <w:rsid w:val="00536DD8"/>
    <w:rsid w:val="00536FCF"/>
    <w:rsid w:val="00537011"/>
    <w:rsid w:val="00537276"/>
    <w:rsid w:val="00537282"/>
    <w:rsid w:val="0053746F"/>
    <w:rsid w:val="005377C0"/>
    <w:rsid w:val="005377DE"/>
    <w:rsid w:val="0053787B"/>
    <w:rsid w:val="0053788C"/>
    <w:rsid w:val="00537901"/>
    <w:rsid w:val="0053797D"/>
    <w:rsid w:val="00537D76"/>
    <w:rsid w:val="00537E69"/>
    <w:rsid w:val="00537F0D"/>
    <w:rsid w:val="005400CC"/>
    <w:rsid w:val="005401AE"/>
    <w:rsid w:val="00540311"/>
    <w:rsid w:val="005405D4"/>
    <w:rsid w:val="005408CE"/>
    <w:rsid w:val="005408EE"/>
    <w:rsid w:val="00540AB3"/>
    <w:rsid w:val="00540ACA"/>
    <w:rsid w:val="00540BCF"/>
    <w:rsid w:val="00540D64"/>
    <w:rsid w:val="00540D7B"/>
    <w:rsid w:val="005411B0"/>
    <w:rsid w:val="005411DC"/>
    <w:rsid w:val="00541216"/>
    <w:rsid w:val="005413BC"/>
    <w:rsid w:val="0054158D"/>
    <w:rsid w:val="00541635"/>
    <w:rsid w:val="0054164B"/>
    <w:rsid w:val="005416EA"/>
    <w:rsid w:val="00541954"/>
    <w:rsid w:val="00541990"/>
    <w:rsid w:val="00541B61"/>
    <w:rsid w:val="00541C3A"/>
    <w:rsid w:val="00541E05"/>
    <w:rsid w:val="00542033"/>
    <w:rsid w:val="00542060"/>
    <w:rsid w:val="0054210C"/>
    <w:rsid w:val="00542138"/>
    <w:rsid w:val="0054213F"/>
    <w:rsid w:val="005423BF"/>
    <w:rsid w:val="005425B0"/>
    <w:rsid w:val="005426C5"/>
    <w:rsid w:val="005427F2"/>
    <w:rsid w:val="00542A7D"/>
    <w:rsid w:val="00542B81"/>
    <w:rsid w:val="00542E34"/>
    <w:rsid w:val="00543039"/>
    <w:rsid w:val="005432F2"/>
    <w:rsid w:val="00543338"/>
    <w:rsid w:val="00543787"/>
    <w:rsid w:val="00543982"/>
    <w:rsid w:val="005439E5"/>
    <w:rsid w:val="00543B4F"/>
    <w:rsid w:val="00543C04"/>
    <w:rsid w:val="00543C2A"/>
    <w:rsid w:val="00543D24"/>
    <w:rsid w:val="00543D46"/>
    <w:rsid w:val="00543F4F"/>
    <w:rsid w:val="005440BA"/>
    <w:rsid w:val="0054426F"/>
    <w:rsid w:val="0054428A"/>
    <w:rsid w:val="005442C7"/>
    <w:rsid w:val="005443C6"/>
    <w:rsid w:val="005443F9"/>
    <w:rsid w:val="00544616"/>
    <w:rsid w:val="00544648"/>
    <w:rsid w:val="0054478C"/>
    <w:rsid w:val="00544A21"/>
    <w:rsid w:val="00544B0B"/>
    <w:rsid w:val="00544BDE"/>
    <w:rsid w:val="00544D99"/>
    <w:rsid w:val="00545062"/>
    <w:rsid w:val="00545100"/>
    <w:rsid w:val="005452B3"/>
    <w:rsid w:val="00545390"/>
    <w:rsid w:val="005453C8"/>
    <w:rsid w:val="00545483"/>
    <w:rsid w:val="005454AF"/>
    <w:rsid w:val="00545511"/>
    <w:rsid w:val="00545600"/>
    <w:rsid w:val="00545659"/>
    <w:rsid w:val="0054571B"/>
    <w:rsid w:val="005457D4"/>
    <w:rsid w:val="005457E8"/>
    <w:rsid w:val="00545A04"/>
    <w:rsid w:val="00545B88"/>
    <w:rsid w:val="00545C1E"/>
    <w:rsid w:val="00545E6F"/>
    <w:rsid w:val="0054615A"/>
    <w:rsid w:val="00546256"/>
    <w:rsid w:val="005462DF"/>
    <w:rsid w:val="00546473"/>
    <w:rsid w:val="005464CB"/>
    <w:rsid w:val="0054659D"/>
    <w:rsid w:val="005467C6"/>
    <w:rsid w:val="00546872"/>
    <w:rsid w:val="0054693C"/>
    <w:rsid w:val="00546C9B"/>
    <w:rsid w:val="00546ECB"/>
    <w:rsid w:val="00546F87"/>
    <w:rsid w:val="00546FBF"/>
    <w:rsid w:val="005470A6"/>
    <w:rsid w:val="00547151"/>
    <w:rsid w:val="0054717F"/>
    <w:rsid w:val="00547181"/>
    <w:rsid w:val="00547213"/>
    <w:rsid w:val="00547217"/>
    <w:rsid w:val="00547222"/>
    <w:rsid w:val="005472AD"/>
    <w:rsid w:val="0054735F"/>
    <w:rsid w:val="00547419"/>
    <w:rsid w:val="0054773A"/>
    <w:rsid w:val="00547856"/>
    <w:rsid w:val="00547A25"/>
    <w:rsid w:val="00547AB0"/>
    <w:rsid w:val="00547C31"/>
    <w:rsid w:val="00547D4E"/>
    <w:rsid w:val="0055017E"/>
    <w:rsid w:val="00550223"/>
    <w:rsid w:val="005504D6"/>
    <w:rsid w:val="005504F0"/>
    <w:rsid w:val="00550580"/>
    <w:rsid w:val="005506B3"/>
    <w:rsid w:val="00550703"/>
    <w:rsid w:val="0055078C"/>
    <w:rsid w:val="00550AE3"/>
    <w:rsid w:val="00550B00"/>
    <w:rsid w:val="00550B2D"/>
    <w:rsid w:val="00550D69"/>
    <w:rsid w:val="0055102D"/>
    <w:rsid w:val="0055113B"/>
    <w:rsid w:val="0055125B"/>
    <w:rsid w:val="005512DC"/>
    <w:rsid w:val="005513DD"/>
    <w:rsid w:val="0055155B"/>
    <w:rsid w:val="0055157D"/>
    <w:rsid w:val="00551796"/>
    <w:rsid w:val="005517AF"/>
    <w:rsid w:val="0055190D"/>
    <w:rsid w:val="00551A99"/>
    <w:rsid w:val="00551BC0"/>
    <w:rsid w:val="00551DC3"/>
    <w:rsid w:val="00552032"/>
    <w:rsid w:val="00552271"/>
    <w:rsid w:val="0055228E"/>
    <w:rsid w:val="00552324"/>
    <w:rsid w:val="00552926"/>
    <w:rsid w:val="0055292C"/>
    <w:rsid w:val="00552A08"/>
    <w:rsid w:val="00552B4F"/>
    <w:rsid w:val="00552B9C"/>
    <w:rsid w:val="00552C49"/>
    <w:rsid w:val="00552C84"/>
    <w:rsid w:val="00552D8C"/>
    <w:rsid w:val="00552F8A"/>
    <w:rsid w:val="0055302F"/>
    <w:rsid w:val="00553078"/>
    <w:rsid w:val="00553119"/>
    <w:rsid w:val="00553258"/>
    <w:rsid w:val="005533D6"/>
    <w:rsid w:val="00553612"/>
    <w:rsid w:val="0055375D"/>
    <w:rsid w:val="0055384A"/>
    <w:rsid w:val="005539C5"/>
    <w:rsid w:val="00553B16"/>
    <w:rsid w:val="00553B82"/>
    <w:rsid w:val="00553D55"/>
    <w:rsid w:val="00553E2C"/>
    <w:rsid w:val="00553EB2"/>
    <w:rsid w:val="00553EF6"/>
    <w:rsid w:val="00553F5E"/>
    <w:rsid w:val="0055404D"/>
    <w:rsid w:val="00554085"/>
    <w:rsid w:val="00554121"/>
    <w:rsid w:val="0055424C"/>
    <w:rsid w:val="00554397"/>
    <w:rsid w:val="0055441A"/>
    <w:rsid w:val="0055467D"/>
    <w:rsid w:val="00554680"/>
    <w:rsid w:val="005546C5"/>
    <w:rsid w:val="00554733"/>
    <w:rsid w:val="0055476D"/>
    <w:rsid w:val="0055486E"/>
    <w:rsid w:val="00554946"/>
    <w:rsid w:val="00554955"/>
    <w:rsid w:val="005549F1"/>
    <w:rsid w:val="00554B65"/>
    <w:rsid w:val="00554E10"/>
    <w:rsid w:val="00554E84"/>
    <w:rsid w:val="00555001"/>
    <w:rsid w:val="00555118"/>
    <w:rsid w:val="005557FF"/>
    <w:rsid w:val="005558BF"/>
    <w:rsid w:val="0055590C"/>
    <w:rsid w:val="00555992"/>
    <w:rsid w:val="005559D6"/>
    <w:rsid w:val="00555E22"/>
    <w:rsid w:val="00555EDA"/>
    <w:rsid w:val="00555F30"/>
    <w:rsid w:val="0055629D"/>
    <w:rsid w:val="00556351"/>
    <w:rsid w:val="0055646D"/>
    <w:rsid w:val="00556671"/>
    <w:rsid w:val="00556884"/>
    <w:rsid w:val="005568CF"/>
    <w:rsid w:val="00556982"/>
    <w:rsid w:val="00556EED"/>
    <w:rsid w:val="00556F38"/>
    <w:rsid w:val="00557221"/>
    <w:rsid w:val="00557267"/>
    <w:rsid w:val="0055732E"/>
    <w:rsid w:val="005574B8"/>
    <w:rsid w:val="005575E6"/>
    <w:rsid w:val="00557608"/>
    <w:rsid w:val="00557D77"/>
    <w:rsid w:val="005603E6"/>
    <w:rsid w:val="005605B0"/>
    <w:rsid w:val="005607C6"/>
    <w:rsid w:val="005609AA"/>
    <w:rsid w:val="00560B9D"/>
    <w:rsid w:val="00560D93"/>
    <w:rsid w:val="00560E6F"/>
    <w:rsid w:val="00561148"/>
    <w:rsid w:val="00561179"/>
    <w:rsid w:val="00561319"/>
    <w:rsid w:val="005614FF"/>
    <w:rsid w:val="005615F8"/>
    <w:rsid w:val="00561A0F"/>
    <w:rsid w:val="00561C8E"/>
    <w:rsid w:val="00562073"/>
    <w:rsid w:val="00562125"/>
    <w:rsid w:val="005621AD"/>
    <w:rsid w:val="005622DF"/>
    <w:rsid w:val="005623D5"/>
    <w:rsid w:val="0056243E"/>
    <w:rsid w:val="00562698"/>
    <w:rsid w:val="005626D4"/>
    <w:rsid w:val="00562938"/>
    <w:rsid w:val="00562AF2"/>
    <w:rsid w:val="00562C45"/>
    <w:rsid w:val="00562CF7"/>
    <w:rsid w:val="00562D57"/>
    <w:rsid w:val="00562FDE"/>
    <w:rsid w:val="00563063"/>
    <w:rsid w:val="00563316"/>
    <w:rsid w:val="00563340"/>
    <w:rsid w:val="005633B9"/>
    <w:rsid w:val="0056343D"/>
    <w:rsid w:val="005635ED"/>
    <w:rsid w:val="0056368A"/>
    <w:rsid w:val="00563746"/>
    <w:rsid w:val="0056387F"/>
    <w:rsid w:val="005638B1"/>
    <w:rsid w:val="00563A00"/>
    <w:rsid w:val="00563AFC"/>
    <w:rsid w:val="00563B07"/>
    <w:rsid w:val="00563FEB"/>
    <w:rsid w:val="00564031"/>
    <w:rsid w:val="005643E8"/>
    <w:rsid w:val="005644A5"/>
    <w:rsid w:val="00564502"/>
    <w:rsid w:val="005646FA"/>
    <w:rsid w:val="00564807"/>
    <w:rsid w:val="00564A28"/>
    <w:rsid w:val="00564B3C"/>
    <w:rsid w:val="00564B44"/>
    <w:rsid w:val="00564B70"/>
    <w:rsid w:val="00564BD0"/>
    <w:rsid w:val="00564CB9"/>
    <w:rsid w:val="00564D3A"/>
    <w:rsid w:val="00564E17"/>
    <w:rsid w:val="00564E20"/>
    <w:rsid w:val="00564F99"/>
    <w:rsid w:val="00565006"/>
    <w:rsid w:val="005651F2"/>
    <w:rsid w:val="00565364"/>
    <w:rsid w:val="0056548C"/>
    <w:rsid w:val="005655DE"/>
    <w:rsid w:val="005657B9"/>
    <w:rsid w:val="005657F3"/>
    <w:rsid w:val="0056584B"/>
    <w:rsid w:val="005658F9"/>
    <w:rsid w:val="0056593C"/>
    <w:rsid w:val="00565AD3"/>
    <w:rsid w:val="00565AF7"/>
    <w:rsid w:val="00565B4A"/>
    <w:rsid w:val="00565E16"/>
    <w:rsid w:val="00565FD5"/>
    <w:rsid w:val="00565FFF"/>
    <w:rsid w:val="00566027"/>
    <w:rsid w:val="0056643B"/>
    <w:rsid w:val="005664AC"/>
    <w:rsid w:val="0056669B"/>
    <w:rsid w:val="0056676D"/>
    <w:rsid w:val="00566783"/>
    <w:rsid w:val="00566876"/>
    <w:rsid w:val="0056692F"/>
    <w:rsid w:val="00566976"/>
    <w:rsid w:val="005669CC"/>
    <w:rsid w:val="00566A0F"/>
    <w:rsid w:val="00566A1D"/>
    <w:rsid w:val="00566A29"/>
    <w:rsid w:val="00566C2F"/>
    <w:rsid w:val="00566DAA"/>
    <w:rsid w:val="00566F6D"/>
    <w:rsid w:val="005671BE"/>
    <w:rsid w:val="00567336"/>
    <w:rsid w:val="0056734F"/>
    <w:rsid w:val="005673AD"/>
    <w:rsid w:val="005674CD"/>
    <w:rsid w:val="0056752A"/>
    <w:rsid w:val="005676C8"/>
    <w:rsid w:val="005677DE"/>
    <w:rsid w:val="005678CC"/>
    <w:rsid w:val="005678D6"/>
    <w:rsid w:val="00567A61"/>
    <w:rsid w:val="00567AD1"/>
    <w:rsid w:val="00567C92"/>
    <w:rsid w:val="00567D37"/>
    <w:rsid w:val="00567E4A"/>
    <w:rsid w:val="005701AA"/>
    <w:rsid w:val="00570227"/>
    <w:rsid w:val="005702B8"/>
    <w:rsid w:val="005703EF"/>
    <w:rsid w:val="005704F1"/>
    <w:rsid w:val="0057054F"/>
    <w:rsid w:val="005705CB"/>
    <w:rsid w:val="00570679"/>
    <w:rsid w:val="005707F0"/>
    <w:rsid w:val="0057089A"/>
    <w:rsid w:val="005709B3"/>
    <w:rsid w:val="00570A2A"/>
    <w:rsid w:val="00570AA2"/>
    <w:rsid w:val="00570C79"/>
    <w:rsid w:val="00571390"/>
    <w:rsid w:val="005713E9"/>
    <w:rsid w:val="00571422"/>
    <w:rsid w:val="00571646"/>
    <w:rsid w:val="005718D1"/>
    <w:rsid w:val="00571B83"/>
    <w:rsid w:val="00571BE0"/>
    <w:rsid w:val="00571DDD"/>
    <w:rsid w:val="00571E12"/>
    <w:rsid w:val="00571EDB"/>
    <w:rsid w:val="00571FEB"/>
    <w:rsid w:val="0057223B"/>
    <w:rsid w:val="005724C5"/>
    <w:rsid w:val="0057275C"/>
    <w:rsid w:val="005727CC"/>
    <w:rsid w:val="00572811"/>
    <w:rsid w:val="005729A9"/>
    <w:rsid w:val="005729EA"/>
    <w:rsid w:val="00572AA1"/>
    <w:rsid w:val="00572D83"/>
    <w:rsid w:val="00572EE3"/>
    <w:rsid w:val="00572FB7"/>
    <w:rsid w:val="00573638"/>
    <w:rsid w:val="005736D7"/>
    <w:rsid w:val="00573B2C"/>
    <w:rsid w:val="00573C13"/>
    <w:rsid w:val="00573C50"/>
    <w:rsid w:val="00573CDF"/>
    <w:rsid w:val="00573F66"/>
    <w:rsid w:val="00573FBE"/>
    <w:rsid w:val="005740B1"/>
    <w:rsid w:val="00574106"/>
    <w:rsid w:val="0057419E"/>
    <w:rsid w:val="005741D2"/>
    <w:rsid w:val="00574531"/>
    <w:rsid w:val="005745A5"/>
    <w:rsid w:val="0057472F"/>
    <w:rsid w:val="005747C3"/>
    <w:rsid w:val="00574875"/>
    <w:rsid w:val="005748C4"/>
    <w:rsid w:val="00574CF3"/>
    <w:rsid w:val="00574ECA"/>
    <w:rsid w:val="00574F08"/>
    <w:rsid w:val="005751F2"/>
    <w:rsid w:val="005752FD"/>
    <w:rsid w:val="00575331"/>
    <w:rsid w:val="005753D7"/>
    <w:rsid w:val="00575465"/>
    <w:rsid w:val="00575574"/>
    <w:rsid w:val="005758AF"/>
    <w:rsid w:val="0057595A"/>
    <w:rsid w:val="00575AE1"/>
    <w:rsid w:val="00575C03"/>
    <w:rsid w:val="00575C3B"/>
    <w:rsid w:val="00575C57"/>
    <w:rsid w:val="00575E01"/>
    <w:rsid w:val="00575F23"/>
    <w:rsid w:val="005760C5"/>
    <w:rsid w:val="00576411"/>
    <w:rsid w:val="005765FE"/>
    <w:rsid w:val="0057670B"/>
    <w:rsid w:val="0057684D"/>
    <w:rsid w:val="00576866"/>
    <w:rsid w:val="005769F0"/>
    <w:rsid w:val="00576A6A"/>
    <w:rsid w:val="00576AE4"/>
    <w:rsid w:val="00576AFB"/>
    <w:rsid w:val="00576B27"/>
    <w:rsid w:val="00576C59"/>
    <w:rsid w:val="00576C90"/>
    <w:rsid w:val="00576D1E"/>
    <w:rsid w:val="00576D3A"/>
    <w:rsid w:val="00576D9B"/>
    <w:rsid w:val="00576DC8"/>
    <w:rsid w:val="00576EDA"/>
    <w:rsid w:val="00576F93"/>
    <w:rsid w:val="0057704C"/>
    <w:rsid w:val="005771CC"/>
    <w:rsid w:val="005772CD"/>
    <w:rsid w:val="00577547"/>
    <w:rsid w:val="0057755B"/>
    <w:rsid w:val="00577599"/>
    <w:rsid w:val="005775C0"/>
    <w:rsid w:val="005777D3"/>
    <w:rsid w:val="005777F2"/>
    <w:rsid w:val="005777FC"/>
    <w:rsid w:val="0057783E"/>
    <w:rsid w:val="00577848"/>
    <w:rsid w:val="00577960"/>
    <w:rsid w:val="00577B9F"/>
    <w:rsid w:val="00577C11"/>
    <w:rsid w:val="00577CD3"/>
    <w:rsid w:val="00577DB2"/>
    <w:rsid w:val="00577FF6"/>
    <w:rsid w:val="005800C0"/>
    <w:rsid w:val="005800FC"/>
    <w:rsid w:val="005801E0"/>
    <w:rsid w:val="005807C6"/>
    <w:rsid w:val="00580819"/>
    <w:rsid w:val="00580B93"/>
    <w:rsid w:val="00580CBB"/>
    <w:rsid w:val="00580D6A"/>
    <w:rsid w:val="00580E22"/>
    <w:rsid w:val="00580EE5"/>
    <w:rsid w:val="00580F51"/>
    <w:rsid w:val="005810D0"/>
    <w:rsid w:val="005811AA"/>
    <w:rsid w:val="005813FA"/>
    <w:rsid w:val="0058157F"/>
    <w:rsid w:val="00581A7E"/>
    <w:rsid w:val="00581B00"/>
    <w:rsid w:val="00581BAC"/>
    <w:rsid w:val="00581CD7"/>
    <w:rsid w:val="00581FF6"/>
    <w:rsid w:val="00582122"/>
    <w:rsid w:val="005823C3"/>
    <w:rsid w:val="00582793"/>
    <w:rsid w:val="005827D6"/>
    <w:rsid w:val="005828F4"/>
    <w:rsid w:val="00582947"/>
    <w:rsid w:val="00582AC2"/>
    <w:rsid w:val="00582B3D"/>
    <w:rsid w:val="00582CAC"/>
    <w:rsid w:val="00582E75"/>
    <w:rsid w:val="00582EF1"/>
    <w:rsid w:val="00583159"/>
    <w:rsid w:val="005831A5"/>
    <w:rsid w:val="005831BF"/>
    <w:rsid w:val="005834F1"/>
    <w:rsid w:val="0058370E"/>
    <w:rsid w:val="00583756"/>
    <w:rsid w:val="005837F2"/>
    <w:rsid w:val="00583831"/>
    <w:rsid w:val="0058388B"/>
    <w:rsid w:val="00583A8D"/>
    <w:rsid w:val="00583B45"/>
    <w:rsid w:val="00583B8A"/>
    <w:rsid w:val="00583D31"/>
    <w:rsid w:val="00583D33"/>
    <w:rsid w:val="00583DF1"/>
    <w:rsid w:val="00583DF8"/>
    <w:rsid w:val="00583F68"/>
    <w:rsid w:val="005841B2"/>
    <w:rsid w:val="005844B2"/>
    <w:rsid w:val="005845EF"/>
    <w:rsid w:val="00584879"/>
    <w:rsid w:val="00584944"/>
    <w:rsid w:val="00584979"/>
    <w:rsid w:val="00584ACD"/>
    <w:rsid w:val="00584C34"/>
    <w:rsid w:val="00584F45"/>
    <w:rsid w:val="005850F9"/>
    <w:rsid w:val="00585137"/>
    <w:rsid w:val="00585182"/>
    <w:rsid w:val="0058529A"/>
    <w:rsid w:val="005854A4"/>
    <w:rsid w:val="005855C7"/>
    <w:rsid w:val="00585680"/>
    <w:rsid w:val="005856C3"/>
    <w:rsid w:val="00585716"/>
    <w:rsid w:val="005858BB"/>
    <w:rsid w:val="00585A2B"/>
    <w:rsid w:val="00585BED"/>
    <w:rsid w:val="00585C08"/>
    <w:rsid w:val="00585C83"/>
    <w:rsid w:val="00585CA1"/>
    <w:rsid w:val="00585D67"/>
    <w:rsid w:val="00585FCD"/>
    <w:rsid w:val="00586014"/>
    <w:rsid w:val="00586203"/>
    <w:rsid w:val="005863F9"/>
    <w:rsid w:val="00586541"/>
    <w:rsid w:val="00586609"/>
    <w:rsid w:val="005866C5"/>
    <w:rsid w:val="005868F7"/>
    <w:rsid w:val="00586D2B"/>
    <w:rsid w:val="00586D95"/>
    <w:rsid w:val="00586DE1"/>
    <w:rsid w:val="00586EEE"/>
    <w:rsid w:val="00587105"/>
    <w:rsid w:val="00587220"/>
    <w:rsid w:val="0058729A"/>
    <w:rsid w:val="005872CD"/>
    <w:rsid w:val="005872E2"/>
    <w:rsid w:val="005873FA"/>
    <w:rsid w:val="00587442"/>
    <w:rsid w:val="0058766E"/>
    <w:rsid w:val="005877F6"/>
    <w:rsid w:val="00587BEC"/>
    <w:rsid w:val="00587E69"/>
    <w:rsid w:val="00587E9E"/>
    <w:rsid w:val="00587FC2"/>
    <w:rsid w:val="00590216"/>
    <w:rsid w:val="0059035A"/>
    <w:rsid w:val="0059040C"/>
    <w:rsid w:val="00590517"/>
    <w:rsid w:val="0059059E"/>
    <w:rsid w:val="0059086C"/>
    <w:rsid w:val="005908C7"/>
    <w:rsid w:val="00590945"/>
    <w:rsid w:val="00590A8D"/>
    <w:rsid w:val="00590AF9"/>
    <w:rsid w:val="00590B62"/>
    <w:rsid w:val="00590C90"/>
    <w:rsid w:val="00590CEA"/>
    <w:rsid w:val="00590F25"/>
    <w:rsid w:val="00590F64"/>
    <w:rsid w:val="00590F8A"/>
    <w:rsid w:val="00590FCE"/>
    <w:rsid w:val="005911EE"/>
    <w:rsid w:val="005917F5"/>
    <w:rsid w:val="00591848"/>
    <w:rsid w:val="005919B0"/>
    <w:rsid w:val="00591A02"/>
    <w:rsid w:val="00591A8E"/>
    <w:rsid w:val="00591AA0"/>
    <w:rsid w:val="00591AF1"/>
    <w:rsid w:val="00591BC6"/>
    <w:rsid w:val="00591D08"/>
    <w:rsid w:val="00591D50"/>
    <w:rsid w:val="00591EB7"/>
    <w:rsid w:val="00591ED8"/>
    <w:rsid w:val="00592129"/>
    <w:rsid w:val="00592257"/>
    <w:rsid w:val="0059226A"/>
    <w:rsid w:val="00592272"/>
    <w:rsid w:val="005922FE"/>
    <w:rsid w:val="0059260B"/>
    <w:rsid w:val="00592796"/>
    <w:rsid w:val="00592877"/>
    <w:rsid w:val="00592982"/>
    <w:rsid w:val="00592983"/>
    <w:rsid w:val="00592AB4"/>
    <w:rsid w:val="00592BBB"/>
    <w:rsid w:val="00592E29"/>
    <w:rsid w:val="00592EB9"/>
    <w:rsid w:val="00592F35"/>
    <w:rsid w:val="005933ED"/>
    <w:rsid w:val="0059360B"/>
    <w:rsid w:val="005937A7"/>
    <w:rsid w:val="005937D0"/>
    <w:rsid w:val="0059391B"/>
    <w:rsid w:val="0059393C"/>
    <w:rsid w:val="00593AB4"/>
    <w:rsid w:val="00593BE6"/>
    <w:rsid w:val="00593CD8"/>
    <w:rsid w:val="005940D4"/>
    <w:rsid w:val="00594159"/>
    <w:rsid w:val="00594166"/>
    <w:rsid w:val="00594231"/>
    <w:rsid w:val="0059447E"/>
    <w:rsid w:val="005944AB"/>
    <w:rsid w:val="005947E1"/>
    <w:rsid w:val="0059494B"/>
    <w:rsid w:val="00594B90"/>
    <w:rsid w:val="00594BE6"/>
    <w:rsid w:val="00594CF2"/>
    <w:rsid w:val="00594F35"/>
    <w:rsid w:val="00595115"/>
    <w:rsid w:val="00595258"/>
    <w:rsid w:val="00595522"/>
    <w:rsid w:val="005955C5"/>
    <w:rsid w:val="005957AE"/>
    <w:rsid w:val="0059599C"/>
    <w:rsid w:val="00595A4E"/>
    <w:rsid w:val="00595CC5"/>
    <w:rsid w:val="00595DD1"/>
    <w:rsid w:val="00595E51"/>
    <w:rsid w:val="0059601F"/>
    <w:rsid w:val="005960C3"/>
    <w:rsid w:val="00596136"/>
    <w:rsid w:val="00596234"/>
    <w:rsid w:val="00596649"/>
    <w:rsid w:val="00596895"/>
    <w:rsid w:val="005968DE"/>
    <w:rsid w:val="00596A03"/>
    <w:rsid w:val="00596D04"/>
    <w:rsid w:val="00596D8A"/>
    <w:rsid w:val="0059703D"/>
    <w:rsid w:val="0059717E"/>
    <w:rsid w:val="0059722D"/>
    <w:rsid w:val="00597368"/>
    <w:rsid w:val="00597374"/>
    <w:rsid w:val="005973BF"/>
    <w:rsid w:val="0059755F"/>
    <w:rsid w:val="00597577"/>
    <w:rsid w:val="00597694"/>
    <w:rsid w:val="005978B9"/>
    <w:rsid w:val="00597AFB"/>
    <w:rsid w:val="00597C4F"/>
    <w:rsid w:val="00597DCA"/>
    <w:rsid w:val="00597EE8"/>
    <w:rsid w:val="005A021E"/>
    <w:rsid w:val="005A091C"/>
    <w:rsid w:val="005A0D6D"/>
    <w:rsid w:val="005A0EA7"/>
    <w:rsid w:val="005A0EF7"/>
    <w:rsid w:val="005A0FA7"/>
    <w:rsid w:val="005A1127"/>
    <w:rsid w:val="005A14EA"/>
    <w:rsid w:val="005A153B"/>
    <w:rsid w:val="005A15BC"/>
    <w:rsid w:val="005A16E0"/>
    <w:rsid w:val="005A17E7"/>
    <w:rsid w:val="005A1819"/>
    <w:rsid w:val="005A1949"/>
    <w:rsid w:val="005A19C1"/>
    <w:rsid w:val="005A1A73"/>
    <w:rsid w:val="005A1E73"/>
    <w:rsid w:val="005A2169"/>
    <w:rsid w:val="005A2190"/>
    <w:rsid w:val="005A229E"/>
    <w:rsid w:val="005A23D7"/>
    <w:rsid w:val="005A2498"/>
    <w:rsid w:val="005A260F"/>
    <w:rsid w:val="005A2689"/>
    <w:rsid w:val="005A2766"/>
    <w:rsid w:val="005A290B"/>
    <w:rsid w:val="005A2C11"/>
    <w:rsid w:val="005A2D1D"/>
    <w:rsid w:val="005A2D5D"/>
    <w:rsid w:val="005A327F"/>
    <w:rsid w:val="005A385F"/>
    <w:rsid w:val="005A38FB"/>
    <w:rsid w:val="005A3F02"/>
    <w:rsid w:val="005A40BC"/>
    <w:rsid w:val="005A4210"/>
    <w:rsid w:val="005A46D5"/>
    <w:rsid w:val="005A480D"/>
    <w:rsid w:val="005A4B2F"/>
    <w:rsid w:val="005A4B33"/>
    <w:rsid w:val="005A5181"/>
    <w:rsid w:val="005A546A"/>
    <w:rsid w:val="005A5476"/>
    <w:rsid w:val="005A55CD"/>
    <w:rsid w:val="005A57E0"/>
    <w:rsid w:val="005A596B"/>
    <w:rsid w:val="005A5A54"/>
    <w:rsid w:val="005A5AA1"/>
    <w:rsid w:val="005A5D1B"/>
    <w:rsid w:val="005A5D30"/>
    <w:rsid w:val="005A5F53"/>
    <w:rsid w:val="005A5FA0"/>
    <w:rsid w:val="005A60C2"/>
    <w:rsid w:val="005A6173"/>
    <w:rsid w:val="005A619F"/>
    <w:rsid w:val="005A6279"/>
    <w:rsid w:val="005A6294"/>
    <w:rsid w:val="005A640E"/>
    <w:rsid w:val="005A64E8"/>
    <w:rsid w:val="005A65B3"/>
    <w:rsid w:val="005A6675"/>
    <w:rsid w:val="005A678E"/>
    <w:rsid w:val="005A68D7"/>
    <w:rsid w:val="005A697B"/>
    <w:rsid w:val="005A6AC0"/>
    <w:rsid w:val="005A6AD4"/>
    <w:rsid w:val="005A74CB"/>
    <w:rsid w:val="005A74D5"/>
    <w:rsid w:val="005A77C9"/>
    <w:rsid w:val="005A7954"/>
    <w:rsid w:val="005A79BF"/>
    <w:rsid w:val="005A7A45"/>
    <w:rsid w:val="005A7A63"/>
    <w:rsid w:val="005A7BAA"/>
    <w:rsid w:val="005A7D5D"/>
    <w:rsid w:val="005B00D6"/>
    <w:rsid w:val="005B0375"/>
    <w:rsid w:val="005B0588"/>
    <w:rsid w:val="005B0643"/>
    <w:rsid w:val="005B0710"/>
    <w:rsid w:val="005B07B5"/>
    <w:rsid w:val="005B07B9"/>
    <w:rsid w:val="005B0BE0"/>
    <w:rsid w:val="005B0DF4"/>
    <w:rsid w:val="005B0E0B"/>
    <w:rsid w:val="005B0E34"/>
    <w:rsid w:val="005B0EF3"/>
    <w:rsid w:val="005B0F78"/>
    <w:rsid w:val="005B0F98"/>
    <w:rsid w:val="005B1127"/>
    <w:rsid w:val="005B1353"/>
    <w:rsid w:val="005B1369"/>
    <w:rsid w:val="005B1382"/>
    <w:rsid w:val="005B15DD"/>
    <w:rsid w:val="005B184B"/>
    <w:rsid w:val="005B1854"/>
    <w:rsid w:val="005B1896"/>
    <w:rsid w:val="005B18B0"/>
    <w:rsid w:val="005B1B80"/>
    <w:rsid w:val="005B1B85"/>
    <w:rsid w:val="005B1C40"/>
    <w:rsid w:val="005B1C79"/>
    <w:rsid w:val="005B1F23"/>
    <w:rsid w:val="005B2215"/>
    <w:rsid w:val="005B25F8"/>
    <w:rsid w:val="005B2647"/>
    <w:rsid w:val="005B27DA"/>
    <w:rsid w:val="005B27ED"/>
    <w:rsid w:val="005B2969"/>
    <w:rsid w:val="005B2997"/>
    <w:rsid w:val="005B29DA"/>
    <w:rsid w:val="005B2B97"/>
    <w:rsid w:val="005B2CC9"/>
    <w:rsid w:val="005B2E27"/>
    <w:rsid w:val="005B319F"/>
    <w:rsid w:val="005B355F"/>
    <w:rsid w:val="005B359D"/>
    <w:rsid w:val="005B35DF"/>
    <w:rsid w:val="005B3A40"/>
    <w:rsid w:val="005B3AEC"/>
    <w:rsid w:val="005B3BD6"/>
    <w:rsid w:val="005B4194"/>
    <w:rsid w:val="005B42FC"/>
    <w:rsid w:val="005B4337"/>
    <w:rsid w:val="005B442A"/>
    <w:rsid w:val="005B44FF"/>
    <w:rsid w:val="005B4548"/>
    <w:rsid w:val="005B46E6"/>
    <w:rsid w:val="005B46F0"/>
    <w:rsid w:val="005B47B6"/>
    <w:rsid w:val="005B47CD"/>
    <w:rsid w:val="005B47DB"/>
    <w:rsid w:val="005B4882"/>
    <w:rsid w:val="005B4B34"/>
    <w:rsid w:val="005B4C45"/>
    <w:rsid w:val="005B4C97"/>
    <w:rsid w:val="005B4E84"/>
    <w:rsid w:val="005B5032"/>
    <w:rsid w:val="005B51C2"/>
    <w:rsid w:val="005B5250"/>
    <w:rsid w:val="005B5269"/>
    <w:rsid w:val="005B546E"/>
    <w:rsid w:val="005B55A6"/>
    <w:rsid w:val="005B5789"/>
    <w:rsid w:val="005B57A5"/>
    <w:rsid w:val="005B5A93"/>
    <w:rsid w:val="005B5CEC"/>
    <w:rsid w:val="005B5D36"/>
    <w:rsid w:val="005B5D6C"/>
    <w:rsid w:val="005B5E2B"/>
    <w:rsid w:val="005B5F59"/>
    <w:rsid w:val="005B60B0"/>
    <w:rsid w:val="005B637D"/>
    <w:rsid w:val="005B6481"/>
    <w:rsid w:val="005B6486"/>
    <w:rsid w:val="005B64EE"/>
    <w:rsid w:val="005B6841"/>
    <w:rsid w:val="005B69B7"/>
    <w:rsid w:val="005B69D2"/>
    <w:rsid w:val="005B6BB2"/>
    <w:rsid w:val="005B6D54"/>
    <w:rsid w:val="005B7283"/>
    <w:rsid w:val="005B7374"/>
    <w:rsid w:val="005B7475"/>
    <w:rsid w:val="005B74B7"/>
    <w:rsid w:val="005B7853"/>
    <w:rsid w:val="005B797E"/>
    <w:rsid w:val="005B7B4D"/>
    <w:rsid w:val="005B7B7D"/>
    <w:rsid w:val="005B7C55"/>
    <w:rsid w:val="005B7E5D"/>
    <w:rsid w:val="005B7EE2"/>
    <w:rsid w:val="005B7FDF"/>
    <w:rsid w:val="005C0133"/>
    <w:rsid w:val="005C01D5"/>
    <w:rsid w:val="005C031D"/>
    <w:rsid w:val="005C04C0"/>
    <w:rsid w:val="005C05F8"/>
    <w:rsid w:val="005C0683"/>
    <w:rsid w:val="005C06C1"/>
    <w:rsid w:val="005C0CCC"/>
    <w:rsid w:val="005C0D5A"/>
    <w:rsid w:val="005C0E83"/>
    <w:rsid w:val="005C0EA6"/>
    <w:rsid w:val="005C0FA5"/>
    <w:rsid w:val="005C109C"/>
    <w:rsid w:val="005C1153"/>
    <w:rsid w:val="005C129C"/>
    <w:rsid w:val="005C14A2"/>
    <w:rsid w:val="005C14EF"/>
    <w:rsid w:val="005C170F"/>
    <w:rsid w:val="005C1793"/>
    <w:rsid w:val="005C17FA"/>
    <w:rsid w:val="005C18B2"/>
    <w:rsid w:val="005C1D67"/>
    <w:rsid w:val="005C1E00"/>
    <w:rsid w:val="005C1E62"/>
    <w:rsid w:val="005C1FE1"/>
    <w:rsid w:val="005C2171"/>
    <w:rsid w:val="005C23A6"/>
    <w:rsid w:val="005C250F"/>
    <w:rsid w:val="005C2642"/>
    <w:rsid w:val="005C267A"/>
    <w:rsid w:val="005C26F2"/>
    <w:rsid w:val="005C280B"/>
    <w:rsid w:val="005C2C96"/>
    <w:rsid w:val="005C2CD7"/>
    <w:rsid w:val="005C2EC7"/>
    <w:rsid w:val="005C30DF"/>
    <w:rsid w:val="005C3252"/>
    <w:rsid w:val="005C32F2"/>
    <w:rsid w:val="005C344B"/>
    <w:rsid w:val="005C3551"/>
    <w:rsid w:val="005C36A4"/>
    <w:rsid w:val="005C371C"/>
    <w:rsid w:val="005C3733"/>
    <w:rsid w:val="005C3C47"/>
    <w:rsid w:val="005C3C50"/>
    <w:rsid w:val="005C3DBC"/>
    <w:rsid w:val="005C3E95"/>
    <w:rsid w:val="005C4530"/>
    <w:rsid w:val="005C4671"/>
    <w:rsid w:val="005C48B7"/>
    <w:rsid w:val="005C4A55"/>
    <w:rsid w:val="005C4AAD"/>
    <w:rsid w:val="005C4DD5"/>
    <w:rsid w:val="005C4E8E"/>
    <w:rsid w:val="005C54AB"/>
    <w:rsid w:val="005C553C"/>
    <w:rsid w:val="005C560E"/>
    <w:rsid w:val="005C562C"/>
    <w:rsid w:val="005C5664"/>
    <w:rsid w:val="005C566A"/>
    <w:rsid w:val="005C579C"/>
    <w:rsid w:val="005C5801"/>
    <w:rsid w:val="005C5856"/>
    <w:rsid w:val="005C5BB7"/>
    <w:rsid w:val="005C5C24"/>
    <w:rsid w:val="005C5C63"/>
    <w:rsid w:val="005C5D99"/>
    <w:rsid w:val="005C5DAF"/>
    <w:rsid w:val="005C5DB2"/>
    <w:rsid w:val="005C5DF0"/>
    <w:rsid w:val="005C608C"/>
    <w:rsid w:val="005C6092"/>
    <w:rsid w:val="005C6205"/>
    <w:rsid w:val="005C6447"/>
    <w:rsid w:val="005C644A"/>
    <w:rsid w:val="005C669A"/>
    <w:rsid w:val="005C6794"/>
    <w:rsid w:val="005C69FA"/>
    <w:rsid w:val="005C6B46"/>
    <w:rsid w:val="005C7151"/>
    <w:rsid w:val="005C722B"/>
    <w:rsid w:val="005C75FA"/>
    <w:rsid w:val="005C76BC"/>
    <w:rsid w:val="005C76EA"/>
    <w:rsid w:val="005C793F"/>
    <w:rsid w:val="005C7946"/>
    <w:rsid w:val="005C7A0B"/>
    <w:rsid w:val="005C7A1F"/>
    <w:rsid w:val="005C7A73"/>
    <w:rsid w:val="005C7B18"/>
    <w:rsid w:val="005C7CAA"/>
    <w:rsid w:val="005C7CC6"/>
    <w:rsid w:val="005D00D7"/>
    <w:rsid w:val="005D01B7"/>
    <w:rsid w:val="005D01C6"/>
    <w:rsid w:val="005D01F4"/>
    <w:rsid w:val="005D0228"/>
    <w:rsid w:val="005D0242"/>
    <w:rsid w:val="005D03C4"/>
    <w:rsid w:val="005D0502"/>
    <w:rsid w:val="005D07DA"/>
    <w:rsid w:val="005D08A6"/>
    <w:rsid w:val="005D0A56"/>
    <w:rsid w:val="005D0B5E"/>
    <w:rsid w:val="005D0B87"/>
    <w:rsid w:val="005D0FB5"/>
    <w:rsid w:val="005D1656"/>
    <w:rsid w:val="005D1827"/>
    <w:rsid w:val="005D22CB"/>
    <w:rsid w:val="005D2322"/>
    <w:rsid w:val="005D234E"/>
    <w:rsid w:val="005D2674"/>
    <w:rsid w:val="005D2D03"/>
    <w:rsid w:val="005D2D80"/>
    <w:rsid w:val="005D2F2F"/>
    <w:rsid w:val="005D300D"/>
    <w:rsid w:val="005D30B9"/>
    <w:rsid w:val="005D34C3"/>
    <w:rsid w:val="005D3862"/>
    <w:rsid w:val="005D3B17"/>
    <w:rsid w:val="005D3B61"/>
    <w:rsid w:val="005D3C62"/>
    <w:rsid w:val="005D3CA0"/>
    <w:rsid w:val="005D3E88"/>
    <w:rsid w:val="005D3EB3"/>
    <w:rsid w:val="005D3EBB"/>
    <w:rsid w:val="005D3FDA"/>
    <w:rsid w:val="005D4120"/>
    <w:rsid w:val="005D446A"/>
    <w:rsid w:val="005D47D9"/>
    <w:rsid w:val="005D48AD"/>
    <w:rsid w:val="005D48E2"/>
    <w:rsid w:val="005D48F1"/>
    <w:rsid w:val="005D494D"/>
    <w:rsid w:val="005D4CF4"/>
    <w:rsid w:val="005D4E91"/>
    <w:rsid w:val="005D4F22"/>
    <w:rsid w:val="005D4FBB"/>
    <w:rsid w:val="005D51C7"/>
    <w:rsid w:val="005D52AD"/>
    <w:rsid w:val="005D579E"/>
    <w:rsid w:val="005D5C9B"/>
    <w:rsid w:val="005D601D"/>
    <w:rsid w:val="005D606D"/>
    <w:rsid w:val="005D6458"/>
    <w:rsid w:val="005D659A"/>
    <w:rsid w:val="005D6741"/>
    <w:rsid w:val="005D6800"/>
    <w:rsid w:val="005D6849"/>
    <w:rsid w:val="005D6B6F"/>
    <w:rsid w:val="005D6E51"/>
    <w:rsid w:val="005D6F4C"/>
    <w:rsid w:val="005D73AD"/>
    <w:rsid w:val="005D766E"/>
    <w:rsid w:val="005D7889"/>
    <w:rsid w:val="005D79B4"/>
    <w:rsid w:val="005D7C14"/>
    <w:rsid w:val="005D7DC4"/>
    <w:rsid w:val="005D7F10"/>
    <w:rsid w:val="005E004D"/>
    <w:rsid w:val="005E0074"/>
    <w:rsid w:val="005E0263"/>
    <w:rsid w:val="005E03BC"/>
    <w:rsid w:val="005E059A"/>
    <w:rsid w:val="005E05EA"/>
    <w:rsid w:val="005E06E8"/>
    <w:rsid w:val="005E0743"/>
    <w:rsid w:val="005E07A6"/>
    <w:rsid w:val="005E093A"/>
    <w:rsid w:val="005E0CEF"/>
    <w:rsid w:val="005E0D7B"/>
    <w:rsid w:val="005E151E"/>
    <w:rsid w:val="005E160A"/>
    <w:rsid w:val="005E16E5"/>
    <w:rsid w:val="005E1BDD"/>
    <w:rsid w:val="005E1EEB"/>
    <w:rsid w:val="005E1F50"/>
    <w:rsid w:val="005E23DC"/>
    <w:rsid w:val="005E2668"/>
    <w:rsid w:val="005E2AA3"/>
    <w:rsid w:val="005E2E1A"/>
    <w:rsid w:val="005E2E79"/>
    <w:rsid w:val="005E2F32"/>
    <w:rsid w:val="005E329A"/>
    <w:rsid w:val="005E3433"/>
    <w:rsid w:val="005E3582"/>
    <w:rsid w:val="005E36F8"/>
    <w:rsid w:val="005E3757"/>
    <w:rsid w:val="005E389E"/>
    <w:rsid w:val="005E39D2"/>
    <w:rsid w:val="005E39EB"/>
    <w:rsid w:val="005E3A66"/>
    <w:rsid w:val="005E3BBD"/>
    <w:rsid w:val="005E3C0D"/>
    <w:rsid w:val="005E3E74"/>
    <w:rsid w:val="005E3F18"/>
    <w:rsid w:val="005E3F1D"/>
    <w:rsid w:val="005E3F7F"/>
    <w:rsid w:val="005E40F7"/>
    <w:rsid w:val="005E40F8"/>
    <w:rsid w:val="005E420F"/>
    <w:rsid w:val="005E4254"/>
    <w:rsid w:val="005E430A"/>
    <w:rsid w:val="005E4412"/>
    <w:rsid w:val="005E46E4"/>
    <w:rsid w:val="005E4869"/>
    <w:rsid w:val="005E4997"/>
    <w:rsid w:val="005E49D2"/>
    <w:rsid w:val="005E4B3E"/>
    <w:rsid w:val="005E4BA2"/>
    <w:rsid w:val="005E4BB5"/>
    <w:rsid w:val="005E4BDB"/>
    <w:rsid w:val="005E4C39"/>
    <w:rsid w:val="005E4D15"/>
    <w:rsid w:val="005E4D1C"/>
    <w:rsid w:val="005E4DD4"/>
    <w:rsid w:val="005E4FED"/>
    <w:rsid w:val="005E5014"/>
    <w:rsid w:val="005E505A"/>
    <w:rsid w:val="005E5113"/>
    <w:rsid w:val="005E5163"/>
    <w:rsid w:val="005E53EE"/>
    <w:rsid w:val="005E5422"/>
    <w:rsid w:val="005E54CA"/>
    <w:rsid w:val="005E583F"/>
    <w:rsid w:val="005E591D"/>
    <w:rsid w:val="005E5A77"/>
    <w:rsid w:val="005E5AE6"/>
    <w:rsid w:val="005E5BFA"/>
    <w:rsid w:val="005E5DF2"/>
    <w:rsid w:val="005E5E23"/>
    <w:rsid w:val="005E5FD4"/>
    <w:rsid w:val="005E609B"/>
    <w:rsid w:val="005E610E"/>
    <w:rsid w:val="005E6139"/>
    <w:rsid w:val="005E61AC"/>
    <w:rsid w:val="005E632A"/>
    <w:rsid w:val="005E6B15"/>
    <w:rsid w:val="005E6C11"/>
    <w:rsid w:val="005E6C4C"/>
    <w:rsid w:val="005E6CCA"/>
    <w:rsid w:val="005E6DE9"/>
    <w:rsid w:val="005E74AA"/>
    <w:rsid w:val="005E74B1"/>
    <w:rsid w:val="005E75BB"/>
    <w:rsid w:val="005E76F7"/>
    <w:rsid w:val="005E7739"/>
    <w:rsid w:val="005E798E"/>
    <w:rsid w:val="005E7BE9"/>
    <w:rsid w:val="005E7EAD"/>
    <w:rsid w:val="005F0341"/>
    <w:rsid w:val="005F0469"/>
    <w:rsid w:val="005F05BA"/>
    <w:rsid w:val="005F0614"/>
    <w:rsid w:val="005F069E"/>
    <w:rsid w:val="005F06AF"/>
    <w:rsid w:val="005F0707"/>
    <w:rsid w:val="005F079A"/>
    <w:rsid w:val="005F0809"/>
    <w:rsid w:val="005F099A"/>
    <w:rsid w:val="005F09C1"/>
    <w:rsid w:val="005F09C8"/>
    <w:rsid w:val="005F0C12"/>
    <w:rsid w:val="005F0CE2"/>
    <w:rsid w:val="005F0CE7"/>
    <w:rsid w:val="005F0CE9"/>
    <w:rsid w:val="005F0E00"/>
    <w:rsid w:val="005F0E5E"/>
    <w:rsid w:val="005F0EDB"/>
    <w:rsid w:val="005F0F7F"/>
    <w:rsid w:val="005F101A"/>
    <w:rsid w:val="005F1034"/>
    <w:rsid w:val="005F107B"/>
    <w:rsid w:val="005F12FB"/>
    <w:rsid w:val="005F1482"/>
    <w:rsid w:val="005F1579"/>
    <w:rsid w:val="005F1734"/>
    <w:rsid w:val="005F1801"/>
    <w:rsid w:val="005F180B"/>
    <w:rsid w:val="005F1991"/>
    <w:rsid w:val="005F1DA8"/>
    <w:rsid w:val="005F202E"/>
    <w:rsid w:val="005F231B"/>
    <w:rsid w:val="005F2365"/>
    <w:rsid w:val="005F244A"/>
    <w:rsid w:val="005F24FD"/>
    <w:rsid w:val="005F25A7"/>
    <w:rsid w:val="005F2600"/>
    <w:rsid w:val="005F26DE"/>
    <w:rsid w:val="005F26F4"/>
    <w:rsid w:val="005F2AC8"/>
    <w:rsid w:val="005F2AEC"/>
    <w:rsid w:val="005F2B23"/>
    <w:rsid w:val="005F2E10"/>
    <w:rsid w:val="005F2EF0"/>
    <w:rsid w:val="005F3141"/>
    <w:rsid w:val="005F31B3"/>
    <w:rsid w:val="005F32E3"/>
    <w:rsid w:val="005F32EB"/>
    <w:rsid w:val="005F3931"/>
    <w:rsid w:val="005F39E7"/>
    <w:rsid w:val="005F3A7C"/>
    <w:rsid w:val="005F3AF1"/>
    <w:rsid w:val="005F3B4C"/>
    <w:rsid w:val="005F3C73"/>
    <w:rsid w:val="005F3D11"/>
    <w:rsid w:val="005F3E00"/>
    <w:rsid w:val="005F40C1"/>
    <w:rsid w:val="005F4143"/>
    <w:rsid w:val="005F43D4"/>
    <w:rsid w:val="005F4499"/>
    <w:rsid w:val="005F456F"/>
    <w:rsid w:val="005F4621"/>
    <w:rsid w:val="005F4A15"/>
    <w:rsid w:val="005F4A68"/>
    <w:rsid w:val="005F4C5B"/>
    <w:rsid w:val="005F4C8F"/>
    <w:rsid w:val="005F4D31"/>
    <w:rsid w:val="005F4DE4"/>
    <w:rsid w:val="005F51B9"/>
    <w:rsid w:val="005F5521"/>
    <w:rsid w:val="005F5716"/>
    <w:rsid w:val="005F58A2"/>
    <w:rsid w:val="005F59EA"/>
    <w:rsid w:val="005F5A86"/>
    <w:rsid w:val="005F5B0F"/>
    <w:rsid w:val="005F5B47"/>
    <w:rsid w:val="005F5C47"/>
    <w:rsid w:val="005F5D5C"/>
    <w:rsid w:val="005F5D9B"/>
    <w:rsid w:val="005F5EC2"/>
    <w:rsid w:val="005F60F5"/>
    <w:rsid w:val="005F6490"/>
    <w:rsid w:val="005F66B7"/>
    <w:rsid w:val="005F68D7"/>
    <w:rsid w:val="005F6C66"/>
    <w:rsid w:val="005F6E33"/>
    <w:rsid w:val="005F6E94"/>
    <w:rsid w:val="005F6F41"/>
    <w:rsid w:val="005F6F53"/>
    <w:rsid w:val="005F70FB"/>
    <w:rsid w:val="005F7105"/>
    <w:rsid w:val="005F7133"/>
    <w:rsid w:val="005F7135"/>
    <w:rsid w:val="005F73EC"/>
    <w:rsid w:val="005F740C"/>
    <w:rsid w:val="005F7741"/>
    <w:rsid w:val="005F77C3"/>
    <w:rsid w:val="005F7BB9"/>
    <w:rsid w:val="005F7BC2"/>
    <w:rsid w:val="005F7C41"/>
    <w:rsid w:val="006000E6"/>
    <w:rsid w:val="0060018C"/>
    <w:rsid w:val="0060028C"/>
    <w:rsid w:val="0060033D"/>
    <w:rsid w:val="006003C3"/>
    <w:rsid w:val="0060072F"/>
    <w:rsid w:val="00600785"/>
    <w:rsid w:val="0060085B"/>
    <w:rsid w:val="00600A89"/>
    <w:rsid w:val="00600AEB"/>
    <w:rsid w:val="00600B88"/>
    <w:rsid w:val="00600DEB"/>
    <w:rsid w:val="00600F5A"/>
    <w:rsid w:val="00600F5B"/>
    <w:rsid w:val="00601078"/>
    <w:rsid w:val="0060108F"/>
    <w:rsid w:val="006011A6"/>
    <w:rsid w:val="006015DB"/>
    <w:rsid w:val="006016FB"/>
    <w:rsid w:val="006016FE"/>
    <w:rsid w:val="006017DC"/>
    <w:rsid w:val="00601848"/>
    <w:rsid w:val="006018DE"/>
    <w:rsid w:val="00601C0B"/>
    <w:rsid w:val="00601DC7"/>
    <w:rsid w:val="00601E54"/>
    <w:rsid w:val="00601EBF"/>
    <w:rsid w:val="00601F28"/>
    <w:rsid w:val="0060220E"/>
    <w:rsid w:val="006022CE"/>
    <w:rsid w:val="00602388"/>
    <w:rsid w:val="0060275A"/>
    <w:rsid w:val="006027F3"/>
    <w:rsid w:val="00602A7E"/>
    <w:rsid w:val="00602B67"/>
    <w:rsid w:val="00602DC7"/>
    <w:rsid w:val="00602E87"/>
    <w:rsid w:val="00602F4F"/>
    <w:rsid w:val="0060329C"/>
    <w:rsid w:val="00603395"/>
    <w:rsid w:val="006034C2"/>
    <w:rsid w:val="00603674"/>
    <w:rsid w:val="00603731"/>
    <w:rsid w:val="006037BE"/>
    <w:rsid w:val="00603A21"/>
    <w:rsid w:val="00603C77"/>
    <w:rsid w:val="00603CFD"/>
    <w:rsid w:val="00603D4F"/>
    <w:rsid w:val="00603D6B"/>
    <w:rsid w:val="00603FC0"/>
    <w:rsid w:val="0060410E"/>
    <w:rsid w:val="0060412F"/>
    <w:rsid w:val="0060437A"/>
    <w:rsid w:val="006045D1"/>
    <w:rsid w:val="006047E7"/>
    <w:rsid w:val="00604A8A"/>
    <w:rsid w:val="00604AAF"/>
    <w:rsid w:val="00604AE7"/>
    <w:rsid w:val="00604B88"/>
    <w:rsid w:val="00604BCC"/>
    <w:rsid w:val="00604D82"/>
    <w:rsid w:val="0060501D"/>
    <w:rsid w:val="00605235"/>
    <w:rsid w:val="006057C6"/>
    <w:rsid w:val="006058D5"/>
    <w:rsid w:val="00605918"/>
    <w:rsid w:val="00605B30"/>
    <w:rsid w:val="00605CCD"/>
    <w:rsid w:val="00605F90"/>
    <w:rsid w:val="00606163"/>
    <w:rsid w:val="006063B8"/>
    <w:rsid w:val="00606556"/>
    <w:rsid w:val="006065DE"/>
    <w:rsid w:val="00606630"/>
    <w:rsid w:val="0060675C"/>
    <w:rsid w:val="0060688F"/>
    <w:rsid w:val="006068E2"/>
    <w:rsid w:val="006069D4"/>
    <w:rsid w:val="00606B09"/>
    <w:rsid w:val="00606C9C"/>
    <w:rsid w:val="00606F80"/>
    <w:rsid w:val="00606FD2"/>
    <w:rsid w:val="006070C9"/>
    <w:rsid w:val="006072F4"/>
    <w:rsid w:val="006074EC"/>
    <w:rsid w:val="00607551"/>
    <w:rsid w:val="00607584"/>
    <w:rsid w:val="00607687"/>
    <w:rsid w:val="006077A0"/>
    <w:rsid w:val="00607912"/>
    <w:rsid w:val="00607918"/>
    <w:rsid w:val="00607929"/>
    <w:rsid w:val="00607AFC"/>
    <w:rsid w:val="00607D50"/>
    <w:rsid w:val="006100A7"/>
    <w:rsid w:val="006100AD"/>
    <w:rsid w:val="006101A1"/>
    <w:rsid w:val="00610202"/>
    <w:rsid w:val="006103AA"/>
    <w:rsid w:val="00610410"/>
    <w:rsid w:val="00610610"/>
    <w:rsid w:val="006107C4"/>
    <w:rsid w:val="00610856"/>
    <w:rsid w:val="00610A29"/>
    <w:rsid w:val="00610A92"/>
    <w:rsid w:val="00610AA0"/>
    <w:rsid w:val="00610B5A"/>
    <w:rsid w:val="00610C2D"/>
    <w:rsid w:val="00610C9E"/>
    <w:rsid w:val="00610D0B"/>
    <w:rsid w:val="00610F31"/>
    <w:rsid w:val="00610F65"/>
    <w:rsid w:val="0061108C"/>
    <w:rsid w:val="006110B5"/>
    <w:rsid w:val="006110BA"/>
    <w:rsid w:val="006111ED"/>
    <w:rsid w:val="0061126D"/>
    <w:rsid w:val="006113B3"/>
    <w:rsid w:val="006113D4"/>
    <w:rsid w:val="006117F8"/>
    <w:rsid w:val="0061195C"/>
    <w:rsid w:val="0061197B"/>
    <w:rsid w:val="00611E3F"/>
    <w:rsid w:val="00611F20"/>
    <w:rsid w:val="00612015"/>
    <w:rsid w:val="006120BE"/>
    <w:rsid w:val="006121A7"/>
    <w:rsid w:val="00612296"/>
    <w:rsid w:val="006122EE"/>
    <w:rsid w:val="00612355"/>
    <w:rsid w:val="006124C0"/>
    <w:rsid w:val="00612509"/>
    <w:rsid w:val="00612679"/>
    <w:rsid w:val="006126F9"/>
    <w:rsid w:val="00612738"/>
    <w:rsid w:val="00612A1A"/>
    <w:rsid w:val="00612A5E"/>
    <w:rsid w:val="00612AEE"/>
    <w:rsid w:val="00612B5D"/>
    <w:rsid w:val="00612C14"/>
    <w:rsid w:val="00612CFF"/>
    <w:rsid w:val="00612D5F"/>
    <w:rsid w:val="00613184"/>
    <w:rsid w:val="006132AA"/>
    <w:rsid w:val="006134BA"/>
    <w:rsid w:val="00613550"/>
    <w:rsid w:val="0061359C"/>
    <w:rsid w:val="0061384B"/>
    <w:rsid w:val="00613A8C"/>
    <w:rsid w:val="00613AC0"/>
    <w:rsid w:val="00613AF7"/>
    <w:rsid w:val="00613DA4"/>
    <w:rsid w:val="00613E9C"/>
    <w:rsid w:val="00613FAB"/>
    <w:rsid w:val="00613FB6"/>
    <w:rsid w:val="0061410F"/>
    <w:rsid w:val="00614188"/>
    <w:rsid w:val="006142DA"/>
    <w:rsid w:val="0061483F"/>
    <w:rsid w:val="006149F3"/>
    <w:rsid w:val="00614AA1"/>
    <w:rsid w:val="00614D55"/>
    <w:rsid w:val="00614F6C"/>
    <w:rsid w:val="006152B8"/>
    <w:rsid w:val="006153D3"/>
    <w:rsid w:val="006153E0"/>
    <w:rsid w:val="00615622"/>
    <w:rsid w:val="00615756"/>
    <w:rsid w:val="00615C71"/>
    <w:rsid w:val="00615D02"/>
    <w:rsid w:val="00615D34"/>
    <w:rsid w:val="00615DF5"/>
    <w:rsid w:val="00615E22"/>
    <w:rsid w:val="00615E98"/>
    <w:rsid w:val="00615F26"/>
    <w:rsid w:val="00616242"/>
    <w:rsid w:val="006165CA"/>
    <w:rsid w:val="0061696C"/>
    <w:rsid w:val="00616A0A"/>
    <w:rsid w:val="00616B1C"/>
    <w:rsid w:val="00616B9A"/>
    <w:rsid w:val="00616BE5"/>
    <w:rsid w:val="0061706D"/>
    <w:rsid w:val="0061716E"/>
    <w:rsid w:val="006174B1"/>
    <w:rsid w:val="00617550"/>
    <w:rsid w:val="00617580"/>
    <w:rsid w:val="006175A6"/>
    <w:rsid w:val="0061760A"/>
    <w:rsid w:val="00617AE7"/>
    <w:rsid w:val="00617E9F"/>
    <w:rsid w:val="00617F4C"/>
    <w:rsid w:val="00617FA2"/>
    <w:rsid w:val="0062000F"/>
    <w:rsid w:val="006200B2"/>
    <w:rsid w:val="006201A8"/>
    <w:rsid w:val="006203AC"/>
    <w:rsid w:val="0062052E"/>
    <w:rsid w:val="006205A6"/>
    <w:rsid w:val="0062080A"/>
    <w:rsid w:val="00620976"/>
    <w:rsid w:val="00620A75"/>
    <w:rsid w:val="00620D19"/>
    <w:rsid w:val="00620D71"/>
    <w:rsid w:val="00620EBD"/>
    <w:rsid w:val="00620F7A"/>
    <w:rsid w:val="00621652"/>
    <w:rsid w:val="006217C0"/>
    <w:rsid w:val="006218AF"/>
    <w:rsid w:val="006219E6"/>
    <w:rsid w:val="00621AAD"/>
    <w:rsid w:val="00621BE4"/>
    <w:rsid w:val="00621CDF"/>
    <w:rsid w:val="00621D8D"/>
    <w:rsid w:val="00621F0F"/>
    <w:rsid w:val="0062200C"/>
    <w:rsid w:val="0062215C"/>
    <w:rsid w:val="006222AB"/>
    <w:rsid w:val="006222AD"/>
    <w:rsid w:val="006226E0"/>
    <w:rsid w:val="0062270D"/>
    <w:rsid w:val="006227A1"/>
    <w:rsid w:val="00622A7E"/>
    <w:rsid w:val="00622A9A"/>
    <w:rsid w:val="00622BC8"/>
    <w:rsid w:val="00622BD5"/>
    <w:rsid w:val="00622E69"/>
    <w:rsid w:val="00622EFE"/>
    <w:rsid w:val="00622F23"/>
    <w:rsid w:val="00622F85"/>
    <w:rsid w:val="0062305A"/>
    <w:rsid w:val="006235E0"/>
    <w:rsid w:val="00623622"/>
    <w:rsid w:val="006236C0"/>
    <w:rsid w:val="00623933"/>
    <w:rsid w:val="00623A2F"/>
    <w:rsid w:val="00623B0B"/>
    <w:rsid w:val="00623C75"/>
    <w:rsid w:val="00623D93"/>
    <w:rsid w:val="00623F30"/>
    <w:rsid w:val="00624840"/>
    <w:rsid w:val="00624881"/>
    <w:rsid w:val="00624987"/>
    <w:rsid w:val="00624B8B"/>
    <w:rsid w:val="00624C2E"/>
    <w:rsid w:val="00624D96"/>
    <w:rsid w:val="00624E13"/>
    <w:rsid w:val="00624EB1"/>
    <w:rsid w:val="00624ED7"/>
    <w:rsid w:val="00624F85"/>
    <w:rsid w:val="00625669"/>
    <w:rsid w:val="006257D2"/>
    <w:rsid w:val="00625C02"/>
    <w:rsid w:val="00625ED7"/>
    <w:rsid w:val="00625F81"/>
    <w:rsid w:val="00625FF1"/>
    <w:rsid w:val="0062620E"/>
    <w:rsid w:val="0062625C"/>
    <w:rsid w:val="00626342"/>
    <w:rsid w:val="00626369"/>
    <w:rsid w:val="006264E3"/>
    <w:rsid w:val="006266E1"/>
    <w:rsid w:val="006269E3"/>
    <w:rsid w:val="00626B15"/>
    <w:rsid w:val="00626C33"/>
    <w:rsid w:val="00626CAF"/>
    <w:rsid w:val="00626D1F"/>
    <w:rsid w:val="00626E83"/>
    <w:rsid w:val="00626FB7"/>
    <w:rsid w:val="00627096"/>
    <w:rsid w:val="0062729A"/>
    <w:rsid w:val="0062739F"/>
    <w:rsid w:val="00627400"/>
    <w:rsid w:val="0062749E"/>
    <w:rsid w:val="006275C8"/>
    <w:rsid w:val="00627731"/>
    <w:rsid w:val="006277AB"/>
    <w:rsid w:val="00627A2A"/>
    <w:rsid w:val="00627A52"/>
    <w:rsid w:val="00627B1E"/>
    <w:rsid w:val="00627DE9"/>
    <w:rsid w:val="00630061"/>
    <w:rsid w:val="006300E6"/>
    <w:rsid w:val="0063011C"/>
    <w:rsid w:val="00630159"/>
    <w:rsid w:val="00630195"/>
    <w:rsid w:val="006302CB"/>
    <w:rsid w:val="0063044D"/>
    <w:rsid w:val="00630493"/>
    <w:rsid w:val="0063085A"/>
    <w:rsid w:val="00630AE9"/>
    <w:rsid w:val="00630E93"/>
    <w:rsid w:val="00630F64"/>
    <w:rsid w:val="00631013"/>
    <w:rsid w:val="006310CD"/>
    <w:rsid w:val="0063112D"/>
    <w:rsid w:val="00631311"/>
    <w:rsid w:val="006314C9"/>
    <w:rsid w:val="00631510"/>
    <w:rsid w:val="006315A7"/>
    <w:rsid w:val="00631619"/>
    <w:rsid w:val="0063180A"/>
    <w:rsid w:val="00631848"/>
    <w:rsid w:val="0063195D"/>
    <w:rsid w:val="00631BA8"/>
    <w:rsid w:val="00631C40"/>
    <w:rsid w:val="00631D0E"/>
    <w:rsid w:val="00631ED4"/>
    <w:rsid w:val="00631F35"/>
    <w:rsid w:val="00631F90"/>
    <w:rsid w:val="0063229A"/>
    <w:rsid w:val="006322D4"/>
    <w:rsid w:val="006324C5"/>
    <w:rsid w:val="00632666"/>
    <w:rsid w:val="00632674"/>
    <w:rsid w:val="00632735"/>
    <w:rsid w:val="006328A9"/>
    <w:rsid w:val="00632C30"/>
    <w:rsid w:val="00632C36"/>
    <w:rsid w:val="00632DCC"/>
    <w:rsid w:val="00632FF1"/>
    <w:rsid w:val="0063330D"/>
    <w:rsid w:val="006333D6"/>
    <w:rsid w:val="00633418"/>
    <w:rsid w:val="0063369C"/>
    <w:rsid w:val="00633710"/>
    <w:rsid w:val="0063398E"/>
    <w:rsid w:val="006339CB"/>
    <w:rsid w:val="006339F1"/>
    <w:rsid w:val="00633AA8"/>
    <w:rsid w:val="00633B8D"/>
    <w:rsid w:val="00633B91"/>
    <w:rsid w:val="00633C41"/>
    <w:rsid w:val="00634070"/>
    <w:rsid w:val="0063411C"/>
    <w:rsid w:val="00634133"/>
    <w:rsid w:val="0063413B"/>
    <w:rsid w:val="006343E7"/>
    <w:rsid w:val="00634770"/>
    <w:rsid w:val="00634BFE"/>
    <w:rsid w:val="00634D78"/>
    <w:rsid w:val="00635119"/>
    <w:rsid w:val="006351CE"/>
    <w:rsid w:val="00635A07"/>
    <w:rsid w:val="00635ADC"/>
    <w:rsid w:val="00635BD2"/>
    <w:rsid w:val="00635C0A"/>
    <w:rsid w:val="00635DFF"/>
    <w:rsid w:val="00635E21"/>
    <w:rsid w:val="00635E30"/>
    <w:rsid w:val="006360A5"/>
    <w:rsid w:val="00636156"/>
    <w:rsid w:val="00636240"/>
    <w:rsid w:val="006362FF"/>
    <w:rsid w:val="0063646F"/>
    <w:rsid w:val="00636558"/>
    <w:rsid w:val="006368C1"/>
    <w:rsid w:val="00636922"/>
    <w:rsid w:val="00636ACC"/>
    <w:rsid w:val="00636B07"/>
    <w:rsid w:val="00636BDC"/>
    <w:rsid w:val="00636E81"/>
    <w:rsid w:val="00636E9F"/>
    <w:rsid w:val="00636F95"/>
    <w:rsid w:val="006370CF"/>
    <w:rsid w:val="00637282"/>
    <w:rsid w:val="0063732D"/>
    <w:rsid w:val="006374A5"/>
    <w:rsid w:val="006374D0"/>
    <w:rsid w:val="0063763E"/>
    <w:rsid w:val="00637929"/>
    <w:rsid w:val="00637999"/>
    <w:rsid w:val="00637A78"/>
    <w:rsid w:val="00637B21"/>
    <w:rsid w:val="00637BA8"/>
    <w:rsid w:val="00637D6B"/>
    <w:rsid w:val="00637E73"/>
    <w:rsid w:val="00637F96"/>
    <w:rsid w:val="0064013E"/>
    <w:rsid w:val="00640222"/>
    <w:rsid w:val="006402F1"/>
    <w:rsid w:val="006404A9"/>
    <w:rsid w:val="00640511"/>
    <w:rsid w:val="00640929"/>
    <w:rsid w:val="00640B75"/>
    <w:rsid w:val="00640BD6"/>
    <w:rsid w:val="00640E16"/>
    <w:rsid w:val="00640E25"/>
    <w:rsid w:val="00640E3C"/>
    <w:rsid w:val="00640F11"/>
    <w:rsid w:val="00641095"/>
    <w:rsid w:val="0064124C"/>
    <w:rsid w:val="006413C7"/>
    <w:rsid w:val="0064167F"/>
    <w:rsid w:val="0064173D"/>
    <w:rsid w:val="0064196A"/>
    <w:rsid w:val="00641980"/>
    <w:rsid w:val="006419A0"/>
    <w:rsid w:val="00641AE7"/>
    <w:rsid w:val="00641AF5"/>
    <w:rsid w:val="00641B4F"/>
    <w:rsid w:val="00641D7D"/>
    <w:rsid w:val="00641F10"/>
    <w:rsid w:val="00641FBF"/>
    <w:rsid w:val="00641FEC"/>
    <w:rsid w:val="00642129"/>
    <w:rsid w:val="006421E0"/>
    <w:rsid w:val="00642235"/>
    <w:rsid w:val="00642474"/>
    <w:rsid w:val="00642635"/>
    <w:rsid w:val="00642762"/>
    <w:rsid w:val="00642837"/>
    <w:rsid w:val="00642AA3"/>
    <w:rsid w:val="00642C66"/>
    <w:rsid w:val="00642F00"/>
    <w:rsid w:val="00643040"/>
    <w:rsid w:val="00643087"/>
    <w:rsid w:val="006430F1"/>
    <w:rsid w:val="00643208"/>
    <w:rsid w:val="0064327D"/>
    <w:rsid w:val="0064330E"/>
    <w:rsid w:val="00643475"/>
    <w:rsid w:val="0064378C"/>
    <w:rsid w:val="00643AA9"/>
    <w:rsid w:val="00643B5C"/>
    <w:rsid w:val="00643FDD"/>
    <w:rsid w:val="006441CB"/>
    <w:rsid w:val="006442E2"/>
    <w:rsid w:val="00644319"/>
    <w:rsid w:val="0064431C"/>
    <w:rsid w:val="00644662"/>
    <w:rsid w:val="006446C9"/>
    <w:rsid w:val="0064476E"/>
    <w:rsid w:val="006448AF"/>
    <w:rsid w:val="00644A04"/>
    <w:rsid w:val="00644B09"/>
    <w:rsid w:val="00644B65"/>
    <w:rsid w:val="00644C9C"/>
    <w:rsid w:val="00644CE8"/>
    <w:rsid w:val="0064500D"/>
    <w:rsid w:val="006455B0"/>
    <w:rsid w:val="006456D3"/>
    <w:rsid w:val="00645773"/>
    <w:rsid w:val="00645803"/>
    <w:rsid w:val="00645976"/>
    <w:rsid w:val="006459F6"/>
    <w:rsid w:val="00645AD8"/>
    <w:rsid w:val="00645C3B"/>
    <w:rsid w:val="00645D28"/>
    <w:rsid w:val="00645D2F"/>
    <w:rsid w:val="00645E29"/>
    <w:rsid w:val="00645F2D"/>
    <w:rsid w:val="0064612E"/>
    <w:rsid w:val="006462B0"/>
    <w:rsid w:val="00646354"/>
    <w:rsid w:val="0064651C"/>
    <w:rsid w:val="00646586"/>
    <w:rsid w:val="00646628"/>
    <w:rsid w:val="006466FA"/>
    <w:rsid w:val="006466FB"/>
    <w:rsid w:val="00646718"/>
    <w:rsid w:val="00646959"/>
    <w:rsid w:val="00646C01"/>
    <w:rsid w:val="00646D6E"/>
    <w:rsid w:val="00647127"/>
    <w:rsid w:val="0064732A"/>
    <w:rsid w:val="00647401"/>
    <w:rsid w:val="00647403"/>
    <w:rsid w:val="00647556"/>
    <w:rsid w:val="00647A2E"/>
    <w:rsid w:val="00647C82"/>
    <w:rsid w:val="00647F2A"/>
    <w:rsid w:val="006505DF"/>
    <w:rsid w:val="00650710"/>
    <w:rsid w:val="0065093F"/>
    <w:rsid w:val="00650C7C"/>
    <w:rsid w:val="00651005"/>
    <w:rsid w:val="00651075"/>
    <w:rsid w:val="00651100"/>
    <w:rsid w:val="00651313"/>
    <w:rsid w:val="006514FF"/>
    <w:rsid w:val="006515DB"/>
    <w:rsid w:val="006516E8"/>
    <w:rsid w:val="006517ED"/>
    <w:rsid w:val="00651847"/>
    <w:rsid w:val="00651AAF"/>
    <w:rsid w:val="00651AFC"/>
    <w:rsid w:val="00651FFA"/>
    <w:rsid w:val="00652136"/>
    <w:rsid w:val="00652351"/>
    <w:rsid w:val="00652402"/>
    <w:rsid w:val="00652460"/>
    <w:rsid w:val="00652583"/>
    <w:rsid w:val="0065263C"/>
    <w:rsid w:val="0065276E"/>
    <w:rsid w:val="00652BA5"/>
    <w:rsid w:val="00652BEE"/>
    <w:rsid w:val="00652D62"/>
    <w:rsid w:val="00652E5F"/>
    <w:rsid w:val="00652F9B"/>
    <w:rsid w:val="00652FF9"/>
    <w:rsid w:val="00653046"/>
    <w:rsid w:val="0065308A"/>
    <w:rsid w:val="00653171"/>
    <w:rsid w:val="0065317F"/>
    <w:rsid w:val="00653308"/>
    <w:rsid w:val="00653401"/>
    <w:rsid w:val="0065351C"/>
    <w:rsid w:val="00653983"/>
    <w:rsid w:val="006539CB"/>
    <w:rsid w:val="00653A1F"/>
    <w:rsid w:val="00653AAD"/>
    <w:rsid w:val="00653B7A"/>
    <w:rsid w:val="00653BD9"/>
    <w:rsid w:val="00653D2A"/>
    <w:rsid w:val="00653D96"/>
    <w:rsid w:val="00653F65"/>
    <w:rsid w:val="00653FC0"/>
    <w:rsid w:val="00654103"/>
    <w:rsid w:val="006542F1"/>
    <w:rsid w:val="00654309"/>
    <w:rsid w:val="0065438F"/>
    <w:rsid w:val="006543F5"/>
    <w:rsid w:val="00654477"/>
    <w:rsid w:val="006546C5"/>
    <w:rsid w:val="00654760"/>
    <w:rsid w:val="006547D2"/>
    <w:rsid w:val="0065480B"/>
    <w:rsid w:val="00654A19"/>
    <w:rsid w:val="00654A96"/>
    <w:rsid w:val="00654BA4"/>
    <w:rsid w:val="00654BA8"/>
    <w:rsid w:val="00654C97"/>
    <w:rsid w:val="00654CA9"/>
    <w:rsid w:val="00654E82"/>
    <w:rsid w:val="00654F41"/>
    <w:rsid w:val="00654FDC"/>
    <w:rsid w:val="00655010"/>
    <w:rsid w:val="006550B2"/>
    <w:rsid w:val="006550FD"/>
    <w:rsid w:val="00655174"/>
    <w:rsid w:val="00655300"/>
    <w:rsid w:val="006553AD"/>
    <w:rsid w:val="0065546F"/>
    <w:rsid w:val="0065568D"/>
    <w:rsid w:val="006558B3"/>
    <w:rsid w:val="006558EA"/>
    <w:rsid w:val="0065596B"/>
    <w:rsid w:val="00655C83"/>
    <w:rsid w:val="00656060"/>
    <w:rsid w:val="00656160"/>
    <w:rsid w:val="00656190"/>
    <w:rsid w:val="00656199"/>
    <w:rsid w:val="00656347"/>
    <w:rsid w:val="006568D1"/>
    <w:rsid w:val="00656A86"/>
    <w:rsid w:val="00656AA2"/>
    <w:rsid w:val="00656AC5"/>
    <w:rsid w:val="00656D61"/>
    <w:rsid w:val="00656DA8"/>
    <w:rsid w:val="00656F91"/>
    <w:rsid w:val="006572E5"/>
    <w:rsid w:val="00657325"/>
    <w:rsid w:val="006574DF"/>
    <w:rsid w:val="006575D3"/>
    <w:rsid w:val="00657716"/>
    <w:rsid w:val="00657775"/>
    <w:rsid w:val="006577C3"/>
    <w:rsid w:val="00657B6C"/>
    <w:rsid w:val="00657B9C"/>
    <w:rsid w:val="00657C73"/>
    <w:rsid w:val="00657D02"/>
    <w:rsid w:val="00657F25"/>
    <w:rsid w:val="00657F2A"/>
    <w:rsid w:val="00657FF8"/>
    <w:rsid w:val="006601FB"/>
    <w:rsid w:val="0066020E"/>
    <w:rsid w:val="00660229"/>
    <w:rsid w:val="006602AD"/>
    <w:rsid w:val="006602D2"/>
    <w:rsid w:val="00660495"/>
    <w:rsid w:val="006604F3"/>
    <w:rsid w:val="006605E7"/>
    <w:rsid w:val="00660648"/>
    <w:rsid w:val="006606DC"/>
    <w:rsid w:val="0066076C"/>
    <w:rsid w:val="006607E6"/>
    <w:rsid w:val="0066088A"/>
    <w:rsid w:val="00660FE1"/>
    <w:rsid w:val="00661103"/>
    <w:rsid w:val="0066110A"/>
    <w:rsid w:val="006611CB"/>
    <w:rsid w:val="00661404"/>
    <w:rsid w:val="00661558"/>
    <w:rsid w:val="006615D2"/>
    <w:rsid w:val="006617B9"/>
    <w:rsid w:val="006617DC"/>
    <w:rsid w:val="006617E3"/>
    <w:rsid w:val="00661A4E"/>
    <w:rsid w:val="00661A9E"/>
    <w:rsid w:val="00661B98"/>
    <w:rsid w:val="00661BE8"/>
    <w:rsid w:val="00661CEF"/>
    <w:rsid w:val="00661DA0"/>
    <w:rsid w:val="006620AE"/>
    <w:rsid w:val="0066222C"/>
    <w:rsid w:val="00662275"/>
    <w:rsid w:val="00662378"/>
    <w:rsid w:val="00662459"/>
    <w:rsid w:val="0066255D"/>
    <w:rsid w:val="00662621"/>
    <w:rsid w:val="00662754"/>
    <w:rsid w:val="0066280E"/>
    <w:rsid w:val="006628F4"/>
    <w:rsid w:val="0066298B"/>
    <w:rsid w:val="006629C7"/>
    <w:rsid w:val="00662A7D"/>
    <w:rsid w:val="00662A9F"/>
    <w:rsid w:val="00662BE6"/>
    <w:rsid w:val="00662D61"/>
    <w:rsid w:val="00662E80"/>
    <w:rsid w:val="00662EAD"/>
    <w:rsid w:val="00662F09"/>
    <w:rsid w:val="00662F86"/>
    <w:rsid w:val="00663364"/>
    <w:rsid w:val="006633F9"/>
    <w:rsid w:val="00663454"/>
    <w:rsid w:val="006635D1"/>
    <w:rsid w:val="0066371E"/>
    <w:rsid w:val="0066379B"/>
    <w:rsid w:val="006637D7"/>
    <w:rsid w:val="006637E0"/>
    <w:rsid w:val="006638B1"/>
    <w:rsid w:val="0066393B"/>
    <w:rsid w:val="00663BB9"/>
    <w:rsid w:val="00663D6B"/>
    <w:rsid w:val="0066422A"/>
    <w:rsid w:val="0066434F"/>
    <w:rsid w:val="0066442C"/>
    <w:rsid w:val="006644EA"/>
    <w:rsid w:val="006644F3"/>
    <w:rsid w:val="00664522"/>
    <w:rsid w:val="00664681"/>
    <w:rsid w:val="006647A2"/>
    <w:rsid w:val="006647D6"/>
    <w:rsid w:val="00664865"/>
    <w:rsid w:val="006648C0"/>
    <w:rsid w:val="00664B6B"/>
    <w:rsid w:val="00664B6C"/>
    <w:rsid w:val="00664C12"/>
    <w:rsid w:val="00664EA7"/>
    <w:rsid w:val="00664FC7"/>
    <w:rsid w:val="00664FFD"/>
    <w:rsid w:val="0066500A"/>
    <w:rsid w:val="00665049"/>
    <w:rsid w:val="00665134"/>
    <w:rsid w:val="006653B9"/>
    <w:rsid w:val="006656D6"/>
    <w:rsid w:val="006656DD"/>
    <w:rsid w:val="00665810"/>
    <w:rsid w:val="00665822"/>
    <w:rsid w:val="0066590E"/>
    <w:rsid w:val="006659FB"/>
    <w:rsid w:val="00665B12"/>
    <w:rsid w:val="00665B65"/>
    <w:rsid w:val="00665B8B"/>
    <w:rsid w:val="00665C7F"/>
    <w:rsid w:val="00665CF0"/>
    <w:rsid w:val="00665DA7"/>
    <w:rsid w:val="00665E1E"/>
    <w:rsid w:val="00665F09"/>
    <w:rsid w:val="006660AE"/>
    <w:rsid w:val="00666226"/>
    <w:rsid w:val="006662EB"/>
    <w:rsid w:val="00666527"/>
    <w:rsid w:val="0066655C"/>
    <w:rsid w:val="0066659C"/>
    <w:rsid w:val="0066676B"/>
    <w:rsid w:val="0066680A"/>
    <w:rsid w:val="00666896"/>
    <w:rsid w:val="00666C5D"/>
    <w:rsid w:val="00666E67"/>
    <w:rsid w:val="00666E85"/>
    <w:rsid w:val="006670E4"/>
    <w:rsid w:val="0066744C"/>
    <w:rsid w:val="00667622"/>
    <w:rsid w:val="0066767F"/>
    <w:rsid w:val="00667708"/>
    <w:rsid w:val="006677DC"/>
    <w:rsid w:val="0066783F"/>
    <w:rsid w:val="00667AEC"/>
    <w:rsid w:val="00667C60"/>
    <w:rsid w:val="00667DD6"/>
    <w:rsid w:val="00667DF5"/>
    <w:rsid w:val="00667EDF"/>
    <w:rsid w:val="00667FF5"/>
    <w:rsid w:val="006700EE"/>
    <w:rsid w:val="006703E8"/>
    <w:rsid w:val="00670404"/>
    <w:rsid w:val="00670471"/>
    <w:rsid w:val="0067058F"/>
    <w:rsid w:val="00670712"/>
    <w:rsid w:val="0067088A"/>
    <w:rsid w:val="0067096F"/>
    <w:rsid w:val="00671150"/>
    <w:rsid w:val="006712AC"/>
    <w:rsid w:val="006712E5"/>
    <w:rsid w:val="0067133D"/>
    <w:rsid w:val="00671372"/>
    <w:rsid w:val="00671506"/>
    <w:rsid w:val="0067154A"/>
    <w:rsid w:val="006718BD"/>
    <w:rsid w:val="00671AA2"/>
    <w:rsid w:val="00671AD9"/>
    <w:rsid w:val="00671B47"/>
    <w:rsid w:val="00671C02"/>
    <w:rsid w:val="006724CC"/>
    <w:rsid w:val="006724EF"/>
    <w:rsid w:val="0067266E"/>
    <w:rsid w:val="006727AC"/>
    <w:rsid w:val="00672D54"/>
    <w:rsid w:val="00672E60"/>
    <w:rsid w:val="00672FA6"/>
    <w:rsid w:val="00673032"/>
    <w:rsid w:val="00673185"/>
    <w:rsid w:val="00673535"/>
    <w:rsid w:val="0067383A"/>
    <w:rsid w:val="00673843"/>
    <w:rsid w:val="00673870"/>
    <w:rsid w:val="00673980"/>
    <w:rsid w:val="00673B01"/>
    <w:rsid w:val="00673DB9"/>
    <w:rsid w:val="00673F26"/>
    <w:rsid w:val="0067407A"/>
    <w:rsid w:val="006745B2"/>
    <w:rsid w:val="006745EF"/>
    <w:rsid w:val="00674682"/>
    <w:rsid w:val="0067469F"/>
    <w:rsid w:val="006746BA"/>
    <w:rsid w:val="006748B2"/>
    <w:rsid w:val="006749DF"/>
    <w:rsid w:val="00674BD9"/>
    <w:rsid w:val="00674CEB"/>
    <w:rsid w:val="00674F3B"/>
    <w:rsid w:val="00675007"/>
    <w:rsid w:val="0067520E"/>
    <w:rsid w:val="00675337"/>
    <w:rsid w:val="006755D6"/>
    <w:rsid w:val="0067564F"/>
    <w:rsid w:val="006756AF"/>
    <w:rsid w:val="00675898"/>
    <w:rsid w:val="0067595D"/>
    <w:rsid w:val="00675B85"/>
    <w:rsid w:val="00675B93"/>
    <w:rsid w:val="00675C71"/>
    <w:rsid w:val="00675F2F"/>
    <w:rsid w:val="00675F78"/>
    <w:rsid w:val="0067605F"/>
    <w:rsid w:val="00676075"/>
    <w:rsid w:val="006762C6"/>
    <w:rsid w:val="006763BC"/>
    <w:rsid w:val="00676455"/>
    <w:rsid w:val="00676709"/>
    <w:rsid w:val="0067684C"/>
    <w:rsid w:val="00676880"/>
    <w:rsid w:val="0067699B"/>
    <w:rsid w:val="00676AB5"/>
    <w:rsid w:val="00676CA2"/>
    <w:rsid w:val="00676E58"/>
    <w:rsid w:val="00676F76"/>
    <w:rsid w:val="006771D1"/>
    <w:rsid w:val="00677406"/>
    <w:rsid w:val="00677491"/>
    <w:rsid w:val="00677619"/>
    <w:rsid w:val="00677836"/>
    <w:rsid w:val="00677853"/>
    <w:rsid w:val="006778FF"/>
    <w:rsid w:val="00677999"/>
    <w:rsid w:val="00677A2C"/>
    <w:rsid w:val="00677CE6"/>
    <w:rsid w:val="00677DE1"/>
    <w:rsid w:val="00677E18"/>
    <w:rsid w:val="0068066A"/>
    <w:rsid w:val="00680873"/>
    <w:rsid w:val="006809EF"/>
    <w:rsid w:val="00680A6D"/>
    <w:rsid w:val="00680D2F"/>
    <w:rsid w:val="00680E7D"/>
    <w:rsid w:val="00681175"/>
    <w:rsid w:val="0068127F"/>
    <w:rsid w:val="006812BD"/>
    <w:rsid w:val="006813D2"/>
    <w:rsid w:val="006816E4"/>
    <w:rsid w:val="00681735"/>
    <w:rsid w:val="00681A24"/>
    <w:rsid w:val="00681B26"/>
    <w:rsid w:val="00681B2D"/>
    <w:rsid w:val="00681CF4"/>
    <w:rsid w:val="00681D6D"/>
    <w:rsid w:val="00681FF5"/>
    <w:rsid w:val="00682066"/>
    <w:rsid w:val="006820C7"/>
    <w:rsid w:val="00682299"/>
    <w:rsid w:val="00682544"/>
    <w:rsid w:val="006827AE"/>
    <w:rsid w:val="00682848"/>
    <w:rsid w:val="00682915"/>
    <w:rsid w:val="006829E5"/>
    <w:rsid w:val="006829E9"/>
    <w:rsid w:val="00682BEE"/>
    <w:rsid w:val="00682C83"/>
    <w:rsid w:val="00682CEF"/>
    <w:rsid w:val="00682D68"/>
    <w:rsid w:val="00682FEC"/>
    <w:rsid w:val="00683077"/>
    <w:rsid w:val="00683180"/>
    <w:rsid w:val="0068322A"/>
    <w:rsid w:val="0068324C"/>
    <w:rsid w:val="006832E9"/>
    <w:rsid w:val="00683309"/>
    <w:rsid w:val="006834A6"/>
    <w:rsid w:val="0068367B"/>
    <w:rsid w:val="0068374D"/>
    <w:rsid w:val="006839EA"/>
    <w:rsid w:val="00683B50"/>
    <w:rsid w:val="00683CAA"/>
    <w:rsid w:val="00683D65"/>
    <w:rsid w:val="00683DFB"/>
    <w:rsid w:val="00683E76"/>
    <w:rsid w:val="00683F87"/>
    <w:rsid w:val="006842B4"/>
    <w:rsid w:val="006842BF"/>
    <w:rsid w:val="006842CB"/>
    <w:rsid w:val="006842D2"/>
    <w:rsid w:val="00684505"/>
    <w:rsid w:val="0068482A"/>
    <w:rsid w:val="00684924"/>
    <w:rsid w:val="00684A76"/>
    <w:rsid w:val="00684C3C"/>
    <w:rsid w:val="00684D13"/>
    <w:rsid w:val="00684DF8"/>
    <w:rsid w:val="00684F6C"/>
    <w:rsid w:val="00685006"/>
    <w:rsid w:val="00685120"/>
    <w:rsid w:val="0068513B"/>
    <w:rsid w:val="006851FC"/>
    <w:rsid w:val="0068533B"/>
    <w:rsid w:val="00685350"/>
    <w:rsid w:val="006853D8"/>
    <w:rsid w:val="00685541"/>
    <w:rsid w:val="00685560"/>
    <w:rsid w:val="00685840"/>
    <w:rsid w:val="006859B3"/>
    <w:rsid w:val="006859C9"/>
    <w:rsid w:val="00685AF1"/>
    <w:rsid w:val="00685AFB"/>
    <w:rsid w:val="00685B5D"/>
    <w:rsid w:val="00685C13"/>
    <w:rsid w:val="00685E8C"/>
    <w:rsid w:val="00685E9E"/>
    <w:rsid w:val="00685ECE"/>
    <w:rsid w:val="00685ED0"/>
    <w:rsid w:val="00685F77"/>
    <w:rsid w:val="00686227"/>
    <w:rsid w:val="00686293"/>
    <w:rsid w:val="0068629D"/>
    <w:rsid w:val="00686305"/>
    <w:rsid w:val="006864AC"/>
    <w:rsid w:val="00686630"/>
    <w:rsid w:val="0068663A"/>
    <w:rsid w:val="006868BA"/>
    <w:rsid w:val="006868BC"/>
    <w:rsid w:val="00686A6A"/>
    <w:rsid w:val="00686D6F"/>
    <w:rsid w:val="00686E17"/>
    <w:rsid w:val="00686F2F"/>
    <w:rsid w:val="00686F4A"/>
    <w:rsid w:val="00686FDF"/>
    <w:rsid w:val="0068717B"/>
    <w:rsid w:val="006873D5"/>
    <w:rsid w:val="00687642"/>
    <w:rsid w:val="006877C5"/>
    <w:rsid w:val="0068786D"/>
    <w:rsid w:val="006879E7"/>
    <w:rsid w:val="00687A71"/>
    <w:rsid w:val="00687B3A"/>
    <w:rsid w:val="00687C2C"/>
    <w:rsid w:val="00687D78"/>
    <w:rsid w:val="00687F19"/>
    <w:rsid w:val="006906A4"/>
    <w:rsid w:val="006906D8"/>
    <w:rsid w:val="006907BE"/>
    <w:rsid w:val="006907FC"/>
    <w:rsid w:val="0069081A"/>
    <w:rsid w:val="006909F4"/>
    <w:rsid w:val="00690B09"/>
    <w:rsid w:val="00690C28"/>
    <w:rsid w:val="00690C92"/>
    <w:rsid w:val="00690D19"/>
    <w:rsid w:val="00690F48"/>
    <w:rsid w:val="00691064"/>
    <w:rsid w:val="00691087"/>
    <w:rsid w:val="00691308"/>
    <w:rsid w:val="00691310"/>
    <w:rsid w:val="006913A6"/>
    <w:rsid w:val="006914DE"/>
    <w:rsid w:val="006915D1"/>
    <w:rsid w:val="0069167C"/>
    <w:rsid w:val="00691958"/>
    <w:rsid w:val="00691A00"/>
    <w:rsid w:val="00691ACB"/>
    <w:rsid w:val="00691CB3"/>
    <w:rsid w:val="00691CD1"/>
    <w:rsid w:val="00691D64"/>
    <w:rsid w:val="00691D8E"/>
    <w:rsid w:val="00691D99"/>
    <w:rsid w:val="00691EA7"/>
    <w:rsid w:val="006920B6"/>
    <w:rsid w:val="00692133"/>
    <w:rsid w:val="0069214F"/>
    <w:rsid w:val="0069252A"/>
    <w:rsid w:val="0069256A"/>
    <w:rsid w:val="006926C7"/>
    <w:rsid w:val="0069293B"/>
    <w:rsid w:val="00692974"/>
    <w:rsid w:val="00692977"/>
    <w:rsid w:val="00692C11"/>
    <w:rsid w:val="00692C13"/>
    <w:rsid w:val="00692E3A"/>
    <w:rsid w:val="006932A2"/>
    <w:rsid w:val="00693340"/>
    <w:rsid w:val="006933EA"/>
    <w:rsid w:val="00693403"/>
    <w:rsid w:val="00693448"/>
    <w:rsid w:val="006934E2"/>
    <w:rsid w:val="00693533"/>
    <w:rsid w:val="0069376B"/>
    <w:rsid w:val="0069380E"/>
    <w:rsid w:val="00693884"/>
    <w:rsid w:val="00693B24"/>
    <w:rsid w:val="00693B35"/>
    <w:rsid w:val="00693BD7"/>
    <w:rsid w:val="00693BE8"/>
    <w:rsid w:val="00693C9E"/>
    <w:rsid w:val="00693E01"/>
    <w:rsid w:val="00693E80"/>
    <w:rsid w:val="00693EED"/>
    <w:rsid w:val="00694341"/>
    <w:rsid w:val="006946D8"/>
    <w:rsid w:val="006947CF"/>
    <w:rsid w:val="00694802"/>
    <w:rsid w:val="00694A4E"/>
    <w:rsid w:val="00694C5D"/>
    <w:rsid w:val="00694CDE"/>
    <w:rsid w:val="00694D9C"/>
    <w:rsid w:val="00695068"/>
    <w:rsid w:val="006951BB"/>
    <w:rsid w:val="006951C1"/>
    <w:rsid w:val="006951D2"/>
    <w:rsid w:val="00695545"/>
    <w:rsid w:val="00695636"/>
    <w:rsid w:val="00695897"/>
    <w:rsid w:val="00695904"/>
    <w:rsid w:val="00695943"/>
    <w:rsid w:val="006959D3"/>
    <w:rsid w:val="00695A43"/>
    <w:rsid w:val="00695F3F"/>
    <w:rsid w:val="0069659D"/>
    <w:rsid w:val="006967ED"/>
    <w:rsid w:val="0069688D"/>
    <w:rsid w:val="00696A1C"/>
    <w:rsid w:val="00696C0A"/>
    <w:rsid w:val="00696CC9"/>
    <w:rsid w:val="00696FED"/>
    <w:rsid w:val="00697105"/>
    <w:rsid w:val="00697125"/>
    <w:rsid w:val="0069726D"/>
    <w:rsid w:val="006972A8"/>
    <w:rsid w:val="006975EA"/>
    <w:rsid w:val="00697609"/>
    <w:rsid w:val="00697966"/>
    <w:rsid w:val="006979B2"/>
    <w:rsid w:val="00697A6F"/>
    <w:rsid w:val="00697B22"/>
    <w:rsid w:val="00697D67"/>
    <w:rsid w:val="00697E2E"/>
    <w:rsid w:val="00697E2F"/>
    <w:rsid w:val="006A00E8"/>
    <w:rsid w:val="006A01EB"/>
    <w:rsid w:val="006A0220"/>
    <w:rsid w:val="006A0423"/>
    <w:rsid w:val="006A0580"/>
    <w:rsid w:val="006A05BC"/>
    <w:rsid w:val="006A05EB"/>
    <w:rsid w:val="006A0659"/>
    <w:rsid w:val="006A0729"/>
    <w:rsid w:val="006A0870"/>
    <w:rsid w:val="006A0900"/>
    <w:rsid w:val="006A0B4A"/>
    <w:rsid w:val="006A0BAF"/>
    <w:rsid w:val="006A11C7"/>
    <w:rsid w:val="006A11E1"/>
    <w:rsid w:val="006A150A"/>
    <w:rsid w:val="006A1555"/>
    <w:rsid w:val="006A15E8"/>
    <w:rsid w:val="006A173D"/>
    <w:rsid w:val="006A1752"/>
    <w:rsid w:val="006A17C2"/>
    <w:rsid w:val="006A1837"/>
    <w:rsid w:val="006A190F"/>
    <w:rsid w:val="006A19A1"/>
    <w:rsid w:val="006A19E9"/>
    <w:rsid w:val="006A22B2"/>
    <w:rsid w:val="006A233B"/>
    <w:rsid w:val="006A2479"/>
    <w:rsid w:val="006A24BA"/>
    <w:rsid w:val="006A271E"/>
    <w:rsid w:val="006A2817"/>
    <w:rsid w:val="006A2873"/>
    <w:rsid w:val="006A2997"/>
    <w:rsid w:val="006A29CA"/>
    <w:rsid w:val="006A2BB2"/>
    <w:rsid w:val="006A2C8F"/>
    <w:rsid w:val="006A2E60"/>
    <w:rsid w:val="006A2F2E"/>
    <w:rsid w:val="006A2F8E"/>
    <w:rsid w:val="006A2FC7"/>
    <w:rsid w:val="006A30EE"/>
    <w:rsid w:val="006A3298"/>
    <w:rsid w:val="006A329A"/>
    <w:rsid w:val="006A333A"/>
    <w:rsid w:val="006A336C"/>
    <w:rsid w:val="006A3401"/>
    <w:rsid w:val="006A3464"/>
    <w:rsid w:val="006A36FA"/>
    <w:rsid w:val="006A3767"/>
    <w:rsid w:val="006A3963"/>
    <w:rsid w:val="006A39D0"/>
    <w:rsid w:val="006A3A4B"/>
    <w:rsid w:val="006A3AC7"/>
    <w:rsid w:val="006A3B10"/>
    <w:rsid w:val="006A3B19"/>
    <w:rsid w:val="006A3D30"/>
    <w:rsid w:val="006A3D5F"/>
    <w:rsid w:val="006A3E85"/>
    <w:rsid w:val="006A3EDF"/>
    <w:rsid w:val="006A4045"/>
    <w:rsid w:val="006A415D"/>
    <w:rsid w:val="006A41F2"/>
    <w:rsid w:val="006A421C"/>
    <w:rsid w:val="006A43C6"/>
    <w:rsid w:val="006A4463"/>
    <w:rsid w:val="006A44BE"/>
    <w:rsid w:val="006A4847"/>
    <w:rsid w:val="006A49FF"/>
    <w:rsid w:val="006A4AB7"/>
    <w:rsid w:val="006A4ABB"/>
    <w:rsid w:val="006A4B87"/>
    <w:rsid w:val="006A4D42"/>
    <w:rsid w:val="006A50C1"/>
    <w:rsid w:val="006A5120"/>
    <w:rsid w:val="006A52E2"/>
    <w:rsid w:val="006A53C2"/>
    <w:rsid w:val="006A54A1"/>
    <w:rsid w:val="006A58C4"/>
    <w:rsid w:val="006A5ABB"/>
    <w:rsid w:val="006A5B40"/>
    <w:rsid w:val="006A5E24"/>
    <w:rsid w:val="006A5F50"/>
    <w:rsid w:val="006A5F93"/>
    <w:rsid w:val="006A5FC7"/>
    <w:rsid w:val="006A6003"/>
    <w:rsid w:val="006A60D9"/>
    <w:rsid w:val="006A61B7"/>
    <w:rsid w:val="006A64D4"/>
    <w:rsid w:val="006A64FE"/>
    <w:rsid w:val="006A6681"/>
    <w:rsid w:val="006A6B41"/>
    <w:rsid w:val="006A6BED"/>
    <w:rsid w:val="006A6CC8"/>
    <w:rsid w:val="006A6D50"/>
    <w:rsid w:val="006A6E20"/>
    <w:rsid w:val="006A6E92"/>
    <w:rsid w:val="006A6EA1"/>
    <w:rsid w:val="006A7033"/>
    <w:rsid w:val="006A721C"/>
    <w:rsid w:val="006A72C1"/>
    <w:rsid w:val="006A7379"/>
    <w:rsid w:val="006A73A4"/>
    <w:rsid w:val="006A7519"/>
    <w:rsid w:val="006A7557"/>
    <w:rsid w:val="006A767C"/>
    <w:rsid w:val="006A76F2"/>
    <w:rsid w:val="006A782B"/>
    <w:rsid w:val="006A78EF"/>
    <w:rsid w:val="006A798D"/>
    <w:rsid w:val="006A7C03"/>
    <w:rsid w:val="006A7DF7"/>
    <w:rsid w:val="006A7E11"/>
    <w:rsid w:val="006A7FF0"/>
    <w:rsid w:val="006B0175"/>
    <w:rsid w:val="006B025B"/>
    <w:rsid w:val="006B039C"/>
    <w:rsid w:val="006B03E3"/>
    <w:rsid w:val="006B05F1"/>
    <w:rsid w:val="006B06E6"/>
    <w:rsid w:val="006B07EA"/>
    <w:rsid w:val="006B08A9"/>
    <w:rsid w:val="006B08E2"/>
    <w:rsid w:val="006B098D"/>
    <w:rsid w:val="006B0CD5"/>
    <w:rsid w:val="006B0EB9"/>
    <w:rsid w:val="006B0ECE"/>
    <w:rsid w:val="006B10C6"/>
    <w:rsid w:val="006B10D6"/>
    <w:rsid w:val="006B113F"/>
    <w:rsid w:val="006B1206"/>
    <w:rsid w:val="006B1241"/>
    <w:rsid w:val="006B12E0"/>
    <w:rsid w:val="006B130D"/>
    <w:rsid w:val="006B1653"/>
    <w:rsid w:val="006B1712"/>
    <w:rsid w:val="006B1740"/>
    <w:rsid w:val="006B1845"/>
    <w:rsid w:val="006B1A26"/>
    <w:rsid w:val="006B1A37"/>
    <w:rsid w:val="006B1B29"/>
    <w:rsid w:val="006B204A"/>
    <w:rsid w:val="006B242D"/>
    <w:rsid w:val="006B25D5"/>
    <w:rsid w:val="006B262E"/>
    <w:rsid w:val="006B2814"/>
    <w:rsid w:val="006B2A65"/>
    <w:rsid w:val="006B2B4A"/>
    <w:rsid w:val="006B2C5F"/>
    <w:rsid w:val="006B2C6E"/>
    <w:rsid w:val="006B2D18"/>
    <w:rsid w:val="006B2D50"/>
    <w:rsid w:val="006B2DB7"/>
    <w:rsid w:val="006B2FBD"/>
    <w:rsid w:val="006B3236"/>
    <w:rsid w:val="006B32EF"/>
    <w:rsid w:val="006B33E1"/>
    <w:rsid w:val="006B363C"/>
    <w:rsid w:val="006B376A"/>
    <w:rsid w:val="006B3794"/>
    <w:rsid w:val="006B38E6"/>
    <w:rsid w:val="006B394F"/>
    <w:rsid w:val="006B39C9"/>
    <w:rsid w:val="006B3ACD"/>
    <w:rsid w:val="006B3B20"/>
    <w:rsid w:val="006B3D79"/>
    <w:rsid w:val="006B3F1A"/>
    <w:rsid w:val="006B3F3A"/>
    <w:rsid w:val="006B3F44"/>
    <w:rsid w:val="006B3F7F"/>
    <w:rsid w:val="006B3F8B"/>
    <w:rsid w:val="006B3FAC"/>
    <w:rsid w:val="006B40A8"/>
    <w:rsid w:val="006B41CF"/>
    <w:rsid w:val="006B440E"/>
    <w:rsid w:val="006B449C"/>
    <w:rsid w:val="006B45FF"/>
    <w:rsid w:val="006B46B7"/>
    <w:rsid w:val="006B47B8"/>
    <w:rsid w:val="006B480F"/>
    <w:rsid w:val="006B4860"/>
    <w:rsid w:val="006B48A7"/>
    <w:rsid w:val="006B4B0A"/>
    <w:rsid w:val="006B4F75"/>
    <w:rsid w:val="006B4FB4"/>
    <w:rsid w:val="006B5037"/>
    <w:rsid w:val="006B50DF"/>
    <w:rsid w:val="006B51D3"/>
    <w:rsid w:val="006B544C"/>
    <w:rsid w:val="006B5752"/>
    <w:rsid w:val="006B5839"/>
    <w:rsid w:val="006B583C"/>
    <w:rsid w:val="006B5872"/>
    <w:rsid w:val="006B59F4"/>
    <w:rsid w:val="006B5AF3"/>
    <w:rsid w:val="006B5BFE"/>
    <w:rsid w:val="006B5DBF"/>
    <w:rsid w:val="006B6117"/>
    <w:rsid w:val="006B61CE"/>
    <w:rsid w:val="006B6371"/>
    <w:rsid w:val="006B6476"/>
    <w:rsid w:val="006B648E"/>
    <w:rsid w:val="006B664F"/>
    <w:rsid w:val="006B6769"/>
    <w:rsid w:val="006B6823"/>
    <w:rsid w:val="006B6CCE"/>
    <w:rsid w:val="006B6FD3"/>
    <w:rsid w:val="006B7123"/>
    <w:rsid w:val="006B7402"/>
    <w:rsid w:val="006B7411"/>
    <w:rsid w:val="006B745C"/>
    <w:rsid w:val="006B7468"/>
    <w:rsid w:val="006B748F"/>
    <w:rsid w:val="006B7556"/>
    <w:rsid w:val="006B762A"/>
    <w:rsid w:val="006B783C"/>
    <w:rsid w:val="006B7940"/>
    <w:rsid w:val="006B7A90"/>
    <w:rsid w:val="006B7BA3"/>
    <w:rsid w:val="006B7E99"/>
    <w:rsid w:val="006C006E"/>
    <w:rsid w:val="006C00B2"/>
    <w:rsid w:val="006C0257"/>
    <w:rsid w:val="006C0464"/>
    <w:rsid w:val="006C0525"/>
    <w:rsid w:val="006C06C3"/>
    <w:rsid w:val="006C075B"/>
    <w:rsid w:val="006C0A6D"/>
    <w:rsid w:val="006C0B3B"/>
    <w:rsid w:val="006C0CCC"/>
    <w:rsid w:val="006C0CEE"/>
    <w:rsid w:val="006C0CFE"/>
    <w:rsid w:val="006C12C7"/>
    <w:rsid w:val="006C13E5"/>
    <w:rsid w:val="006C14CB"/>
    <w:rsid w:val="006C1528"/>
    <w:rsid w:val="006C174F"/>
    <w:rsid w:val="006C1773"/>
    <w:rsid w:val="006C1A5E"/>
    <w:rsid w:val="006C1AF5"/>
    <w:rsid w:val="006C1B08"/>
    <w:rsid w:val="006C1F54"/>
    <w:rsid w:val="006C2287"/>
    <w:rsid w:val="006C231B"/>
    <w:rsid w:val="006C2456"/>
    <w:rsid w:val="006C25D9"/>
    <w:rsid w:val="006C2620"/>
    <w:rsid w:val="006C2736"/>
    <w:rsid w:val="006C276E"/>
    <w:rsid w:val="006C28BD"/>
    <w:rsid w:val="006C2BF7"/>
    <w:rsid w:val="006C2E4C"/>
    <w:rsid w:val="006C2EC5"/>
    <w:rsid w:val="006C2EC7"/>
    <w:rsid w:val="006C3007"/>
    <w:rsid w:val="006C306F"/>
    <w:rsid w:val="006C3156"/>
    <w:rsid w:val="006C334E"/>
    <w:rsid w:val="006C3451"/>
    <w:rsid w:val="006C3463"/>
    <w:rsid w:val="006C3632"/>
    <w:rsid w:val="006C3647"/>
    <w:rsid w:val="006C36DB"/>
    <w:rsid w:val="006C3963"/>
    <w:rsid w:val="006C3995"/>
    <w:rsid w:val="006C3AFC"/>
    <w:rsid w:val="006C3B33"/>
    <w:rsid w:val="006C3CE9"/>
    <w:rsid w:val="006C3D0A"/>
    <w:rsid w:val="006C3D4E"/>
    <w:rsid w:val="006C3E7D"/>
    <w:rsid w:val="006C4050"/>
    <w:rsid w:val="006C4098"/>
    <w:rsid w:val="006C40C6"/>
    <w:rsid w:val="006C4198"/>
    <w:rsid w:val="006C419D"/>
    <w:rsid w:val="006C41D1"/>
    <w:rsid w:val="006C4253"/>
    <w:rsid w:val="006C434D"/>
    <w:rsid w:val="006C4467"/>
    <w:rsid w:val="006C447B"/>
    <w:rsid w:val="006C4540"/>
    <w:rsid w:val="006C47B1"/>
    <w:rsid w:val="006C487B"/>
    <w:rsid w:val="006C4978"/>
    <w:rsid w:val="006C4C02"/>
    <w:rsid w:val="006C4E41"/>
    <w:rsid w:val="006C4EAF"/>
    <w:rsid w:val="006C4ECA"/>
    <w:rsid w:val="006C4F96"/>
    <w:rsid w:val="006C503E"/>
    <w:rsid w:val="006C517A"/>
    <w:rsid w:val="006C51DB"/>
    <w:rsid w:val="006C52E5"/>
    <w:rsid w:val="006C5315"/>
    <w:rsid w:val="006C5363"/>
    <w:rsid w:val="006C54C6"/>
    <w:rsid w:val="006C5633"/>
    <w:rsid w:val="006C57B5"/>
    <w:rsid w:val="006C5C2B"/>
    <w:rsid w:val="006C5D78"/>
    <w:rsid w:val="006C607F"/>
    <w:rsid w:val="006C6123"/>
    <w:rsid w:val="006C637D"/>
    <w:rsid w:val="006C652A"/>
    <w:rsid w:val="006C697D"/>
    <w:rsid w:val="006C6A6D"/>
    <w:rsid w:val="006C6B6E"/>
    <w:rsid w:val="006C6EA0"/>
    <w:rsid w:val="006C6FC5"/>
    <w:rsid w:val="006C71D6"/>
    <w:rsid w:val="006C7304"/>
    <w:rsid w:val="006C742E"/>
    <w:rsid w:val="006C7503"/>
    <w:rsid w:val="006C7600"/>
    <w:rsid w:val="006C7781"/>
    <w:rsid w:val="006C780A"/>
    <w:rsid w:val="006C78E5"/>
    <w:rsid w:val="006C7B56"/>
    <w:rsid w:val="006C7FAB"/>
    <w:rsid w:val="006C7FC1"/>
    <w:rsid w:val="006D000C"/>
    <w:rsid w:val="006D0033"/>
    <w:rsid w:val="006D00C2"/>
    <w:rsid w:val="006D0121"/>
    <w:rsid w:val="006D019A"/>
    <w:rsid w:val="006D01B1"/>
    <w:rsid w:val="006D01E5"/>
    <w:rsid w:val="006D03B0"/>
    <w:rsid w:val="006D0428"/>
    <w:rsid w:val="006D0A9A"/>
    <w:rsid w:val="006D0AFE"/>
    <w:rsid w:val="006D0C33"/>
    <w:rsid w:val="006D0C65"/>
    <w:rsid w:val="006D0D7F"/>
    <w:rsid w:val="006D0EE4"/>
    <w:rsid w:val="006D0F73"/>
    <w:rsid w:val="006D12BF"/>
    <w:rsid w:val="006D14BB"/>
    <w:rsid w:val="006D1544"/>
    <w:rsid w:val="006D1636"/>
    <w:rsid w:val="006D1B23"/>
    <w:rsid w:val="006D1BCD"/>
    <w:rsid w:val="006D1BF5"/>
    <w:rsid w:val="006D1C28"/>
    <w:rsid w:val="006D1C83"/>
    <w:rsid w:val="006D1E86"/>
    <w:rsid w:val="006D201D"/>
    <w:rsid w:val="006D2139"/>
    <w:rsid w:val="006D25C9"/>
    <w:rsid w:val="006D2727"/>
    <w:rsid w:val="006D2789"/>
    <w:rsid w:val="006D2A74"/>
    <w:rsid w:val="006D2C1D"/>
    <w:rsid w:val="006D2C23"/>
    <w:rsid w:val="006D2DE9"/>
    <w:rsid w:val="006D2E5E"/>
    <w:rsid w:val="006D2F10"/>
    <w:rsid w:val="006D2F29"/>
    <w:rsid w:val="006D3100"/>
    <w:rsid w:val="006D32EF"/>
    <w:rsid w:val="006D3418"/>
    <w:rsid w:val="006D3885"/>
    <w:rsid w:val="006D3974"/>
    <w:rsid w:val="006D3D02"/>
    <w:rsid w:val="006D3D9B"/>
    <w:rsid w:val="006D3DD9"/>
    <w:rsid w:val="006D3EF1"/>
    <w:rsid w:val="006D3F4A"/>
    <w:rsid w:val="006D3FA3"/>
    <w:rsid w:val="006D3FCC"/>
    <w:rsid w:val="006D41BB"/>
    <w:rsid w:val="006D437A"/>
    <w:rsid w:val="006D4425"/>
    <w:rsid w:val="006D445F"/>
    <w:rsid w:val="006D451A"/>
    <w:rsid w:val="006D4658"/>
    <w:rsid w:val="006D4856"/>
    <w:rsid w:val="006D4891"/>
    <w:rsid w:val="006D4B62"/>
    <w:rsid w:val="006D4BE3"/>
    <w:rsid w:val="006D4CBA"/>
    <w:rsid w:val="006D4F86"/>
    <w:rsid w:val="006D503D"/>
    <w:rsid w:val="006D50D7"/>
    <w:rsid w:val="006D5268"/>
    <w:rsid w:val="006D5295"/>
    <w:rsid w:val="006D52FF"/>
    <w:rsid w:val="006D53B1"/>
    <w:rsid w:val="006D5582"/>
    <w:rsid w:val="006D55B8"/>
    <w:rsid w:val="006D5630"/>
    <w:rsid w:val="006D564D"/>
    <w:rsid w:val="006D56CA"/>
    <w:rsid w:val="006D5721"/>
    <w:rsid w:val="006D57AE"/>
    <w:rsid w:val="006D5919"/>
    <w:rsid w:val="006D597D"/>
    <w:rsid w:val="006D59C3"/>
    <w:rsid w:val="006D5B02"/>
    <w:rsid w:val="006D5C2B"/>
    <w:rsid w:val="006D5D6F"/>
    <w:rsid w:val="006D5DA7"/>
    <w:rsid w:val="006D5E0B"/>
    <w:rsid w:val="006D5EE5"/>
    <w:rsid w:val="006D61DB"/>
    <w:rsid w:val="006D6294"/>
    <w:rsid w:val="006D6297"/>
    <w:rsid w:val="006D6342"/>
    <w:rsid w:val="006D6524"/>
    <w:rsid w:val="006D6589"/>
    <w:rsid w:val="006D6796"/>
    <w:rsid w:val="006D67A1"/>
    <w:rsid w:val="006D69C9"/>
    <w:rsid w:val="006D6AEC"/>
    <w:rsid w:val="006D6C2B"/>
    <w:rsid w:val="006D6C94"/>
    <w:rsid w:val="006D6F4A"/>
    <w:rsid w:val="006D71B7"/>
    <w:rsid w:val="006D76AF"/>
    <w:rsid w:val="006D7723"/>
    <w:rsid w:val="006D777D"/>
    <w:rsid w:val="006D78D9"/>
    <w:rsid w:val="006D7940"/>
    <w:rsid w:val="006D796C"/>
    <w:rsid w:val="006D7A35"/>
    <w:rsid w:val="006D7B68"/>
    <w:rsid w:val="006D7CAC"/>
    <w:rsid w:val="006D7D05"/>
    <w:rsid w:val="006D7D3E"/>
    <w:rsid w:val="006D7F45"/>
    <w:rsid w:val="006E00E9"/>
    <w:rsid w:val="006E0322"/>
    <w:rsid w:val="006E05EE"/>
    <w:rsid w:val="006E0608"/>
    <w:rsid w:val="006E062A"/>
    <w:rsid w:val="006E0890"/>
    <w:rsid w:val="006E08B0"/>
    <w:rsid w:val="006E0C8D"/>
    <w:rsid w:val="006E0CBB"/>
    <w:rsid w:val="006E120F"/>
    <w:rsid w:val="006E1A83"/>
    <w:rsid w:val="006E1AA4"/>
    <w:rsid w:val="006E1B0D"/>
    <w:rsid w:val="006E2054"/>
    <w:rsid w:val="006E21E2"/>
    <w:rsid w:val="006E2536"/>
    <w:rsid w:val="006E27C0"/>
    <w:rsid w:val="006E2892"/>
    <w:rsid w:val="006E28F1"/>
    <w:rsid w:val="006E29AF"/>
    <w:rsid w:val="006E2AAB"/>
    <w:rsid w:val="006E2B3E"/>
    <w:rsid w:val="006E2B50"/>
    <w:rsid w:val="006E2B6D"/>
    <w:rsid w:val="006E2C67"/>
    <w:rsid w:val="006E2D96"/>
    <w:rsid w:val="006E2E16"/>
    <w:rsid w:val="006E2FCB"/>
    <w:rsid w:val="006E3040"/>
    <w:rsid w:val="006E3051"/>
    <w:rsid w:val="006E33B2"/>
    <w:rsid w:val="006E347B"/>
    <w:rsid w:val="006E35AF"/>
    <w:rsid w:val="006E35E7"/>
    <w:rsid w:val="006E3754"/>
    <w:rsid w:val="006E38D3"/>
    <w:rsid w:val="006E3AF5"/>
    <w:rsid w:val="006E3D7A"/>
    <w:rsid w:val="006E3DFB"/>
    <w:rsid w:val="006E3F3A"/>
    <w:rsid w:val="006E3F49"/>
    <w:rsid w:val="006E40CD"/>
    <w:rsid w:val="006E40F6"/>
    <w:rsid w:val="006E44DA"/>
    <w:rsid w:val="006E4639"/>
    <w:rsid w:val="006E477B"/>
    <w:rsid w:val="006E4865"/>
    <w:rsid w:val="006E4A50"/>
    <w:rsid w:val="006E4AC5"/>
    <w:rsid w:val="006E4EA1"/>
    <w:rsid w:val="006E4EF0"/>
    <w:rsid w:val="006E4F1E"/>
    <w:rsid w:val="006E5259"/>
    <w:rsid w:val="006E537D"/>
    <w:rsid w:val="006E53BB"/>
    <w:rsid w:val="006E5523"/>
    <w:rsid w:val="006E55A1"/>
    <w:rsid w:val="006E576E"/>
    <w:rsid w:val="006E5889"/>
    <w:rsid w:val="006E5B74"/>
    <w:rsid w:val="006E5BC4"/>
    <w:rsid w:val="006E5CE5"/>
    <w:rsid w:val="006E5E62"/>
    <w:rsid w:val="006E5E9B"/>
    <w:rsid w:val="006E60C0"/>
    <w:rsid w:val="006E61B2"/>
    <w:rsid w:val="006E61EA"/>
    <w:rsid w:val="006E6235"/>
    <w:rsid w:val="006E6374"/>
    <w:rsid w:val="006E6575"/>
    <w:rsid w:val="006E65A6"/>
    <w:rsid w:val="006E65FA"/>
    <w:rsid w:val="006E6632"/>
    <w:rsid w:val="006E6974"/>
    <w:rsid w:val="006E6AC8"/>
    <w:rsid w:val="006E6F9D"/>
    <w:rsid w:val="006E703C"/>
    <w:rsid w:val="006E7045"/>
    <w:rsid w:val="006E7051"/>
    <w:rsid w:val="006E709D"/>
    <w:rsid w:val="006E70C1"/>
    <w:rsid w:val="006E70EA"/>
    <w:rsid w:val="006E72AC"/>
    <w:rsid w:val="006E75F7"/>
    <w:rsid w:val="006E7661"/>
    <w:rsid w:val="006E772F"/>
    <w:rsid w:val="006E790C"/>
    <w:rsid w:val="006E7973"/>
    <w:rsid w:val="006E7D5E"/>
    <w:rsid w:val="006E7D8B"/>
    <w:rsid w:val="006F00CF"/>
    <w:rsid w:val="006F02C0"/>
    <w:rsid w:val="006F03B0"/>
    <w:rsid w:val="006F0418"/>
    <w:rsid w:val="006F04C3"/>
    <w:rsid w:val="006F0736"/>
    <w:rsid w:val="006F0832"/>
    <w:rsid w:val="006F083B"/>
    <w:rsid w:val="006F09D7"/>
    <w:rsid w:val="006F0CEC"/>
    <w:rsid w:val="006F1020"/>
    <w:rsid w:val="006F10E0"/>
    <w:rsid w:val="006F118C"/>
    <w:rsid w:val="006F1524"/>
    <w:rsid w:val="006F1659"/>
    <w:rsid w:val="006F17E7"/>
    <w:rsid w:val="006F1B7E"/>
    <w:rsid w:val="006F1C06"/>
    <w:rsid w:val="006F1CEE"/>
    <w:rsid w:val="006F208D"/>
    <w:rsid w:val="006F2164"/>
    <w:rsid w:val="006F2257"/>
    <w:rsid w:val="006F23D0"/>
    <w:rsid w:val="006F248E"/>
    <w:rsid w:val="006F25F5"/>
    <w:rsid w:val="006F279C"/>
    <w:rsid w:val="006F2A2E"/>
    <w:rsid w:val="006F2CA9"/>
    <w:rsid w:val="006F2D0F"/>
    <w:rsid w:val="006F2E1C"/>
    <w:rsid w:val="006F2EF3"/>
    <w:rsid w:val="006F2F74"/>
    <w:rsid w:val="006F308E"/>
    <w:rsid w:val="006F3101"/>
    <w:rsid w:val="006F3153"/>
    <w:rsid w:val="006F3234"/>
    <w:rsid w:val="006F32C8"/>
    <w:rsid w:val="006F3302"/>
    <w:rsid w:val="006F348E"/>
    <w:rsid w:val="006F34B5"/>
    <w:rsid w:val="006F350B"/>
    <w:rsid w:val="006F3557"/>
    <w:rsid w:val="006F35F4"/>
    <w:rsid w:val="006F35FA"/>
    <w:rsid w:val="006F3733"/>
    <w:rsid w:val="006F373F"/>
    <w:rsid w:val="006F37A6"/>
    <w:rsid w:val="006F38D5"/>
    <w:rsid w:val="006F3A2E"/>
    <w:rsid w:val="006F3AD6"/>
    <w:rsid w:val="006F3FCB"/>
    <w:rsid w:val="006F40F7"/>
    <w:rsid w:val="006F432D"/>
    <w:rsid w:val="006F4465"/>
    <w:rsid w:val="006F49A4"/>
    <w:rsid w:val="006F4B1A"/>
    <w:rsid w:val="006F4B8D"/>
    <w:rsid w:val="006F4DC2"/>
    <w:rsid w:val="006F4DF2"/>
    <w:rsid w:val="006F4EB7"/>
    <w:rsid w:val="006F4F65"/>
    <w:rsid w:val="006F5017"/>
    <w:rsid w:val="006F5194"/>
    <w:rsid w:val="006F51DC"/>
    <w:rsid w:val="006F51E9"/>
    <w:rsid w:val="006F5426"/>
    <w:rsid w:val="006F5690"/>
    <w:rsid w:val="006F56CD"/>
    <w:rsid w:val="006F57E5"/>
    <w:rsid w:val="006F597F"/>
    <w:rsid w:val="006F5B84"/>
    <w:rsid w:val="006F5E5E"/>
    <w:rsid w:val="006F61B1"/>
    <w:rsid w:val="006F6256"/>
    <w:rsid w:val="006F625C"/>
    <w:rsid w:val="006F639B"/>
    <w:rsid w:val="006F6551"/>
    <w:rsid w:val="006F65ED"/>
    <w:rsid w:val="006F67DE"/>
    <w:rsid w:val="006F6990"/>
    <w:rsid w:val="006F6A63"/>
    <w:rsid w:val="006F6AA2"/>
    <w:rsid w:val="006F6B5F"/>
    <w:rsid w:val="006F6B81"/>
    <w:rsid w:val="006F6CD2"/>
    <w:rsid w:val="006F6E33"/>
    <w:rsid w:val="006F6E89"/>
    <w:rsid w:val="006F70D5"/>
    <w:rsid w:val="006F7412"/>
    <w:rsid w:val="006F747D"/>
    <w:rsid w:val="006F74FC"/>
    <w:rsid w:val="006F79FB"/>
    <w:rsid w:val="006F7A6F"/>
    <w:rsid w:val="006F7AC6"/>
    <w:rsid w:val="006F7B0C"/>
    <w:rsid w:val="006F7C6D"/>
    <w:rsid w:val="006F7D41"/>
    <w:rsid w:val="006F7D6E"/>
    <w:rsid w:val="006F7E62"/>
    <w:rsid w:val="00700069"/>
    <w:rsid w:val="007000EC"/>
    <w:rsid w:val="00700237"/>
    <w:rsid w:val="00700346"/>
    <w:rsid w:val="0070047A"/>
    <w:rsid w:val="0070058E"/>
    <w:rsid w:val="007005D0"/>
    <w:rsid w:val="007005F3"/>
    <w:rsid w:val="0070067A"/>
    <w:rsid w:val="0070076D"/>
    <w:rsid w:val="0070078E"/>
    <w:rsid w:val="007007E1"/>
    <w:rsid w:val="0070084C"/>
    <w:rsid w:val="007008BF"/>
    <w:rsid w:val="007009F7"/>
    <w:rsid w:val="00700AD3"/>
    <w:rsid w:val="00700B03"/>
    <w:rsid w:val="00700CD7"/>
    <w:rsid w:val="00700D47"/>
    <w:rsid w:val="00700FDA"/>
    <w:rsid w:val="00701313"/>
    <w:rsid w:val="00701613"/>
    <w:rsid w:val="00701689"/>
    <w:rsid w:val="0070185F"/>
    <w:rsid w:val="0070192D"/>
    <w:rsid w:val="00701A55"/>
    <w:rsid w:val="00701BF5"/>
    <w:rsid w:val="00701D73"/>
    <w:rsid w:val="007021F5"/>
    <w:rsid w:val="00702211"/>
    <w:rsid w:val="007022A5"/>
    <w:rsid w:val="00702788"/>
    <w:rsid w:val="00702846"/>
    <w:rsid w:val="007028C7"/>
    <w:rsid w:val="00702A68"/>
    <w:rsid w:val="00702AB5"/>
    <w:rsid w:val="00702AD3"/>
    <w:rsid w:val="00702B52"/>
    <w:rsid w:val="00702B7B"/>
    <w:rsid w:val="00702C2E"/>
    <w:rsid w:val="00702E9F"/>
    <w:rsid w:val="00702F80"/>
    <w:rsid w:val="0070304E"/>
    <w:rsid w:val="007030A6"/>
    <w:rsid w:val="00703451"/>
    <w:rsid w:val="00703481"/>
    <w:rsid w:val="0070372B"/>
    <w:rsid w:val="00703882"/>
    <w:rsid w:val="00703888"/>
    <w:rsid w:val="007039D3"/>
    <w:rsid w:val="00703B32"/>
    <w:rsid w:val="00703B99"/>
    <w:rsid w:val="00703BFD"/>
    <w:rsid w:val="00703C7D"/>
    <w:rsid w:val="00703D3E"/>
    <w:rsid w:val="00703EA5"/>
    <w:rsid w:val="007040CF"/>
    <w:rsid w:val="00704134"/>
    <w:rsid w:val="007041C7"/>
    <w:rsid w:val="007043AE"/>
    <w:rsid w:val="007045BF"/>
    <w:rsid w:val="007045D1"/>
    <w:rsid w:val="0070483E"/>
    <w:rsid w:val="00704895"/>
    <w:rsid w:val="00704979"/>
    <w:rsid w:val="00704983"/>
    <w:rsid w:val="00704BF8"/>
    <w:rsid w:val="00704D16"/>
    <w:rsid w:val="00704D5B"/>
    <w:rsid w:val="00705105"/>
    <w:rsid w:val="007051E8"/>
    <w:rsid w:val="00705667"/>
    <w:rsid w:val="00705A2F"/>
    <w:rsid w:val="00705B1D"/>
    <w:rsid w:val="00705CF6"/>
    <w:rsid w:val="00705D81"/>
    <w:rsid w:val="00705DF1"/>
    <w:rsid w:val="0070600C"/>
    <w:rsid w:val="0070634A"/>
    <w:rsid w:val="007064D8"/>
    <w:rsid w:val="00706549"/>
    <w:rsid w:val="007066B1"/>
    <w:rsid w:val="007066E4"/>
    <w:rsid w:val="0070678E"/>
    <w:rsid w:val="007067C8"/>
    <w:rsid w:val="007068DC"/>
    <w:rsid w:val="007068FA"/>
    <w:rsid w:val="00706ACD"/>
    <w:rsid w:val="00706C60"/>
    <w:rsid w:val="00706DBE"/>
    <w:rsid w:val="00706E6A"/>
    <w:rsid w:val="00706E8C"/>
    <w:rsid w:val="00706E98"/>
    <w:rsid w:val="00706F32"/>
    <w:rsid w:val="00707029"/>
    <w:rsid w:val="0070703D"/>
    <w:rsid w:val="0070709C"/>
    <w:rsid w:val="00707368"/>
    <w:rsid w:val="00707409"/>
    <w:rsid w:val="00707506"/>
    <w:rsid w:val="0070768D"/>
    <w:rsid w:val="00707810"/>
    <w:rsid w:val="00707AB6"/>
    <w:rsid w:val="00707EFB"/>
    <w:rsid w:val="00707F6C"/>
    <w:rsid w:val="0071002A"/>
    <w:rsid w:val="0071010F"/>
    <w:rsid w:val="00710199"/>
    <w:rsid w:val="00710368"/>
    <w:rsid w:val="00710559"/>
    <w:rsid w:val="0071055D"/>
    <w:rsid w:val="0071119F"/>
    <w:rsid w:val="007111DC"/>
    <w:rsid w:val="0071122A"/>
    <w:rsid w:val="00711258"/>
    <w:rsid w:val="00711311"/>
    <w:rsid w:val="00711445"/>
    <w:rsid w:val="00711869"/>
    <w:rsid w:val="007119B5"/>
    <w:rsid w:val="00711DDE"/>
    <w:rsid w:val="00711E46"/>
    <w:rsid w:val="00711F76"/>
    <w:rsid w:val="00711FEA"/>
    <w:rsid w:val="0071221C"/>
    <w:rsid w:val="00712245"/>
    <w:rsid w:val="00712640"/>
    <w:rsid w:val="007126F8"/>
    <w:rsid w:val="00712707"/>
    <w:rsid w:val="0071277A"/>
    <w:rsid w:val="007127A4"/>
    <w:rsid w:val="00712BD4"/>
    <w:rsid w:val="00712CB9"/>
    <w:rsid w:val="00712D57"/>
    <w:rsid w:val="00712DFD"/>
    <w:rsid w:val="00712EF4"/>
    <w:rsid w:val="00712F19"/>
    <w:rsid w:val="0071305E"/>
    <w:rsid w:val="007133D8"/>
    <w:rsid w:val="007134AD"/>
    <w:rsid w:val="007135DD"/>
    <w:rsid w:val="0071372A"/>
    <w:rsid w:val="0071380A"/>
    <w:rsid w:val="00713980"/>
    <w:rsid w:val="00713B4C"/>
    <w:rsid w:val="00713C87"/>
    <w:rsid w:val="00713E45"/>
    <w:rsid w:val="0071434D"/>
    <w:rsid w:val="00714393"/>
    <w:rsid w:val="0071461F"/>
    <w:rsid w:val="00714779"/>
    <w:rsid w:val="00714C6A"/>
    <w:rsid w:val="00714E22"/>
    <w:rsid w:val="007151CB"/>
    <w:rsid w:val="00715723"/>
    <w:rsid w:val="007157AC"/>
    <w:rsid w:val="00715803"/>
    <w:rsid w:val="0071591A"/>
    <w:rsid w:val="007159B3"/>
    <w:rsid w:val="00715ACC"/>
    <w:rsid w:val="00715AD1"/>
    <w:rsid w:val="00715C91"/>
    <w:rsid w:val="00715E1A"/>
    <w:rsid w:val="00715FDA"/>
    <w:rsid w:val="007161E3"/>
    <w:rsid w:val="00716364"/>
    <w:rsid w:val="00716365"/>
    <w:rsid w:val="00716749"/>
    <w:rsid w:val="0071676E"/>
    <w:rsid w:val="0071678D"/>
    <w:rsid w:val="00716933"/>
    <w:rsid w:val="007169C6"/>
    <w:rsid w:val="00716A0E"/>
    <w:rsid w:val="00716A1F"/>
    <w:rsid w:val="00716C98"/>
    <w:rsid w:val="00716CE2"/>
    <w:rsid w:val="00716FC4"/>
    <w:rsid w:val="007173C7"/>
    <w:rsid w:val="007174B1"/>
    <w:rsid w:val="007175CC"/>
    <w:rsid w:val="00717615"/>
    <w:rsid w:val="00717784"/>
    <w:rsid w:val="0071784F"/>
    <w:rsid w:val="00717A62"/>
    <w:rsid w:val="00717B39"/>
    <w:rsid w:val="007200B3"/>
    <w:rsid w:val="007200CC"/>
    <w:rsid w:val="00720103"/>
    <w:rsid w:val="00720389"/>
    <w:rsid w:val="0072059C"/>
    <w:rsid w:val="0072085B"/>
    <w:rsid w:val="00720893"/>
    <w:rsid w:val="00720903"/>
    <w:rsid w:val="00720C6D"/>
    <w:rsid w:val="00720FDF"/>
    <w:rsid w:val="0072106F"/>
    <w:rsid w:val="007212D0"/>
    <w:rsid w:val="007213F5"/>
    <w:rsid w:val="00721412"/>
    <w:rsid w:val="00721624"/>
    <w:rsid w:val="007216AD"/>
    <w:rsid w:val="007216F9"/>
    <w:rsid w:val="00721C00"/>
    <w:rsid w:val="007220FA"/>
    <w:rsid w:val="007221C3"/>
    <w:rsid w:val="0072242B"/>
    <w:rsid w:val="007225A0"/>
    <w:rsid w:val="00722752"/>
    <w:rsid w:val="007227B2"/>
    <w:rsid w:val="00722D19"/>
    <w:rsid w:val="00722E02"/>
    <w:rsid w:val="00722E9F"/>
    <w:rsid w:val="00722FB3"/>
    <w:rsid w:val="007230D7"/>
    <w:rsid w:val="00723140"/>
    <w:rsid w:val="00723276"/>
    <w:rsid w:val="00723475"/>
    <w:rsid w:val="007234D3"/>
    <w:rsid w:val="007236C7"/>
    <w:rsid w:val="00723789"/>
    <w:rsid w:val="00723896"/>
    <w:rsid w:val="00723C5F"/>
    <w:rsid w:val="00723E53"/>
    <w:rsid w:val="00723EFB"/>
    <w:rsid w:val="00723FAC"/>
    <w:rsid w:val="007241B8"/>
    <w:rsid w:val="007243D4"/>
    <w:rsid w:val="007244EF"/>
    <w:rsid w:val="007244F0"/>
    <w:rsid w:val="007245B1"/>
    <w:rsid w:val="0072460B"/>
    <w:rsid w:val="007246F1"/>
    <w:rsid w:val="00724705"/>
    <w:rsid w:val="007248C2"/>
    <w:rsid w:val="00724B02"/>
    <w:rsid w:val="00724C95"/>
    <w:rsid w:val="00724E68"/>
    <w:rsid w:val="00724F0D"/>
    <w:rsid w:val="00724FDA"/>
    <w:rsid w:val="00725682"/>
    <w:rsid w:val="00725AC5"/>
    <w:rsid w:val="00725AD1"/>
    <w:rsid w:val="00725FAA"/>
    <w:rsid w:val="00726173"/>
    <w:rsid w:val="00726188"/>
    <w:rsid w:val="00726240"/>
    <w:rsid w:val="007262D6"/>
    <w:rsid w:val="0072639C"/>
    <w:rsid w:val="007263D4"/>
    <w:rsid w:val="007264B0"/>
    <w:rsid w:val="0072655B"/>
    <w:rsid w:val="00726646"/>
    <w:rsid w:val="00726A28"/>
    <w:rsid w:val="00726A59"/>
    <w:rsid w:val="00726CFA"/>
    <w:rsid w:val="00726DAE"/>
    <w:rsid w:val="00727035"/>
    <w:rsid w:val="00727037"/>
    <w:rsid w:val="0072727F"/>
    <w:rsid w:val="0072735F"/>
    <w:rsid w:val="007273D9"/>
    <w:rsid w:val="007274ED"/>
    <w:rsid w:val="00727695"/>
    <w:rsid w:val="007277C6"/>
    <w:rsid w:val="00727928"/>
    <w:rsid w:val="00727B83"/>
    <w:rsid w:val="00727D4E"/>
    <w:rsid w:val="00727E23"/>
    <w:rsid w:val="00727FF5"/>
    <w:rsid w:val="007301EB"/>
    <w:rsid w:val="007303C9"/>
    <w:rsid w:val="007308E3"/>
    <w:rsid w:val="0073092D"/>
    <w:rsid w:val="00731040"/>
    <w:rsid w:val="00731263"/>
    <w:rsid w:val="00731295"/>
    <w:rsid w:val="00731325"/>
    <w:rsid w:val="007313A7"/>
    <w:rsid w:val="007313B3"/>
    <w:rsid w:val="007314FF"/>
    <w:rsid w:val="007315CA"/>
    <w:rsid w:val="00731619"/>
    <w:rsid w:val="00731677"/>
    <w:rsid w:val="0073169F"/>
    <w:rsid w:val="0073171F"/>
    <w:rsid w:val="00731766"/>
    <w:rsid w:val="00731882"/>
    <w:rsid w:val="00731905"/>
    <w:rsid w:val="0073194C"/>
    <w:rsid w:val="00731CB7"/>
    <w:rsid w:val="00731CDE"/>
    <w:rsid w:val="00731CFF"/>
    <w:rsid w:val="00731E3F"/>
    <w:rsid w:val="00731EDE"/>
    <w:rsid w:val="0073208A"/>
    <w:rsid w:val="007322A8"/>
    <w:rsid w:val="007324D7"/>
    <w:rsid w:val="00732653"/>
    <w:rsid w:val="00732886"/>
    <w:rsid w:val="0073293E"/>
    <w:rsid w:val="00732B17"/>
    <w:rsid w:val="00732D16"/>
    <w:rsid w:val="00732F9B"/>
    <w:rsid w:val="00732FF0"/>
    <w:rsid w:val="007330EA"/>
    <w:rsid w:val="00733105"/>
    <w:rsid w:val="007331CF"/>
    <w:rsid w:val="0073325E"/>
    <w:rsid w:val="007333C2"/>
    <w:rsid w:val="007333D0"/>
    <w:rsid w:val="007333D3"/>
    <w:rsid w:val="00733916"/>
    <w:rsid w:val="00733A04"/>
    <w:rsid w:val="00733C25"/>
    <w:rsid w:val="00733C4C"/>
    <w:rsid w:val="00733D7D"/>
    <w:rsid w:val="00733DAF"/>
    <w:rsid w:val="00733E71"/>
    <w:rsid w:val="00734026"/>
    <w:rsid w:val="0073410C"/>
    <w:rsid w:val="00734198"/>
    <w:rsid w:val="007341AF"/>
    <w:rsid w:val="00734228"/>
    <w:rsid w:val="00734230"/>
    <w:rsid w:val="0073427D"/>
    <w:rsid w:val="007342E1"/>
    <w:rsid w:val="00734348"/>
    <w:rsid w:val="007343D3"/>
    <w:rsid w:val="007343F4"/>
    <w:rsid w:val="00734558"/>
    <w:rsid w:val="00734562"/>
    <w:rsid w:val="007345EB"/>
    <w:rsid w:val="00734994"/>
    <w:rsid w:val="00734A03"/>
    <w:rsid w:val="00734B3A"/>
    <w:rsid w:val="00734DCB"/>
    <w:rsid w:val="00735187"/>
    <w:rsid w:val="007351E6"/>
    <w:rsid w:val="00735264"/>
    <w:rsid w:val="0073538B"/>
    <w:rsid w:val="0073560B"/>
    <w:rsid w:val="0073564F"/>
    <w:rsid w:val="0073592C"/>
    <w:rsid w:val="00735B77"/>
    <w:rsid w:val="00735BF7"/>
    <w:rsid w:val="00735C25"/>
    <w:rsid w:val="00735CB5"/>
    <w:rsid w:val="00735E6E"/>
    <w:rsid w:val="00735F4B"/>
    <w:rsid w:val="00735F51"/>
    <w:rsid w:val="00735FC0"/>
    <w:rsid w:val="007366D1"/>
    <w:rsid w:val="007366FC"/>
    <w:rsid w:val="007367BB"/>
    <w:rsid w:val="0073682D"/>
    <w:rsid w:val="007369A1"/>
    <w:rsid w:val="00736B55"/>
    <w:rsid w:val="00736B8D"/>
    <w:rsid w:val="00736B98"/>
    <w:rsid w:val="00736C6D"/>
    <w:rsid w:val="00736FEF"/>
    <w:rsid w:val="00737559"/>
    <w:rsid w:val="007378E8"/>
    <w:rsid w:val="00737AC8"/>
    <w:rsid w:val="00737AE5"/>
    <w:rsid w:val="00737B93"/>
    <w:rsid w:val="00737C12"/>
    <w:rsid w:val="00737C53"/>
    <w:rsid w:val="00737CBF"/>
    <w:rsid w:val="00737DA5"/>
    <w:rsid w:val="00737EAF"/>
    <w:rsid w:val="00737FD0"/>
    <w:rsid w:val="0074003C"/>
    <w:rsid w:val="007402A6"/>
    <w:rsid w:val="0074042F"/>
    <w:rsid w:val="007404C5"/>
    <w:rsid w:val="00740546"/>
    <w:rsid w:val="00740679"/>
    <w:rsid w:val="00740977"/>
    <w:rsid w:val="00740984"/>
    <w:rsid w:val="007409A0"/>
    <w:rsid w:val="00740A3A"/>
    <w:rsid w:val="00740B31"/>
    <w:rsid w:val="00740B7B"/>
    <w:rsid w:val="00740C19"/>
    <w:rsid w:val="00740C4D"/>
    <w:rsid w:val="00740C8D"/>
    <w:rsid w:val="00740F36"/>
    <w:rsid w:val="0074102F"/>
    <w:rsid w:val="00741069"/>
    <w:rsid w:val="0074109C"/>
    <w:rsid w:val="00741554"/>
    <w:rsid w:val="0074157E"/>
    <w:rsid w:val="007415A8"/>
    <w:rsid w:val="007415B6"/>
    <w:rsid w:val="007416E1"/>
    <w:rsid w:val="0074174F"/>
    <w:rsid w:val="00741798"/>
    <w:rsid w:val="0074185B"/>
    <w:rsid w:val="007418A1"/>
    <w:rsid w:val="00741B31"/>
    <w:rsid w:val="00741C76"/>
    <w:rsid w:val="00741DFD"/>
    <w:rsid w:val="00741E1E"/>
    <w:rsid w:val="00741F1E"/>
    <w:rsid w:val="00741F41"/>
    <w:rsid w:val="00742046"/>
    <w:rsid w:val="00742249"/>
    <w:rsid w:val="00742650"/>
    <w:rsid w:val="0074268E"/>
    <w:rsid w:val="0074278F"/>
    <w:rsid w:val="00742867"/>
    <w:rsid w:val="00742973"/>
    <w:rsid w:val="00742AC7"/>
    <w:rsid w:val="00742B90"/>
    <w:rsid w:val="00742C9E"/>
    <w:rsid w:val="00742DAD"/>
    <w:rsid w:val="0074325B"/>
    <w:rsid w:val="007433C1"/>
    <w:rsid w:val="007433FE"/>
    <w:rsid w:val="007435ED"/>
    <w:rsid w:val="00743792"/>
    <w:rsid w:val="0074379F"/>
    <w:rsid w:val="00743849"/>
    <w:rsid w:val="007439D0"/>
    <w:rsid w:val="00743A88"/>
    <w:rsid w:val="00743B64"/>
    <w:rsid w:val="00743B8F"/>
    <w:rsid w:val="00743C36"/>
    <w:rsid w:val="00743ECC"/>
    <w:rsid w:val="00743F1E"/>
    <w:rsid w:val="00743F81"/>
    <w:rsid w:val="00744080"/>
    <w:rsid w:val="007440D2"/>
    <w:rsid w:val="0074417A"/>
    <w:rsid w:val="00744355"/>
    <w:rsid w:val="007444C0"/>
    <w:rsid w:val="007445FE"/>
    <w:rsid w:val="007446F0"/>
    <w:rsid w:val="00744814"/>
    <w:rsid w:val="00744930"/>
    <w:rsid w:val="00744932"/>
    <w:rsid w:val="00744A9F"/>
    <w:rsid w:val="00744B56"/>
    <w:rsid w:val="00744B5A"/>
    <w:rsid w:val="00744B7E"/>
    <w:rsid w:val="00744E07"/>
    <w:rsid w:val="00744E4A"/>
    <w:rsid w:val="00744E81"/>
    <w:rsid w:val="00744FAB"/>
    <w:rsid w:val="00744FF1"/>
    <w:rsid w:val="007450E3"/>
    <w:rsid w:val="00745123"/>
    <w:rsid w:val="007453F1"/>
    <w:rsid w:val="00745508"/>
    <w:rsid w:val="007456D8"/>
    <w:rsid w:val="007457CA"/>
    <w:rsid w:val="007459B7"/>
    <w:rsid w:val="00745AC2"/>
    <w:rsid w:val="00745B32"/>
    <w:rsid w:val="00745B81"/>
    <w:rsid w:val="00745BF1"/>
    <w:rsid w:val="00745D51"/>
    <w:rsid w:val="00745DC8"/>
    <w:rsid w:val="007463F9"/>
    <w:rsid w:val="0074645C"/>
    <w:rsid w:val="0074650C"/>
    <w:rsid w:val="00746534"/>
    <w:rsid w:val="00746761"/>
    <w:rsid w:val="00746798"/>
    <w:rsid w:val="00746A1A"/>
    <w:rsid w:val="00746A1E"/>
    <w:rsid w:val="00746A67"/>
    <w:rsid w:val="00746ACC"/>
    <w:rsid w:val="00746AF1"/>
    <w:rsid w:val="00746B6A"/>
    <w:rsid w:val="00746C26"/>
    <w:rsid w:val="00746C82"/>
    <w:rsid w:val="00746E35"/>
    <w:rsid w:val="00746E65"/>
    <w:rsid w:val="00747078"/>
    <w:rsid w:val="007471AD"/>
    <w:rsid w:val="007471AE"/>
    <w:rsid w:val="00747447"/>
    <w:rsid w:val="007474AF"/>
    <w:rsid w:val="007475F2"/>
    <w:rsid w:val="0074760E"/>
    <w:rsid w:val="007476C0"/>
    <w:rsid w:val="00747AEB"/>
    <w:rsid w:val="00747E59"/>
    <w:rsid w:val="00747F95"/>
    <w:rsid w:val="00747FA8"/>
    <w:rsid w:val="007501BE"/>
    <w:rsid w:val="007501C0"/>
    <w:rsid w:val="00750424"/>
    <w:rsid w:val="00750540"/>
    <w:rsid w:val="007505B4"/>
    <w:rsid w:val="00750614"/>
    <w:rsid w:val="007506B6"/>
    <w:rsid w:val="007506E6"/>
    <w:rsid w:val="00750742"/>
    <w:rsid w:val="007509FE"/>
    <w:rsid w:val="00750B01"/>
    <w:rsid w:val="00750B54"/>
    <w:rsid w:val="00750C6A"/>
    <w:rsid w:val="00750CA2"/>
    <w:rsid w:val="00750D52"/>
    <w:rsid w:val="00750EB1"/>
    <w:rsid w:val="00750F85"/>
    <w:rsid w:val="007511F3"/>
    <w:rsid w:val="00751201"/>
    <w:rsid w:val="007512F8"/>
    <w:rsid w:val="00751320"/>
    <w:rsid w:val="0075158A"/>
    <w:rsid w:val="007516C2"/>
    <w:rsid w:val="007517AC"/>
    <w:rsid w:val="00751811"/>
    <w:rsid w:val="00751838"/>
    <w:rsid w:val="00751886"/>
    <w:rsid w:val="00751910"/>
    <w:rsid w:val="00751BB8"/>
    <w:rsid w:val="00751CE5"/>
    <w:rsid w:val="00751DFA"/>
    <w:rsid w:val="00752073"/>
    <w:rsid w:val="0075207D"/>
    <w:rsid w:val="007521BE"/>
    <w:rsid w:val="007521BF"/>
    <w:rsid w:val="00752274"/>
    <w:rsid w:val="00752614"/>
    <w:rsid w:val="00752646"/>
    <w:rsid w:val="0075268B"/>
    <w:rsid w:val="00752A04"/>
    <w:rsid w:val="00752C6F"/>
    <w:rsid w:val="00752E96"/>
    <w:rsid w:val="00752FCC"/>
    <w:rsid w:val="00753249"/>
    <w:rsid w:val="00753375"/>
    <w:rsid w:val="00753409"/>
    <w:rsid w:val="007538CE"/>
    <w:rsid w:val="00753928"/>
    <w:rsid w:val="00753AC3"/>
    <w:rsid w:val="00753F26"/>
    <w:rsid w:val="0075400C"/>
    <w:rsid w:val="00754029"/>
    <w:rsid w:val="007541A9"/>
    <w:rsid w:val="00754350"/>
    <w:rsid w:val="00754780"/>
    <w:rsid w:val="00754C54"/>
    <w:rsid w:val="00754CF9"/>
    <w:rsid w:val="00754E7D"/>
    <w:rsid w:val="00755062"/>
    <w:rsid w:val="007550F6"/>
    <w:rsid w:val="00755206"/>
    <w:rsid w:val="00755280"/>
    <w:rsid w:val="007552D4"/>
    <w:rsid w:val="00755335"/>
    <w:rsid w:val="00755351"/>
    <w:rsid w:val="0075568D"/>
    <w:rsid w:val="0075570E"/>
    <w:rsid w:val="0075588D"/>
    <w:rsid w:val="00755AC5"/>
    <w:rsid w:val="00755B78"/>
    <w:rsid w:val="00755D32"/>
    <w:rsid w:val="00755D76"/>
    <w:rsid w:val="00755DBE"/>
    <w:rsid w:val="00755DC7"/>
    <w:rsid w:val="00756032"/>
    <w:rsid w:val="00756088"/>
    <w:rsid w:val="00756091"/>
    <w:rsid w:val="007560A5"/>
    <w:rsid w:val="00756130"/>
    <w:rsid w:val="00756213"/>
    <w:rsid w:val="007564E1"/>
    <w:rsid w:val="0075666B"/>
    <w:rsid w:val="007566E3"/>
    <w:rsid w:val="0075677F"/>
    <w:rsid w:val="00756856"/>
    <w:rsid w:val="007569F8"/>
    <w:rsid w:val="00756B27"/>
    <w:rsid w:val="00756D43"/>
    <w:rsid w:val="00756EA1"/>
    <w:rsid w:val="0075701A"/>
    <w:rsid w:val="00757170"/>
    <w:rsid w:val="007574C2"/>
    <w:rsid w:val="0075772A"/>
    <w:rsid w:val="0075774B"/>
    <w:rsid w:val="0075799B"/>
    <w:rsid w:val="00757A2A"/>
    <w:rsid w:val="00757B3D"/>
    <w:rsid w:val="00757C82"/>
    <w:rsid w:val="0076016B"/>
    <w:rsid w:val="0076021C"/>
    <w:rsid w:val="00760265"/>
    <w:rsid w:val="0076049F"/>
    <w:rsid w:val="0076053E"/>
    <w:rsid w:val="00760585"/>
    <w:rsid w:val="0076091B"/>
    <w:rsid w:val="00760971"/>
    <w:rsid w:val="007609D2"/>
    <w:rsid w:val="00760F5B"/>
    <w:rsid w:val="00761088"/>
    <w:rsid w:val="0076139F"/>
    <w:rsid w:val="00761759"/>
    <w:rsid w:val="00761843"/>
    <w:rsid w:val="007619B6"/>
    <w:rsid w:val="00761A6B"/>
    <w:rsid w:val="00761BA5"/>
    <w:rsid w:val="00761BB3"/>
    <w:rsid w:val="00761C26"/>
    <w:rsid w:val="00761C74"/>
    <w:rsid w:val="00761D06"/>
    <w:rsid w:val="00761D11"/>
    <w:rsid w:val="00761E68"/>
    <w:rsid w:val="00761EDA"/>
    <w:rsid w:val="00761FF4"/>
    <w:rsid w:val="007620CC"/>
    <w:rsid w:val="007620E5"/>
    <w:rsid w:val="007624C3"/>
    <w:rsid w:val="0076254F"/>
    <w:rsid w:val="0076276D"/>
    <w:rsid w:val="00762814"/>
    <w:rsid w:val="00762838"/>
    <w:rsid w:val="007628DA"/>
    <w:rsid w:val="00762A99"/>
    <w:rsid w:val="00762BAE"/>
    <w:rsid w:val="00762CB3"/>
    <w:rsid w:val="00762F05"/>
    <w:rsid w:val="00762F0F"/>
    <w:rsid w:val="00763098"/>
    <w:rsid w:val="0076313A"/>
    <w:rsid w:val="00763333"/>
    <w:rsid w:val="007636C1"/>
    <w:rsid w:val="007638EF"/>
    <w:rsid w:val="00763915"/>
    <w:rsid w:val="007639E1"/>
    <w:rsid w:val="00763AEB"/>
    <w:rsid w:val="00763BA8"/>
    <w:rsid w:val="00763CD7"/>
    <w:rsid w:val="00763DB0"/>
    <w:rsid w:val="0076408F"/>
    <w:rsid w:val="007644B4"/>
    <w:rsid w:val="0076451E"/>
    <w:rsid w:val="007645AB"/>
    <w:rsid w:val="00764810"/>
    <w:rsid w:val="007649DC"/>
    <w:rsid w:val="00764C06"/>
    <w:rsid w:val="00764C5A"/>
    <w:rsid w:val="00764CC9"/>
    <w:rsid w:val="00764D0E"/>
    <w:rsid w:val="00764E37"/>
    <w:rsid w:val="00765239"/>
    <w:rsid w:val="0076553D"/>
    <w:rsid w:val="0076566E"/>
    <w:rsid w:val="007656D8"/>
    <w:rsid w:val="007659DD"/>
    <w:rsid w:val="00765A9E"/>
    <w:rsid w:val="00765AA4"/>
    <w:rsid w:val="00765EB7"/>
    <w:rsid w:val="00766000"/>
    <w:rsid w:val="007660B6"/>
    <w:rsid w:val="007663B9"/>
    <w:rsid w:val="007663C9"/>
    <w:rsid w:val="00766554"/>
    <w:rsid w:val="0076656D"/>
    <w:rsid w:val="00766949"/>
    <w:rsid w:val="007669C0"/>
    <w:rsid w:val="00766AB0"/>
    <w:rsid w:val="00766BA7"/>
    <w:rsid w:val="00766BE9"/>
    <w:rsid w:val="00766C8B"/>
    <w:rsid w:val="00766D6D"/>
    <w:rsid w:val="00766E87"/>
    <w:rsid w:val="0076710E"/>
    <w:rsid w:val="0076712C"/>
    <w:rsid w:val="00767708"/>
    <w:rsid w:val="00767820"/>
    <w:rsid w:val="00767A40"/>
    <w:rsid w:val="00767ACE"/>
    <w:rsid w:val="00767C8D"/>
    <w:rsid w:val="00767D0F"/>
    <w:rsid w:val="00767D36"/>
    <w:rsid w:val="007701DE"/>
    <w:rsid w:val="00770366"/>
    <w:rsid w:val="0077036D"/>
    <w:rsid w:val="00770392"/>
    <w:rsid w:val="00770517"/>
    <w:rsid w:val="0077060F"/>
    <w:rsid w:val="0077075B"/>
    <w:rsid w:val="0077085C"/>
    <w:rsid w:val="00770C18"/>
    <w:rsid w:val="00770F66"/>
    <w:rsid w:val="00770F96"/>
    <w:rsid w:val="00770FB8"/>
    <w:rsid w:val="00771123"/>
    <w:rsid w:val="0077113D"/>
    <w:rsid w:val="007712C2"/>
    <w:rsid w:val="007712D1"/>
    <w:rsid w:val="00771413"/>
    <w:rsid w:val="007714E0"/>
    <w:rsid w:val="00771708"/>
    <w:rsid w:val="00771802"/>
    <w:rsid w:val="00771FA5"/>
    <w:rsid w:val="0077205C"/>
    <w:rsid w:val="007722B6"/>
    <w:rsid w:val="007723A3"/>
    <w:rsid w:val="007723EB"/>
    <w:rsid w:val="00772492"/>
    <w:rsid w:val="0077251A"/>
    <w:rsid w:val="00772584"/>
    <w:rsid w:val="0077273B"/>
    <w:rsid w:val="00772802"/>
    <w:rsid w:val="00772947"/>
    <w:rsid w:val="00772AFE"/>
    <w:rsid w:val="00772AFF"/>
    <w:rsid w:val="00772BA3"/>
    <w:rsid w:val="00772C38"/>
    <w:rsid w:val="00772CB1"/>
    <w:rsid w:val="00772CEA"/>
    <w:rsid w:val="00773058"/>
    <w:rsid w:val="0077311A"/>
    <w:rsid w:val="0077316A"/>
    <w:rsid w:val="007731B6"/>
    <w:rsid w:val="0077320E"/>
    <w:rsid w:val="00773301"/>
    <w:rsid w:val="0077331F"/>
    <w:rsid w:val="0077345C"/>
    <w:rsid w:val="007734CF"/>
    <w:rsid w:val="0077356E"/>
    <w:rsid w:val="0077367C"/>
    <w:rsid w:val="00773C3A"/>
    <w:rsid w:val="00773CBA"/>
    <w:rsid w:val="00773CE1"/>
    <w:rsid w:val="00773FA8"/>
    <w:rsid w:val="007740CD"/>
    <w:rsid w:val="0077418C"/>
    <w:rsid w:val="007743B5"/>
    <w:rsid w:val="0077442A"/>
    <w:rsid w:val="0077447B"/>
    <w:rsid w:val="007744F1"/>
    <w:rsid w:val="0077461C"/>
    <w:rsid w:val="00774633"/>
    <w:rsid w:val="0077482C"/>
    <w:rsid w:val="00774871"/>
    <w:rsid w:val="007748B8"/>
    <w:rsid w:val="00774A68"/>
    <w:rsid w:val="00774A9E"/>
    <w:rsid w:val="00774B04"/>
    <w:rsid w:val="00774B82"/>
    <w:rsid w:val="00774D58"/>
    <w:rsid w:val="00774DDE"/>
    <w:rsid w:val="00774FBC"/>
    <w:rsid w:val="00775393"/>
    <w:rsid w:val="0077543B"/>
    <w:rsid w:val="007754E2"/>
    <w:rsid w:val="00775550"/>
    <w:rsid w:val="0077558F"/>
    <w:rsid w:val="00775600"/>
    <w:rsid w:val="0077592B"/>
    <w:rsid w:val="007759E0"/>
    <w:rsid w:val="00775A02"/>
    <w:rsid w:val="00775B7E"/>
    <w:rsid w:val="00775D85"/>
    <w:rsid w:val="00776123"/>
    <w:rsid w:val="0077624F"/>
    <w:rsid w:val="007762CC"/>
    <w:rsid w:val="007764FF"/>
    <w:rsid w:val="00776668"/>
    <w:rsid w:val="00776684"/>
    <w:rsid w:val="00776800"/>
    <w:rsid w:val="00776A9D"/>
    <w:rsid w:val="00776B9A"/>
    <w:rsid w:val="00776BAB"/>
    <w:rsid w:val="00776BE8"/>
    <w:rsid w:val="00776F23"/>
    <w:rsid w:val="00776FD7"/>
    <w:rsid w:val="00777025"/>
    <w:rsid w:val="0077703F"/>
    <w:rsid w:val="007770A5"/>
    <w:rsid w:val="0077724E"/>
    <w:rsid w:val="007773C3"/>
    <w:rsid w:val="00777473"/>
    <w:rsid w:val="00777700"/>
    <w:rsid w:val="007777AB"/>
    <w:rsid w:val="00777BFB"/>
    <w:rsid w:val="00777E48"/>
    <w:rsid w:val="00777FC4"/>
    <w:rsid w:val="0078004B"/>
    <w:rsid w:val="00780050"/>
    <w:rsid w:val="0078020B"/>
    <w:rsid w:val="007804E8"/>
    <w:rsid w:val="00780557"/>
    <w:rsid w:val="00780745"/>
    <w:rsid w:val="00780761"/>
    <w:rsid w:val="007807D7"/>
    <w:rsid w:val="007809DF"/>
    <w:rsid w:val="00780A3A"/>
    <w:rsid w:val="00780A75"/>
    <w:rsid w:val="00780BE9"/>
    <w:rsid w:val="00780C3A"/>
    <w:rsid w:val="00780CE3"/>
    <w:rsid w:val="00780E77"/>
    <w:rsid w:val="007811C3"/>
    <w:rsid w:val="007811F8"/>
    <w:rsid w:val="00781212"/>
    <w:rsid w:val="00781229"/>
    <w:rsid w:val="00781230"/>
    <w:rsid w:val="00781255"/>
    <w:rsid w:val="007812FC"/>
    <w:rsid w:val="0078135F"/>
    <w:rsid w:val="007818CD"/>
    <w:rsid w:val="00781BA1"/>
    <w:rsid w:val="00781BF7"/>
    <w:rsid w:val="00782289"/>
    <w:rsid w:val="0078229F"/>
    <w:rsid w:val="007824B3"/>
    <w:rsid w:val="00782662"/>
    <w:rsid w:val="007826CA"/>
    <w:rsid w:val="007826FF"/>
    <w:rsid w:val="00782942"/>
    <w:rsid w:val="00782B01"/>
    <w:rsid w:val="00782BD0"/>
    <w:rsid w:val="00782DC9"/>
    <w:rsid w:val="00782FAA"/>
    <w:rsid w:val="00783196"/>
    <w:rsid w:val="0078328E"/>
    <w:rsid w:val="007832B0"/>
    <w:rsid w:val="007832B4"/>
    <w:rsid w:val="00783330"/>
    <w:rsid w:val="00783334"/>
    <w:rsid w:val="00783585"/>
    <w:rsid w:val="007836BC"/>
    <w:rsid w:val="0078378C"/>
    <w:rsid w:val="0078383E"/>
    <w:rsid w:val="007838B6"/>
    <w:rsid w:val="00783959"/>
    <w:rsid w:val="00783BE2"/>
    <w:rsid w:val="00783C51"/>
    <w:rsid w:val="00783CC9"/>
    <w:rsid w:val="00783DD8"/>
    <w:rsid w:val="00783ECC"/>
    <w:rsid w:val="00783F0E"/>
    <w:rsid w:val="00783F79"/>
    <w:rsid w:val="00783F89"/>
    <w:rsid w:val="0078415A"/>
    <w:rsid w:val="0078415D"/>
    <w:rsid w:val="0078417E"/>
    <w:rsid w:val="00784260"/>
    <w:rsid w:val="007842FB"/>
    <w:rsid w:val="00784327"/>
    <w:rsid w:val="007843BD"/>
    <w:rsid w:val="007844EA"/>
    <w:rsid w:val="00784570"/>
    <w:rsid w:val="00784581"/>
    <w:rsid w:val="007845C2"/>
    <w:rsid w:val="0078461E"/>
    <w:rsid w:val="00784749"/>
    <w:rsid w:val="007849F2"/>
    <w:rsid w:val="00784B0E"/>
    <w:rsid w:val="00784C77"/>
    <w:rsid w:val="00784CCC"/>
    <w:rsid w:val="00784D73"/>
    <w:rsid w:val="007851CE"/>
    <w:rsid w:val="0078536C"/>
    <w:rsid w:val="0078539B"/>
    <w:rsid w:val="0078539E"/>
    <w:rsid w:val="00785417"/>
    <w:rsid w:val="00785561"/>
    <w:rsid w:val="00785972"/>
    <w:rsid w:val="0078606D"/>
    <w:rsid w:val="007861D9"/>
    <w:rsid w:val="007861DE"/>
    <w:rsid w:val="007864F4"/>
    <w:rsid w:val="007866B5"/>
    <w:rsid w:val="00786828"/>
    <w:rsid w:val="00786BA2"/>
    <w:rsid w:val="00786C77"/>
    <w:rsid w:val="00786D25"/>
    <w:rsid w:val="00786D54"/>
    <w:rsid w:val="00786FCC"/>
    <w:rsid w:val="00787001"/>
    <w:rsid w:val="007872D6"/>
    <w:rsid w:val="007872E1"/>
    <w:rsid w:val="0078751D"/>
    <w:rsid w:val="00787649"/>
    <w:rsid w:val="0078768C"/>
    <w:rsid w:val="00787774"/>
    <w:rsid w:val="00787A4F"/>
    <w:rsid w:val="00787A8E"/>
    <w:rsid w:val="00787C9F"/>
    <w:rsid w:val="00787D42"/>
    <w:rsid w:val="00787E87"/>
    <w:rsid w:val="00790010"/>
    <w:rsid w:val="00790106"/>
    <w:rsid w:val="0079023C"/>
    <w:rsid w:val="00790347"/>
    <w:rsid w:val="0079055D"/>
    <w:rsid w:val="00790B3C"/>
    <w:rsid w:val="00790BE4"/>
    <w:rsid w:val="00790C1D"/>
    <w:rsid w:val="00790D04"/>
    <w:rsid w:val="0079105A"/>
    <w:rsid w:val="00791133"/>
    <w:rsid w:val="007912A3"/>
    <w:rsid w:val="0079136B"/>
    <w:rsid w:val="00791394"/>
    <w:rsid w:val="007915C4"/>
    <w:rsid w:val="00791630"/>
    <w:rsid w:val="00791B34"/>
    <w:rsid w:val="00791C63"/>
    <w:rsid w:val="00791C94"/>
    <w:rsid w:val="00791CB0"/>
    <w:rsid w:val="00791EFC"/>
    <w:rsid w:val="00792029"/>
    <w:rsid w:val="0079206E"/>
    <w:rsid w:val="00792110"/>
    <w:rsid w:val="00792208"/>
    <w:rsid w:val="007928AD"/>
    <w:rsid w:val="0079297D"/>
    <w:rsid w:val="007929D8"/>
    <w:rsid w:val="00792A4A"/>
    <w:rsid w:val="00792AD8"/>
    <w:rsid w:val="00792F6A"/>
    <w:rsid w:val="00792F8D"/>
    <w:rsid w:val="007930CE"/>
    <w:rsid w:val="00793292"/>
    <w:rsid w:val="007932E8"/>
    <w:rsid w:val="007932FA"/>
    <w:rsid w:val="007933FD"/>
    <w:rsid w:val="007935CD"/>
    <w:rsid w:val="007938DE"/>
    <w:rsid w:val="007939C4"/>
    <w:rsid w:val="00793C0C"/>
    <w:rsid w:val="00793CBE"/>
    <w:rsid w:val="00793DD6"/>
    <w:rsid w:val="00793DD7"/>
    <w:rsid w:val="00793F4E"/>
    <w:rsid w:val="00793FCB"/>
    <w:rsid w:val="007942ED"/>
    <w:rsid w:val="007943AB"/>
    <w:rsid w:val="00794484"/>
    <w:rsid w:val="00794502"/>
    <w:rsid w:val="007945C0"/>
    <w:rsid w:val="00794636"/>
    <w:rsid w:val="0079467B"/>
    <w:rsid w:val="00794724"/>
    <w:rsid w:val="00794979"/>
    <w:rsid w:val="00794AB9"/>
    <w:rsid w:val="00794ACE"/>
    <w:rsid w:val="00794B75"/>
    <w:rsid w:val="00794C25"/>
    <w:rsid w:val="00794DA0"/>
    <w:rsid w:val="00794F8A"/>
    <w:rsid w:val="0079548C"/>
    <w:rsid w:val="007955DA"/>
    <w:rsid w:val="00795788"/>
    <w:rsid w:val="00795793"/>
    <w:rsid w:val="00795826"/>
    <w:rsid w:val="0079584E"/>
    <w:rsid w:val="007959C1"/>
    <w:rsid w:val="007959ED"/>
    <w:rsid w:val="00795A19"/>
    <w:rsid w:val="00795A62"/>
    <w:rsid w:val="00795B48"/>
    <w:rsid w:val="00795C07"/>
    <w:rsid w:val="00795D6C"/>
    <w:rsid w:val="00795DEA"/>
    <w:rsid w:val="00795DEE"/>
    <w:rsid w:val="00795EAA"/>
    <w:rsid w:val="0079601C"/>
    <w:rsid w:val="007961B2"/>
    <w:rsid w:val="007961FA"/>
    <w:rsid w:val="00796203"/>
    <w:rsid w:val="00796607"/>
    <w:rsid w:val="00796791"/>
    <w:rsid w:val="0079683C"/>
    <w:rsid w:val="0079698B"/>
    <w:rsid w:val="00796B14"/>
    <w:rsid w:val="00796C44"/>
    <w:rsid w:val="007971CA"/>
    <w:rsid w:val="00797218"/>
    <w:rsid w:val="00797262"/>
    <w:rsid w:val="007972DA"/>
    <w:rsid w:val="00797334"/>
    <w:rsid w:val="0079743B"/>
    <w:rsid w:val="0079771F"/>
    <w:rsid w:val="00797B53"/>
    <w:rsid w:val="00797CA5"/>
    <w:rsid w:val="00797F8D"/>
    <w:rsid w:val="007A0015"/>
    <w:rsid w:val="007A019F"/>
    <w:rsid w:val="007A0235"/>
    <w:rsid w:val="007A02FF"/>
    <w:rsid w:val="007A031D"/>
    <w:rsid w:val="007A03CC"/>
    <w:rsid w:val="007A03FE"/>
    <w:rsid w:val="007A0533"/>
    <w:rsid w:val="007A073D"/>
    <w:rsid w:val="007A0B79"/>
    <w:rsid w:val="007A0C86"/>
    <w:rsid w:val="007A0E2A"/>
    <w:rsid w:val="007A0F03"/>
    <w:rsid w:val="007A0F82"/>
    <w:rsid w:val="007A0FA8"/>
    <w:rsid w:val="007A107E"/>
    <w:rsid w:val="007A12A0"/>
    <w:rsid w:val="007A12D9"/>
    <w:rsid w:val="007A12DF"/>
    <w:rsid w:val="007A145A"/>
    <w:rsid w:val="007A14D2"/>
    <w:rsid w:val="007A162C"/>
    <w:rsid w:val="007A16F4"/>
    <w:rsid w:val="007A172D"/>
    <w:rsid w:val="007A1735"/>
    <w:rsid w:val="007A17A0"/>
    <w:rsid w:val="007A1A1C"/>
    <w:rsid w:val="007A21EE"/>
    <w:rsid w:val="007A22B3"/>
    <w:rsid w:val="007A232B"/>
    <w:rsid w:val="007A2359"/>
    <w:rsid w:val="007A24CF"/>
    <w:rsid w:val="007A2B6A"/>
    <w:rsid w:val="007A2CC6"/>
    <w:rsid w:val="007A2D9C"/>
    <w:rsid w:val="007A2E4A"/>
    <w:rsid w:val="007A30D9"/>
    <w:rsid w:val="007A3205"/>
    <w:rsid w:val="007A33A0"/>
    <w:rsid w:val="007A342B"/>
    <w:rsid w:val="007A3549"/>
    <w:rsid w:val="007A3936"/>
    <w:rsid w:val="007A3C5D"/>
    <w:rsid w:val="007A3C83"/>
    <w:rsid w:val="007A3D6E"/>
    <w:rsid w:val="007A3DAA"/>
    <w:rsid w:val="007A3F20"/>
    <w:rsid w:val="007A3FF6"/>
    <w:rsid w:val="007A40C1"/>
    <w:rsid w:val="007A4279"/>
    <w:rsid w:val="007A427F"/>
    <w:rsid w:val="007A42E3"/>
    <w:rsid w:val="007A4322"/>
    <w:rsid w:val="007A4385"/>
    <w:rsid w:val="007A47C7"/>
    <w:rsid w:val="007A47EE"/>
    <w:rsid w:val="007A4844"/>
    <w:rsid w:val="007A48C1"/>
    <w:rsid w:val="007A49B0"/>
    <w:rsid w:val="007A49C0"/>
    <w:rsid w:val="007A4A4A"/>
    <w:rsid w:val="007A4B3A"/>
    <w:rsid w:val="007A4C81"/>
    <w:rsid w:val="007A4D77"/>
    <w:rsid w:val="007A5507"/>
    <w:rsid w:val="007A5ADD"/>
    <w:rsid w:val="007A5C9E"/>
    <w:rsid w:val="007A5CD1"/>
    <w:rsid w:val="007A5D59"/>
    <w:rsid w:val="007A6169"/>
    <w:rsid w:val="007A616E"/>
    <w:rsid w:val="007A62C7"/>
    <w:rsid w:val="007A6307"/>
    <w:rsid w:val="007A6331"/>
    <w:rsid w:val="007A645B"/>
    <w:rsid w:val="007A64B1"/>
    <w:rsid w:val="007A64DB"/>
    <w:rsid w:val="007A6574"/>
    <w:rsid w:val="007A6835"/>
    <w:rsid w:val="007A683B"/>
    <w:rsid w:val="007A693E"/>
    <w:rsid w:val="007A6BBC"/>
    <w:rsid w:val="007A6CEE"/>
    <w:rsid w:val="007A6D8A"/>
    <w:rsid w:val="007A6ED4"/>
    <w:rsid w:val="007A6EFF"/>
    <w:rsid w:val="007A701F"/>
    <w:rsid w:val="007A715A"/>
    <w:rsid w:val="007A73B3"/>
    <w:rsid w:val="007A744F"/>
    <w:rsid w:val="007A74EB"/>
    <w:rsid w:val="007A7780"/>
    <w:rsid w:val="007A7BAD"/>
    <w:rsid w:val="007A7D21"/>
    <w:rsid w:val="007A7DA6"/>
    <w:rsid w:val="007B03F7"/>
    <w:rsid w:val="007B044D"/>
    <w:rsid w:val="007B0491"/>
    <w:rsid w:val="007B04A6"/>
    <w:rsid w:val="007B0589"/>
    <w:rsid w:val="007B07E0"/>
    <w:rsid w:val="007B08CB"/>
    <w:rsid w:val="007B0971"/>
    <w:rsid w:val="007B0DD2"/>
    <w:rsid w:val="007B0E97"/>
    <w:rsid w:val="007B0F3E"/>
    <w:rsid w:val="007B12BB"/>
    <w:rsid w:val="007B14C5"/>
    <w:rsid w:val="007B15FF"/>
    <w:rsid w:val="007B18B2"/>
    <w:rsid w:val="007B1B4D"/>
    <w:rsid w:val="007B1E19"/>
    <w:rsid w:val="007B1E65"/>
    <w:rsid w:val="007B1EF7"/>
    <w:rsid w:val="007B2114"/>
    <w:rsid w:val="007B2175"/>
    <w:rsid w:val="007B219E"/>
    <w:rsid w:val="007B2420"/>
    <w:rsid w:val="007B2523"/>
    <w:rsid w:val="007B2573"/>
    <w:rsid w:val="007B2658"/>
    <w:rsid w:val="007B269E"/>
    <w:rsid w:val="007B29CC"/>
    <w:rsid w:val="007B2ABF"/>
    <w:rsid w:val="007B2B59"/>
    <w:rsid w:val="007B2D1A"/>
    <w:rsid w:val="007B3057"/>
    <w:rsid w:val="007B3071"/>
    <w:rsid w:val="007B34A8"/>
    <w:rsid w:val="007B3B5F"/>
    <w:rsid w:val="007B3BF8"/>
    <w:rsid w:val="007B3FC7"/>
    <w:rsid w:val="007B4053"/>
    <w:rsid w:val="007B41BF"/>
    <w:rsid w:val="007B4216"/>
    <w:rsid w:val="007B423F"/>
    <w:rsid w:val="007B44C2"/>
    <w:rsid w:val="007B47EF"/>
    <w:rsid w:val="007B4926"/>
    <w:rsid w:val="007B49BD"/>
    <w:rsid w:val="007B4C34"/>
    <w:rsid w:val="007B4CF2"/>
    <w:rsid w:val="007B4E04"/>
    <w:rsid w:val="007B4E66"/>
    <w:rsid w:val="007B4FAF"/>
    <w:rsid w:val="007B501E"/>
    <w:rsid w:val="007B519E"/>
    <w:rsid w:val="007B523C"/>
    <w:rsid w:val="007B53EB"/>
    <w:rsid w:val="007B587E"/>
    <w:rsid w:val="007B5CE2"/>
    <w:rsid w:val="007B5F30"/>
    <w:rsid w:val="007B6083"/>
    <w:rsid w:val="007B6085"/>
    <w:rsid w:val="007B62DA"/>
    <w:rsid w:val="007B65B8"/>
    <w:rsid w:val="007B6622"/>
    <w:rsid w:val="007B67BC"/>
    <w:rsid w:val="007B67E5"/>
    <w:rsid w:val="007B686A"/>
    <w:rsid w:val="007B6930"/>
    <w:rsid w:val="007B69BC"/>
    <w:rsid w:val="007B69D6"/>
    <w:rsid w:val="007B6B3D"/>
    <w:rsid w:val="007B6C42"/>
    <w:rsid w:val="007B6CF3"/>
    <w:rsid w:val="007B7346"/>
    <w:rsid w:val="007B7432"/>
    <w:rsid w:val="007B74D2"/>
    <w:rsid w:val="007B7536"/>
    <w:rsid w:val="007B75C2"/>
    <w:rsid w:val="007B7796"/>
    <w:rsid w:val="007B78F7"/>
    <w:rsid w:val="007B7A6B"/>
    <w:rsid w:val="007B7D33"/>
    <w:rsid w:val="007C0013"/>
    <w:rsid w:val="007C0124"/>
    <w:rsid w:val="007C0125"/>
    <w:rsid w:val="007C04EF"/>
    <w:rsid w:val="007C04F9"/>
    <w:rsid w:val="007C0534"/>
    <w:rsid w:val="007C07E5"/>
    <w:rsid w:val="007C08CF"/>
    <w:rsid w:val="007C0919"/>
    <w:rsid w:val="007C094D"/>
    <w:rsid w:val="007C0A91"/>
    <w:rsid w:val="007C0C5B"/>
    <w:rsid w:val="007C0C73"/>
    <w:rsid w:val="007C0D67"/>
    <w:rsid w:val="007C0DC2"/>
    <w:rsid w:val="007C0E0E"/>
    <w:rsid w:val="007C0F92"/>
    <w:rsid w:val="007C1021"/>
    <w:rsid w:val="007C109F"/>
    <w:rsid w:val="007C1560"/>
    <w:rsid w:val="007C15E2"/>
    <w:rsid w:val="007C15F8"/>
    <w:rsid w:val="007C18B0"/>
    <w:rsid w:val="007C194F"/>
    <w:rsid w:val="007C197A"/>
    <w:rsid w:val="007C1AD8"/>
    <w:rsid w:val="007C1B63"/>
    <w:rsid w:val="007C1C43"/>
    <w:rsid w:val="007C1CE5"/>
    <w:rsid w:val="007C1D35"/>
    <w:rsid w:val="007C1D59"/>
    <w:rsid w:val="007C202D"/>
    <w:rsid w:val="007C218B"/>
    <w:rsid w:val="007C2406"/>
    <w:rsid w:val="007C2820"/>
    <w:rsid w:val="007C29DB"/>
    <w:rsid w:val="007C2BB0"/>
    <w:rsid w:val="007C2C99"/>
    <w:rsid w:val="007C2CA2"/>
    <w:rsid w:val="007C2DF0"/>
    <w:rsid w:val="007C2F4F"/>
    <w:rsid w:val="007C2F91"/>
    <w:rsid w:val="007C3020"/>
    <w:rsid w:val="007C310F"/>
    <w:rsid w:val="007C361C"/>
    <w:rsid w:val="007C37D6"/>
    <w:rsid w:val="007C38BA"/>
    <w:rsid w:val="007C38D6"/>
    <w:rsid w:val="007C396E"/>
    <w:rsid w:val="007C3CAA"/>
    <w:rsid w:val="007C3D5D"/>
    <w:rsid w:val="007C40B3"/>
    <w:rsid w:val="007C40DB"/>
    <w:rsid w:val="007C4476"/>
    <w:rsid w:val="007C455C"/>
    <w:rsid w:val="007C45EC"/>
    <w:rsid w:val="007C46CA"/>
    <w:rsid w:val="007C4741"/>
    <w:rsid w:val="007C4802"/>
    <w:rsid w:val="007C48B4"/>
    <w:rsid w:val="007C48D5"/>
    <w:rsid w:val="007C4B05"/>
    <w:rsid w:val="007C4FF0"/>
    <w:rsid w:val="007C5059"/>
    <w:rsid w:val="007C50F6"/>
    <w:rsid w:val="007C563D"/>
    <w:rsid w:val="007C5883"/>
    <w:rsid w:val="007C5A5F"/>
    <w:rsid w:val="007C5BFE"/>
    <w:rsid w:val="007C5C27"/>
    <w:rsid w:val="007C5DBF"/>
    <w:rsid w:val="007C5EC3"/>
    <w:rsid w:val="007C611C"/>
    <w:rsid w:val="007C6304"/>
    <w:rsid w:val="007C635C"/>
    <w:rsid w:val="007C6449"/>
    <w:rsid w:val="007C6468"/>
    <w:rsid w:val="007C673D"/>
    <w:rsid w:val="007C6A12"/>
    <w:rsid w:val="007C6C05"/>
    <w:rsid w:val="007C6C66"/>
    <w:rsid w:val="007C6CD7"/>
    <w:rsid w:val="007C6EC0"/>
    <w:rsid w:val="007C6F74"/>
    <w:rsid w:val="007C70E3"/>
    <w:rsid w:val="007C7603"/>
    <w:rsid w:val="007C7899"/>
    <w:rsid w:val="007C7AF9"/>
    <w:rsid w:val="007C7B93"/>
    <w:rsid w:val="007C7C96"/>
    <w:rsid w:val="007C7FA6"/>
    <w:rsid w:val="007C7FC4"/>
    <w:rsid w:val="007D00D3"/>
    <w:rsid w:val="007D022C"/>
    <w:rsid w:val="007D0427"/>
    <w:rsid w:val="007D04A4"/>
    <w:rsid w:val="007D0638"/>
    <w:rsid w:val="007D06C8"/>
    <w:rsid w:val="007D07EA"/>
    <w:rsid w:val="007D096E"/>
    <w:rsid w:val="007D09CF"/>
    <w:rsid w:val="007D0D36"/>
    <w:rsid w:val="007D0DDC"/>
    <w:rsid w:val="007D0EED"/>
    <w:rsid w:val="007D1090"/>
    <w:rsid w:val="007D11C4"/>
    <w:rsid w:val="007D13F9"/>
    <w:rsid w:val="007D14DF"/>
    <w:rsid w:val="007D1651"/>
    <w:rsid w:val="007D178C"/>
    <w:rsid w:val="007D17A8"/>
    <w:rsid w:val="007D192B"/>
    <w:rsid w:val="007D1A1A"/>
    <w:rsid w:val="007D1D93"/>
    <w:rsid w:val="007D22D9"/>
    <w:rsid w:val="007D2358"/>
    <w:rsid w:val="007D25D4"/>
    <w:rsid w:val="007D25E0"/>
    <w:rsid w:val="007D26CD"/>
    <w:rsid w:val="007D2702"/>
    <w:rsid w:val="007D2730"/>
    <w:rsid w:val="007D2878"/>
    <w:rsid w:val="007D2922"/>
    <w:rsid w:val="007D2B46"/>
    <w:rsid w:val="007D2E74"/>
    <w:rsid w:val="007D3270"/>
    <w:rsid w:val="007D33E5"/>
    <w:rsid w:val="007D3AB4"/>
    <w:rsid w:val="007D3D9E"/>
    <w:rsid w:val="007D3E82"/>
    <w:rsid w:val="007D42ED"/>
    <w:rsid w:val="007D44D7"/>
    <w:rsid w:val="007D4586"/>
    <w:rsid w:val="007D4598"/>
    <w:rsid w:val="007D46CD"/>
    <w:rsid w:val="007D471E"/>
    <w:rsid w:val="007D473B"/>
    <w:rsid w:val="007D493E"/>
    <w:rsid w:val="007D4A7A"/>
    <w:rsid w:val="007D4C95"/>
    <w:rsid w:val="007D4D22"/>
    <w:rsid w:val="007D4DA6"/>
    <w:rsid w:val="007D4E7D"/>
    <w:rsid w:val="007D4E7E"/>
    <w:rsid w:val="007D5069"/>
    <w:rsid w:val="007D50CF"/>
    <w:rsid w:val="007D531F"/>
    <w:rsid w:val="007D5335"/>
    <w:rsid w:val="007D55E9"/>
    <w:rsid w:val="007D57DE"/>
    <w:rsid w:val="007D581C"/>
    <w:rsid w:val="007D5827"/>
    <w:rsid w:val="007D5853"/>
    <w:rsid w:val="007D5886"/>
    <w:rsid w:val="007D5A68"/>
    <w:rsid w:val="007D5B8B"/>
    <w:rsid w:val="007D5D1D"/>
    <w:rsid w:val="007D5EAC"/>
    <w:rsid w:val="007D5EED"/>
    <w:rsid w:val="007D5F13"/>
    <w:rsid w:val="007D601B"/>
    <w:rsid w:val="007D6340"/>
    <w:rsid w:val="007D63D1"/>
    <w:rsid w:val="007D657E"/>
    <w:rsid w:val="007D65E5"/>
    <w:rsid w:val="007D687C"/>
    <w:rsid w:val="007D69CA"/>
    <w:rsid w:val="007D6A1A"/>
    <w:rsid w:val="007D6B8F"/>
    <w:rsid w:val="007D6C5E"/>
    <w:rsid w:val="007D6DD7"/>
    <w:rsid w:val="007D6F06"/>
    <w:rsid w:val="007D6FFD"/>
    <w:rsid w:val="007D7001"/>
    <w:rsid w:val="007D7124"/>
    <w:rsid w:val="007D722B"/>
    <w:rsid w:val="007D7238"/>
    <w:rsid w:val="007D7291"/>
    <w:rsid w:val="007D7402"/>
    <w:rsid w:val="007D7568"/>
    <w:rsid w:val="007D77DB"/>
    <w:rsid w:val="007D785F"/>
    <w:rsid w:val="007D78C0"/>
    <w:rsid w:val="007D7A86"/>
    <w:rsid w:val="007D7B3E"/>
    <w:rsid w:val="007D7B6F"/>
    <w:rsid w:val="007D7B70"/>
    <w:rsid w:val="007D7C29"/>
    <w:rsid w:val="007D7C94"/>
    <w:rsid w:val="007D7DC9"/>
    <w:rsid w:val="007D7FA1"/>
    <w:rsid w:val="007D7FD0"/>
    <w:rsid w:val="007E015D"/>
    <w:rsid w:val="007E02B6"/>
    <w:rsid w:val="007E0426"/>
    <w:rsid w:val="007E051F"/>
    <w:rsid w:val="007E0534"/>
    <w:rsid w:val="007E0550"/>
    <w:rsid w:val="007E05CE"/>
    <w:rsid w:val="007E0695"/>
    <w:rsid w:val="007E0B22"/>
    <w:rsid w:val="007E0E59"/>
    <w:rsid w:val="007E1076"/>
    <w:rsid w:val="007E10D2"/>
    <w:rsid w:val="007E133E"/>
    <w:rsid w:val="007E13AA"/>
    <w:rsid w:val="007E15AC"/>
    <w:rsid w:val="007E17AB"/>
    <w:rsid w:val="007E1914"/>
    <w:rsid w:val="007E19C2"/>
    <w:rsid w:val="007E19E8"/>
    <w:rsid w:val="007E1A4F"/>
    <w:rsid w:val="007E1DA7"/>
    <w:rsid w:val="007E1E4D"/>
    <w:rsid w:val="007E1F7E"/>
    <w:rsid w:val="007E2166"/>
    <w:rsid w:val="007E2296"/>
    <w:rsid w:val="007E22BB"/>
    <w:rsid w:val="007E2562"/>
    <w:rsid w:val="007E269F"/>
    <w:rsid w:val="007E2715"/>
    <w:rsid w:val="007E273D"/>
    <w:rsid w:val="007E2822"/>
    <w:rsid w:val="007E2BDF"/>
    <w:rsid w:val="007E30E1"/>
    <w:rsid w:val="007E3187"/>
    <w:rsid w:val="007E3599"/>
    <w:rsid w:val="007E3778"/>
    <w:rsid w:val="007E3865"/>
    <w:rsid w:val="007E3918"/>
    <w:rsid w:val="007E397C"/>
    <w:rsid w:val="007E3AA6"/>
    <w:rsid w:val="007E3C6C"/>
    <w:rsid w:val="007E3D7A"/>
    <w:rsid w:val="007E3DD7"/>
    <w:rsid w:val="007E3DFD"/>
    <w:rsid w:val="007E3E90"/>
    <w:rsid w:val="007E3F3B"/>
    <w:rsid w:val="007E41D1"/>
    <w:rsid w:val="007E42CC"/>
    <w:rsid w:val="007E436B"/>
    <w:rsid w:val="007E45A6"/>
    <w:rsid w:val="007E45F2"/>
    <w:rsid w:val="007E4AE3"/>
    <w:rsid w:val="007E4D81"/>
    <w:rsid w:val="007E52B3"/>
    <w:rsid w:val="007E540E"/>
    <w:rsid w:val="007E5473"/>
    <w:rsid w:val="007E55F4"/>
    <w:rsid w:val="007E585A"/>
    <w:rsid w:val="007E59D6"/>
    <w:rsid w:val="007E5AF1"/>
    <w:rsid w:val="007E5BA9"/>
    <w:rsid w:val="007E5DAD"/>
    <w:rsid w:val="007E5E1D"/>
    <w:rsid w:val="007E5EC2"/>
    <w:rsid w:val="007E5F1B"/>
    <w:rsid w:val="007E607A"/>
    <w:rsid w:val="007E689F"/>
    <w:rsid w:val="007E68F7"/>
    <w:rsid w:val="007E6993"/>
    <w:rsid w:val="007E6C1E"/>
    <w:rsid w:val="007E6D70"/>
    <w:rsid w:val="007E6D8F"/>
    <w:rsid w:val="007E6F5F"/>
    <w:rsid w:val="007E6F82"/>
    <w:rsid w:val="007E7036"/>
    <w:rsid w:val="007E7107"/>
    <w:rsid w:val="007E712A"/>
    <w:rsid w:val="007E737D"/>
    <w:rsid w:val="007E75D7"/>
    <w:rsid w:val="007E7622"/>
    <w:rsid w:val="007E7844"/>
    <w:rsid w:val="007E796F"/>
    <w:rsid w:val="007E79D9"/>
    <w:rsid w:val="007E7B70"/>
    <w:rsid w:val="007F0312"/>
    <w:rsid w:val="007F0668"/>
    <w:rsid w:val="007F08D4"/>
    <w:rsid w:val="007F0BA5"/>
    <w:rsid w:val="007F0EFE"/>
    <w:rsid w:val="007F0F5C"/>
    <w:rsid w:val="007F0FB0"/>
    <w:rsid w:val="007F1084"/>
    <w:rsid w:val="007F1263"/>
    <w:rsid w:val="007F141C"/>
    <w:rsid w:val="007F15A9"/>
    <w:rsid w:val="007F1641"/>
    <w:rsid w:val="007F1683"/>
    <w:rsid w:val="007F1983"/>
    <w:rsid w:val="007F19ED"/>
    <w:rsid w:val="007F1B66"/>
    <w:rsid w:val="007F1D05"/>
    <w:rsid w:val="007F1E58"/>
    <w:rsid w:val="007F1E5B"/>
    <w:rsid w:val="007F2099"/>
    <w:rsid w:val="007F21E0"/>
    <w:rsid w:val="007F22F4"/>
    <w:rsid w:val="007F24C7"/>
    <w:rsid w:val="007F24FA"/>
    <w:rsid w:val="007F2528"/>
    <w:rsid w:val="007F2539"/>
    <w:rsid w:val="007F2785"/>
    <w:rsid w:val="007F2880"/>
    <w:rsid w:val="007F2A7A"/>
    <w:rsid w:val="007F2C03"/>
    <w:rsid w:val="007F2F7A"/>
    <w:rsid w:val="007F31C1"/>
    <w:rsid w:val="007F3216"/>
    <w:rsid w:val="007F353D"/>
    <w:rsid w:val="007F3587"/>
    <w:rsid w:val="007F3597"/>
    <w:rsid w:val="007F3709"/>
    <w:rsid w:val="007F37DB"/>
    <w:rsid w:val="007F38BA"/>
    <w:rsid w:val="007F3937"/>
    <w:rsid w:val="007F3A00"/>
    <w:rsid w:val="007F3C5E"/>
    <w:rsid w:val="007F3D17"/>
    <w:rsid w:val="007F3DFD"/>
    <w:rsid w:val="007F3FD1"/>
    <w:rsid w:val="007F4189"/>
    <w:rsid w:val="007F448F"/>
    <w:rsid w:val="007F4653"/>
    <w:rsid w:val="007F46AA"/>
    <w:rsid w:val="007F4994"/>
    <w:rsid w:val="007F49DB"/>
    <w:rsid w:val="007F4D83"/>
    <w:rsid w:val="007F4D96"/>
    <w:rsid w:val="007F4F00"/>
    <w:rsid w:val="007F4FD8"/>
    <w:rsid w:val="007F5044"/>
    <w:rsid w:val="007F505C"/>
    <w:rsid w:val="007F509D"/>
    <w:rsid w:val="007F53A1"/>
    <w:rsid w:val="007F5658"/>
    <w:rsid w:val="007F5717"/>
    <w:rsid w:val="007F5729"/>
    <w:rsid w:val="007F57AF"/>
    <w:rsid w:val="007F5896"/>
    <w:rsid w:val="007F589F"/>
    <w:rsid w:val="007F5A6C"/>
    <w:rsid w:val="007F5B1D"/>
    <w:rsid w:val="007F5CCF"/>
    <w:rsid w:val="007F5E33"/>
    <w:rsid w:val="007F5E39"/>
    <w:rsid w:val="007F60E1"/>
    <w:rsid w:val="007F60F5"/>
    <w:rsid w:val="007F633E"/>
    <w:rsid w:val="007F64CF"/>
    <w:rsid w:val="007F6544"/>
    <w:rsid w:val="007F65D9"/>
    <w:rsid w:val="007F66F3"/>
    <w:rsid w:val="007F672F"/>
    <w:rsid w:val="007F6982"/>
    <w:rsid w:val="007F698F"/>
    <w:rsid w:val="007F6A49"/>
    <w:rsid w:val="007F6DAD"/>
    <w:rsid w:val="007F6DCB"/>
    <w:rsid w:val="007F709F"/>
    <w:rsid w:val="007F70BF"/>
    <w:rsid w:val="007F70C7"/>
    <w:rsid w:val="007F7290"/>
    <w:rsid w:val="007F7318"/>
    <w:rsid w:val="007F7603"/>
    <w:rsid w:val="007F78A2"/>
    <w:rsid w:val="007F7901"/>
    <w:rsid w:val="007F7A5E"/>
    <w:rsid w:val="007F7CCE"/>
    <w:rsid w:val="007F7E55"/>
    <w:rsid w:val="007F7EB7"/>
    <w:rsid w:val="00800282"/>
    <w:rsid w:val="0080046F"/>
    <w:rsid w:val="00800485"/>
    <w:rsid w:val="00800C32"/>
    <w:rsid w:val="00800C77"/>
    <w:rsid w:val="00800FF6"/>
    <w:rsid w:val="00800FF7"/>
    <w:rsid w:val="00801064"/>
    <w:rsid w:val="008011EB"/>
    <w:rsid w:val="0080127F"/>
    <w:rsid w:val="0080134C"/>
    <w:rsid w:val="0080143D"/>
    <w:rsid w:val="00801494"/>
    <w:rsid w:val="00801626"/>
    <w:rsid w:val="0080168B"/>
    <w:rsid w:val="00801919"/>
    <w:rsid w:val="008019BA"/>
    <w:rsid w:val="00801A66"/>
    <w:rsid w:val="00801AD4"/>
    <w:rsid w:val="00801D64"/>
    <w:rsid w:val="00801DEB"/>
    <w:rsid w:val="00801E20"/>
    <w:rsid w:val="00801EC9"/>
    <w:rsid w:val="00802228"/>
    <w:rsid w:val="008023DE"/>
    <w:rsid w:val="00802438"/>
    <w:rsid w:val="008024B7"/>
    <w:rsid w:val="00802593"/>
    <w:rsid w:val="00802825"/>
    <w:rsid w:val="00802934"/>
    <w:rsid w:val="00802AFB"/>
    <w:rsid w:val="00802D3F"/>
    <w:rsid w:val="00803178"/>
    <w:rsid w:val="0080360A"/>
    <w:rsid w:val="00803946"/>
    <w:rsid w:val="00803AAA"/>
    <w:rsid w:val="00803B6A"/>
    <w:rsid w:val="00803D71"/>
    <w:rsid w:val="00804297"/>
    <w:rsid w:val="008042F5"/>
    <w:rsid w:val="008043F8"/>
    <w:rsid w:val="00804487"/>
    <w:rsid w:val="008047C9"/>
    <w:rsid w:val="008047D7"/>
    <w:rsid w:val="00804818"/>
    <w:rsid w:val="008048F0"/>
    <w:rsid w:val="00804933"/>
    <w:rsid w:val="00804D28"/>
    <w:rsid w:val="00804DCE"/>
    <w:rsid w:val="0080505F"/>
    <w:rsid w:val="0080523D"/>
    <w:rsid w:val="00805511"/>
    <w:rsid w:val="008057CE"/>
    <w:rsid w:val="008057F6"/>
    <w:rsid w:val="00805857"/>
    <w:rsid w:val="008058AE"/>
    <w:rsid w:val="008058B2"/>
    <w:rsid w:val="008058DD"/>
    <w:rsid w:val="00805BAD"/>
    <w:rsid w:val="00805BBD"/>
    <w:rsid w:val="00805DC6"/>
    <w:rsid w:val="00805E5B"/>
    <w:rsid w:val="00805EE9"/>
    <w:rsid w:val="00805F8E"/>
    <w:rsid w:val="00806005"/>
    <w:rsid w:val="0080612D"/>
    <w:rsid w:val="00806295"/>
    <w:rsid w:val="00806314"/>
    <w:rsid w:val="008063E0"/>
    <w:rsid w:val="0080648A"/>
    <w:rsid w:val="00806580"/>
    <w:rsid w:val="00806728"/>
    <w:rsid w:val="008067D5"/>
    <w:rsid w:val="00806834"/>
    <w:rsid w:val="008068BA"/>
    <w:rsid w:val="00806A25"/>
    <w:rsid w:val="00806C40"/>
    <w:rsid w:val="00806CF2"/>
    <w:rsid w:val="00806E45"/>
    <w:rsid w:val="00806E82"/>
    <w:rsid w:val="0080779A"/>
    <w:rsid w:val="00807828"/>
    <w:rsid w:val="008078BD"/>
    <w:rsid w:val="00807925"/>
    <w:rsid w:val="00807974"/>
    <w:rsid w:val="00807A0A"/>
    <w:rsid w:val="00807A6B"/>
    <w:rsid w:val="00807EAB"/>
    <w:rsid w:val="00807F1A"/>
    <w:rsid w:val="00807F57"/>
    <w:rsid w:val="0081010C"/>
    <w:rsid w:val="008105EB"/>
    <w:rsid w:val="008106DA"/>
    <w:rsid w:val="0081085F"/>
    <w:rsid w:val="00810872"/>
    <w:rsid w:val="008109C3"/>
    <w:rsid w:val="00810BA3"/>
    <w:rsid w:val="00810D41"/>
    <w:rsid w:val="00810DCA"/>
    <w:rsid w:val="00810E47"/>
    <w:rsid w:val="00810EFA"/>
    <w:rsid w:val="00811057"/>
    <w:rsid w:val="00811128"/>
    <w:rsid w:val="0081113D"/>
    <w:rsid w:val="00811142"/>
    <w:rsid w:val="008113A9"/>
    <w:rsid w:val="008113DB"/>
    <w:rsid w:val="008113FB"/>
    <w:rsid w:val="008115BC"/>
    <w:rsid w:val="008117B0"/>
    <w:rsid w:val="00811883"/>
    <w:rsid w:val="00811983"/>
    <w:rsid w:val="00811CC3"/>
    <w:rsid w:val="00811E45"/>
    <w:rsid w:val="00811FC9"/>
    <w:rsid w:val="00812134"/>
    <w:rsid w:val="0081218D"/>
    <w:rsid w:val="00812243"/>
    <w:rsid w:val="00812381"/>
    <w:rsid w:val="008123E2"/>
    <w:rsid w:val="00812707"/>
    <w:rsid w:val="008127B8"/>
    <w:rsid w:val="00812ADD"/>
    <w:rsid w:val="00812D10"/>
    <w:rsid w:val="00812FAD"/>
    <w:rsid w:val="00812FB7"/>
    <w:rsid w:val="0081315D"/>
    <w:rsid w:val="008131A2"/>
    <w:rsid w:val="0081336D"/>
    <w:rsid w:val="0081345E"/>
    <w:rsid w:val="008134F4"/>
    <w:rsid w:val="00813B1A"/>
    <w:rsid w:val="00813C7B"/>
    <w:rsid w:val="00813CF6"/>
    <w:rsid w:val="00813DCB"/>
    <w:rsid w:val="00813E69"/>
    <w:rsid w:val="00813EC5"/>
    <w:rsid w:val="00813FD8"/>
    <w:rsid w:val="008140F0"/>
    <w:rsid w:val="00814357"/>
    <w:rsid w:val="00814428"/>
    <w:rsid w:val="00814453"/>
    <w:rsid w:val="00814531"/>
    <w:rsid w:val="00814597"/>
    <w:rsid w:val="00814835"/>
    <w:rsid w:val="00814B84"/>
    <w:rsid w:val="00814D65"/>
    <w:rsid w:val="00814E10"/>
    <w:rsid w:val="00814F69"/>
    <w:rsid w:val="00815108"/>
    <w:rsid w:val="0081533B"/>
    <w:rsid w:val="008155B0"/>
    <w:rsid w:val="008156BB"/>
    <w:rsid w:val="0081577B"/>
    <w:rsid w:val="008157CA"/>
    <w:rsid w:val="008157E0"/>
    <w:rsid w:val="00815A26"/>
    <w:rsid w:val="00815B38"/>
    <w:rsid w:val="00815D45"/>
    <w:rsid w:val="00815E38"/>
    <w:rsid w:val="00815F2D"/>
    <w:rsid w:val="00815F48"/>
    <w:rsid w:val="00815F85"/>
    <w:rsid w:val="00816082"/>
    <w:rsid w:val="0081609E"/>
    <w:rsid w:val="00816210"/>
    <w:rsid w:val="00816246"/>
    <w:rsid w:val="0081643E"/>
    <w:rsid w:val="008165C8"/>
    <w:rsid w:val="008167E4"/>
    <w:rsid w:val="00816868"/>
    <w:rsid w:val="00816BB1"/>
    <w:rsid w:val="00816E93"/>
    <w:rsid w:val="00817026"/>
    <w:rsid w:val="00817142"/>
    <w:rsid w:val="00817247"/>
    <w:rsid w:val="008172C5"/>
    <w:rsid w:val="00817330"/>
    <w:rsid w:val="008173D7"/>
    <w:rsid w:val="0081757A"/>
    <w:rsid w:val="008175CE"/>
    <w:rsid w:val="00817634"/>
    <w:rsid w:val="00817677"/>
    <w:rsid w:val="008177D9"/>
    <w:rsid w:val="00817854"/>
    <w:rsid w:val="0081799F"/>
    <w:rsid w:val="008179CE"/>
    <w:rsid w:val="00817CA4"/>
    <w:rsid w:val="00817D12"/>
    <w:rsid w:val="00817D26"/>
    <w:rsid w:val="00817DC9"/>
    <w:rsid w:val="00817F52"/>
    <w:rsid w:val="008204C7"/>
    <w:rsid w:val="008207A1"/>
    <w:rsid w:val="008207B4"/>
    <w:rsid w:val="008209B2"/>
    <w:rsid w:val="00820ED4"/>
    <w:rsid w:val="00820F17"/>
    <w:rsid w:val="0082101D"/>
    <w:rsid w:val="00821032"/>
    <w:rsid w:val="008210AF"/>
    <w:rsid w:val="008211B0"/>
    <w:rsid w:val="008211EB"/>
    <w:rsid w:val="0082120F"/>
    <w:rsid w:val="00821216"/>
    <w:rsid w:val="0082121D"/>
    <w:rsid w:val="00821286"/>
    <w:rsid w:val="008212C2"/>
    <w:rsid w:val="0082150D"/>
    <w:rsid w:val="008215F7"/>
    <w:rsid w:val="00821632"/>
    <w:rsid w:val="008218B1"/>
    <w:rsid w:val="00821D3C"/>
    <w:rsid w:val="0082210D"/>
    <w:rsid w:val="008222BA"/>
    <w:rsid w:val="0082230B"/>
    <w:rsid w:val="008223B4"/>
    <w:rsid w:val="008223D8"/>
    <w:rsid w:val="008224A3"/>
    <w:rsid w:val="00822528"/>
    <w:rsid w:val="008225F2"/>
    <w:rsid w:val="0082270A"/>
    <w:rsid w:val="00822A77"/>
    <w:rsid w:val="00822A78"/>
    <w:rsid w:val="00822DC5"/>
    <w:rsid w:val="00822EB0"/>
    <w:rsid w:val="008231A1"/>
    <w:rsid w:val="0082344E"/>
    <w:rsid w:val="0082361F"/>
    <w:rsid w:val="008236D0"/>
    <w:rsid w:val="00823884"/>
    <w:rsid w:val="0082396E"/>
    <w:rsid w:val="00823A2A"/>
    <w:rsid w:val="00823B2E"/>
    <w:rsid w:val="00823B51"/>
    <w:rsid w:val="00823C25"/>
    <w:rsid w:val="00823FD1"/>
    <w:rsid w:val="008240EE"/>
    <w:rsid w:val="0082430F"/>
    <w:rsid w:val="0082437B"/>
    <w:rsid w:val="008243B2"/>
    <w:rsid w:val="008244BB"/>
    <w:rsid w:val="00824620"/>
    <w:rsid w:val="0082465F"/>
    <w:rsid w:val="00824684"/>
    <w:rsid w:val="008249F2"/>
    <w:rsid w:val="00824AB9"/>
    <w:rsid w:val="00824AD6"/>
    <w:rsid w:val="00824AF6"/>
    <w:rsid w:val="00824C27"/>
    <w:rsid w:val="00824C3B"/>
    <w:rsid w:val="00824DDD"/>
    <w:rsid w:val="00824DFC"/>
    <w:rsid w:val="00824EA2"/>
    <w:rsid w:val="00824F59"/>
    <w:rsid w:val="00825430"/>
    <w:rsid w:val="00825742"/>
    <w:rsid w:val="0082575A"/>
    <w:rsid w:val="0082586B"/>
    <w:rsid w:val="00825BB3"/>
    <w:rsid w:val="00825F61"/>
    <w:rsid w:val="0082606D"/>
    <w:rsid w:val="00826135"/>
    <w:rsid w:val="008261B6"/>
    <w:rsid w:val="008262FB"/>
    <w:rsid w:val="00826462"/>
    <w:rsid w:val="008264EF"/>
    <w:rsid w:val="008265C8"/>
    <w:rsid w:val="008268A7"/>
    <w:rsid w:val="008269D0"/>
    <w:rsid w:val="008269FA"/>
    <w:rsid w:val="00826BF9"/>
    <w:rsid w:val="00826DEA"/>
    <w:rsid w:val="00826F5F"/>
    <w:rsid w:val="0082704D"/>
    <w:rsid w:val="008271ED"/>
    <w:rsid w:val="0082729E"/>
    <w:rsid w:val="0082742C"/>
    <w:rsid w:val="00827731"/>
    <w:rsid w:val="008277F4"/>
    <w:rsid w:val="00827860"/>
    <w:rsid w:val="00827962"/>
    <w:rsid w:val="008279E2"/>
    <w:rsid w:val="00827A11"/>
    <w:rsid w:val="00827A1D"/>
    <w:rsid w:val="00827BF0"/>
    <w:rsid w:val="00827BF9"/>
    <w:rsid w:val="00827C6F"/>
    <w:rsid w:val="00827E69"/>
    <w:rsid w:val="00827E8B"/>
    <w:rsid w:val="00827FCA"/>
    <w:rsid w:val="008301E3"/>
    <w:rsid w:val="0083025B"/>
    <w:rsid w:val="008303B9"/>
    <w:rsid w:val="0083050B"/>
    <w:rsid w:val="0083056E"/>
    <w:rsid w:val="00830579"/>
    <w:rsid w:val="008308F1"/>
    <w:rsid w:val="008309D3"/>
    <w:rsid w:val="00830AE4"/>
    <w:rsid w:val="00830CC4"/>
    <w:rsid w:val="00830CD8"/>
    <w:rsid w:val="00830FBB"/>
    <w:rsid w:val="00831567"/>
    <w:rsid w:val="00831576"/>
    <w:rsid w:val="008315C7"/>
    <w:rsid w:val="008316C5"/>
    <w:rsid w:val="008318C3"/>
    <w:rsid w:val="00831AAA"/>
    <w:rsid w:val="00831F48"/>
    <w:rsid w:val="00832306"/>
    <w:rsid w:val="0083238C"/>
    <w:rsid w:val="00832457"/>
    <w:rsid w:val="00832571"/>
    <w:rsid w:val="008325EC"/>
    <w:rsid w:val="0083270D"/>
    <w:rsid w:val="00832999"/>
    <w:rsid w:val="00832BAF"/>
    <w:rsid w:val="00832DB3"/>
    <w:rsid w:val="00832E24"/>
    <w:rsid w:val="00832E72"/>
    <w:rsid w:val="00832FD3"/>
    <w:rsid w:val="008330E1"/>
    <w:rsid w:val="008332F7"/>
    <w:rsid w:val="0083352D"/>
    <w:rsid w:val="00833734"/>
    <w:rsid w:val="0083393C"/>
    <w:rsid w:val="00833A02"/>
    <w:rsid w:val="00833BB7"/>
    <w:rsid w:val="00833BF6"/>
    <w:rsid w:val="00833D6C"/>
    <w:rsid w:val="008340D5"/>
    <w:rsid w:val="0083413F"/>
    <w:rsid w:val="008341BA"/>
    <w:rsid w:val="008341FA"/>
    <w:rsid w:val="0083438D"/>
    <w:rsid w:val="0083439B"/>
    <w:rsid w:val="00834636"/>
    <w:rsid w:val="00834A01"/>
    <w:rsid w:val="00834C8B"/>
    <w:rsid w:val="00834DD2"/>
    <w:rsid w:val="00834E28"/>
    <w:rsid w:val="00834FE8"/>
    <w:rsid w:val="00835078"/>
    <w:rsid w:val="008352D2"/>
    <w:rsid w:val="00835375"/>
    <w:rsid w:val="008353D9"/>
    <w:rsid w:val="0083587D"/>
    <w:rsid w:val="00835A09"/>
    <w:rsid w:val="00835A90"/>
    <w:rsid w:val="00835AF0"/>
    <w:rsid w:val="00835B2B"/>
    <w:rsid w:val="00835C19"/>
    <w:rsid w:val="00835D1A"/>
    <w:rsid w:val="00835F19"/>
    <w:rsid w:val="00836001"/>
    <w:rsid w:val="008360C5"/>
    <w:rsid w:val="008362E0"/>
    <w:rsid w:val="0083639F"/>
    <w:rsid w:val="00836611"/>
    <w:rsid w:val="00836634"/>
    <w:rsid w:val="00836806"/>
    <w:rsid w:val="00836928"/>
    <w:rsid w:val="00836A34"/>
    <w:rsid w:val="00836CF8"/>
    <w:rsid w:val="0083724F"/>
    <w:rsid w:val="008372D3"/>
    <w:rsid w:val="008372FE"/>
    <w:rsid w:val="00837435"/>
    <w:rsid w:val="008375F8"/>
    <w:rsid w:val="00837600"/>
    <w:rsid w:val="00837668"/>
    <w:rsid w:val="008376C6"/>
    <w:rsid w:val="008376F1"/>
    <w:rsid w:val="008377E8"/>
    <w:rsid w:val="008378AF"/>
    <w:rsid w:val="008378D0"/>
    <w:rsid w:val="00837A1F"/>
    <w:rsid w:val="00837CC0"/>
    <w:rsid w:val="00837D0A"/>
    <w:rsid w:val="00837DDC"/>
    <w:rsid w:val="00837F27"/>
    <w:rsid w:val="00837F71"/>
    <w:rsid w:val="00840044"/>
    <w:rsid w:val="0084014A"/>
    <w:rsid w:val="00840257"/>
    <w:rsid w:val="00840354"/>
    <w:rsid w:val="008407B6"/>
    <w:rsid w:val="008407CB"/>
    <w:rsid w:val="008408CD"/>
    <w:rsid w:val="00840959"/>
    <w:rsid w:val="00840A9C"/>
    <w:rsid w:val="00840B5A"/>
    <w:rsid w:val="00841114"/>
    <w:rsid w:val="008411E9"/>
    <w:rsid w:val="00841233"/>
    <w:rsid w:val="00841260"/>
    <w:rsid w:val="0084146B"/>
    <w:rsid w:val="00841536"/>
    <w:rsid w:val="00841678"/>
    <w:rsid w:val="00841A3E"/>
    <w:rsid w:val="00841A5D"/>
    <w:rsid w:val="00841BE9"/>
    <w:rsid w:val="00841C35"/>
    <w:rsid w:val="00841C4F"/>
    <w:rsid w:val="00841D16"/>
    <w:rsid w:val="00841D88"/>
    <w:rsid w:val="00841E13"/>
    <w:rsid w:val="0084205E"/>
    <w:rsid w:val="008422EA"/>
    <w:rsid w:val="008422F5"/>
    <w:rsid w:val="00842337"/>
    <w:rsid w:val="00842436"/>
    <w:rsid w:val="00842508"/>
    <w:rsid w:val="0084268C"/>
    <w:rsid w:val="00842780"/>
    <w:rsid w:val="00842993"/>
    <w:rsid w:val="00842AEA"/>
    <w:rsid w:val="00842C01"/>
    <w:rsid w:val="00842CE6"/>
    <w:rsid w:val="00842CE8"/>
    <w:rsid w:val="00842E10"/>
    <w:rsid w:val="0084316D"/>
    <w:rsid w:val="00843214"/>
    <w:rsid w:val="00843548"/>
    <w:rsid w:val="008435FB"/>
    <w:rsid w:val="008436E9"/>
    <w:rsid w:val="008437A6"/>
    <w:rsid w:val="00843888"/>
    <w:rsid w:val="00843B3F"/>
    <w:rsid w:val="00843BFE"/>
    <w:rsid w:val="00843DCC"/>
    <w:rsid w:val="00843F12"/>
    <w:rsid w:val="00844082"/>
    <w:rsid w:val="00844149"/>
    <w:rsid w:val="008441BF"/>
    <w:rsid w:val="008441C4"/>
    <w:rsid w:val="008441FD"/>
    <w:rsid w:val="008442BB"/>
    <w:rsid w:val="0084441E"/>
    <w:rsid w:val="00844452"/>
    <w:rsid w:val="00844474"/>
    <w:rsid w:val="0084464A"/>
    <w:rsid w:val="00844759"/>
    <w:rsid w:val="0084494A"/>
    <w:rsid w:val="00844A2A"/>
    <w:rsid w:val="00844A76"/>
    <w:rsid w:val="00844BBB"/>
    <w:rsid w:val="00844C45"/>
    <w:rsid w:val="00844C8C"/>
    <w:rsid w:val="00844FD9"/>
    <w:rsid w:val="00845028"/>
    <w:rsid w:val="008452FA"/>
    <w:rsid w:val="00845430"/>
    <w:rsid w:val="00845622"/>
    <w:rsid w:val="00845721"/>
    <w:rsid w:val="00845995"/>
    <w:rsid w:val="00845A87"/>
    <w:rsid w:val="00845AC7"/>
    <w:rsid w:val="00845B29"/>
    <w:rsid w:val="00845C0C"/>
    <w:rsid w:val="00845C90"/>
    <w:rsid w:val="00845CDE"/>
    <w:rsid w:val="00846022"/>
    <w:rsid w:val="008460E4"/>
    <w:rsid w:val="00846192"/>
    <w:rsid w:val="0084633E"/>
    <w:rsid w:val="00846492"/>
    <w:rsid w:val="008464DC"/>
    <w:rsid w:val="00846504"/>
    <w:rsid w:val="008465E4"/>
    <w:rsid w:val="008466D8"/>
    <w:rsid w:val="0084670E"/>
    <w:rsid w:val="0084678D"/>
    <w:rsid w:val="0084696E"/>
    <w:rsid w:val="00846D79"/>
    <w:rsid w:val="00846E59"/>
    <w:rsid w:val="00846FC6"/>
    <w:rsid w:val="00847045"/>
    <w:rsid w:val="008470A6"/>
    <w:rsid w:val="008471EA"/>
    <w:rsid w:val="00847384"/>
    <w:rsid w:val="00847486"/>
    <w:rsid w:val="0084758C"/>
    <w:rsid w:val="008476F1"/>
    <w:rsid w:val="00847821"/>
    <w:rsid w:val="008479A0"/>
    <w:rsid w:val="00847A00"/>
    <w:rsid w:val="00847DCA"/>
    <w:rsid w:val="00847E49"/>
    <w:rsid w:val="00847F44"/>
    <w:rsid w:val="00850130"/>
    <w:rsid w:val="00850570"/>
    <w:rsid w:val="0085063F"/>
    <w:rsid w:val="0085067A"/>
    <w:rsid w:val="00850B9D"/>
    <w:rsid w:val="00850BAF"/>
    <w:rsid w:val="00850C00"/>
    <w:rsid w:val="00850CAC"/>
    <w:rsid w:val="00850D27"/>
    <w:rsid w:val="00850D9B"/>
    <w:rsid w:val="00850E07"/>
    <w:rsid w:val="00850E0A"/>
    <w:rsid w:val="00850E3D"/>
    <w:rsid w:val="00850EB8"/>
    <w:rsid w:val="00851043"/>
    <w:rsid w:val="008510A6"/>
    <w:rsid w:val="0085119E"/>
    <w:rsid w:val="00851217"/>
    <w:rsid w:val="0085122B"/>
    <w:rsid w:val="008516E4"/>
    <w:rsid w:val="00851756"/>
    <w:rsid w:val="00851861"/>
    <w:rsid w:val="00851BA5"/>
    <w:rsid w:val="00851CE2"/>
    <w:rsid w:val="00851FCF"/>
    <w:rsid w:val="008520C1"/>
    <w:rsid w:val="00852115"/>
    <w:rsid w:val="00852292"/>
    <w:rsid w:val="00852388"/>
    <w:rsid w:val="00852661"/>
    <w:rsid w:val="008527DF"/>
    <w:rsid w:val="00852E7F"/>
    <w:rsid w:val="00852EDC"/>
    <w:rsid w:val="0085314C"/>
    <w:rsid w:val="00853508"/>
    <w:rsid w:val="0085368B"/>
    <w:rsid w:val="008536BF"/>
    <w:rsid w:val="008539E9"/>
    <w:rsid w:val="00853C4B"/>
    <w:rsid w:val="00853DF3"/>
    <w:rsid w:val="00853E28"/>
    <w:rsid w:val="00853F23"/>
    <w:rsid w:val="00854200"/>
    <w:rsid w:val="00854351"/>
    <w:rsid w:val="0085485B"/>
    <w:rsid w:val="00854959"/>
    <w:rsid w:val="00854A22"/>
    <w:rsid w:val="00854BB1"/>
    <w:rsid w:val="00854C33"/>
    <w:rsid w:val="00854D8B"/>
    <w:rsid w:val="00854DC0"/>
    <w:rsid w:val="00855081"/>
    <w:rsid w:val="00855103"/>
    <w:rsid w:val="00855275"/>
    <w:rsid w:val="00855322"/>
    <w:rsid w:val="008553FB"/>
    <w:rsid w:val="008555EA"/>
    <w:rsid w:val="00855630"/>
    <w:rsid w:val="008556BE"/>
    <w:rsid w:val="00855743"/>
    <w:rsid w:val="00855992"/>
    <w:rsid w:val="00855BB2"/>
    <w:rsid w:val="00855C04"/>
    <w:rsid w:val="00855D06"/>
    <w:rsid w:val="00855D22"/>
    <w:rsid w:val="00855D6D"/>
    <w:rsid w:val="00855EE6"/>
    <w:rsid w:val="00855F81"/>
    <w:rsid w:val="0085601A"/>
    <w:rsid w:val="00856152"/>
    <w:rsid w:val="00856307"/>
    <w:rsid w:val="0085636C"/>
    <w:rsid w:val="008563F1"/>
    <w:rsid w:val="008564D2"/>
    <w:rsid w:val="008566E6"/>
    <w:rsid w:val="008567B6"/>
    <w:rsid w:val="0085683D"/>
    <w:rsid w:val="00856E4C"/>
    <w:rsid w:val="00856E4F"/>
    <w:rsid w:val="00856F18"/>
    <w:rsid w:val="00857115"/>
    <w:rsid w:val="00857151"/>
    <w:rsid w:val="008571CE"/>
    <w:rsid w:val="008571DD"/>
    <w:rsid w:val="0085732D"/>
    <w:rsid w:val="0085748D"/>
    <w:rsid w:val="008574D5"/>
    <w:rsid w:val="008575BA"/>
    <w:rsid w:val="0085797D"/>
    <w:rsid w:val="00857C08"/>
    <w:rsid w:val="00857C13"/>
    <w:rsid w:val="00857DD9"/>
    <w:rsid w:val="00857DE3"/>
    <w:rsid w:val="00857E90"/>
    <w:rsid w:val="00860085"/>
    <w:rsid w:val="008600D0"/>
    <w:rsid w:val="00860390"/>
    <w:rsid w:val="008605BC"/>
    <w:rsid w:val="008607BA"/>
    <w:rsid w:val="008607CA"/>
    <w:rsid w:val="008608A6"/>
    <w:rsid w:val="008608A8"/>
    <w:rsid w:val="008609A7"/>
    <w:rsid w:val="00860A56"/>
    <w:rsid w:val="00860B0E"/>
    <w:rsid w:val="00860BCF"/>
    <w:rsid w:val="00860C4A"/>
    <w:rsid w:val="00860C70"/>
    <w:rsid w:val="00860C75"/>
    <w:rsid w:val="00860D71"/>
    <w:rsid w:val="00860FB0"/>
    <w:rsid w:val="00861401"/>
    <w:rsid w:val="00861560"/>
    <w:rsid w:val="00861762"/>
    <w:rsid w:val="008617C8"/>
    <w:rsid w:val="0086191C"/>
    <w:rsid w:val="00861953"/>
    <w:rsid w:val="00861971"/>
    <w:rsid w:val="00861D20"/>
    <w:rsid w:val="008620C5"/>
    <w:rsid w:val="00862127"/>
    <w:rsid w:val="0086229E"/>
    <w:rsid w:val="008622A3"/>
    <w:rsid w:val="00862393"/>
    <w:rsid w:val="00862514"/>
    <w:rsid w:val="0086253A"/>
    <w:rsid w:val="008625FC"/>
    <w:rsid w:val="00862628"/>
    <w:rsid w:val="0086269C"/>
    <w:rsid w:val="00862BB9"/>
    <w:rsid w:val="00862BE2"/>
    <w:rsid w:val="00862D9C"/>
    <w:rsid w:val="00862F2F"/>
    <w:rsid w:val="00863181"/>
    <w:rsid w:val="00863192"/>
    <w:rsid w:val="0086332B"/>
    <w:rsid w:val="00863459"/>
    <w:rsid w:val="008634E6"/>
    <w:rsid w:val="008635AD"/>
    <w:rsid w:val="00863648"/>
    <w:rsid w:val="00863675"/>
    <w:rsid w:val="00863777"/>
    <w:rsid w:val="00863860"/>
    <w:rsid w:val="00863AB5"/>
    <w:rsid w:val="00863C1D"/>
    <w:rsid w:val="00863C9F"/>
    <w:rsid w:val="00863D16"/>
    <w:rsid w:val="00863E2F"/>
    <w:rsid w:val="00863EFB"/>
    <w:rsid w:val="00863F2D"/>
    <w:rsid w:val="0086441A"/>
    <w:rsid w:val="0086463E"/>
    <w:rsid w:val="008646B4"/>
    <w:rsid w:val="008647D2"/>
    <w:rsid w:val="008647F1"/>
    <w:rsid w:val="00864E1B"/>
    <w:rsid w:val="00864E89"/>
    <w:rsid w:val="0086555C"/>
    <w:rsid w:val="00865896"/>
    <w:rsid w:val="00865A6F"/>
    <w:rsid w:val="00865CAC"/>
    <w:rsid w:val="00865E51"/>
    <w:rsid w:val="00866061"/>
    <w:rsid w:val="008661AE"/>
    <w:rsid w:val="008663C5"/>
    <w:rsid w:val="0086665A"/>
    <w:rsid w:val="00866900"/>
    <w:rsid w:val="00866934"/>
    <w:rsid w:val="00866B31"/>
    <w:rsid w:val="00866C0F"/>
    <w:rsid w:val="00866CC8"/>
    <w:rsid w:val="008670FF"/>
    <w:rsid w:val="008672F6"/>
    <w:rsid w:val="008675C5"/>
    <w:rsid w:val="0086761A"/>
    <w:rsid w:val="0086779D"/>
    <w:rsid w:val="00867A86"/>
    <w:rsid w:val="00867AD8"/>
    <w:rsid w:val="00867B48"/>
    <w:rsid w:val="00867B59"/>
    <w:rsid w:val="00867BE4"/>
    <w:rsid w:val="00867C06"/>
    <w:rsid w:val="00867D22"/>
    <w:rsid w:val="00867D4A"/>
    <w:rsid w:val="00867EF5"/>
    <w:rsid w:val="00867F4A"/>
    <w:rsid w:val="00870111"/>
    <w:rsid w:val="00870363"/>
    <w:rsid w:val="008703A9"/>
    <w:rsid w:val="008704B7"/>
    <w:rsid w:val="0087054B"/>
    <w:rsid w:val="008706DE"/>
    <w:rsid w:val="00870859"/>
    <w:rsid w:val="008709FD"/>
    <w:rsid w:val="00870C3B"/>
    <w:rsid w:val="00870E55"/>
    <w:rsid w:val="0087104F"/>
    <w:rsid w:val="0087105E"/>
    <w:rsid w:val="00871180"/>
    <w:rsid w:val="008712DF"/>
    <w:rsid w:val="00871625"/>
    <w:rsid w:val="00871641"/>
    <w:rsid w:val="0087176F"/>
    <w:rsid w:val="00871B39"/>
    <w:rsid w:val="00871BD2"/>
    <w:rsid w:val="00871C27"/>
    <w:rsid w:val="00871DD5"/>
    <w:rsid w:val="0087203D"/>
    <w:rsid w:val="008720B3"/>
    <w:rsid w:val="008720E0"/>
    <w:rsid w:val="0087216D"/>
    <w:rsid w:val="0087221F"/>
    <w:rsid w:val="0087229E"/>
    <w:rsid w:val="00872480"/>
    <w:rsid w:val="008724A6"/>
    <w:rsid w:val="0087260D"/>
    <w:rsid w:val="00872961"/>
    <w:rsid w:val="008729F2"/>
    <w:rsid w:val="00872C4E"/>
    <w:rsid w:val="00872EAB"/>
    <w:rsid w:val="00873143"/>
    <w:rsid w:val="008731DF"/>
    <w:rsid w:val="0087322E"/>
    <w:rsid w:val="00873361"/>
    <w:rsid w:val="00873397"/>
    <w:rsid w:val="008733FF"/>
    <w:rsid w:val="00873489"/>
    <w:rsid w:val="00873579"/>
    <w:rsid w:val="008736EE"/>
    <w:rsid w:val="00873858"/>
    <w:rsid w:val="0087391F"/>
    <w:rsid w:val="00873B43"/>
    <w:rsid w:val="00873C10"/>
    <w:rsid w:val="00873D0E"/>
    <w:rsid w:val="00873D4A"/>
    <w:rsid w:val="00873E18"/>
    <w:rsid w:val="00873E46"/>
    <w:rsid w:val="00873EA2"/>
    <w:rsid w:val="00874102"/>
    <w:rsid w:val="0087426C"/>
    <w:rsid w:val="008742EA"/>
    <w:rsid w:val="0087431C"/>
    <w:rsid w:val="00874510"/>
    <w:rsid w:val="008745B6"/>
    <w:rsid w:val="00874862"/>
    <w:rsid w:val="0087489F"/>
    <w:rsid w:val="008748C0"/>
    <w:rsid w:val="008749AC"/>
    <w:rsid w:val="00874B5C"/>
    <w:rsid w:val="00874C90"/>
    <w:rsid w:val="00874D30"/>
    <w:rsid w:val="00874D73"/>
    <w:rsid w:val="00874F50"/>
    <w:rsid w:val="00875131"/>
    <w:rsid w:val="008752F6"/>
    <w:rsid w:val="0087533D"/>
    <w:rsid w:val="008755A2"/>
    <w:rsid w:val="008756E8"/>
    <w:rsid w:val="008756F2"/>
    <w:rsid w:val="0087577D"/>
    <w:rsid w:val="00875A1B"/>
    <w:rsid w:val="00875A57"/>
    <w:rsid w:val="00875AB5"/>
    <w:rsid w:val="00875AE0"/>
    <w:rsid w:val="00875BC5"/>
    <w:rsid w:val="00875D82"/>
    <w:rsid w:val="00875EEF"/>
    <w:rsid w:val="00875EF7"/>
    <w:rsid w:val="00875F53"/>
    <w:rsid w:val="00875FC3"/>
    <w:rsid w:val="00876319"/>
    <w:rsid w:val="0087679E"/>
    <w:rsid w:val="00876BB0"/>
    <w:rsid w:val="00876D35"/>
    <w:rsid w:val="00876D79"/>
    <w:rsid w:val="00876FCA"/>
    <w:rsid w:val="00877097"/>
    <w:rsid w:val="008770AE"/>
    <w:rsid w:val="00877128"/>
    <w:rsid w:val="008772FD"/>
    <w:rsid w:val="00877339"/>
    <w:rsid w:val="00877631"/>
    <w:rsid w:val="0087770C"/>
    <w:rsid w:val="00877A5B"/>
    <w:rsid w:val="00877B7F"/>
    <w:rsid w:val="00877CFC"/>
    <w:rsid w:val="00877ECD"/>
    <w:rsid w:val="00877F45"/>
    <w:rsid w:val="00880077"/>
    <w:rsid w:val="008800E6"/>
    <w:rsid w:val="00880116"/>
    <w:rsid w:val="0088018E"/>
    <w:rsid w:val="0088053D"/>
    <w:rsid w:val="008808E2"/>
    <w:rsid w:val="00880A71"/>
    <w:rsid w:val="00880B30"/>
    <w:rsid w:val="00880BD1"/>
    <w:rsid w:val="00880E0C"/>
    <w:rsid w:val="008811A4"/>
    <w:rsid w:val="0088189C"/>
    <w:rsid w:val="008818D4"/>
    <w:rsid w:val="008819BC"/>
    <w:rsid w:val="00881C90"/>
    <w:rsid w:val="00881D8D"/>
    <w:rsid w:val="00881ED6"/>
    <w:rsid w:val="00882052"/>
    <w:rsid w:val="0088223C"/>
    <w:rsid w:val="00882464"/>
    <w:rsid w:val="00882475"/>
    <w:rsid w:val="008824B7"/>
    <w:rsid w:val="008827B7"/>
    <w:rsid w:val="00882D72"/>
    <w:rsid w:val="00882DA0"/>
    <w:rsid w:val="00882F74"/>
    <w:rsid w:val="00882FFC"/>
    <w:rsid w:val="00883055"/>
    <w:rsid w:val="00883143"/>
    <w:rsid w:val="008831D2"/>
    <w:rsid w:val="00883524"/>
    <w:rsid w:val="008836EB"/>
    <w:rsid w:val="008838A2"/>
    <w:rsid w:val="008839FC"/>
    <w:rsid w:val="00883A64"/>
    <w:rsid w:val="00883D86"/>
    <w:rsid w:val="00883ED9"/>
    <w:rsid w:val="00884105"/>
    <w:rsid w:val="0088412F"/>
    <w:rsid w:val="00884149"/>
    <w:rsid w:val="0088415A"/>
    <w:rsid w:val="00884586"/>
    <w:rsid w:val="0088475F"/>
    <w:rsid w:val="00884952"/>
    <w:rsid w:val="00884A9C"/>
    <w:rsid w:val="00884D1C"/>
    <w:rsid w:val="00884D3B"/>
    <w:rsid w:val="00884F7F"/>
    <w:rsid w:val="00885073"/>
    <w:rsid w:val="008851BC"/>
    <w:rsid w:val="008852B6"/>
    <w:rsid w:val="0088560C"/>
    <w:rsid w:val="008856A7"/>
    <w:rsid w:val="00885717"/>
    <w:rsid w:val="00885BB7"/>
    <w:rsid w:val="00885C6C"/>
    <w:rsid w:val="00885E7D"/>
    <w:rsid w:val="0088608C"/>
    <w:rsid w:val="008860FF"/>
    <w:rsid w:val="00886194"/>
    <w:rsid w:val="008862D5"/>
    <w:rsid w:val="008863B6"/>
    <w:rsid w:val="008866A7"/>
    <w:rsid w:val="008868FA"/>
    <w:rsid w:val="00886CAC"/>
    <w:rsid w:val="00886CB3"/>
    <w:rsid w:val="00886E09"/>
    <w:rsid w:val="00886E64"/>
    <w:rsid w:val="00886F71"/>
    <w:rsid w:val="00887103"/>
    <w:rsid w:val="00887281"/>
    <w:rsid w:val="0088770C"/>
    <w:rsid w:val="00887818"/>
    <w:rsid w:val="00887A29"/>
    <w:rsid w:val="00887A4D"/>
    <w:rsid w:val="00887B70"/>
    <w:rsid w:val="00887BC0"/>
    <w:rsid w:val="00887C0E"/>
    <w:rsid w:val="00887E9D"/>
    <w:rsid w:val="00887F56"/>
    <w:rsid w:val="00890222"/>
    <w:rsid w:val="0089025E"/>
    <w:rsid w:val="008905D6"/>
    <w:rsid w:val="00890748"/>
    <w:rsid w:val="0089084F"/>
    <w:rsid w:val="00890928"/>
    <w:rsid w:val="00890FA6"/>
    <w:rsid w:val="00890FDA"/>
    <w:rsid w:val="00890FF6"/>
    <w:rsid w:val="0089110E"/>
    <w:rsid w:val="00891491"/>
    <w:rsid w:val="0089149D"/>
    <w:rsid w:val="00891AC4"/>
    <w:rsid w:val="00891DAD"/>
    <w:rsid w:val="00891E31"/>
    <w:rsid w:val="00891EA4"/>
    <w:rsid w:val="00892436"/>
    <w:rsid w:val="00892517"/>
    <w:rsid w:val="008925D9"/>
    <w:rsid w:val="008926AC"/>
    <w:rsid w:val="00892B71"/>
    <w:rsid w:val="0089302E"/>
    <w:rsid w:val="00893254"/>
    <w:rsid w:val="0089331F"/>
    <w:rsid w:val="0089348D"/>
    <w:rsid w:val="00893647"/>
    <w:rsid w:val="0089373F"/>
    <w:rsid w:val="00893930"/>
    <w:rsid w:val="008939B0"/>
    <w:rsid w:val="00893ACA"/>
    <w:rsid w:val="00893D3E"/>
    <w:rsid w:val="00893DE7"/>
    <w:rsid w:val="00893E15"/>
    <w:rsid w:val="008943F2"/>
    <w:rsid w:val="00894722"/>
    <w:rsid w:val="00894727"/>
    <w:rsid w:val="0089476F"/>
    <w:rsid w:val="008947EE"/>
    <w:rsid w:val="00894833"/>
    <w:rsid w:val="008948B8"/>
    <w:rsid w:val="008949A1"/>
    <w:rsid w:val="00894C27"/>
    <w:rsid w:val="00894CE3"/>
    <w:rsid w:val="00894D7F"/>
    <w:rsid w:val="00894D83"/>
    <w:rsid w:val="00894DBA"/>
    <w:rsid w:val="00894DDD"/>
    <w:rsid w:val="00894F18"/>
    <w:rsid w:val="00895050"/>
    <w:rsid w:val="00895097"/>
    <w:rsid w:val="008952BB"/>
    <w:rsid w:val="008955EC"/>
    <w:rsid w:val="008956EB"/>
    <w:rsid w:val="008959DF"/>
    <w:rsid w:val="00895A7C"/>
    <w:rsid w:val="00895AFC"/>
    <w:rsid w:val="00895CCA"/>
    <w:rsid w:val="00895D24"/>
    <w:rsid w:val="00895DFA"/>
    <w:rsid w:val="00895E3E"/>
    <w:rsid w:val="00895EF4"/>
    <w:rsid w:val="008960BC"/>
    <w:rsid w:val="008961F9"/>
    <w:rsid w:val="0089621C"/>
    <w:rsid w:val="00896235"/>
    <w:rsid w:val="008965F2"/>
    <w:rsid w:val="00896715"/>
    <w:rsid w:val="0089672A"/>
    <w:rsid w:val="008968E1"/>
    <w:rsid w:val="00896A18"/>
    <w:rsid w:val="00896B12"/>
    <w:rsid w:val="00896E49"/>
    <w:rsid w:val="00897208"/>
    <w:rsid w:val="0089721B"/>
    <w:rsid w:val="00897340"/>
    <w:rsid w:val="00897565"/>
    <w:rsid w:val="00897723"/>
    <w:rsid w:val="00897928"/>
    <w:rsid w:val="00897ADE"/>
    <w:rsid w:val="00897C2F"/>
    <w:rsid w:val="008A009B"/>
    <w:rsid w:val="008A00BC"/>
    <w:rsid w:val="008A0474"/>
    <w:rsid w:val="008A05F5"/>
    <w:rsid w:val="008A0650"/>
    <w:rsid w:val="008A0887"/>
    <w:rsid w:val="008A0F74"/>
    <w:rsid w:val="008A100E"/>
    <w:rsid w:val="008A1067"/>
    <w:rsid w:val="008A10F8"/>
    <w:rsid w:val="008A114A"/>
    <w:rsid w:val="008A1157"/>
    <w:rsid w:val="008A1278"/>
    <w:rsid w:val="008A128B"/>
    <w:rsid w:val="008A138F"/>
    <w:rsid w:val="008A16BA"/>
    <w:rsid w:val="008A1854"/>
    <w:rsid w:val="008A1861"/>
    <w:rsid w:val="008A1AD6"/>
    <w:rsid w:val="008A1B9C"/>
    <w:rsid w:val="008A1CA0"/>
    <w:rsid w:val="008A1FE9"/>
    <w:rsid w:val="008A22D4"/>
    <w:rsid w:val="008A253A"/>
    <w:rsid w:val="008A2556"/>
    <w:rsid w:val="008A2619"/>
    <w:rsid w:val="008A285B"/>
    <w:rsid w:val="008A2879"/>
    <w:rsid w:val="008A2989"/>
    <w:rsid w:val="008A2A09"/>
    <w:rsid w:val="008A2A76"/>
    <w:rsid w:val="008A2C2D"/>
    <w:rsid w:val="008A2C73"/>
    <w:rsid w:val="008A2CB1"/>
    <w:rsid w:val="008A2CD8"/>
    <w:rsid w:val="008A2DED"/>
    <w:rsid w:val="008A30F1"/>
    <w:rsid w:val="008A327D"/>
    <w:rsid w:val="008A3734"/>
    <w:rsid w:val="008A37B9"/>
    <w:rsid w:val="008A3875"/>
    <w:rsid w:val="008A3B68"/>
    <w:rsid w:val="008A3CF0"/>
    <w:rsid w:val="008A3E1E"/>
    <w:rsid w:val="008A3E93"/>
    <w:rsid w:val="008A4161"/>
    <w:rsid w:val="008A41B8"/>
    <w:rsid w:val="008A4272"/>
    <w:rsid w:val="008A43E1"/>
    <w:rsid w:val="008A46D0"/>
    <w:rsid w:val="008A46E5"/>
    <w:rsid w:val="008A47A1"/>
    <w:rsid w:val="008A491C"/>
    <w:rsid w:val="008A49A3"/>
    <w:rsid w:val="008A4A4A"/>
    <w:rsid w:val="008A5090"/>
    <w:rsid w:val="008A50FF"/>
    <w:rsid w:val="008A55A0"/>
    <w:rsid w:val="008A5973"/>
    <w:rsid w:val="008A598F"/>
    <w:rsid w:val="008A59DF"/>
    <w:rsid w:val="008A5AB4"/>
    <w:rsid w:val="008A5B59"/>
    <w:rsid w:val="008A5B8E"/>
    <w:rsid w:val="008A5DFD"/>
    <w:rsid w:val="008A6020"/>
    <w:rsid w:val="008A618C"/>
    <w:rsid w:val="008A6558"/>
    <w:rsid w:val="008A65B6"/>
    <w:rsid w:val="008A667C"/>
    <w:rsid w:val="008A683E"/>
    <w:rsid w:val="008A6B6E"/>
    <w:rsid w:val="008A6BD8"/>
    <w:rsid w:val="008A6C14"/>
    <w:rsid w:val="008A7005"/>
    <w:rsid w:val="008A71D0"/>
    <w:rsid w:val="008A72F4"/>
    <w:rsid w:val="008A7331"/>
    <w:rsid w:val="008A7418"/>
    <w:rsid w:val="008A74E4"/>
    <w:rsid w:val="008A78CF"/>
    <w:rsid w:val="008A796A"/>
    <w:rsid w:val="008A7979"/>
    <w:rsid w:val="008A79DA"/>
    <w:rsid w:val="008A7B20"/>
    <w:rsid w:val="008A7BDA"/>
    <w:rsid w:val="008A7D3F"/>
    <w:rsid w:val="008A7F6E"/>
    <w:rsid w:val="008B0112"/>
    <w:rsid w:val="008B0433"/>
    <w:rsid w:val="008B0730"/>
    <w:rsid w:val="008B0AA7"/>
    <w:rsid w:val="008B0AEB"/>
    <w:rsid w:val="008B0B94"/>
    <w:rsid w:val="008B0C87"/>
    <w:rsid w:val="008B0DDB"/>
    <w:rsid w:val="008B0DF5"/>
    <w:rsid w:val="008B0E0F"/>
    <w:rsid w:val="008B0FEA"/>
    <w:rsid w:val="008B10A5"/>
    <w:rsid w:val="008B1542"/>
    <w:rsid w:val="008B1809"/>
    <w:rsid w:val="008B188E"/>
    <w:rsid w:val="008B19C1"/>
    <w:rsid w:val="008B1AB6"/>
    <w:rsid w:val="008B1E24"/>
    <w:rsid w:val="008B1E51"/>
    <w:rsid w:val="008B1E6B"/>
    <w:rsid w:val="008B1E78"/>
    <w:rsid w:val="008B2023"/>
    <w:rsid w:val="008B202C"/>
    <w:rsid w:val="008B2371"/>
    <w:rsid w:val="008B23AD"/>
    <w:rsid w:val="008B24BB"/>
    <w:rsid w:val="008B2505"/>
    <w:rsid w:val="008B276F"/>
    <w:rsid w:val="008B282F"/>
    <w:rsid w:val="008B2909"/>
    <w:rsid w:val="008B2999"/>
    <w:rsid w:val="008B299E"/>
    <w:rsid w:val="008B2BA4"/>
    <w:rsid w:val="008B2D8C"/>
    <w:rsid w:val="008B2DAC"/>
    <w:rsid w:val="008B2DF6"/>
    <w:rsid w:val="008B2E25"/>
    <w:rsid w:val="008B323C"/>
    <w:rsid w:val="008B3268"/>
    <w:rsid w:val="008B3431"/>
    <w:rsid w:val="008B381E"/>
    <w:rsid w:val="008B390C"/>
    <w:rsid w:val="008B3C80"/>
    <w:rsid w:val="008B3DF3"/>
    <w:rsid w:val="008B3E84"/>
    <w:rsid w:val="008B3EC8"/>
    <w:rsid w:val="008B3F1F"/>
    <w:rsid w:val="008B4360"/>
    <w:rsid w:val="008B436B"/>
    <w:rsid w:val="008B43D8"/>
    <w:rsid w:val="008B46CD"/>
    <w:rsid w:val="008B47B0"/>
    <w:rsid w:val="008B4AA8"/>
    <w:rsid w:val="008B4B0C"/>
    <w:rsid w:val="008B4BDB"/>
    <w:rsid w:val="008B4C3B"/>
    <w:rsid w:val="008B4EC9"/>
    <w:rsid w:val="008B529A"/>
    <w:rsid w:val="008B542F"/>
    <w:rsid w:val="008B5557"/>
    <w:rsid w:val="008B58DE"/>
    <w:rsid w:val="008B59FF"/>
    <w:rsid w:val="008B5CBA"/>
    <w:rsid w:val="008B5F65"/>
    <w:rsid w:val="008B5F7C"/>
    <w:rsid w:val="008B62ED"/>
    <w:rsid w:val="008B63E6"/>
    <w:rsid w:val="008B66DB"/>
    <w:rsid w:val="008B6AF4"/>
    <w:rsid w:val="008B6AFC"/>
    <w:rsid w:val="008B6B54"/>
    <w:rsid w:val="008B6ECF"/>
    <w:rsid w:val="008B6FFD"/>
    <w:rsid w:val="008B7036"/>
    <w:rsid w:val="008B71F5"/>
    <w:rsid w:val="008B721D"/>
    <w:rsid w:val="008B724B"/>
    <w:rsid w:val="008B7365"/>
    <w:rsid w:val="008B774B"/>
    <w:rsid w:val="008B78FB"/>
    <w:rsid w:val="008B7933"/>
    <w:rsid w:val="008B7984"/>
    <w:rsid w:val="008B7A8D"/>
    <w:rsid w:val="008B7AA0"/>
    <w:rsid w:val="008B7DE5"/>
    <w:rsid w:val="008B7E50"/>
    <w:rsid w:val="008B7FAD"/>
    <w:rsid w:val="008C07A9"/>
    <w:rsid w:val="008C08E3"/>
    <w:rsid w:val="008C0A9C"/>
    <w:rsid w:val="008C0AFD"/>
    <w:rsid w:val="008C0B2E"/>
    <w:rsid w:val="008C0B55"/>
    <w:rsid w:val="008C0C06"/>
    <w:rsid w:val="008C0D09"/>
    <w:rsid w:val="008C0D3B"/>
    <w:rsid w:val="008C0D96"/>
    <w:rsid w:val="008C0F0F"/>
    <w:rsid w:val="008C0F26"/>
    <w:rsid w:val="008C0F5E"/>
    <w:rsid w:val="008C10CC"/>
    <w:rsid w:val="008C12CB"/>
    <w:rsid w:val="008C1637"/>
    <w:rsid w:val="008C16A4"/>
    <w:rsid w:val="008C186E"/>
    <w:rsid w:val="008C19BE"/>
    <w:rsid w:val="008C1A13"/>
    <w:rsid w:val="008C1A18"/>
    <w:rsid w:val="008C1AC6"/>
    <w:rsid w:val="008C1B0A"/>
    <w:rsid w:val="008C1B21"/>
    <w:rsid w:val="008C1C03"/>
    <w:rsid w:val="008C208B"/>
    <w:rsid w:val="008C2098"/>
    <w:rsid w:val="008C21D9"/>
    <w:rsid w:val="008C2302"/>
    <w:rsid w:val="008C2427"/>
    <w:rsid w:val="008C25DB"/>
    <w:rsid w:val="008C260C"/>
    <w:rsid w:val="008C2647"/>
    <w:rsid w:val="008C29A4"/>
    <w:rsid w:val="008C2ABC"/>
    <w:rsid w:val="008C2CAC"/>
    <w:rsid w:val="008C2D3F"/>
    <w:rsid w:val="008C2E0D"/>
    <w:rsid w:val="008C3043"/>
    <w:rsid w:val="008C3066"/>
    <w:rsid w:val="008C31F7"/>
    <w:rsid w:val="008C321B"/>
    <w:rsid w:val="008C328C"/>
    <w:rsid w:val="008C337E"/>
    <w:rsid w:val="008C3417"/>
    <w:rsid w:val="008C3541"/>
    <w:rsid w:val="008C35F7"/>
    <w:rsid w:val="008C3742"/>
    <w:rsid w:val="008C39D9"/>
    <w:rsid w:val="008C3A21"/>
    <w:rsid w:val="008C3B79"/>
    <w:rsid w:val="008C3B7D"/>
    <w:rsid w:val="008C3E73"/>
    <w:rsid w:val="008C3E7F"/>
    <w:rsid w:val="008C40A6"/>
    <w:rsid w:val="008C4128"/>
    <w:rsid w:val="008C4136"/>
    <w:rsid w:val="008C42B9"/>
    <w:rsid w:val="008C42FD"/>
    <w:rsid w:val="008C43AA"/>
    <w:rsid w:val="008C4573"/>
    <w:rsid w:val="008C4717"/>
    <w:rsid w:val="008C478B"/>
    <w:rsid w:val="008C4A08"/>
    <w:rsid w:val="008C4A14"/>
    <w:rsid w:val="008C4A25"/>
    <w:rsid w:val="008C4B52"/>
    <w:rsid w:val="008C4BB9"/>
    <w:rsid w:val="008C4C7E"/>
    <w:rsid w:val="008C4CD0"/>
    <w:rsid w:val="008C510C"/>
    <w:rsid w:val="008C5137"/>
    <w:rsid w:val="008C52D1"/>
    <w:rsid w:val="008C52F8"/>
    <w:rsid w:val="008C53A0"/>
    <w:rsid w:val="008C5522"/>
    <w:rsid w:val="008C561D"/>
    <w:rsid w:val="008C5672"/>
    <w:rsid w:val="008C56AD"/>
    <w:rsid w:val="008C59B4"/>
    <w:rsid w:val="008C59DC"/>
    <w:rsid w:val="008C5B1A"/>
    <w:rsid w:val="008C5B6D"/>
    <w:rsid w:val="008C5C46"/>
    <w:rsid w:val="008C5D16"/>
    <w:rsid w:val="008C5DCD"/>
    <w:rsid w:val="008C5F06"/>
    <w:rsid w:val="008C6671"/>
    <w:rsid w:val="008C6933"/>
    <w:rsid w:val="008C69A6"/>
    <w:rsid w:val="008C69CF"/>
    <w:rsid w:val="008C6A87"/>
    <w:rsid w:val="008C6C52"/>
    <w:rsid w:val="008C6DE1"/>
    <w:rsid w:val="008C6E08"/>
    <w:rsid w:val="008C6E57"/>
    <w:rsid w:val="008C7044"/>
    <w:rsid w:val="008C7169"/>
    <w:rsid w:val="008C7317"/>
    <w:rsid w:val="008C7320"/>
    <w:rsid w:val="008C7611"/>
    <w:rsid w:val="008C7677"/>
    <w:rsid w:val="008C776D"/>
    <w:rsid w:val="008C777C"/>
    <w:rsid w:val="008C7926"/>
    <w:rsid w:val="008C7A07"/>
    <w:rsid w:val="008C7A59"/>
    <w:rsid w:val="008C7D56"/>
    <w:rsid w:val="008C7E65"/>
    <w:rsid w:val="008C7EC0"/>
    <w:rsid w:val="008C7EE4"/>
    <w:rsid w:val="008D0028"/>
    <w:rsid w:val="008D00C3"/>
    <w:rsid w:val="008D02D8"/>
    <w:rsid w:val="008D030B"/>
    <w:rsid w:val="008D032C"/>
    <w:rsid w:val="008D04C5"/>
    <w:rsid w:val="008D050E"/>
    <w:rsid w:val="008D0512"/>
    <w:rsid w:val="008D057C"/>
    <w:rsid w:val="008D05F0"/>
    <w:rsid w:val="008D074B"/>
    <w:rsid w:val="008D084E"/>
    <w:rsid w:val="008D0872"/>
    <w:rsid w:val="008D0942"/>
    <w:rsid w:val="008D0B5B"/>
    <w:rsid w:val="008D0BAA"/>
    <w:rsid w:val="008D0CBA"/>
    <w:rsid w:val="008D0D52"/>
    <w:rsid w:val="008D0E2B"/>
    <w:rsid w:val="008D1012"/>
    <w:rsid w:val="008D106A"/>
    <w:rsid w:val="008D11B3"/>
    <w:rsid w:val="008D11DF"/>
    <w:rsid w:val="008D1283"/>
    <w:rsid w:val="008D1386"/>
    <w:rsid w:val="008D166F"/>
    <w:rsid w:val="008D16E0"/>
    <w:rsid w:val="008D1710"/>
    <w:rsid w:val="008D171B"/>
    <w:rsid w:val="008D173C"/>
    <w:rsid w:val="008D18AC"/>
    <w:rsid w:val="008D18EB"/>
    <w:rsid w:val="008D19B5"/>
    <w:rsid w:val="008D19BD"/>
    <w:rsid w:val="008D1A4A"/>
    <w:rsid w:val="008D1B93"/>
    <w:rsid w:val="008D1C15"/>
    <w:rsid w:val="008D1DEA"/>
    <w:rsid w:val="008D20E9"/>
    <w:rsid w:val="008D22AC"/>
    <w:rsid w:val="008D231D"/>
    <w:rsid w:val="008D2326"/>
    <w:rsid w:val="008D2334"/>
    <w:rsid w:val="008D246A"/>
    <w:rsid w:val="008D25EC"/>
    <w:rsid w:val="008D272B"/>
    <w:rsid w:val="008D28BE"/>
    <w:rsid w:val="008D29A6"/>
    <w:rsid w:val="008D2A86"/>
    <w:rsid w:val="008D2AF1"/>
    <w:rsid w:val="008D2C2C"/>
    <w:rsid w:val="008D2D23"/>
    <w:rsid w:val="008D2F7B"/>
    <w:rsid w:val="008D325C"/>
    <w:rsid w:val="008D32B8"/>
    <w:rsid w:val="008D3359"/>
    <w:rsid w:val="008D33E2"/>
    <w:rsid w:val="008D3509"/>
    <w:rsid w:val="008D351E"/>
    <w:rsid w:val="008D37F4"/>
    <w:rsid w:val="008D3896"/>
    <w:rsid w:val="008D399C"/>
    <w:rsid w:val="008D3B2E"/>
    <w:rsid w:val="008D3C45"/>
    <w:rsid w:val="008D3D58"/>
    <w:rsid w:val="008D3F63"/>
    <w:rsid w:val="008D3F6E"/>
    <w:rsid w:val="008D3FB6"/>
    <w:rsid w:val="008D40F9"/>
    <w:rsid w:val="008D41B7"/>
    <w:rsid w:val="008D41BC"/>
    <w:rsid w:val="008D4321"/>
    <w:rsid w:val="008D4546"/>
    <w:rsid w:val="008D4613"/>
    <w:rsid w:val="008D4826"/>
    <w:rsid w:val="008D4998"/>
    <w:rsid w:val="008D4A8C"/>
    <w:rsid w:val="008D4AD7"/>
    <w:rsid w:val="008D4D47"/>
    <w:rsid w:val="008D4D82"/>
    <w:rsid w:val="008D4DC1"/>
    <w:rsid w:val="008D4EDE"/>
    <w:rsid w:val="008D4F4A"/>
    <w:rsid w:val="008D4FDD"/>
    <w:rsid w:val="008D4FEE"/>
    <w:rsid w:val="008D5137"/>
    <w:rsid w:val="008D5263"/>
    <w:rsid w:val="008D5382"/>
    <w:rsid w:val="008D5416"/>
    <w:rsid w:val="008D556F"/>
    <w:rsid w:val="008D5633"/>
    <w:rsid w:val="008D5828"/>
    <w:rsid w:val="008D59DD"/>
    <w:rsid w:val="008D5B2D"/>
    <w:rsid w:val="008D5B84"/>
    <w:rsid w:val="008D5CB1"/>
    <w:rsid w:val="008D5D09"/>
    <w:rsid w:val="008D5DAE"/>
    <w:rsid w:val="008D5E6A"/>
    <w:rsid w:val="008D5F8B"/>
    <w:rsid w:val="008D6058"/>
    <w:rsid w:val="008D60AB"/>
    <w:rsid w:val="008D617A"/>
    <w:rsid w:val="008D63A4"/>
    <w:rsid w:val="008D64E9"/>
    <w:rsid w:val="008D6531"/>
    <w:rsid w:val="008D65B6"/>
    <w:rsid w:val="008D678D"/>
    <w:rsid w:val="008D6D33"/>
    <w:rsid w:val="008D6D6C"/>
    <w:rsid w:val="008D6EE6"/>
    <w:rsid w:val="008D71A6"/>
    <w:rsid w:val="008D7470"/>
    <w:rsid w:val="008D7574"/>
    <w:rsid w:val="008D76A0"/>
    <w:rsid w:val="008D788E"/>
    <w:rsid w:val="008D78B3"/>
    <w:rsid w:val="008D7A02"/>
    <w:rsid w:val="008D7BA6"/>
    <w:rsid w:val="008D7C1A"/>
    <w:rsid w:val="008D7C5F"/>
    <w:rsid w:val="008D7F1D"/>
    <w:rsid w:val="008D7F24"/>
    <w:rsid w:val="008D7F51"/>
    <w:rsid w:val="008E00E6"/>
    <w:rsid w:val="008E03D5"/>
    <w:rsid w:val="008E04ED"/>
    <w:rsid w:val="008E05E0"/>
    <w:rsid w:val="008E06D7"/>
    <w:rsid w:val="008E0923"/>
    <w:rsid w:val="008E09D7"/>
    <w:rsid w:val="008E0B65"/>
    <w:rsid w:val="008E0D76"/>
    <w:rsid w:val="008E0FEF"/>
    <w:rsid w:val="008E10AC"/>
    <w:rsid w:val="008E1189"/>
    <w:rsid w:val="008E11D3"/>
    <w:rsid w:val="008E1217"/>
    <w:rsid w:val="008E12EE"/>
    <w:rsid w:val="008E1341"/>
    <w:rsid w:val="008E151D"/>
    <w:rsid w:val="008E1654"/>
    <w:rsid w:val="008E18F7"/>
    <w:rsid w:val="008E1B16"/>
    <w:rsid w:val="008E1BE7"/>
    <w:rsid w:val="008E1BF6"/>
    <w:rsid w:val="008E1C12"/>
    <w:rsid w:val="008E1C88"/>
    <w:rsid w:val="008E1F87"/>
    <w:rsid w:val="008E1FDB"/>
    <w:rsid w:val="008E1FE5"/>
    <w:rsid w:val="008E1FE7"/>
    <w:rsid w:val="008E21F5"/>
    <w:rsid w:val="008E2210"/>
    <w:rsid w:val="008E2785"/>
    <w:rsid w:val="008E28CF"/>
    <w:rsid w:val="008E2C8C"/>
    <w:rsid w:val="008E2CEF"/>
    <w:rsid w:val="008E2CFD"/>
    <w:rsid w:val="008E2E9E"/>
    <w:rsid w:val="008E2FCA"/>
    <w:rsid w:val="008E3330"/>
    <w:rsid w:val="008E3376"/>
    <w:rsid w:val="008E3420"/>
    <w:rsid w:val="008E351E"/>
    <w:rsid w:val="008E354D"/>
    <w:rsid w:val="008E356E"/>
    <w:rsid w:val="008E3911"/>
    <w:rsid w:val="008E3A5F"/>
    <w:rsid w:val="008E3C28"/>
    <w:rsid w:val="008E3C92"/>
    <w:rsid w:val="008E3DE5"/>
    <w:rsid w:val="008E3F87"/>
    <w:rsid w:val="008E40B9"/>
    <w:rsid w:val="008E41C9"/>
    <w:rsid w:val="008E420F"/>
    <w:rsid w:val="008E4324"/>
    <w:rsid w:val="008E4561"/>
    <w:rsid w:val="008E45C8"/>
    <w:rsid w:val="008E47C4"/>
    <w:rsid w:val="008E4C8A"/>
    <w:rsid w:val="008E4E89"/>
    <w:rsid w:val="008E50B5"/>
    <w:rsid w:val="008E5197"/>
    <w:rsid w:val="008E54F0"/>
    <w:rsid w:val="008E5760"/>
    <w:rsid w:val="008E5B0C"/>
    <w:rsid w:val="008E5D18"/>
    <w:rsid w:val="008E5D2C"/>
    <w:rsid w:val="008E5DB4"/>
    <w:rsid w:val="008E5DC4"/>
    <w:rsid w:val="008E6058"/>
    <w:rsid w:val="008E6272"/>
    <w:rsid w:val="008E6FAF"/>
    <w:rsid w:val="008E7162"/>
    <w:rsid w:val="008E7507"/>
    <w:rsid w:val="008E75AC"/>
    <w:rsid w:val="008E75DE"/>
    <w:rsid w:val="008E75EC"/>
    <w:rsid w:val="008E7844"/>
    <w:rsid w:val="008E78AE"/>
    <w:rsid w:val="008E7B0A"/>
    <w:rsid w:val="008E7E0A"/>
    <w:rsid w:val="008E7FED"/>
    <w:rsid w:val="008F0267"/>
    <w:rsid w:val="008F02EE"/>
    <w:rsid w:val="008F031D"/>
    <w:rsid w:val="008F0430"/>
    <w:rsid w:val="008F067A"/>
    <w:rsid w:val="008F082F"/>
    <w:rsid w:val="008F0BA8"/>
    <w:rsid w:val="008F0C31"/>
    <w:rsid w:val="008F0C4B"/>
    <w:rsid w:val="008F0C5D"/>
    <w:rsid w:val="008F0F03"/>
    <w:rsid w:val="008F1069"/>
    <w:rsid w:val="008F13F6"/>
    <w:rsid w:val="008F1693"/>
    <w:rsid w:val="008F16FA"/>
    <w:rsid w:val="008F175D"/>
    <w:rsid w:val="008F177E"/>
    <w:rsid w:val="008F17EC"/>
    <w:rsid w:val="008F1A2E"/>
    <w:rsid w:val="008F1B41"/>
    <w:rsid w:val="008F1E17"/>
    <w:rsid w:val="008F2556"/>
    <w:rsid w:val="008F25A9"/>
    <w:rsid w:val="008F281C"/>
    <w:rsid w:val="008F2886"/>
    <w:rsid w:val="008F2913"/>
    <w:rsid w:val="008F29DA"/>
    <w:rsid w:val="008F2D6A"/>
    <w:rsid w:val="008F2E01"/>
    <w:rsid w:val="008F2FC9"/>
    <w:rsid w:val="008F3015"/>
    <w:rsid w:val="008F3468"/>
    <w:rsid w:val="008F3535"/>
    <w:rsid w:val="008F35C2"/>
    <w:rsid w:val="008F35FF"/>
    <w:rsid w:val="008F370E"/>
    <w:rsid w:val="008F373A"/>
    <w:rsid w:val="008F3813"/>
    <w:rsid w:val="008F3871"/>
    <w:rsid w:val="008F3892"/>
    <w:rsid w:val="008F395E"/>
    <w:rsid w:val="008F397D"/>
    <w:rsid w:val="008F3B19"/>
    <w:rsid w:val="008F3CAA"/>
    <w:rsid w:val="008F3CFA"/>
    <w:rsid w:val="008F3F4E"/>
    <w:rsid w:val="008F42BE"/>
    <w:rsid w:val="008F4BC1"/>
    <w:rsid w:val="008F4C54"/>
    <w:rsid w:val="008F4DD0"/>
    <w:rsid w:val="008F4DD8"/>
    <w:rsid w:val="008F4E29"/>
    <w:rsid w:val="008F5068"/>
    <w:rsid w:val="008F50DF"/>
    <w:rsid w:val="008F5215"/>
    <w:rsid w:val="008F57BF"/>
    <w:rsid w:val="008F57F7"/>
    <w:rsid w:val="008F5BBA"/>
    <w:rsid w:val="008F5BE5"/>
    <w:rsid w:val="008F5FA3"/>
    <w:rsid w:val="008F611F"/>
    <w:rsid w:val="008F6446"/>
    <w:rsid w:val="008F6651"/>
    <w:rsid w:val="008F66A9"/>
    <w:rsid w:val="008F689A"/>
    <w:rsid w:val="008F6C48"/>
    <w:rsid w:val="008F6CA1"/>
    <w:rsid w:val="008F6F3D"/>
    <w:rsid w:val="008F6F40"/>
    <w:rsid w:val="008F6F8D"/>
    <w:rsid w:val="008F6FC8"/>
    <w:rsid w:val="008F6FCC"/>
    <w:rsid w:val="008F7063"/>
    <w:rsid w:val="008F70A4"/>
    <w:rsid w:val="008F71DA"/>
    <w:rsid w:val="008F731E"/>
    <w:rsid w:val="008F7515"/>
    <w:rsid w:val="008F758A"/>
    <w:rsid w:val="008F759E"/>
    <w:rsid w:val="008F77DF"/>
    <w:rsid w:val="008F7850"/>
    <w:rsid w:val="008F7882"/>
    <w:rsid w:val="008F7AD3"/>
    <w:rsid w:val="00900184"/>
    <w:rsid w:val="0090020E"/>
    <w:rsid w:val="00900263"/>
    <w:rsid w:val="0090031E"/>
    <w:rsid w:val="00900575"/>
    <w:rsid w:val="00900602"/>
    <w:rsid w:val="0090063F"/>
    <w:rsid w:val="009006A7"/>
    <w:rsid w:val="0090074F"/>
    <w:rsid w:val="009007EF"/>
    <w:rsid w:val="0090080A"/>
    <w:rsid w:val="00900947"/>
    <w:rsid w:val="0090095D"/>
    <w:rsid w:val="00900A42"/>
    <w:rsid w:val="00900AE0"/>
    <w:rsid w:val="00900AF3"/>
    <w:rsid w:val="00900CD8"/>
    <w:rsid w:val="00900DC6"/>
    <w:rsid w:val="00900EFB"/>
    <w:rsid w:val="0090109D"/>
    <w:rsid w:val="009012B3"/>
    <w:rsid w:val="0090164F"/>
    <w:rsid w:val="00901681"/>
    <w:rsid w:val="0090176E"/>
    <w:rsid w:val="00901880"/>
    <w:rsid w:val="00901949"/>
    <w:rsid w:val="00901AEB"/>
    <w:rsid w:val="00901FEA"/>
    <w:rsid w:val="00902064"/>
    <w:rsid w:val="0090253A"/>
    <w:rsid w:val="00902554"/>
    <w:rsid w:val="009025FF"/>
    <w:rsid w:val="0090268A"/>
    <w:rsid w:val="00902738"/>
    <w:rsid w:val="00902771"/>
    <w:rsid w:val="00902ABB"/>
    <w:rsid w:val="00902BA0"/>
    <w:rsid w:val="00902DEA"/>
    <w:rsid w:val="0090300E"/>
    <w:rsid w:val="009030BF"/>
    <w:rsid w:val="00903394"/>
    <w:rsid w:val="00903477"/>
    <w:rsid w:val="00903665"/>
    <w:rsid w:val="0090367C"/>
    <w:rsid w:val="00903A0F"/>
    <w:rsid w:val="00903B70"/>
    <w:rsid w:val="00903C8D"/>
    <w:rsid w:val="00903DFC"/>
    <w:rsid w:val="00903F22"/>
    <w:rsid w:val="00904053"/>
    <w:rsid w:val="009040E5"/>
    <w:rsid w:val="00904174"/>
    <w:rsid w:val="009042F9"/>
    <w:rsid w:val="0090433E"/>
    <w:rsid w:val="00904417"/>
    <w:rsid w:val="0090445F"/>
    <w:rsid w:val="00904768"/>
    <w:rsid w:val="009049B2"/>
    <w:rsid w:val="00904A1C"/>
    <w:rsid w:val="00904A87"/>
    <w:rsid w:val="00904A91"/>
    <w:rsid w:val="00904C65"/>
    <w:rsid w:val="00904D33"/>
    <w:rsid w:val="00904DCD"/>
    <w:rsid w:val="00904EBF"/>
    <w:rsid w:val="00905102"/>
    <w:rsid w:val="009052C5"/>
    <w:rsid w:val="009054B2"/>
    <w:rsid w:val="00905567"/>
    <w:rsid w:val="009055F7"/>
    <w:rsid w:val="009058B8"/>
    <w:rsid w:val="00905974"/>
    <w:rsid w:val="00905D14"/>
    <w:rsid w:val="00905D7B"/>
    <w:rsid w:val="00905F1D"/>
    <w:rsid w:val="00906077"/>
    <w:rsid w:val="00906242"/>
    <w:rsid w:val="009065C6"/>
    <w:rsid w:val="009065D5"/>
    <w:rsid w:val="009066AA"/>
    <w:rsid w:val="0090670E"/>
    <w:rsid w:val="00906A2B"/>
    <w:rsid w:val="00906DD0"/>
    <w:rsid w:val="00906E37"/>
    <w:rsid w:val="00906E8F"/>
    <w:rsid w:val="00906EDA"/>
    <w:rsid w:val="00906F27"/>
    <w:rsid w:val="00906F31"/>
    <w:rsid w:val="00907237"/>
    <w:rsid w:val="0090737E"/>
    <w:rsid w:val="009074D9"/>
    <w:rsid w:val="009079A4"/>
    <w:rsid w:val="00907A5D"/>
    <w:rsid w:val="00907D2B"/>
    <w:rsid w:val="00907DD5"/>
    <w:rsid w:val="00907EAD"/>
    <w:rsid w:val="00907F63"/>
    <w:rsid w:val="0091004E"/>
    <w:rsid w:val="00910267"/>
    <w:rsid w:val="009103FA"/>
    <w:rsid w:val="00910615"/>
    <w:rsid w:val="00910668"/>
    <w:rsid w:val="00910685"/>
    <w:rsid w:val="00910772"/>
    <w:rsid w:val="00910800"/>
    <w:rsid w:val="00910B00"/>
    <w:rsid w:val="00910B18"/>
    <w:rsid w:val="00910F33"/>
    <w:rsid w:val="00910F4B"/>
    <w:rsid w:val="009110A4"/>
    <w:rsid w:val="009110E8"/>
    <w:rsid w:val="0091120E"/>
    <w:rsid w:val="0091121A"/>
    <w:rsid w:val="009112D7"/>
    <w:rsid w:val="0091188F"/>
    <w:rsid w:val="009118E7"/>
    <w:rsid w:val="00911904"/>
    <w:rsid w:val="009119B3"/>
    <w:rsid w:val="00911A47"/>
    <w:rsid w:val="00911B0A"/>
    <w:rsid w:val="0091204E"/>
    <w:rsid w:val="00912107"/>
    <w:rsid w:val="00912143"/>
    <w:rsid w:val="00912286"/>
    <w:rsid w:val="00912322"/>
    <w:rsid w:val="0091235E"/>
    <w:rsid w:val="00912599"/>
    <w:rsid w:val="009125E9"/>
    <w:rsid w:val="009129A3"/>
    <w:rsid w:val="00912A22"/>
    <w:rsid w:val="00912B8A"/>
    <w:rsid w:val="00912BC5"/>
    <w:rsid w:val="00912C2F"/>
    <w:rsid w:val="00912EA2"/>
    <w:rsid w:val="00912EBC"/>
    <w:rsid w:val="00913232"/>
    <w:rsid w:val="00913278"/>
    <w:rsid w:val="00913397"/>
    <w:rsid w:val="009134F3"/>
    <w:rsid w:val="009135AB"/>
    <w:rsid w:val="009135C1"/>
    <w:rsid w:val="009135F3"/>
    <w:rsid w:val="009137DE"/>
    <w:rsid w:val="009139E7"/>
    <w:rsid w:val="00913A11"/>
    <w:rsid w:val="00913B51"/>
    <w:rsid w:val="00913C9D"/>
    <w:rsid w:val="00913E9F"/>
    <w:rsid w:val="009141EE"/>
    <w:rsid w:val="009142BF"/>
    <w:rsid w:val="009143D7"/>
    <w:rsid w:val="009144B2"/>
    <w:rsid w:val="009145D5"/>
    <w:rsid w:val="00914697"/>
    <w:rsid w:val="009147C9"/>
    <w:rsid w:val="00914C1C"/>
    <w:rsid w:val="00914C6A"/>
    <w:rsid w:val="0091513C"/>
    <w:rsid w:val="00915228"/>
    <w:rsid w:val="00915290"/>
    <w:rsid w:val="00915845"/>
    <w:rsid w:val="009159CE"/>
    <w:rsid w:val="00915A66"/>
    <w:rsid w:val="00915C37"/>
    <w:rsid w:val="00915C81"/>
    <w:rsid w:val="00916016"/>
    <w:rsid w:val="00916026"/>
    <w:rsid w:val="009162B8"/>
    <w:rsid w:val="009163DA"/>
    <w:rsid w:val="0091646A"/>
    <w:rsid w:val="009164CE"/>
    <w:rsid w:val="00916755"/>
    <w:rsid w:val="009167D0"/>
    <w:rsid w:val="009167E2"/>
    <w:rsid w:val="00916858"/>
    <w:rsid w:val="0091687E"/>
    <w:rsid w:val="00916C00"/>
    <w:rsid w:val="00916E34"/>
    <w:rsid w:val="00916E8A"/>
    <w:rsid w:val="00916EC3"/>
    <w:rsid w:val="00916EFD"/>
    <w:rsid w:val="00917185"/>
    <w:rsid w:val="00917318"/>
    <w:rsid w:val="00917453"/>
    <w:rsid w:val="009177DC"/>
    <w:rsid w:val="00917870"/>
    <w:rsid w:val="009178F3"/>
    <w:rsid w:val="00917913"/>
    <w:rsid w:val="00917A23"/>
    <w:rsid w:val="00917B88"/>
    <w:rsid w:val="00917D67"/>
    <w:rsid w:val="00917DCD"/>
    <w:rsid w:val="00917FA1"/>
    <w:rsid w:val="0092009D"/>
    <w:rsid w:val="009206F7"/>
    <w:rsid w:val="0092074A"/>
    <w:rsid w:val="009209FC"/>
    <w:rsid w:val="00920A1A"/>
    <w:rsid w:val="00920B68"/>
    <w:rsid w:val="00920CCA"/>
    <w:rsid w:val="00920DBC"/>
    <w:rsid w:val="00920F41"/>
    <w:rsid w:val="00920F9C"/>
    <w:rsid w:val="00920FB6"/>
    <w:rsid w:val="00920FD8"/>
    <w:rsid w:val="009211A8"/>
    <w:rsid w:val="0092122F"/>
    <w:rsid w:val="00921639"/>
    <w:rsid w:val="009216B7"/>
    <w:rsid w:val="00921741"/>
    <w:rsid w:val="00921811"/>
    <w:rsid w:val="0092187F"/>
    <w:rsid w:val="009219E5"/>
    <w:rsid w:val="009219FD"/>
    <w:rsid w:val="00921A4A"/>
    <w:rsid w:val="00921D81"/>
    <w:rsid w:val="00921EC3"/>
    <w:rsid w:val="00922014"/>
    <w:rsid w:val="00922021"/>
    <w:rsid w:val="00922051"/>
    <w:rsid w:val="0092207A"/>
    <w:rsid w:val="00922164"/>
    <w:rsid w:val="009221A8"/>
    <w:rsid w:val="00922306"/>
    <w:rsid w:val="00922359"/>
    <w:rsid w:val="00922425"/>
    <w:rsid w:val="0092259D"/>
    <w:rsid w:val="009226C7"/>
    <w:rsid w:val="009227A3"/>
    <w:rsid w:val="009227CA"/>
    <w:rsid w:val="00922830"/>
    <w:rsid w:val="00922839"/>
    <w:rsid w:val="00922949"/>
    <w:rsid w:val="00922B13"/>
    <w:rsid w:val="00922B9A"/>
    <w:rsid w:val="00922BC4"/>
    <w:rsid w:val="00922E3C"/>
    <w:rsid w:val="00922E91"/>
    <w:rsid w:val="00922EAF"/>
    <w:rsid w:val="009230DD"/>
    <w:rsid w:val="00923790"/>
    <w:rsid w:val="00923820"/>
    <w:rsid w:val="0092385C"/>
    <w:rsid w:val="00923890"/>
    <w:rsid w:val="00923948"/>
    <w:rsid w:val="00923BB1"/>
    <w:rsid w:val="00923C8C"/>
    <w:rsid w:val="00923CBF"/>
    <w:rsid w:val="00923D47"/>
    <w:rsid w:val="00923E97"/>
    <w:rsid w:val="00923E9B"/>
    <w:rsid w:val="00923FC3"/>
    <w:rsid w:val="009243DC"/>
    <w:rsid w:val="009245E5"/>
    <w:rsid w:val="009246D8"/>
    <w:rsid w:val="0092475C"/>
    <w:rsid w:val="00924850"/>
    <w:rsid w:val="0092491E"/>
    <w:rsid w:val="00924DDE"/>
    <w:rsid w:val="0092500F"/>
    <w:rsid w:val="00925168"/>
    <w:rsid w:val="009251FE"/>
    <w:rsid w:val="00925224"/>
    <w:rsid w:val="00925327"/>
    <w:rsid w:val="00925366"/>
    <w:rsid w:val="00925383"/>
    <w:rsid w:val="009253CF"/>
    <w:rsid w:val="009253DA"/>
    <w:rsid w:val="009255E9"/>
    <w:rsid w:val="0092563C"/>
    <w:rsid w:val="00925656"/>
    <w:rsid w:val="00925819"/>
    <w:rsid w:val="0092587F"/>
    <w:rsid w:val="0092593E"/>
    <w:rsid w:val="009259C8"/>
    <w:rsid w:val="00925A4C"/>
    <w:rsid w:val="00925BA5"/>
    <w:rsid w:val="00925BD5"/>
    <w:rsid w:val="00925C57"/>
    <w:rsid w:val="00925D2F"/>
    <w:rsid w:val="00925D69"/>
    <w:rsid w:val="0092605E"/>
    <w:rsid w:val="00926069"/>
    <w:rsid w:val="00926210"/>
    <w:rsid w:val="0092651E"/>
    <w:rsid w:val="009265CC"/>
    <w:rsid w:val="009267B6"/>
    <w:rsid w:val="009267BC"/>
    <w:rsid w:val="00926881"/>
    <w:rsid w:val="00926967"/>
    <w:rsid w:val="009269AA"/>
    <w:rsid w:val="00926A6C"/>
    <w:rsid w:val="00926C67"/>
    <w:rsid w:val="00926D45"/>
    <w:rsid w:val="00926FB8"/>
    <w:rsid w:val="009276A7"/>
    <w:rsid w:val="00927731"/>
    <w:rsid w:val="00927778"/>
    <w:rsid w:val="00927933"/>
    <w:rsid w:val="00927B7A"/>
    <w:rsid w:val="00927C68"/>
    <w:rsid w:val="00927D7E"/>
    <w:rsid w:val="00927E3F"/>
    <w:rsid w:val="00927F71"/>
    <w:rsid w:val="00927FAD"/>
    <w:rsid w:val="00930052"/>
    <w:rsid w:val="00930069"/>
    <w:rsid w:val="00930368"/>
    <w:rsid w:val="009303A3"/>
    <w:rsid w:val="00930439"/>
    <w:rsid w:val="0093049E"/>
    <w:rsid w:val="0093058A"/>
    <w:rsid w:val="009305C0"/>
    <w:rsid w:val="009306B6"/>
    <w:rsid w:val="00930701"/>
    <w:rsid w:val="0093072E"/>
    <w:rsid w:val="0093096E"/>
    <w:rsid w:val="00930DB2"/>
    <w:rsid w:val="00930F18"/>
    <w:rsid w:val="00930F9F"/>
    <w:rsid w:val="00930FF9"/>
    <w:rsid w:val="009311B9"/>
    <w:rsid w:val="0093120D"/>
    <w:rsid w:val="0093164A"/>
    <w:rsid w:val="009316DA"/>
    <w:rsid w:val="00931799"/>
    <w:rsid w:val="009317E1"/>
    <w:rsid w:val="009318EB"/>
    <w:rsid w:val="00931961"/>
    <w:rsid w:val="00931DBA"/>
    <w:rsid w:val="00932148"/>
    <w:rsid w:val="0093231A"/>
    <w:rsid w:val="009323ED"/>
    <w:rsid w:val="00932748"/>
    <w:rsid w:val="00932901"/>
    <w:rsid w:val="0093293D"/>
    <w:rsid w:val="009329FB"/>
    <w:rsid w:val="00932BB1"/>
    <w:rsid w:val="00932BD7"/>
    <w:rsid w:val="00932D12"/>
    <w:rsid w:val="00932E8E"/>
    <w:rsid w:val="00932F23"/>
    <w:rsid w:val="00933625"/>
    <w:rsid w:val="009336A3"/>
    <w:rsid w:val="009337F3"/>
    <w:rsid w:val="00933819"/>
    <w:rsid w:val="00933839"/>
    <w:rsid w:val="00933AAA"/>
    <w:rsid w:val="00933C5C"/>
    <w:rsid w:val="00933E23"/>
    <w:rsid w:val="00933EED"/>
    <w:rsid w:val="00933F44"/>
    <w:rsid w:val="00933F84"/>
    <w:rsid w:val="009342A7"/>
    <w:rsid w:val="0093440C"/>
    <w:rsid w:val="0093447B"/>
    <w:rsid w:val="0093462B"/>
    <w:rsid w:val="009346BC"/>
    <w:rsid w:val="009347F1"/>
    <w:rsid w:val="009349B6"/>
    <w:rsid w:val="00934A93"/>
    <w:rsid w:val="00934CDA"/>
    <w:rsid w:val="00934EB1"/>
    <w:rsid w:val="009350AB"/>
    <w:rsid w:val="00935147"/>
    <w:rsid w:val="0093519A"/>
    <w:rsid w:val="009351B3"/>
    <w:rsid w:val="00935240"/>
    <w:rsid w:val="009352C0"/>
    <w:rsid w:val="00935326"/>
    <w:rsid w:val="00935369"/>
    <w:rsid w:val="009354F8"/>
    <w:rsid w:val="009355C2"/>
    <w:rsid w:val="00935603"/>
    <w:rsid w:val="00935750"/>
    <w:rsid w:val="0093583C"/>
    <w:rsid w:val="009358E3"/>
    <w:rsid w:val="00935A57"/>
    <w:rsid w:val="00935EFF"/>
    <w:rsid w:val="00935F29"/>
    <w:rsid w:val="00935FD3"/>
    <w:rsid w:val="009360F1"/>
    <w:rsid w:val="0093626F"/>
    <w:rsid w:val="0093629B"/>
    <w:rsid w:val="009362C7"/>
    <w:rsid w:val="00936328"/>
    <w:rsid w:val="0093661D"/>
    <w:rsid w:val="009366E8"/>
    <w:rsid w:val="0093691A"/>
    <w:rsid w:val="00936AA4"/>
    <w:rsid w:val="00936B2E"/>
    <w:rsid w:val="00936E14"/>
    <w:rsid w:val="00936E20"/>
    <w:rsid w:val="00936E3A"/>
    <w:rsid w:val="00936E90"/>
    <w:rsid w:val="00937016"/>
    <w:rsid w:val="00937024"/>
    <w:rsid w:val="00937153"/>
    <w:rsid w:val="009371F3"/>
    <w:rsid w:val="009371F9"/>
    <w:rsid w:val="00937259"/>
    <w:rsid w:val="009372E2"/>
    <w:rsid w:val="00937470"/>
    <w:rsid w:val="0093754D"/>
    <w:rsid w:val="009375BE"/>
    <w:rsid w:val="009377A1"/>
    <w:rsid w:val="009377E8"/>
    <w:rsid w:val="009379B5"/>
    <w:rsid w:val="009379C2"/>
    <w:rsid w:val="009379DB"/>
    <w:rsid w:val="00937B02"/>
    <w:rsid w:val="00937F8E"/>
    <w:rsid w:val="009400CD"/>
    <w:rsid w:val="00940361"/>
    <w:rsid w:val="00940393"/>
    <w:rsid w:val="00940412"/>
    <w:rsid w:val="0094051D"/>
    <w:rsid w:val="009408FE"/>
    <w:rsid w:val="00940998"/>
    <w:rsid w:val="00940A35"/>
    <w:rsid w:val="00940AA8"/>
    <w:rsid w:val="00940DB6"/>
    <w:rsid w:val="00941015"/>
    <w:rsid w:val="00941117"/>
    <w:rsid w:val="00941172"/>
    <w:rsid w:val="00941422"/>
    <w:rsid w:val="0094145B"/>
    <w:rsid w:val="009414D9"/>
    <w:rsid w:val="00941590"/>
    <w:rsid w:val="00941682"/>
    <w:rsid w:val="009416E7"/>
    <w:rsid w:val="009417D3"/>
    <w:rsid w:val="00941B12"/>
    <w:rsid w:val="00941E50"/>
    <w:rsid w:val="00941F13"/>
    <w:rsid w:val="00941FE8"/>
    <w:rsid w:val="00941FFE"/>
    <w:rsid w:val="009420ED"/>
    <w:rsid w:val="0094228B"/>
    <w:rsid w:val="009423C7"/>
    <w:rsid w:val="009424FD"/>
    <w:rsid w:val="009425C4"/>
    <w:rsid w:val="009425E9"/>
    <w:rsid w:val="009429E5"/>
    <w:rsid w:val="00942B7A"/>
    <w:rsid w:val="00942E4B"/>
    <w:rsid w:val="009430DB"/>
    <w:rsid w:val="0094310F"/>
    <w:rsid w:val="00943163"/>
    <w:rsid w:val="00943377"/>
    <w:rsid w:val="009433B7"/>
    <w:rsid w:val="0094341E"/>
    <w:rsid w:val="0094345D"/>
    <w:rsid w:val="009434DA"/>
    <w:rsid w:val="009437FD"/>
    <w:rsid w:val="009439B4"/>
    <w:rsid w:val="00943D76"/>
    <w:rsid w:val="00943FD7"/>
    <w:rsid w:val="009441AA"/>
    <w:rsid w:val="009445C5"/>
    <w:rsid w:val="00944791"/>
    <w:rsid w:val="009447F6"/>
    <w:rsid w:val="009448C6"/>
    <w:rsid w:val="00944935"/>
    <w:rsid w:val="00944A27"/>
    <w:rsid w:val="00944B9B"/>
    <w:rsid w:val="00944DBF"/>
    <w:rsid w:val="00944EDE"/>
    <w:rsid w:val="00945303"/>
    <w:rsid w:val="00945697"/>
    <w:rsid w:val="00945BE6"/>
    <w:rsid w:val="00945C4A"/>
    <w:rsid w:val="00945C60"/>
    <w:rsid w:val="00945D74"/>
    <w:rsid w:val="00945D7C"/>
    <w:rsid w:val="00945E49"/>
    <w:rsid w:val="00945F2F"/>
    <w:rsid w:val="00945F58"/>
    <w:rsid w:val="009461B0"/>
    <w:rsid w:val="00946218"/>
    <w:rsid w:val="00946279"/>
    <w:rsid w:val="00946477"/>
    <w:rsid w:val="0094672C"/>
    <w:rsid w:val="0094679A"/>
    <w:rsid w:val="009467EB"/>
    <w:rsid w:val="009468DA"/>
    <w:rsid w:val="00946922"/>
    <w:rsid w:val="0094692E"/>
    <w:rsid w:val="00946D3A"/>
    <w:rsid w:val="00946F00"/>
    <w:rsid w:val="00946F18"/>
    <w:rsid w:val="00946F60"/>
    <w:rsid w:val="00946FDB"/>
    <w:rsid w:val="00946FEF"/>
    <w:rsid w:val="00947062"/>
    <w:rsid w:val="0094758A"/>
    <w:rsid w:val="0094768B"/>
    <w:rsid w:val="00947709"/>
    <w:rsid w:val="00947CF8"/>
    <w:rsid w:val="00947F7E"/>
    <w:rsid w:val="00947FAA"/>
    <w:rsid w:val="0095000F"/>
    <w:rsid w:val="009501B1"/>
    <w:rsid w:val="00950278"/>
    <w:rsid w:val="0095028C"/>
    <w:rsid w:val="009502E4"/>
    <w:rsid w:val="0095038F"/>
    <w:rsid w:val="009507A8"/>
    <w:rsid w:val="00950801"/>
    <w:rsid w:val="00950828"/>
    <w:rsid w:val="00950878"/>
    <w:rsid w:val="009509F5"/>
    <w:rsid w:val="00950C0B"/>
    <w:rsid w:val="00950CAE"/>
    <w:rsid w:val="00951028"/>
    <w:rsid w:val="009514D7"/>
    <w:rsid w:val="009516A9"/>
    <w:rsid w:val="00951BF2"/>
    <w:rsid w:val="00951C3B"/>
    <w:rsid w:val="00951EE0"/>
    <w:rsid w:val="00951F02"/>
    <w:rsid w:val="00951F0B"/>
    <w:rsid w:val="00951F5E"/>
    <w:rsid w:val="00952059"/>
    <w:rsid w:val="009522D5"/>
    <w:rsid w:val="009523CA"/>
    <w:rsid w:val="009523E7"/>
    <w:rsid w:val="0095255B"/>
    <w:rsid w:val="009525C5"/>
    <w:rsid w:val="0095261D"/>
    <w:rsid w:val="00952623"/>
    <w:rsid w:val="00952789"/>
    <w:rsid w:val="00952815"/>
    <w:rsid w:val="00952868"/>
    <w:rsid w:val="00952958"/>
    <w:rsid w:val="00952CE8"/>
    <w:rsid w:val="00952E94"/>
    <w:rsid w:val="00952EB3"/>
    <w:rsid w:val="0095335A"/>
    <w:rsid w:val="009533E5"/>
    <w:rsid w:val="00953469"/>
    <w:rsid w:val="009535CA"/>
    <w:rsid w:val="0095363B"/>
    <w:rsid w:val="00953701"/>
    <w:rsid w:val="0095374C"/>
    <w:rsid w:val="009537CF"/>
    <w:rsid w:val="009538D6"/>
    <w:rsid w:val="00953CAD"/>
    <w:rsid w:val="00953CD7"/>
    <w:rsid w:val="00953CE4"/>
    <w:rsid w:val="00953F0D"/>
    <w:rsid w:val="00953F11"/>
    <w:rsid w:val="009540BA"/>
    <w:rsid w:val="00954257"/>
    <w:rsid w:val="009542E9"/>
    <w:rsid w:val="00954473"/>
    <w:rsid w:val="00954958"/>
    <w:rsid w:val="0095495A"/>
    <w:rsid w:val="00954A37"/>
    <w:rsid w:val="00954C33"/>
    <w:rsid w:val="009551AA"/>
    <w:rsid w:val="00955268"/>
    <w:rsid w:val="009552B3"/>
    <w:rsid w:val="0095535F"/>
    <w:rsid w:val="00955738"/>
    <w:rsid w:val="0095574F"/>
    <w:rsid w:val="009557D7"/>
    <w:rsid w:val="00955A3C"/>
    <w:rsid w:val="00955B0D"/>
    <w:rsid w:val="00955C3E"/>
    <w:rsid w:val="00955CF4"/>
    <w:rsid w:val="00955D6F"/>
    <w:rsid w:val="00955EE6"/>
    <w:rsid w:val="0095625C"/>
    <w:rsid w:val="009562F9"/>
    <w:rsid w:val="0095663B"/>
    <w:rsid w:val="0095666C"/>
    <w:rsid w:val="009566F6"/>
    <w:rsid w:val="009567BC"/>
    <w:rsid w:val="00956842"/>
    <w:rsid w:val="0095689C"/>
    <w:rsid w:val="00956BA2"/>
    <w:rsid w:val="00956C96"/>
    <w:rsid w:val="00956EB3"/>
    <w:rsid w:val="0095724F"/>
    <w:rsid w:val="00957301"/>
    <w:rsid w:val="00957383"/>
    <w:rsid w:val="00957590"/>
    <w:rsid w:val="009575D9"/>
    <w:rsid w:val="0095762E"/>
    <w:rsid w:val="0095768B"/>
    <w:rsid w:val="009577A8"/>
    <w:rsid w:val="00957855"/>
    <w:rsid w:val="00957A6C"/>
    <w:rsid w:val="00957B56"/>
    <w:rsid w:val="00957B9F"/>
    <w:rsid w:val="00957BDC"/>
    <w:rsid w:val="00957BFA"/>
    <w:rsid w:val="00957C0D"/>
    <w:rsid w:val="00957C27"/>
    <w:rsid w:val="00957CE3"/>
    <w:rsid w:val="00957E52"/>
    <w:rsid w:val="00957F1C"/>
    <w:rsid w:val="009602A4"/>
    <w:rsid w:val="009602AC"/>
    <w:rsid w:val="00960336"/>
    <w:rsid w:val="00960367"/>
    <w:rsid w:val="00960516"/>
    <w:rsid w:val="00960A18"/>
    <w:rsid w:val="00960CB5"/>
    <w:rsid w:val="00960D12"/>
    <w:rsid w:val="00960EEB"/>
    <w:rsid w:val="00961047"/>
    <w:rsid w:val="009610FA"/>
    <w:rsid w:val="00961585"/>
    <w:rsid w:val="009617BF"/>
    <w:rsid w:val="00961C36"/>
    <w:rsid w:val="00961E8D"/>
    <w:rsid w:val="00961F73"/>
    <w:rsid w:val="00961F7C"/>
    <w:rsid w:val="00961FD8"/>
    <w:rsid w:val="00962185"/>
    <w:rsid w:val="00962389"/>
    <w:rsid w:val="009623D2"/>
    <w:rsid w:val="0096251B"/>
    <w:rsid w:val="0096263C"/>
    <w:rsid w:val="00962660"/>
    <w:rsid w:val="0096268B"/>
    <w:rsid w:val="0096270B"/>
    <w:rsid w:val="00962735"/>
    <w:rsid w:val="0096277B"/>
    <w:rsid w:val="0096280C"/>
    <w:rsid w:val="009629BE"/>
    <w:rsid w:val="00962A28"/>
    <w:rsid w:val="00962AC2"/>
    <w:rsid w:val="00962FAE"/>
    <w:rsid w:val="009632FE"/>
    <w:rsid w:val="00963378"/>
    <w:rsid w:val="00963505"/>
    <w:rsid w:val="0096352C"/>
    <w:rsid w:val="00963588"/>
    <w:rsid w:val="0096364D"/>
    <w:rsid w:val="009636E6"/>
    <w:rsid w:val="0096384A"/>
    <w:rsid w:val="009638E2"/>
    <w:rsid w:val="00963980"/>
    <w:rsid w:val="00963A02"/>
    <w:rsid w:val="00963A1E"/>
    <w:rsid w:val="00964041"/>
    <w:rsid w:val="00964110"/>
    <w:rsid w:val="0096411D"/>
    <w:rsid w:val="0096423D"/>
    <w:rsid w:val="00964336"/>
    <w:rsid w:val="009643EA"/>
    <w:rsid w:val="009648F5"/>
    <w:rsid w:val="00964969"/>
    <w:rsid w:val="009649A3"/>
    <w:rsid w:val="00964D22"/>
    <w:rsid w:val="00964D50"/>
    <w:rsid w:val="0096519F"/>
    <w:rsid w:val="0096537C"/>
    <w:rsid w:val="0096561D"/>
    <w:rsid w:val="0096562A"/>
    <w:rsid w:val="00965739"/>
    <w:rsid w:val="009659F6"/>
    <w:rsid w:val="00965B51"/>
    <w:rsid w:val="00965CBF"/>
    <w:rsid w:val="00965E78"/>
    <w:rsid w:val="0096616F"/>
    <w:rsid w:val="009662EE"/>
    <w:rsid w:val="009662F7"/>
    <w:rsid w:val="009664A8"/>
    <w:rsid w:val="009664DD"/>
    <w:rsid w:val="0096665C"/>
    <w:rsid w:val="0096668E"/>
    <w:rsid w:val="009666AF"/>
    <w:rsid w:val="009666B0"/>
    <w:rsid w:val="009667A0"/>
    <w:rsid w:val="009668EE"/>
    <w:rsid w:val="00966AE9"/>
    <w:rsid w:val="00966B50"/>
    <w:rsid w:val="00966CC6"/>
    <w:rsid w:val="00966E3E"/>
    <w:rsid w:val="009670AD"/>
    <w:rsid w:val="00967140"/>
    <w:rsid w:val="0096720C"/>
    <w:rsid w:val="009672B4"/>
    <w:rsid w:val="009672C6"/>
    <w:rsid w:val="0096734D"/>
    <w:rsid w:val="009673DF"/>
    <w:rsid w:val="00967419"/>
    <w:rsid w:val="009675DC"/>
    <w:rsid w:val="00967807"/>
    <w:rsid w:val="00967A42"/>
    <w:rsid w:val="00967F44"/>
    <w:rsid w:val="009700AF"/>
    <w:rsid w:val="009700C9"/>
    <w:rsid w:val="009704FE"/>
    <w:rsid w:val="009706BA"/>
    <w:rsid w:val="0097086E"/>
    <w:rsid w:val="00970923"/>
    <w:rsid w:val="00970992"/>
    <w:rsid w:val="00970A29"/>
    <w:rsid w:val="00970A2E"/>
    <w:rsid w:val="00970A5B"/>
    <w:rsid w:val="00970D97"/>
    <w:rsid w:val="00970DA6"/>
    <w:rsid w:val="00970DA8"/>
    <w:rsid w:val="009711AE"/>
    <w:rsid w:val="009714FB"/>
    <w:rsid w:val="00971742"/>
    <w:rsid w:val="00971897"/>
    <w:rsid w:val="009719C2"/>
    <w:rsid w:val="00971DB4"/>
    <w:rsid w:val="00971DC1"/>
    <w:rsid w:val="00971EAD"/>
    <w:rsid w:val="00971F22"/>
    <w:rsid w:val="00971F35"/>
    <w:rsid w:val="00971F87"/>
    <w:rsid w:val="00972022"/>
    <w:rsid w:val="009722AB"/>
    <w:rsid w:val="009726AD"/>
    <w:rsid w:val="00972700"/>
    <w:rsid w:val="0097298C"/>
    <w:rsid w:val="009729A6"/>
    <w:rsid w:val="009729B7"/>
    <w:rsid w:val="009729C8"/>
    <w:rsid w:val="00972A0B"/>
    <w:rsid w:val="00972FB8"/>
    <w:rsid w:val="00973414"/>
    <w:rsid w:val="00973419"/>
    <w:rsid w:val="009735B8"/>
    <w:rsid w:val="009735F4"/>
    <w:rsid w:val="00973786"/>
    <w:rsid w:val="00973872"/>
    <w:rsid w:val="00973BD4"/>
    <w:rsid w:val="00973CAA"/>
    <w:rsid w:val="00973DE0"/>
    <w:rsid w:val="00973F46"/>
    <w:rsid w:val="00974007"/>
    <w:rsid w:val="009744B1"/>
    <w:rsid w:val="009744E9"/>
    <w:rsid w:val="00974522"/>
    <w:rsid w:val="009748F0"/>
    <w:rsid w:val="00974977"/>
    <w:rsid w:val="009749EA"/>
    <w:rsid w:val="00974B25"/>
    <w:rsid w:val="00974BBB"/>
    <w:rsid w:val="00974C19"/>
    <w:rsid w:val="00974DAD"/>
    <w:rsid w:val="00975261"/>
    <w:rsid w:val="00975283"/>
    <w:rsid w:val="0097558B"/>
    <w:rsid w:val="00975657"/>
    <w:rsid w:val="00975726"/>
    <w:rsid w:val="00975769"/>
    <w:rsid w:val="009759B7"/>
    <w:rsid w:val="009759E1"/>
    <w:rsid w:val="00975A22"/>
    <w:rsid w:val="00975A78"/>
    <w:rsid w:val="00975AA1"/>
    <w:rsid w:val="00975E47"/>
    <w:rsid w:val="00975F51"/>
    <w:rsid w:val="00975F6B"/>
    <w:rsid w:val="009761E8"/>
    <w:rsid w:val="0097636C"/>
    <w:rsid w:val="009764A4"/>
    <w:rsid w:val="009764B2"/>
    <w:rsid w:val="0097664B"/>
    <w:rsid w:val="0097671D"/>
    <w:rsid w:val="009768C5"/>
    <w:rsid w:val="0097694E"/>
    <w:rsid w:val="00976A05"/>
    <w:rsid w:val="00976A15"/>
    <w:rsid w:val="00976B0F"/>
    <w:rsid w:val="00976BA8"/>
    <w:rsid w:val="00976BCA"/>
    <w:rsid w:val="00976DBC"/>
    <w:rsid w:val="00976E39"/>
    <w:rsid w:val="009773E2"/>
    <w:rsid w:val="0097747C"/>
    <w:rsid w:val="00977538"/>
    <w:rsid w:val="00977A91"/>
    <w:rsid w:val="00977AE5"/>
    <w:rsid w:val="00977AFC"/>
    <w:rsid w:val="00977E95"/>
    <w:rsid w:val="00977F98"/>
    <w:rsid w:val="009801F8"/>
    <w:rsid w:val="00980373"/>
    <w:rsid w:val="009805B7"/>
    <w:rsid w:val="009805EB"/>
    <w:rsid w:val="0098070E"/>
    <w:rsid w:val="00980895"/>
    <w:rsid w:val="00980AAB"/>
    <w:rsid w:val="00980BA1"/>
    <w:rsid w:val="00980C81"/>
    <w:rsid w:val="00980E21"/>
    <w:rsid w:val="00980E39"/>
    <w:rsid w:val="00980E64"/>
    <w:rsid w:val="00980F46"/>
    <w:rsid w:val="00980F61"/>
    <w:rsid w:val="009815E7"/>
    <w:rsid w:val="00981635"/>
    <w:rsid w:val="009816F0"/>
    <w:rsid w:val="009816FF"/>
    <w:rsid w:val="00981739"/>
    <w:rsid w:val="0098188E"/>
    <w:rsid w:val="009818A8"/>
    <w:rsid w:val="00981972"/>
    <w:rsid w:val="0098199F"/>
    <w:rsid w:val="00981BAB"/>
    <w:rsid w:val="00981C69"/>
    <w:rsid w:val="00981D12"/>
    <w:rsid w:val="00981EF5"/>
    <w:rsid w:val="00981EFB"/>
    <w:rsid w:val="00981F39"/>
    <w:rsid w:val="009820F4"/>
    <w:rsid w:val="00982112"/>
    <w:rsid w:val="0098236F"/>
    <w:rsid w:val="00982695"/>
    <w:rsid w:val="009826E7"/>
    <w:rsid w:val="00982A47"/>
    <w:rsid w:val="00982A7A"/>
    <w:rsid w:val="00982C0D"/>
    <w:rsid w:val="00982C75"/>
    <w:rsid w:val="00982CAD"/>
    <w:rsid w:val="00982E9E"/>
    <w:rsid w:val="00982EFF"/>
    <w:rsid w:val="00982F2E"/>
    <w:rsid w:val="00982FA5"/>
    <w:rsid w:val="00983246"/>
    <w:rsid w:val="0098335B"/>
    <w:rsid w:val="009834A4"/>
    <w:rsid w:val="00983513"/>
    <w:rsid w:val="00983577"/>
    <w:rsid w:val="00983605"/>
    <w:rsid w:val="009836DC"/>
    <w:rsid w:val="00983784"/>
    <w:rsid w:val="009839F3"/>
    <w:rsid w:val="00983B64"/>
    <w:rsid w:val="00983BF3"/>
    <w:rsid w:val="00983BF4"/>
    <w:rsid w:val="00983BFF"/>
    <w:rsid w:val="00983D51"/>
    <w:rsid w:val="00983DA5"/>
    <w:rsid w:val="00983E85"/>
    <w:rsid w:val="00984601"/>
    <w:rsid w:val="009846B0"/>
    <w:rsid w:val="00984991"/>
    <w:rsid w:val="00984CEB"/>
    <w:rsid w:val="00984E85"/>
    <w:rsid w:val="00984FDC"/>
    <w:rsid w:val="0098536B"/>
    <w:rsid w:val="00985375"/>
    <w:rsid w:val="009854F0"/>
    <w:rsid w:val="00985506"/>
    <w:rsid w:val="00985533"/>
    <w:rsid w:val="00985660"/>
    <w:rsid w:val="00985A06"/>
    <w:rsid w:val="00985AA0"/>
    <w:rsid w:val="00985B02"/>
    <w:rsid w:val="00985B90"/>
    <w:rsid w:val="00985CA3"/>
    <w:rsid w:val="00985DFF"/>
    <w:rsid w:val="00986124"/>
    <w:rsid w:val="00986273"/>
    <w:rsid w:val="009864CE"/>
    <w:rsid w:val="0098669F"/>
    <w:rsid w:val="009866AD"/>
    <w:rsid w:val="00986769"/>
    <w:rsid w:val="009867FF"/>
    <w:rsid w:val="00986811"/>
    <w:rsid w:val="009869E0"/>
    <w:rsid w:val="00986BAE"/>
    <w:rsid w:val="00986BC0"/>
    <w:rsid w:val="00986CF0"/>
    <w:rsid w:val="00986ED7"/>
    <w:rsid w:val="00986FAA"/>
    <w:rsid w:val="00987073"/>
    <w:rsid w:val="009870F0"/>
    <w:rsid w:val="009870F4"/>
    <w:rsid w:val="00987280"/>
    <w:rsid w:val="009872EB"/>
    <w:rsid w:val="00987408"/>
    <w:rsid w:val="0098741A"/>
    <w:rsid w:val="00987547"/>
    <w:rsid w:val="00987663"/>
    <w:rsid w:val="00987686"/>
    <w:rsid w:val="009878BC"/>
    <w:rsid w:val="0098793C"/>
    <w:rsid w:val="00987A22"/>
    <w:rsid w:val="00987A7C"/>
    <w:rsid w:val="00987AA2"/>
    <w:rsid w:val="00987B44"/>
    <w:rsid w:val="00987C03"/>
    <w:rsid w:val="00987CE6"/>
    <w:rsid w:val="00987EAC"/>
    <w:rsid w:val="009900B2"/>
    <w:rsid w:val="0099033E"/>
    <w:rsid w:val="0099039E"/>
    <w:rsid w:val="00990431"/>
    <w:rsid w:val="009909E2"/>
    <w:rsid w:val="00990B9F"/>
    <w:rsid w:val="00990CA4"/>
    <w:rsid w:val="009910A9"/>
    <w:rsid w:val="009910C3"/>
    <w:rsid w:val="00991175"/>
    <w:rsid w:val="009911EE"/>
    <w:rsid w:val="00991396"/>
    <w:rsid w:val="009913A1"/>
    <w:rsid w:val="00991427"/>
    <w:rsid w:val="00991464"/>
    <w:rsid w:val="0099146A"/>
    <w:rsid w:val="00991504"/>
    <w:rsid w:val="00991645"/>
    <w:rsid w:val="00991688"/>
    <w:rsid w:val="009916F4"/>
    <w:rsid w:val="0099178E"/>
    <w:rsid w:val="009917B4"/>
    <w:rsid w:val="00991A5E"/>
    <w:rsid w:val="00991F0E"/>
    <w:rsid w:val="009921F5"/>
    <w:rsid w:val="00992251"/>
    <w:rsid w:val="00992297"/>
    <w:rsid w:val="009922D1"/>
    <w:rsid w:val="00992343"/>
    <w:rsid w:val="009923BE"/>
    <w:rsid w:val="0099245A"/>
    <w:rsid w:val="009926C3"/>
    <w:rsid w:val="00992806"/>
    <w:rsid w:val="0099285C"/>
    <w:rsid w:val="00992860"/>
    <w:rsid w:val="00992880"/>
    <w:rsid w:val="009929EB"/>
    <w:rsid w:val="00992A38"/>
    <w:rsid w:val="00992A71"/>
    <w:rsid w:val="00992C34"/>
    <w:rsid w:val="00992DB0"/>
    <w:rsid w:val="00992EC8"/>
    <w:rsid w:val="00992F1C"/>
    <w:rsid w:val="00992F7A"/>
    <w:rsid w:val="0099308F"/>
    <w:rsid w:val="00993311"/>
    <w:rsid w:val="00993362"/>
    <w:rsid w:val="00993470"/>
    <w:rsid w:val="009935BD"/>
    <w:rsid w:val="00993916"/>
    <w:rsid w:val="00993BDD"/>
    <w:rsid w:val="00993C06"/>
    <w:rsid w:val="00993E1B"/>
    <w:rsid w:val="00993EB5"/>
    <w:rsid w:val="00993F4F"/>
    <w:rsid w:val="00993FE6"/>
    <w:rsid w:val="00994042"/>
    <w:rsid w:val="009940A0"/>
    <w:rsid w:val="0099413F"/>
    <w:rsid w:val="00994326"/>
    <w:rsid w:val="00994337"/>
    <w:rsid w:val="009943A6"/>
    <w:rsid w:val="009943CF"/>
    <w:rsid w:val="00994807"/>
    <w:rsid w:val="00994922"/>
    <w:rsid w:val="009949CF"/>
    <w:rsid w:val="00994A61"/>
    <w:rsid w:val="00994B15"/>
    <w:rsid w:val="00994B87"/>
    <w:rsid w:val="00994F64"/>
    <w:rsid w:val="00995012"/>
    <w:rsid w:val="00995063"/>
    <w:rsid w:val="009952F2"/>
    <w:rsid w:val="0099532A"/>
    <w:rsid w:val="0099533A"/>
    <w:rsid w:val="009957DA"/>
    <w:rsid w:val="0099594C"/>
    <w:rsid w:val="00995A63"/>
    <w:rsid w:val="00995D73"/>
    <w:rsid w:val="00995DEF"/>
    <w:rsid w:val="00995FF5"/>
    <w:rsid w:val="00995FF6"/>
    <w:rsid w:val="00996000"/>
    <w:rsid w:val="009961B0"/>
    <w:rsid w:val="009964AA"/>
    <w:rsid w:val="00996536"/>
    <w:rsid w:val="00996E69"/>
    <w:rsid w:val="00996FB0"/>
    <w:rsid w:val="00996FD8"/>
    <w:rsid w:val="00997162"/>
    <w:rsid w:val="00997241"/>
    <w:rsid w:val="009973C4"/>
    <w:rsid w:val="00997678"/>
    <w:rsid w:val="009976B6"/>
    <w:rsid w:val="009976C5"/>
    <w:rsid w:val="009979E3"/>
    <w:rsid w:val="00997B10"/>
    <w:rsid w:val="00997B97"/>
    <w:rsid w:val="00997CA7"/>
    <w:rsid w:val="00997F46"/>
    <w:rsid w:val="009A017E"/>
    <w:rsid w:val="009A021C"/>
    <w:rsid w:val="009A04C7"/>
    <w:rsid w:val="009A0563"/>
    <w:rsid w:val="009A0637"/>
    <w:rsid w:val="009A0BE9"/>
    <w:rsid w:val="009A0C16"/>
    <w:rsid w:val="009A0E28"/>
    <w:rsid w:val="009A0E8C"/>
    <w:rsid w:val="009A0EE5"/>
    <w:rsid w:val="009A1125"/>
    <w:rsid w:val="009A127E"/>
    <w:rsid w:val="009A137A"/>
    <w:rsid w:val="009A1651"/>
    <w:rsid w:val="009A16E9"/>
    <w:rsid w:val="009A17BD"/>
    <w:rsid w:val="009A1852"/>
    <w:rsid w:val="009A190A"/>
    <w:rsid w:val="009A1A68"/>
    <w:rsid w:val="009A1C11"/>
    <w:rsid w:val="009A1C74"/>
    <w:rsid w:val="009A2105"/>
    <w:rsid w:val="009A25BA"/>
    <w:rsid w:val="009A25E6"/>
    <w:rsid w:val="009A2A0C"/>
    <w:rsid w:val="009A2C50"/>
    <w:rsid w:val="009A2CFC"/>
    <w:rsid w:val="009A2D22"/>
    <w:rsid w:val="009A2F09"/>
    <w:rsid w:val="009A2F5D"/>
    <w:rsid w:val="009A307A"/>
    <w:rsid w:val="009A318A"/>
    <w:rsid w:val="009A3238"/>
    <w:rsid w:val="009A34A2"/>
    <w:rsid w:val="009A36D1"/>
    <w:rsid w:val="009A3875"/>
    <w:rsid w:val="009A3888"/>
    <w:rsid w:val="009A38B5"/>
    <w:rsid w:val="009A3E53"/>
    <w:rsid w:val="009A423C"/>
    <w:rsid w:val="009A423E"/>
    <w:rsid w:val="009A4256"/>
    <w:rsid w:val="009A4309"/>
    <w:rsid w:val="009A43D6"/>
    <w:rsid w:val="009A448F"/>
    <w:rsid w:val="009A46DE"/>
    <w:rsid w:val="009A4989"/>
    <w:rsid w:val="009A4A4D"/>
    <w:rsid w:val="009A4DDA"/>
    <w:rsid w:val="009A4E1A"/>
    <w:rsid w:val="009A5034"/>
    <w:rsid w:val="009A521A"/>
    <w:rsid w:val="009A530F"/>
    <w:rsid w:val="009A541F"/>
    <w:rsid w:val="009A5569"/>
    <w:rsid w:val="009A5700"/>
    <w:rsid w:val="009A57E2"/>
    <w:rsid w:val="009A5838"/>
    <w:rsid w:val="009A5911"/>
    <w:rsid w:val="009A5A88"/>
    <w:rsid w:val="009A5C01"/>
    <w:rsid w:val="009A5DC8"/>
    <w:rsid w:val="009A5F14"/>
    <w:rsid w:val="009A6165"/>
    <w:rsid w:val="009A62AF"/>
    <w:rsid w:val="009A63F8"/>
    <w:rsid w:val="009A6550"/>
    <w:rsid w:val="009A66CB"/>
    <w:rsid w:val="009A6733"/>
    <w:rsid w:val="009A673D"/>
    <w:rsid w:val="009A6807"/>
    <w:rsid w:val="009A6A12"/>
    <w:rsid w:val="009A6AE0"/>
    <w:rsid w:val="009A6D28"/>
    <w:rsid w:val="009A70F7"/>
    <w:rsid w:val="009A710D"/>
    <w:rsid w:val="009A7147"/>
    <w:rsid w:val="009A7194"/>
    <w:rsid w:val="009A71AB"/>
    <w:rsid w:val="009A757B"/>
    <w:rsid w:val="009A7718"/>
    <w:rsid w:val="009A7787"/>
    <w:rsid w:val="009A7B0F"/>
    <w:rsid w:val="009A7CF9"/>
    <w:rsid w:val="009A7D3E"/>
    <w:rsid w:val="009A7FA8"/>
    <w:rsid w:val="009B0190"/>
    <w:rsid w:val="009B02D4"/>
    <w:rsid w:val="009B02E5"/>
    <w:rsid w:val="009B0358"/>
    <w:rsid w:val="009B0533"/>
    <w:rsid w:val="009B06E4"/>
    <w:rsid w:val="009B0AC8"/>
    <w:rsid w:val="009B0C86"/>
    <w:rsid w:val="009B0CA5"/>
    <w:rsid w:val="009B0E1D"/>
    <w:rsid w:val="009B0EB8"/>
    <w:rsid w:val="009B0ED1"/>
    <w:rsid w:val="009B0F4A"/>
    <w:rsid w:val="009B0F74"/>
    <w:rsid w:val="009B1171"/>
    <w:rsid w:val="009B11A7"/>
    <w:rsid w:val="009B11B7"/>
    <w:rsid w:val="009B11DF"/>
    <w:rsid w:val="009B14A3"/>
    <w:rsid w:val="009B14B5"/>
    <w:rsid w:val="009B15E6"/>
    <w:rsid w:val="009B1643"/>
    <w:rsid w:val="009B1811"/>
    <w:rsid w:val="009B1E25"/>
    <w:rsid w:val="009B1E3B"/>
    <w:rsid w:val="009B1F5A"/>
    <w:rsid w:val="009B2098"/>
    <w:rsid w:val="009B20BA"/>
    <w:rsid w:val="009B22E5"/>
    <w:rsid w:val="009B22F1"/>
    <w:rsid w:val="009B246D"/>
    <w:rsid w:val="009B24A2"/>
    <w:rsid w:val="009B2538"/>
    <w:rsid w:val="009B2551"/>
    <w:rsid w:val="009B25FD"/>
    <w:rsid w:val="009B278E"/>
    <w:rsid w:val="009B290D"/>
    <w:rsid w:val="009B2AC9"/>
    <w:rsid w:val="009B2CD6"/>
    <w:rsid w:val="009B2CE9"/>
    <w:rsid w:val="009B2DA2"/>
    <w:rsid w:val="009B2ED9"/>
    <w:rsid w:val="009B3321"/>
    <w:rsid w:val="009B33A4"/>
    <w:rsid w:val="009B3492"/>
    <w:rsid w:val="009B34C7"/>
    <w:rsid w:val="009B35CC"/>
    <w:rsid w:val="009B3684"/>
    <w:rsid w:val="009B377C"/>
    <w:rsid w:val="009B37DC"/>
    <w:rsid w:val="009B381F"/>
    <w:rsid w:val="009B382F"/>
    <w:rsid w:val="009B3AD4"/>
    <w:rsid w:val="009B3AE2"/>
    <w:rsid w:val="009B3B6F"/>
    <w:rsid w:val="009B3E64"/>
    <w:rsid w:val="009B3EA9"/>
    <w:rsid w:val="009B3F64"/>
    <w:rsid w:val="009B4014"/>
    <w:rsid w:val="009B419F"/>
    <w:rsid w:val="009B420E"/>
    <w:rsid w:val="009B42DA"/>
    <w:rsid w:val="009B4679"/>
    <w:rsid w:val="009B47CE"/>
    <w:rsid w:val="009B48DC"/>
    <w:rsid w:val="009B4A4D"/>
    <w:rsid w:val="009B4B07"/>
    <w:rsid w:val="009B4DA7"/>
    <w:rsid w:val="009B4E66"/>
    <w:rsid w:val="009B5028"/>
    <w:rsid w:val="009B5062"/>
    <w:rsid w:val="009B5123"/>
    <w:rsid w:val="009B5298"/>
    <w:rsid w:val="009B53EE"/>
    <w:rsid w:val="009B558B"/>
    <w:rsid w:val="009B5636"/>
    <w:rsid w:val="009B599C"/>
    <w:rsid w:val="009B59D3"/>
    <w:rsid w:val="009B5A36"/>
    <w:rsid w:val="009B5CC6"/>
    <w:rsid w:val="009B5D10"/>
    <w:rsid w:val="009B5E5A"/>
    <w:rsid w:val="009B5E98"/>
    <w:rsid w:val="009B60DE"/>
    <w:rsid w:val="009B6484"/>
    <w:rsid w:val="009B65DE"/>
    <w:rsid w:val="009B662A"/>
    <w:rsid w:val="009B68CF"/>
    <w:rsid w:val="009B6924"/>
    <w:rsid w:val="009B6ACB"/>
    <w:rsid w:val="009B6B4C"/>
    <w:rsid w:val="009B6DFD"/>
    <w:rsid w:val="009B6E07"/>
    <w:rsid w:val="009B6E29"/>
    <w:rsid w:val="009B6EB9"/>
    <w:rsid w:val="009B6EC9"/>
    <w:rsid w:val="009B737D"/>
    <w:rsid w:val="009B743C"/>
    <w:rsid w:val="009B75E8"/>
    <w:rsid w:val="009B78E4"/>
    <w:rsid w:val="009B7ABC"/>
    <w:rsid w:val="009C0159"/>
    <w:rsid w:val="009C0160"/>
    <w:rsid w:val="009C03D5"/>
    <w:rsid w:val="009C0448"/>
    <w:rsid w:val="009C07EC"/>
    <w:rsid w:val="009C08C2"/>
    <w:rsid w:val="009C0A26"/>
    <w:rsid w:val="009C0A79"/>
    <w:rsid w:val="009C0B2B"/>
    <w:rsid w:val="009C0B2E"/>
    <w:rsid w:val="009C0DBE"/>
    <w:rsid w:val="009C0FEA"/>
    <w:rsid w:val="009C10D7"/>
    <w:rsid w:val="009C1136"/>
    <w:rsid w:val="009C1144"/>
    <w:rsid w:val="009C119A"/>
    <w:rsid w:val="009C11EC"/>
    <w:rsid w:val="009C12D3"/>
    <w:rsid w:val="009C1504"/>
    <w:rsid w:val="009C177E"/>
    <w:rsid w:val="009C17CC"/>
    <w:rsid w:val="009C17DE"/>
    <w:rsid w:val="009C1934"/>
    <w:rsid w:val="009C1937"/>
    <w:rsid w:val="009C195B"/>
    <w:rsid w:val="009C1C51"/>
    <w:rsid w:val="009C1DA4"/>
    <w:rsid w:val="009C1DA5"/>
    <w:rsid w:val="009C1E5B"/>
    <w:rsid w:val="009C1F69"/>
    <w:rsid w:val="009C223D"/>
    <w:rsid w:val="009C2241"/>
    <w:rsid w:val="009C2360"/>
    <w:rsid w:val="009C26E0"/>
    <w:rsid w:val="009C28C6"/>
    <w:rsid w:val="009C2B09"/>
    <w:rsid w:val="009C2C8F"/>
    <w:rsid w:val="009C2D26"/>
    <w:rsid w:val="009C3954"/>
    <w:rsid w:val="009C3F8C"/>
    <w:rsid w:val="009C411F"/>
    <w:rsid w:val="009C41D7"/>
    <w:rsid w:val="009C44D1"/>
    <w:rsid w:val="009C465E"/>
    <w:rsid w:val="009C48FC"/>
    <w:rsid w:val="009C4905"/>
    <w:rsid w:val="009C4990"/>
    <w:rsid w:val="009C49F2"/>
    <w:rsid w:val="009C4AF1"/>
    <w:rsid w:val="009C4B8F"/>
    <w:rsid w:val="009C4E0C"/>
    <w:rsid w:val="009C5290"/>
    <w:rsid w:val="009C52A3"/>
    <w:rsid w:val="009C54E3"/>
    <w:rsid w:val="009C5507"/>
    <w:rsid w:val="009C55DC"/>
    <w:rsid w:val="009C583A"/>
    <w:rsid w:val="009C5D27"/>
    <w:rsid w:val="009C5E69"/>
    <w:rsid w:val="009C5E9F"/>
    <w:rsid w:val="009C5F92"/>
    <w:rsid w:val="009C618B"/>
    <w:rsid w:val="009C63B4"/>
    <w:rsid w:val="009C64B3"/>
    <w:rsid w:val="009C64CE"/>
    <w:rsid w:val="009C6556"/>
    <w:rsid w:val="009C656F"/>
    <w:rsid w:val="009C661F"/>
    <w:rsid w:val="009C66F4"/>
    <w:rsid w:val="009C6739"/>
    <w:rsid w:val="009C676E"/>
    <w:rsid w:val="009C6957"/>
    <w:rsid w:val="009C6A47"/>
    <w:rsid w:val="009C6ABD"/>
    <w:rsid w:val="009C6CF4"/>
    <w:rsid w:val="009C6E40"/>
    <w:rsid w:val="009C6E72"/>
    <w:rsid w:val="009C6FA1"/>
    <w:rsid w:val="009C71BB"/>
    <w:rsid w:val="009C7447"/>
    <w:rsid w:val="009C746E"/>
    <w:rsid w:val="009C75B4"/>
    <w:rsid w:val="009C7824"/>
    <w:rsid w:val="009C7AF5"/>
    <w:rsid w:val="009C7BA1"/>
    <w:rsid w:val="009D0119"/>
    <w:rsid w:val="009D0314"/>
    <w:rsid w:val="009D039B"/>
    <w:rsid w:val="009D0577"/>
    <w:rsid w:val="009D05D2"/>
    <w:rsid w:val="009D07C3"/>
    <w:rsid w:val="009D0921"/>
    <w:rsid w:val="009D0ACE"/>
    <w:rsid w:val="009D0B6E"/>
    <w:rsid w:val="009D0C5B"/>
    <w:rsid w:val="009D0CEF"/>
    <w:rsid w:val="009D0E3A"/>
    <w:rsid w:val="009D0ECB"/>
    <w:rsid w:val="009D0F80"/>
    <w:rsid w:val="009D1138"/>
    <w:rsid w:val="009D116B"/>
    <w:rsid w:val="009D11AA"/>
    <w:rsid w:val="009D1239"/>
    <w:rsid w:val="009D1384"/>
    <w:rsid w:val="009D13E1"/>
    <w:rsid w:val="009D13E6"/>
    <w:rsid w:val="009D1567"/>
    <w:rsid w:val="009D15BD"/>
    <w:rsid w:val="009D186D"/>
    <w:rsid w:val="009D1D14"/>
    <w:rsid w:val="009D1D21"/>
    <w:rsid w:val="009D1D23"/>
    <w:rsid w:val="009D1DB3"/>
    <w:rsid w:val="009D1F50"/>
    <w:rsid w:val="009D1F5D"/>
    <w:rsid w:val="009D2145"/>
    <w:rsid w:val="009D2834"/>
    <w:rsid w:val="009D2A54"/>
    <w:rsid w:val="009D2A73"/>
    <w:rsid w:val="009D2BE6"/>
    <w:rsid w:val="009D2E86"/>
    <w:rsid w:val="009D2E91"/>
    <w:rsid w:val="009D2EF2"/>
    <w:rsid w:val="009D2F4E"/>
    <w:rsid w:val="009D30B4"/>
    <w:rsid w:val="009D317D"/>
    <w:rsid w:val="009D3445"/>
    <w:rsid w:val="009D34AD"/>
    <w:rsid w:val="009D35D8"/>
    <w:rsid w:val="009D36BF"/>
    <w:rsid w:val="009D3A73"/>
    <w:rsid w:val="009D3B1B"/>
    <w:rsid w:val="009D3C02"/>
    <w:rsid w:val="009D3DED"/>
    <w:rsid w:val="009D40C4"/>
    <w:rsid w:val="009D40CC"/>
    <w:rsid w:val="009D40EA"/>
    <w:rsid w:val="009D414E"/>
    <w:rsid w:val="009D42AC"/>
    <w:rsid w:val="009D42B4"/>
    <w:rsid w:val="009D44AC"/>
    <w:rsid w:val="009D47AC"/>
    <w:rsid w:val="009D48CB"/>
    <w:rsid w:val="009D4CA9"/>
    <w:rsid w:val="009D4D16"/>
    <w:rsid w:val="009D4E10"/>
    <w:rsid w:val="009D500B"/>
    <w:rsid w:val="009D513F"/>
    <w:rsid w:val="009D54D3"/>
    <w:rsid w:val="009D5696"/>
    <w:rsid w:val="009D58E4"/>
    <w:rsid w:val="009D592A"/>
    <w:rsid w:val="009D5BD0"/>
    <w:rsid w:val="009D5C42"/>
    <w:rsid w:val="009D5DE2"/>
    <w:rsid w:val="009D5EA2"/>
    <w:rsid w:val="009D5F3C"/>
    <w:rsid w:val="009D6174"/>
    <w:rsid w:val="009D65F5"/>
    <w:rsid w:val="009D66A3"/>
    <w:rsid w:val="009D66C3"/>
    <w:rsid w:val="009D672B"/>
    <w:rsid w:val="009D6775"/>
    <w:rsid w:val="009D67AA"/>
    <w:rsid w:val="009D67ED"/>
    <w:rsid w:val="009D68BA"/>
    <w:rsid w:val="009D6C08"/>
    <w:rsid w:val="009D6CB3"/>
    <w:rsid w:val="009D6E56"/>
    <w:rsid w:val="009D6ED8"/>
    <w:rsid w:val="009D6EE3"/>
    <w:rsid w:val="009D704C"/>
    <w:rsid w:val="009D716D"/>
    <w:rsid w:val="009D71AE"/>
    <w:rsid w:val="009D755A"/>
    <w:rsid w:val="009D75ED"/>
    <w:rsid w:val="009D774D"/>
    <w:rsid w:val="009D778B"/>
    <w:rsid w:val="009D7A23"/>
    <w:rsid w:val="009D7B3C"/>
    <w:rsid w:val="009D7DE7"/>
    <w:rsid w:val="009D7EFA"/>
    <w:rsid w:val="009D7FEE"/>
    <w:rsid w:val="009E00D5"/>
    <w:rsid w:val="009E0105"/>
    <w:rsid w:val="009E011F"/>
    <w:rsid w:val="009E0344"/>
    <w:rsid w:val="009E0544"/>
    <w:rsid w:val="009E06F7"/>
    <w:rsid w:val="009E07F2"/>
    <w:rsid w:val="009E08B8"/>
    <w:rsid w:val="009E0E2D"/>
    <w:rsid w:val="009E1079"/>
    <w:rsid w:val="009E11B8"/>
    <w:rsid w:val="009E11BD"/>
    <w:rsid w:val="009E133A"/>
    <w:rsid w:val="009E139F"/>
    <w:rsid w:val="009E13DA"/>
    <w:rsid w:val="009E1470"/>
    <w:rsid w:val="009E1572"/>
    <w:rsid w:val="009E1742"/>
    <w:rsid w:val="009E19D4"/>
    <w:rsid w:val="009E1BE4"/>
    <w:rsid w:val="009E1C0E"/>
    <w:rsid w:val="009E1EC2"/>
    <w:rsid w:val="009E1EEA"/>
    <w:rsid w:val="009E1F89"/>
    <w:rsid w:val="009E208C"/>
    <w:rsid w:val="009E2129"/>
    <w:rsid w:val="009E2381"/>
    <w:rsid w:val="009E26B2"/>
    <w:rsid w:val="009E26F3"/>
    <w:rsid w:val="009E272F"/>
    <w:rsid w:val="009E282A"/>
    <w:rsid w:val="009E2A3B"/>
    <w:rsid w:val="009E2B5C"/>
    <w:rsid w:val="009E2B68"/>
    <w:rsid w:val="009E2C45"/>
    <w:rsid w:val="009E2D36"/>
    <w:rsid w:val="009E2DFE"/>
    <w:rsid w:val="009E36A9"/>
    <w:rsid w:val="009E381F"/>
    <w:rsid w:val="009E389A"/>
    <w:rsid w:val="009E3938"/>
    <w:rsid w:val="009E396B"/>
    <w:rsid w:val="009E3BD3"/>
    <w:rsid w:val="009E3C53"/>
    <w:rsid w:val="009E3E47"/>
    <w:rsid w:val="009E3F48"/>
    <w:rsid w:val="009E431D"/>
    <w:rsid w:val="009E45B8"/>
    <w:rsid w:val="009E48BB"/>
    <w:rsid w:val="009E493A"/>
    <w:rsid w:val="009E493D"/>
    <w:rsid w:val="009E49D0"/>
    <w:rsid w:val="009E4C0B"/>
    <w:rsid w:val="009E4C24"/>
    <w:rsid w:val="009E4CB1"/>
    <w:rsid w:val="009E4E1E"/>
    <w:rsid w:val="009E4E53"/>
    <w:rsid w:val="009E4F51"/>
    <w:rsid w:val="009E502D"/>
    <w:rsid w:val="009E5506"/>
    <w:rsid w:val="009E56D5"/>
    <w:rsid w:val="009E5788"/>
    <w:rsid w:val="009E58AB"/>
    <w:rsid w:val="009E58D2"/>
    <w:rsid w:val="009E5A28"/>
    <w:rsid w:val="009E5ADC"/>
    <w:rsid w:val="009E5B1B"/>
    <w:rsid w:val="009E5BA6"/>
    <w:rsid w:val="009E6189"/>
    <w:rsid w:val="009E640D"/>
    <w:rsid w:val="009E64E7"/>
    <w:rsid w:val="009E6558"/>
    <w:rsid w:val="009E657F"/>
    <w:rsid w:val="009E65A9"/>
    <w:rsid w:val="009E69B8"/>
    <w:rsid w:val="009E6B60"/>
    <w:rsid w:val="009E6D75"/>
    <w:rsid w:val="009E6D76"/>
    <w:rsid w:val="009E6ED8"/>
    <w:rsid w:val="009E6F21"/>
    <w:rsid w:val="009E6F76"/>
    <w:rsid w:val="009E7083"/>
    <w:rsid w:val="009E70BA"/>
    <w:rsid w:val="009E71EC"/>
    <w:rsid w:val="009E72CC"/>
    <w:rsid w:val="009E7312"/>
    <w:rsid w:val="009E735E"/>
    <w:rsid w:val="009E73F9"/>
    <w:rsid w:val="009E7675"/>
    <w:rsid w:val="009E7717"/>
    <w:rsid w:val="009E77AF"/>
    <w:rsid w:val="009E7863"/>
    <w:rsid w:val="009E79BF"/>
    <w:rsid w:val="009E7B7A"/>
    <w:rsid w:val="009E7BF4"/>
    <w:rsid w:val="009E7C0B"/>
    <w:rsid w:val="009E7C40"/>
    <w:rsid w:val="009E7F08"/>
    <w:rsid w:val="009F0156"/>
    <w:rsid w:val="009F0427"/>
    <w:rsid w:val="009F054C"/>
    <w:rsid w:val="009F0D94"/>
    <w:rsid w:val="009F0E1E"/>
    <w:rsid w:val="009F0F2B"/>
    <w:rsid w:val="009F0F44"/>
    <w:rsid w:val="009F1149"/>
    <w:rsid w:val="009F11A9"/>
    <w:rsid w:val="009F136F"/>
    <w:rsid w:val="009F14CC"/>
    <w:rsid w:val="009F167A"/>
    <w:rsid w:val="009F16A7"/>
    <w:rsid w:val="009F16C1"/>
    <w:rsid w:val="009F1B40"/>
    <w:rsid w:val="009F1BEA"/>
    <w:rsid w:val="009F1C4F"/>
    <w:rsid w:val="009F1CBA"/>
    <w:rsid w:val="009F1CE4"/>
    <w:rsid w:val="009F1F40"/>
    <w:rsid w:val="009F20A2"/>
    <w:rsid w:val="009F21AA"/>
    <w:rsid w:val="009F2585"/>
    <w:rsid w:val="009F282B"/>
    <w:rsid w:val="009F2907"/>
    <w:rsid w:val="009F2943"/>
    <w:rsid w:val="009F29C7"/>
    <w:rsid w:val="009F2A6C"/>
    <w:rsid w:val="009F2C15"/>
    <w:rsid w:val="009F2C2D"/>
    <w:rsid w:val="009F2CAF"/>
    <w:rsid w:val="009F2CDB"/>
    <w:rsid w:val="009F2D53"/>
    <w:rsid w:val="009F2DF0"/>
    <w:rsid w:val="009F2F8D"/>
    <w:rsid w:val="009F34F0"/>
    <w:rsid w:val="009F363E"/>
    <w:rsid w:val="009F38D7"/>
    <w:rsid w:val="009F3903"/>
    <w:rsid w:val="009F3B69"/>
    <w:rsid w:val="009F3E8F"/>
    <w:rsid w:val="009F3F18"/>
    <w:rsid w:val="009F4284"/>
    <w:rsid w:val="009F42CC"/>
    <w:rsid w:val="009F42E8"/>
    <w:rsid w:val="009F43A2"/>
    <w:rsid w:val="009F43C2"/>
    <w:rsid w:val="009F45F8"/>
    <w:rsid w:val="009F4788"/>
    <w:rsid w:val="009F4B3D"/>
    <w:rsid w:val="009F4DA7"/>
    <w:rsid w:val="009F4E47"/>
    <w:rsid w:val="009F4F81"/>
    <w:rsid w:val="009F5021"/>
    <w:rsid w:val="009F5401"/>
    <w:rsid w:val="009F5477"/>
    <w:rsid w:val="009F5575"/>
    <w:rsid w:val="009F57DA"/>
    <w:rsid w:val="009F58A9"/>
    <w:rsid w:val="009F5CF5"/>
    <w:rsid w:val="009F5DBF"/>
    <w:rsid w:val="009F5ECD"/>
    <w:rsid w:val="009F600C"/>
    <w:rsid w:val="009F6106"/>
    <w:rsid w:val="009F62F5"/>
    <w:rsid w:val="009F667D"/>
    <w:rsid w:val="009F6689"/>
    <w:rsid w:val="009F6939"/>
    <w:rsid w:val="009F6943"/>
    <w:rsid w:val="009F6AA1"/>
    <w:rsid w:val="009F6C94"/>
    <w:rsid w:val="009F6F22"/>
    <w:rsid w:val="009F6FB6"/>
    <w:rsid w:val="009F7051"/>
    <w:rsid w:val="009F7123"/>
    <w:rsid w:val="009F72C7"/>
    <w:rsid w:val="009F7355"/>
    <w:rsid w:val="009F74AF"/>
    <w:rsid w:val="009F7663"/>
    <w:rsid w:val="009F7862"/>
    <w:rsid w:val="009F79A1"/>
    <w:rsid w:val="009F7A17"/>
    <w:rsid w:val="009F7A1A"/>
    <w:rsid w:val="009F7B10"/>
    <w:rsid w:val="009F7B28"/>
    <w:rsid w:val="009F7B8A"/>
    <w:rsid w:val="009F7C9E"/>
    <w:rsid w:val="009F7F69"/>
    <w:rsid w:val="00A0007B"/>
    <w:rsid w:val="00A00380"/>
    <w:rsid w:val="00A0047C"/>
    <w:rsid w:val="00A004EE"/>
    <w:rsid w:val="00A00561"/>
    <w:rsid w:val="00A006E8"/>
    <w:rsid w:val="00A00822"/>
    <w:rsid w:val="00A00B4A"/>
    <w:rsid w:val="00A00D30"/>
    <w:rsid w:val="00A00D31"/>
    <w:rsid w:val="00A00F44"/>
    <w:rsid w:val="00A0110B"/>
    <w:rsid w:val="00A012FF"/>
    <w:rsid w:val="00A0160E"/>
    <w:rsid w:val="00A018D2"/>
    <w:rsid w:val="00A0197D"/>
    <w:rsid w:val="00A01A6C"/>
    <w:rsid w:val="00A01C12"/>
    <w:rsid w:val="00A01D91"/>
    <w:rsid w:val="00A01DE5"/>
    <w:rsid w:val="00A01EF7"/>
    <w:rsid w:val="00A01F85"/>
    <w:rsid w:val="00A02003"/>
    <w:rsid w:val="00A02195"/>
    <w:rsid w:val="00A021AB"/>
    <w:rsid w:val="00A021FD"/>
    <w:rsid w:val="00A024C0"/>
    <w:rsid w:val="00A0260F"/>
    <w:rsid w:val="00A027A7"/>
    <w:rsid w:val="00A02813"/>
    <w:rsid w:val="00A029C6"/>
    <w:rsid w:val="00A02A78"/>
    <w:rsid w:val="00A02B92"/>
    <w:rsid w:val="00A0307F"/>
    <w:rsid w:val="00A0317F"/>
    <w:rsid w:val="00A0330D"/>
    <w:rsid w:val="00A034EC"/>
    <w:rsid w:val="00A035C9"/>
    <w:rsid w:val="00A03664"/>
    <w:rsid w:val="00A03773"/>
    <w:rsid w:val="00A03A20"/>
    <w:rsid w:val="00A03A56"/>
    <w:rsid w:val="00A03D53"/>
    <w:rsid w:val="00A04252"/>
    <w:rsid w:val="00A043C8"/>
    <w:rsid w:val="00A04503"/>
    <w:rsid w:val="00A04763"/>
    <w:rsid w:val="00A0486A"/>
    <w:rsid w:val="00A04955"/>
    <w:rsid w:val="00A04A09"/>
    <w:rsid w:val="00A04A20"/>
    <w:rsid w:val="00A04B07"/>
    <w:rsid w:val="00A04C0A"/>
    <w:rsid w:val="00A05389"/>
    <w:rsid w:val="00A05577"/>
    <w:rsid w:val="00A056D6"/>
    <w:rsid w:val="00A0576F"/>
    <w:rsid w:val="00A0590F"/>
    <w:rsid w:val="00A05A98"/>
    <w:rsid w:val="00A05B82"/>
    <w:rsid w:val="00A05CF1"/>
    <w:rsid w:val="00A05E0C"/>
    <w:rsid w:val="00A05EFC"/>
    <w:rsid w:val="00A061A0"/>
    <w:rsid w:val="00A063C1"/>
    <w:rsid w:val="00A064FE"/>
    <w:rsid w:val="00A066BD"/>
    <w:rsid w:val="00A066E1"/>
    <w:rsid w:val="00A06854"/>
    <w:rsid w:val="00A0692C"/>
    <w:rsid w:val="00A06A7D"/>
    <w:rsid w:val="00A06CE2"/>
    <w:rsid w:val="00A06E09"/>
    <w:rsid w:val="00A07171"/>
    <w:rsid w:val="00A07199"/>
    <w:rsid w:val="00A072F0"/>
    <w:rsid w:val="00A074E9"/>
    <w:rsid w:val="00A075E7"/>
    <w:rsid w:val="00A076B8"/>
    <w:rsid w:val="00A0789E"/>
    <w:rsid w:val="00A078BD"/>
    <w:rsid w:val="00A079A3"/>
    <w:rsid w:val="00A079AF"/>
    <w:rsid w:val="00A07A93"/>
    <w:rsid w:val="00A07AE4"/>
    <w:rsid w:val="00A07BB2"/>
    <w:rsid w:val="00A07F5E"/>
    <w:rsid w:val="00A07F84"/>
    <w:rsid w:val="00A10117"/>
    <w:rsid w:val="00A10144"/>
    <w:rsid w:val="00A10179"/>
    <w:rsid w:val="00A103A1"/>
    <w:rsid w:val="00A105C1"/>
    <w:rsid w:val="00A106AB"/>
    <w:rsid w:val="00A10724"/>
    <w:rsid w:val="00A108F8"/>
    <w:rsid w:val="00A10A12"/>
    <w:rsid w:val="00A10A5A"/>
    <w:rsid w:val="00A10E75"/>
    <w:rsid w:val="00A10FDD"/>
    <w:rsid w:val="00A110C1"/>
    <w:rsid w:val="00A11112"/>
    <w:rsid w:val="00A113B7"/>
    <w:rsid w:val="00A11475"/>
    <w:rsid w:val="00A11602"/>
    <w:rsid w:val="00A116E7"/>
    <w:rsid w:val="00A1175F"/>
    <w:rsid w:val="00A1196A"/>
    <w:rsid w:val="00A11A90"/>
    <w:rsid w:val="00A11BF5"/>
    <w:rsid w:val="00A11D22"/>
    <w:rsid w:val="00A11F48"/>
    <w:rsid w:val="00A11FE3"/>
    <w:rsid w:val="00A121D8"/>
    <w:rsid w:val="00A12397"/>
    <w:rsid w:val="00A12A20"/>
    <w:rsid w:val="00A12A96"/>
    <w:rsid w:val="00A12AC0"/>
    <w:rsid w:val="00A12B2F"/>
    <w:rsid w:val="00A12DD2"/>
    <w:rsid w:val="00A12F07"/>
    <w:rsid w:val="00A12FA1"/>
    <w:rsid w:val="00A134CC"/>
    <w:rsid w:val="00A13819"/>
    <w:rsid w:val="00A1386A"/>
    <w:rsid w:val="00A13920"/>
    <w:rsid w:val="00A13FF8"/>
    <w:rsid w:val="00A141D2"/>
    <w:rsid w:val="00A142F9"/>
    <w:rsid w:val="00A14552"/>
    <w:rsid w:val="00A14558"/>
    <w:rsid w:val="00A145B1"/>
    <w:rsid w:val="00A14780"/>
    <w:rsid w:val="00A147C6"/>
    <w:rsid w:val="00A14B64"/>
    <w:rsid w:val="00A14D49"/>
    <w:rsid w:val="00A14DDD"/>
    <w:rsid w:val="00A14FC8"/>
    <w:rsid w:val="00A1521A"/>
    <w:rsid w:val="00A15391"/>
    <w:rsid w:val="00A1567D"/>
    <w:rsid w:val="00A15760"/>
    <w:rsid w:val="00A1583C"/>
    <w:rsid w:val="00A15BFB"/>
    <w:rsid w:val="00A15E7E"/>
    <w:rsid w:val="00A16033"/>
    <w:rsid w:val="00A160C5"/>
    <w:rsid w:val="00A160DC"/>
    <w:rsid w:val="00A16198"/>
    <w:rsid w:val="00A1635E"/>
    <w:rsid w:val="00A16503"/>
    <w:rsid w:val="00A165A0"/>
    <w:rsid w:val="00A167A6"/>
    <w:rsid w:val="00A167FD"/>
    <w:rsid w:val="00A1684A"/>
    <w:rsid w:val="00A16866"/>
    <w:rsid w:val="00A16B52"/>
    <w:rsid w:val="00A16C2D"/>
    <w:rsid w:val="00A16C81"/>
    <w:rsid w:val="00A16D70"/>
    <w:rsid w:val="00A16D83"/>
    <w:rsid w:val="00A16DA0"/>
    <w:rsid w:val="00A16FCC"/>
    <w:rsid w:val="00A17051"/>
    <w:rsid w:val="00A172D6"/>
    <w:rsid w:val="00A172D9"/>
    <w:rsid w:val="00A174FB"/>
    <w:rsid w:val="00A17583"/>
    <w:rsid w:val="00A1770B"/>
    <w:rsid w:val="00A1777A"/>
    <w:rsid w:val="00A177F4"/>
    <w:rsid w:val="00A178CC"/>
    <w:rsid w:val="00A17A2B"/>
    <w:rsid w:val="00A17B89"/>
    <w:rsid w:val="00A17D1B"/>
    <w:rsid w:val="00A17EB2"/>
    <w:rsid w:val="00A2004A"/>
    <w:rsid w:val="00A20413"/>
    <w:rsid w:val="00A205A7"/>
    <w:rsid w:val="00A205CC"/>
    <w:rsid w:val="00A205F0"/>
    <w:rsid w:val="00A205FB"/>
    <w:rsid w:val="00A207FA"/>
    <w:rsid w:val="00A20947"/>
    <w:rsid w:val="00A20B07"/>
    <w:rsid w:val="00A20B35"/>
    <w:rsid w:val="00A20BB1"/>
    <w:rsid w:val="00A20E10"/>
    <w:rsid w:val="00A20FD2"/>
    <w:rsid w:val="00A2100A"/>
    <w:rsid w:val="00A21058"/>
    <w:rsid w:val="00A210A2"/>
    <w:rsid w:val="00A210AD"/>
    <w:rsid w:val="00A210D6"/>
    <w:rsid w:val="00A210EB"/>
    <w:rsid w:val="00A213B0"/>
    <w:rsid w:val="00A21688"/>
    <w:rsid w:val="00A2169F"/>
    <w:rsid w:val="00A2182F"/>
    <w:rsid w:val="00A21949"/>
    <w:rsid w:val="00A21A00"/>
    <w:rsid w:val="00A21AE5"/>
    <w:rsid w:val="00A21B5A"/>
    <w:rsid w:val="00A21BD0"/>
    <w:rsid w:val="00A21CC0"/>
    <w:rsid w:val="00A21DEB"/>
    <w:rsid w:val="00A21E86"/>
    <w:rsid w:val="00A21E9F"/>
    <w:rsid w:val="00A221DE"/>
    <w:rsid w:val="00A222C7"/>
    <w:rsid w:val="00A223E0"/>
    <w:rsid w:val="00A2249D"/>
    <w:rsid w:val="00A22801"/>
    <w:rsid w:val="00A22876"/>
    <w:rsid w:val="00A22942"/>
    <w:rsid w:val="00A22D52"/>
    <w:rsid w:val="00A22EF5"/>
    <w:rsid w:val="00A22F80"/>
    <w:rsid w:val="00A23035"/>
    <w:rsid w:val="00A2304C"/>
    <w:rsid w:val="00A230B1"/>
    <w:rsid w:val="00A23458"/>
    <w:rsid w:val="00A235BF"/>
    <w:rsid w:val="00A2370D"/>
    <w:rsid w:val="00A23792"/>
    <w:rsid w:val="00A2388F"/>
    <w:rsid w:val="00A238FE"/>
    <w:rsid w:val="00A23AA2"/>
    <w:rsid w:val="00A23B7D"/>
    <w:rsid w:val="00A23DE7"/>
    <w:rsid w:val="00A23F32"/>
    <w:rsid w:val="00A24095"/>
    <w:rsid w:val="00A24146"/>
    <w:rsid w:val="00A2443D"/>
    <w:rsid w:val="00A244EF"/>
    <w:rsid w:val="00A2459B"/>
    <w:rsid w:val="00A24793"/>
    <w:rsid w:val="00A24890"/>
    <w:rsid w:val="00A24B04"/>
    <w:rsid w:val="00A24B43"/>
    <w:rsid w:val="00A24CCA"/>
    <w:rsid w:val="00A24DA8"/>
    <w:rsid w:val="00A24DC2"/>
    <w:rsid w:val="00A24E02"/>
    <w:rsid w:val="00A24E12"/>
    <w:rsid w:val="00A24E9C"/>
    <w:rsid w:val="00A2500B"/>
    <w:rsid w:val="00A25119"/>
    <w:rsid w:val="00A2524D"/>
    <w:rsid w:val="00A256A9"/>
    <w:rsid w:val="00A25774"/>
    <w:rsid w:val="00A25804"/>
    <w:rsid w:val="00A259D5"/>
    <w:rsid w:val="00A25A24"/>
    <w:rsid w:val="00A25D72"/>
    <w:rsid w:val="00A25E65"/>
    <w:rsid w:val="00A260E9"/>
    <w:rsid w:val="00A26106"/>
    <w:rsid w:val="00A2613E"/>
    <w:rsid w:val="00A2629F"/>
    <w:rsid w:val="00A2630D"/>
    <w:rsid w:val="00A26311"/>
    <w:rsid w:val="00A263A4"/>
    <w:rsid w:val="00A263AD"/>
    <w:rsid w:val="00A2647B"/>
    <w:rsid w:val="00A2654E"/>
    <w:rsid w:val="00A265BE"/>
    <w:rsid w:val="00A26906"/>
    <w:rsid w:val="00A26B94"/>
    <w:rsid w:val="00A26BA1"/>
    <w:rsid w:val="00A26E30"/>
    <w:rsid w:val="00A26E3C"/>
    <w:rsid w:val="00A26FB4"/>
    <w:rsid w:val="00A27068"/>
    <w:rsid w:val="00A270C7"/>
    <w:rsid w:val="00A27382"/>
    <w:rsid w:val="00A27546"/>
    <w:rsid w:val="00A275F7"/>
    <w:rsid w:val="00A2767D"/>
    <w:rsid w:val="00A27AED"/>
    <w:rsid w:val="00A27B32"/>
    <w:rsid w:val="00A27D00"/>
    <w:rsid w:val="00A27EA0"/>
    <w:rsid w:val="00A3001F"/>
    <w:rsid w:val="00A303BB"/>
    <w:rsid w:val="00A30510"/>
    <w:rsid w:val="00A30700"/>
    <w:rsid w:val="00A3081E"/>
    <w:rsid w:val="00A30ABA"/>
    <w:rsid w:val="00A30BE6"/>
    <w:rsid w:val="00A30C7D"/>
    <w:rsid w:val="00A30CFD"/>
    <w:rsid w:val="00A30D4A"/>
    <w:rsid w:val="00A30EA1"/>
    <w:rsid w:val="00A30FD4"/>
    <w:rsid w:val="00A3107F"/>
    <w:rsid w:val="00A31229"/>
    <w:rsid w:val="00A31307"/>
    <w:rsid w:val="00A31342"/>
    <w:rsid w:val="00A3139E"/>
    <w:rsid w:val="00A31404"/>
    <w:rsid w:val="00A314E5"/>
    <w:rsid w:val="00A3165F"/>
    <w:rsid w:val="00A31776"/>
    <w:rsid w:val="00A317B6"/>
    <w:rsid w:val="00A31851"/>
    <w:rsid w:val="00A31859"/>
    <w:rsid w:val="00A31A31"/>
    <w:rsid w:val="00A31A8B"/>
    <w:rsid w:val="00A31AA7"/>
    <w:rsid w:val="00A32073"/>
    <w:rsid w:val="00A32085"/>
    <w:rsid w:val="00A320CE"/>
    <w:rsid w:val="00A32297"/>
    <w:rsid w:val="00A324D2"/>
    <w:rsid w:val="00A32649"/>
    <w:rsid w:val="00A326D2"/>
    <w:rsid w:val="00A328F2"/>
    <w:rsid w:val="00A32A96"/>
    <w:rsid w:val="00A32B72"/>
    <w:rsid w:val="00A32B8A"/>
    <w:rsid w:val="00A32C40"/>
    <w:rsid w:val="00A32C48"/>
    <w:rsid w:val="00A32E1A"/>
    <w:rsid w:val="00A32E8E"/>
    <w:rsid w:val="00A32EE0"/>
    <w:rsid w:val="00A32FD6"/>
    <w:rsid w:val="00A3306B"/>
    <w:rsid w:val="00A330F9"/>
    <w:rsid w:val="00A331BD"/>
    <w:rsid w:val="00A33515"/>
    <w:rsid w:val="00A3351D"/>
    <w:rsid w:val="00A3353D"/>
    <w:rsid w:val="00A337AA"/>
    <w:rsid w:val="00A3383B"/>
    <w:rsid w:val="00A33A6A"/>
    <w:rsid w:val="00A33BF7"/>
    <w:rsid w:val="00A340FF"/>
    <w:rsid w:val="00A34410"/>
    <w:rsid w:val="00A34784"/>
    <w:rsid w:val="00A347C1"/>
    <w:rsid w:val="00A3488A"/>
    <w:rsid w:val="00A34921"/>
    <w:rsid w:val="00A34D07"/>
    <w:rsid w:val="00A34E91"/>
    <w:rsid w:val="00A34F1A"/>
    <w:rsid w:val="00A352EE"/>
    <w:rsid w:val="00A35815"/>
    <w:rsid w:val="00A35928"/>
    <w:rsid w:val="00A35AEE"/>
    <w:rsid w:val="00A35B59"/>
    <w:rsid w:val="00A35CA5"/>
    <w:rsid w:val="00A35E3F"/>
    <w:rsid w:val="00A35EDD"/>
    <w:rsid w:val="00A3623E"/>
    <w:rsid w:val="00A3626D"/>
    <w:rsid w:val="00A36381"/>
    <w:rsid w:val="00A3667A"/>
    <w:rsid w:val="00A3677E"/>
    <w:rsid w:val="00A3680A"/>
    <w:rsid w:val="00A36950"/>
    <w:rsid w:val="00A36A5B"/>
    <w:rsid w:val="00A36AA9"/>
    <w:rsid w:val="00A36C02"/>
    <w:rsid w:val="00A36C85"/>
    <w:rsid w:val="00A36CEB"/>
    <w:rsid w:val="00A36F28"/>
    <w:rsid w:val="00A36F5B"/>
    <w:rsid w:val="00A370D5"/>
    <w:rsid w:val="00A371E1"/>
    <w:rsid w:val="00A372AC"/>
    <w:rsid w:val="00A372FB"/>
    <w:rsid w:val="00A373B1"/>
    <w:rsid w:val="00A373DD"/>
    <w:rsid w:val="00A3757E"/>
    <w:rsid w:val="00A375A3"/>
    <w:rsid w:val="00A37608"/>
    <w:rsid w:val="00A3798D"/>
    <w:rsid w:val="00A37AA0"/>
    <w:rsid w:val="00A37AC6"/>
    <w:rsid w:val="00A37B8F"/>
    <w:rsid w:val="00A37BAC"/>
    <w:rsid w:val="00A40040"/>
    <w:rsid w:val="00A400E3"/>
    <w:rsid w:val="00A401F5"/>
    <w:rsid w:val="00A4026C"/>
    <w:rsid w:val="00A404CF"/>
    <w:rsid w:val="00A4068B"/>
    <w:rsid w:val="00A40937"/>
    <w:rsid w:val="00A4098F"/>
    <w:rsid w:val="00A40CA3"/>
    <w:rsid w:val="00A40D5A"/>
    <w:rsid w:val="00A40E21"/>
    <w:rsid w:val="00A40EDA"/>
    <w:rsid w:val="00A410C1"/>
    <w:rsid w:val="00A4120E"/>
    <w:rsid w:val="00A4124B"/>
    <w:rsid w:val="00A412D3"/>
    <w:rsid w:val="00A41303"/>
    <w:rsid w:val="00A41398"/>
    <w:rsid w:val="00A413D7"/>
    <w:rsid w:val="00A415F0"/>
    <w:rsid w:val="00A4180F"/>
    <w:rsid w:val="00A4192F"/>
    <w:rsid w:val="00A41A3E"/>
    <w:rsid w:val="00A41A5F"/>
    <w:rsid w:val="00A41CFE"/>
    <w:rsid w:val="00A41D79"/>
    <w:rsid w:val="00A42060"/>
    <w:rsid w:val="00A421D2"/>
    <w:rsid w:val="00A423FA"/>
    <w:rsid w:val="00A425C3"/>
    <w:rsid w:val="00A42840"/>
    <w:rsid w:val="00A4297E"/>
    <w:rsid w:val="00A429E1"/>
    <w:rsid w:val="00A42D44"/>
    <w:rsid w:val="00A42D84"/>
    <w:rsid w:val="00A42EC4"/>
    <w:rsid w:val="00A42F81"/>
    <w:rsid w:val="00A4313A"/>
    <w:rsid w:val="00A432A1"/>
    <w:rsid w:val="00A432EA"/>
    <w:rsid w:val="00A4339D"/>
    <w:rsid w:val="00A43403"/>
    <w:rsid w:val="00A4345E"/>
    <w:rsid w:val="00A4361E"/>
    <w:rsid w:val="00A439A0"/>
    <w:rsid w:val="00A439AD"/>
    <w:rsid w:val="00A43A79"/>
    <w:rsid w:val="00A43BFC"/>
    <w:rsid w:val="00A43E87"/>
    <w:rsid w:val="00A43E92"/>
    <w:rsid w:val="00A43EB7"/>
    <w:rsid w:val="00A43EF5"/>
    <w:rsid w:val="00A43F28"/>
    <w:rsid w:val="00A43FB8"/>
    <w:rsid w:val="00A44152"/>
    <w:rsid w:val="00A4432E"/>
    <w:rsid w:val="00A44467"/>
    <w:rsid w:val="00A44499"/>
    <w:rsid w:val="00A44867"/>
    <w:rsid w:val="00A449FE"/>
    <w:rsid w:val="00A44AB7"/>
    <w:rsid w:val="00A44BE4"/>
    <w:rsid w:val="00A44E19"/>
    <w:rsid w:val="00A451E3"/>
    <w:rsid w:val="00A4520D"/>
    <w:rsid w:val="00A452A7"/>
    <w:rsid w:val="00A453A5"/>
    <w:rsid w:val="00A45576"/>
    <w:rsid w:val="00A455F8"/>
    <w:rsid w:val="00A456D4"/>
    <w:rsid w:val="00A45851"/>
    <w:rsid w:val="00A45D0A"/>
    <w:rsid w:val="00A45DEA"/>
    <w:rsid w:val="00A45E7D"/>
    <w:rsid w:val="00A45F32"/>
    <w:rsid w:val="00A45F9A"/>
    <w:rsid w:val="00A4600D"/>
    <w:rsid w:val="00A46234"/>
    <w:rsid w:val="00A46340"/>
    <w:rsid w:val="00A463AB"/>
    <w:rsid w:val="00A4642C"/>
    <w:rsid w:val="00A46682"/>
    <w:rsid w:val="00A4677E"/>
    <w:rsid w:val="00A46A65"/>
    <w:rsid w:val="00A46CAF"/>
    <w:rsid w:val="00A46D0C"/>
    <w:rsid w:val="00A46DBB"/>
    <w:rsid w:val="00A46E49"/>
    <w:rsid w:val="00A4701D"/>
    <w:rsid w:val="00A4729C"/>
    <w:rsid w:val="00A47766"/>
    <w:rsid w:val="00A4787D"/>
    <w:rsid w:val="00A47997"/>
    <w:rsid w:val="00A479DC"/>
    <w:rsid w:val="00A47BC3"/>
    <w:rsid w:val="00A47D3D"/>
    <w:rsid w:val="00A47E74"/>
    <w:rsid w:val="00A47FB6"/>
    <w:rsid w:val="00A50053"/>
    <w:rsid w:val="00A50164"/>
    <w:rsid w:val="00A502B0"/>
    <w:rsid w:val="00A50446"/>
    <w:rsid w:val="00A504A9"/>
    <w:rsid w:val="00A504CF"/>
    <w:rsid w:val="00A505C4"/>
    <w:rsid w:val="00A50A79"/>
    <w:rsid w:val="00A50BA4"/>
    <w:rsid w:val="00A50CE6"/>
    <w:rsid w:val="00A50DCB"/>
    <w:rsid w:val="00A50E34"/>
    <w:rsid w:val="00A50E90"/>
    <w:rsid w:val="00A51097"/>
    <w:rsid w:val="00A5131C"/>
    <w:rsid w:val="00A51431"/>
    <w:rsid w:val="00A51469"/>
    <w:rsid w:val="00A51625"/>
    <w:rsid w:val="00A51B7A"/>
    <w:rsid w:val="00A51E4F"/>
    <w:rsid w:val="00A523DF"/>
    <w:rsid w:val="00A52A02"/>
    <w:rsid w:val="00A52A25"/>
    <w:rsid w:val="00A52A73"/>
    <w:rsid w:val="00A52B10"/>
    <w:rsid w:val="00A52CAC"/>
    <w:rsid w:val="00A52DFD"/>
    <w:rsid w:val="00A52F8F"/>
    <w:rsid w:val="00A52F92"/>
    <w:rsid w:val="00A52FF4"/>
    <w:rsid w:val="00A53426"/>
    <w:rsid w:val="00A534EA"/>
    <w:rsid w:val="00A5362A"/>
    <w:rsid w:val="00A537A6"/>
    <w:rsid w:val="00A539BE"/>
    <w:rsid w:val="00A539CB"/>
    <w:rsid w:val="00A53DF9"/>
    <w:rsid w:val="00A53EAE"/>
    <w:rsid w:val="00A53FEF"/>
    <w:rsid w:val="00A54248"/>
    <w:rsid w:val="00A5439A"/>
    <w:rsid w:val="00A5450D"/>
    <w:rsid w:val="00A54552"/>
    <w:rsid w:val="00A54584"/>
    <w:rsid w:val="00A545BD"/>
    <w:rsid w:val="00A54706"/>
    <w:rsid w:val="00A54737"/>
    <w:rsid w:val="00A5477E"/>
    <w:rsid w:val="00A54880"/>
    <w:rsid w:val="00A5494A"/>
    <w:rsid w:val="00A54AD1"/>
    <w:rsid w:val="00A54AEA"/>
    <w:rsid w:val="00A54BF0"/>
    <w:rsid w:val="00A54D8C"/>
    <w:rsid w:val="00A54EFB"/>
    <w:rsid w:val="00A55014"/>
    <w:rsid w:val="00A55226"/>
    <w:rsid w:val="00A55251"/>
    <w:rsid w:val="00A5550F"/>
    <w:rsid w:val="00A5558C"/>
    <w:rsid w:val="00A55765"/>
    <w:rsid w:val="00A5592F"/>
    <w:rsid w:val="00A55AF8"/>
    <w:rsid w:val="00A55B4C"/>
    <w:rsid w:val="00A55BA3"/>
    <w:rsid w:val="00A55DFF"/>
    <w:rsid w:val="00A55E43"/>
    <w:rsid w:val="00A56230"/>
    <w:rsid w:val="00A56272"/>
    <w:rsid w:val="00A5639E"/>
    <w:rsid w:val="00A5647A"/>
    <w:rsid w:val="00A564A9"/>
    <w:rsid w:val="00A56545"/>
    <w:rsid w:val="00A56771"/>
    <w:rsid w:val="00A5693B"/>
    <w:rsid w:val="00A56974"/>
    <w:rsid w:val="00A56AEB"/>
    <w:rsid w:val="00A56B40"/>
    <w:rsid w:val="00A56BD4"/>
    <w:rsid w:val="00A56C9E"/>
    <w:rsid w:val="00A56D07"/>
    <w:rsid w:val="00A56D92"/>
    <w:rsid w:val="00A56DE5"/>
    <w:rsid w:val="00A56F6E"/>
    <w:rsid w:val="00A570D9"/>
    <w:rsid w:val="00A5738E"/>
    <w:rsid w:val="00A57491"/>
    <w:rsid w:val="00A57525"/>
    <w:rsid w:val="00A5769E"/>
    <w:rsid w:val="00A57818"/>
    <w:rsid w:val="00A578D5"/>
    <w:rsid w:val="00A5797C"/>
    <w:rsid w:val="00A57C4A"/>
    <w:rsid w:val="00A57FDF"/>
    <w:rsid w:val="00A60035"/>
    <w:rsid w:val="00A60381"/>
    <w:rsid w:val="00A6098C"/>
    <w:rsid w:val="00A60A40"/>
    <w:rsid w:val="00A60CE9"/>
    <w:rsid w:val="00A60D4C"/>
    <w:rsid w:val="00A60F7B"/>
    <w:rsid w:val="00A60FB5"/>
    <w:rsid w:val="00A6126B"/>
    <w:rsid w:val="00A61501"/>
    <w:rsid w:val="00A6166F"/>
    <w:rsid w:val="00A61680"/>
    <w:rsid w:val="00A618E5"/>
    <w:rsid w:val="00A61C52"/>
    <w:rsid w:val="00A61D07"/>
    <w:rsid w:val="00A61D6D"/>
    <w:rsid w:val="00A62144"/>
    <w:rsid w:val="00A626CB"/>
    <w:rsid w:val="00A62857"/>
    <w:rsid w:val="00A62AF3"/>
    <w:rsid w:val="00A62B27"/>
    <w:rsid w:val="00A63210"/>
    <w:rsid w:val="00A6327E"/>
    <w:rsid w:val="00A632AC"/>
    <w:rsid w:val="00A6332C"/>
    <w:rsid w:val="00A63446"/>
    <w:rsid w:val="00A6350F"/>
    <w:rsid w:val="00A63617"/>
    <w:rsid w:val="00A6378B"/>
    <w:rsid w:val="00A638C5"/>
    <w:rsid w:val="00A63BC6"/>
    <w:rsid w:val="00A63D62"/>
    <w:rsid w:val="00A63DA4"/>
    <w:rsid w:val="00A640B4"/>
    <w:rsid w:val="00A6414A"/>
    <w:rsid w:val="00A64174"/>
    <w:rsid w:val="00A64493"/>
    <w:rsid w:val="00A64499"/>
    <w:rsid w:val="00A64769"/>
    <w:rsid w:val="00A64799"/>
    <w:rsid w:val="00A64AE3"/>
    <w:rsid w:val="00A64BE6"/>
    <w:rsid w:val="00A64D1B"/>
    <w:rsid w:val="00A64F47"/>
    <w:rsid w:val="00A6504A"/>
    <w:rsid w:val="00A65087"/>
    <w:rsid w:val="00A65126"/>
    <w:rsid w:val="00A65320"/>
    <w:rsid w:val="00A65397"/>
    <w:rsid w:val="00A65417"/>
    <w:rsid w:val="00A65527"/>
    <w:rsid w:val="00A655B8"/>
    <w:rsid w:val="00A65629"/>
    <w:rsid w:val="00A65656"/>
    <w:rsid w:val="00A65708"/>
    <w:rsid w:val="00A65A5A"/>
    <w:rsid w:val="00A65B1D"/>
    <w:rsid w:val="00A65CFA"/>
    <w:rsid w:val="00A65D2B"/>
    <w:rsid w:val="00A65D5C"/>
    <w:rsid w:val="00A65F15"/>
    <w:rsid w:val="00A660F6"/>
    <w:rsid w:val="00A663C9"/>
    <w:rsid w:val="00A6651B"/>
    <w:rsid w:val="00A66632"/>
    <w:rsid w:val="00A667FB"/>
    <w:rsid w:val="00A669BE"/>
    <w:rsid w:val="00A66A71"/>
    <w:rsid w:val="00A66A74"/>
    <w:rsid w:val="00A66AA8"/>
    <w:rsid w:val="00A66BBD"/>
    <w:rsid w:val="00A66C72"/>
    <w:rsid w:val="00A66E9F"/>
    <w:rsid w:val="00A66F0E"/>
    <w:rsid w:val="00A66F38"/>
    <w:rsid w:val="00A66F43"/>
    <w:rsid w:val="00A67072"/>
    <w:rsid w:val="00A671B8"/>
    <w:rsid w:val="00A6735D"/>
    <w:rsid w:val="00A67515"/>
    <w:rsid w:val="00A67584"/>
    <w:rsid w:val="00A6764D"/>
    <w:rsid w:val="00A678A7"/>
    <w:rsid w:val="00A678BF"/>
    <w:rsid w:val="00A678E9"/>
    <w:rsid w:val="00A67928"/>
    <w:rsid w:val="00A6797F"/>
    <w:rsid w:val="00A67A26"/>
    <w:rsid w:val="00A67A8E"/>
    <w:rsid w:val="00A67B83"/>
    <w:rsid w:val="00A67C39"/>
    <w:rsid w:val="00A67C93"/>
    <w:rsid w:val="00A67DF3"/>
    <w:rsid w:val="00A67E24"/>
    <w:rsid w:val="00A67FF0"/>
    <w:rsid w:val="00A7001A"/>
    <w:rsid w:val="00A70020"/>
    <w:rsid w:val="00A700B9"/>
    <w:rsid w:val="00A70117"/>
    <w:rsid w:val="00A7030F"/>
    <w:rsid w:val="00A70355"/>
    <w:rsid w:val="00A706CB"/>
    <w:rsid w:val="00A70792"/>
    <w:rsid w:val="00A70A56"/>
    <w:rsid w:val="00A70CCF"/>
    <w:rsid w:val="00A70D18"/>
    <w:rsid w:val="00A70D85"/>
    <w:rsid w:val="00A7100D"/>
    <w:rsid w:val="00A71019"/>
    <w:rsid w:val="00A7130B"/>
    <w:rsid w:val="00A71343"/>
    <w:rsid w:val="00A714F2"/>
    <w:rsid w:val="00A71A18"/>
    <w:rsid w:val="00A71A20"/>
    <w:rsid w:val="00A71E5D"/>
    <w:rsid w:val="00A71E9A"/>
    <w:rsid w:val="00A7209F"/>
    <w:rsid w:val="00A720CC"/>
    <w:rsid w:val="00A7221A"/>
    <w:rsid w:val="00A7237E"/>
    <w:rsid w:val="00A72414"/>
    <w:rsid w:val="00A7246B"/>
    <w:rsid w:val="00A72496"/>
    <w:rsid w:val="00A724BE"/>
    <w:rsid w:val="00A725C9"/>
    <w:rsid w:val="00A726CB"/>
    <w:rsid w:val="00A72774"/>
    <w:rsid w:val="00A727EC"/>
    <w:rsid w:val="00A7283F"/>
    <w:rsid w:val="00A728E4"/>
    <w:rsid w:val="00A72954"/>
    <w:rsid w:val="00A729DF"/>
    <w:rsid w:val="00A72BCD"/>
    <w:rsid w:val="00A72D25"/>
    <w:rsid w:val="00A72DAE"/>
    <w:rsid w:val="00A72E4D"/>
    <w:rsid w:val="00A72F7A"/>
    <w:rsid w:val="00A73379"/>
    <w:rsid w:val="00A737B2"/>
    <w:rsid w:val="00A744D0"/>
    <w:rsid w:val="00A744DE"/>
    <w:rsid w:val="00A7460D"/>
    <w:rsid w:val="00A74783"/>
    <w:rsid w:val="00A748B1"/>
    <w:rsid w:val="00A748EC"/>
    <w:rsid w:val="00A74AF8"/>
    <w:rsid w:val="00A74E2E"/>
    <w:rsid w:val="00A74EF3"/>
    <w:rsid w:val="00A74F1D"/>
    <w:rsid w:val="00A74F7F"/>
    <w:rsid w:val="00A7501D"/>
    <w:rsid w:val="00A75087"/>
    <w:rsid w:val="00A750BF"/>
    <w:rsid w:val="00A75252"/>
    <w:rsid w:val="00A752FC"/>
    <w:rsid w:val="00A75359"/>
    <w:rsid w:val="00A753DE"/>
    <w:rsid w:val="00A753F8"/>
    <w:rsid w:val="00A75430"/>
    <w:rsid w:val="00A756DC"/>
    <w:rsid w:val="00A75841"/>
    <w:rsid w:val="00A75B12"/>
    <w:rsid w:val="00A75E27"/>
    <w:rsid w:val="00A7602F"/>
    <w:rsid w:val="00A76132"/>
    <w:rsid w:val="00A764BA"/>
    <w:rsid w:val="00A76505"/>
    <w:rsid w:val="00A76572"/>
    <w:rsid w:val="00A76726"/>
    <w:rsid w:val="00A7681F"/>
    <w:rsid w:val="00A76ABC"/>
    <w:rsid w:val="00A76BD4"/>
    <w:rsid w:val="00A76CF2"/>
    <w:rsid w:val="00A76EBF"/>
    <w:rsid w:val="00A77044"/>
    <w:rsid w:val="00A770B0"/>
    <w:rsid w:val="00A770F1"/>
    <w:rsid w:val="00A777C2"/>
    <w:rsid w:val="00A779C2"/>
    <w:rsid w:val="00A77A6B"/>
    <w:rsid w:val="00A77B1E"/>
    <w:rsid w:val="00A77BF2"/>
    <w:rsid w:val="00A77C0B"/>
    <w:rsid w:val="00A77CED"/>
    <w:rsid w:val="00A77E38"/>
    <w:rsid w:val="00A77EB1"/>
    <w:rsid w:val="00A80088"/>
    <w:rsid w:val="00A80374"/>
    <w:rsid w:val="00A8039D"/>
    <w:rsid w:val="00A804CB"/>
    <w:rsid w:val="00A8057F"/>
    <w:rsid w:val="00A806F1"/>
    <w:rsid w:val="00A807FF"/>
    <w:rsid w:val="00A80841"/>
    <w:rsid w:val="00A8085C"/>
    <w:rsid w:val="00A80A0F"/>
    <w:rsid w:val="00A80AB5"/>
    <w:rsid w:val="00A80AD3"/>
    <w:rsid w:val="00A80D15"/>
    <w:rsid w:val="00A80D60"/>
    <w:rsid w:val="00A80E8F"/>
    <w:rsid w:val="00A8109A"/>
    <w:rsid w:val="00A8127E"/>
    <w:rsid w:val="00A8139B"/>
    <w:rsid w:val="00A814A2"/>
    <w:rsid w:val="00A81651"/>
    <w:rsid w:val="00A817BE"/>
    <w:rsid w:val="00A818C5"/>
    <w:rsid w:val="00A819A1"/>
    <w:rsid w:val="00A81ACF"/>
    <w:rsid w:val="00A81AD5"/>
    <w:rsid w:val="00A81B35"/>
    <w:rsid w:val="00A81CEA"/>
    <w:rsid w:val="00A81F7D"/>
    <w:rsid w:val="00A82014"/>
    <w:rsid w:val="00A824FB"/>
    <w:rsid w:val="00A825A0"/>
    <w:rsid w:val="00A8269D"/>
    <w:rsid w:val="00A82782"/>
    <w:rsid w:val="00A827A1"/>
    <w:rsid w:val="00A827DD"/>
    <w:rsid w:val="00A82852"/>
    <w:rsid w:val="00A82DEC"/>
    <w:rsid w:val="00A82ECC"/>
    <w:rsid w:val="00A8309E"/>
    <w:rsid w:val="00A830F4"/>
    <w:rsid w:val="00A830FB"/>
    <w:rsid w:val="00A8325D"/>
    <w:rsid w:val="00A832F5"/>
    <w:rsid w:val="00A8349E"/>
    <w:rsid w:val="00A834AA"/>
    <w:rsid w:val="00A83FF8"/>
    <w:rsid w:val="00A840BE"/>
    <w:rsid w:val="00A8414F"/>
    <w:rsid w:val="00A8419E"/>
    <w:rsid w:val="00A8420A"/>
    <w:rsid w:val="00A84236"/>
    <w:rsid w:val="00A84408"/>
    <w:rsid w:val="00A84444"/>
    <w:rsid w:val="00A845E8"/>
    <w:rsid w:val="00A845FD"/>
    <w:rsid w:val="00A84857"/>
    <w:rsid w:val="00A84BDD"/>
    <w:rsid w:val="00A84E98"/>
    <w:rsid w:val="00A84F68"/>
    <w:rsid w:val="00A8528F"/>
    <w:rsid w:val="00A853D5"/>
    <w:rsid w:val="00A853DC"/>
    <w:rsid w:val="00A853EC"/>
    <w:rsid w:val="00A85592"/>
    <w:rsid w:val="00A85617"/>
    <w:rsid w:val="00A856BE"/>
    <w:rsid w:val="00A85766"/>
    <w:rsid w:val="00A85807"/>
    <w:rsid w:val="00A85ADD"/>
    <w:rsid w:val="00A85CFE"/>
    <w:rsid w:val="00A85D05"/>
    <w:rsid w:val="00A85D6F"/>
    <w:rsid w:val="00A86132"/>
    <w:rsid w:val="00A86198"/>
    <w:rsid w:val="00A8647C"/>
    <w:rsid w:val="00A8650B"/>
    <w:rsid w:val="00A866A2"/>
    <w:rsid w:val="00A866E1"/>
    <w:rsid w:val="00A86707"/>
    <w:rsid w:val="00A867FA"/>
    <w:rsid w:val="00A868D5"/>
    <w:rsid w:val="00A86A87"/>
    <w:rsid w:val="00A86C39"/>
    <w:rsid w:val="00A86E54"/>
    <w:rsid w:val="00A86E6B"/>
    <w:rsid w:val="00A86FAF"/>
    <w:rsid w:val="00A86FDA"/>
    <w:rsid w:val="00A870A1"/>
    <w:rsid w:val="00A87172"/>
    <w:rsid w:val="00A87281"/>
    <w:rsid w:val="00A8770E"/>
    <w:rsid w:val="00A87780"/>
    <w:rsid w:val="00A87799"/>
    <w:rsid w:val="00A877C6"/>
    <w:rsid w:val="00A8788E"/>
    <w:rsid w:val="00A878D5"/>
    <w:rsid w:val="00A879E3"/>
    <w:rsid w:val="00A87AB4"/>
    <w:rsid w:val="00A87B40"/>
    <w:rsid w:val="00A87EED"/>
    <w:rsid w:val="00A87FFD"/>
    <w:rsid w:val="00A90181"/>
    <w:rsid w:val="00A90199"/>
    <w:rsid w:val="00A90400"/>
    <w:rsid w:val="00A904DD"/>
    <w:rsid w:val="00A905F3"/>
    <w:rsid w:val="00A90788"/>
    <w:rsid w:val="00A90831"/>
    <w:rsid w:val="00A90890"/>
    <w:rsid w:val="00A90AB5"/>
    <w:rsid w:val="00A90D92"/>
    <w:rsid w:val="00A90EAB"/>
    <w:rsid w:val="00A90EF3"/>
    <w:rsid w:val="00A90F54"/>
    <w:rsid w:val="00A91026"/>
    <w:rsid w:val="00A91047"/>
    <w:rsid w:val="00A91278"/>
    <w:rsid w:val="00A9183C"/>
    <w:rsid w:val="00A91979"/>
    <w:rsid w:val="00A91AF7"/>
    <w:rsid w:val="00A91BAF"/>
    <w:rsid w:val="00A91CB6"/>
    <w:rsid w:val="00A91FE0"/>
    <w:rsid w:val="00A92493"/>
    <w:rsid w:val="00A92592"/>
    <w:rsid w:val="00A92643"/>
    <w:rsid w:val="00A9270F"/>
    <w:rsid w:val="00A92A3C"/>
    <w:rsid w:val="00A92AAF"/>
    <w:rsid w:val="00A92BC8"/>
    <w:rsid w:val="00A92C8F"/>
    <w:rsid w:val="00A92D67"/>
    <w:rsid w:val="00A92EE0"/>
    <w:rsid w:val="00A92F2B"/>
    <w:rsid w:val="00A92F2D"/>
    <w:rsid w:val="00A932A5"/>
    <w:rsid w:val="00A932D7"/>
    <w:rsid w:val="00A93735"/>
    <w:rsid w:val="00A938DC"/>
    <w:rsid w:val="00A93A34"/>
    <w:rsid w:val="00A93AAC"/>
    <w:rsid w:val="00A93B48"/>
    <w:rsid w:val="00A93D92"/>
    <w:rsid w:val="00A93DEF"/>
    <w:rsid w:val="00A93E46"/>
    <w:rsid w:val="00A93F65"/>
    <w:rsid w:val="00A944C7"/>
    <w:rsid w:val="00A946A6"/>
    <w:rsid w:val="00A94704"/>
    <w:rsid w:val="00A947B6"/>
    <w:rsid w:val="00A947D6"/>
    <w:rsid w:val="00A94921"/>
    <w:rsid w:val="00A94C08"/>
    <w:rsid w:val="00A94E6B"/>
    <w:rsid w:val="00A94F6E"/>
    <w:rsid w:val="00A94FC4"/>
    <w:rsid w:val="00A950F1"/>
    <w:rsid w:val="00A9511E"/>
    <w:rsid w:val="00A951B7"/>
    <w:rsid w:val="00A951C6"/>
    <w:rsid w:val="00A953E2"/>
    <w:rsid w:val="00A9553E"/>
    <w:rsid w:val="00A95612"/>
    <w:rsid w:val="00A95625"/>
    <w:rsid w:val="00A95651"/>
    <w:rsid w:val="00A95744"/>
    <w:rsid w:val="00A959EA"/>
    <w:rsid w:val="00A95A36"/>
    <w:rsid w:val="00A95A7B"/>
    <w:rsid w:val="00A95BEB"/>
    <w:rsid w:val="00A95C03"/>
    <w:rsid w:val="00A95C66"/>
    <w:rsid w:val="00A95D37"/>
    <w:rsid w:val="00A95F82"/>
    <w:rsid w:val="00A9600E"/>
    <w:rsid w:val="00A96178"/>
    <w:rsid w:val="00A96319"/>
    <w:rsid w:val="00A964D7"/>
    <w:rsid w:val="00A96537"/>
    <w:rsid w:val="00A965B6"/>
    <w:rsid w:val="00A9678F"/>
    <w:rsid w:val="00A96B07"/>
    <w:rsid w:val="00A96C72"/>
    <w:rsid w:val="00A96C92"/>
    <w:rsid w:val="00A96EEB"/>
    <w:rsid w:val="00A9716B"/>
    <w:rsid w:val="00A9722C"/>
    <w:rsid w:val="00A97241"/>
    <w:rsid w:val="00A9743A"/>
    <w:rsid w:val="00A974C9"/>
    <w:rsid w:val="00A975B6"/>
    <w:rsid w:val="00A977B5"/>
    <w:rsid w:val="00A978A3"/>
    <w:rsid w:val="00A978C2"/>
    <w:rsid w:val="00A97BBD"/>
    <w:rsid w:val="00A97CDF"/>
    <w:rsid w:val="00A97E14"/>
    <w:rsid w:val="00A97F97"/>
    <w:rsid w:val="00A97FFD"/>
    <w:rsid w:val="00AA0175"/>
    <w:rsid w:val="00AA0248"/>
    <w:rsid w:val="00AA0341"/>
    <w:rsid w:val="00AA0384"/>
    <w:rsid w:val="00AA03D3"/>
    <w:rsid w:val="00AA0495"/>
    <w:rsid w:val="00AA04C1"/>
    <w:rsid w:val="00AA06D1"/>
    <w:rsid w:val="00AA0B11"/>
    <w:rsid w:val="00AA0C09"/>
    <w:rsid w:val="00AA0CA8"/>
    <w:rsid w:val="00AA0D6B"/>
    <w:rsid w:val="00AA0EFC"/>
    <w:rsid w:val="00AA1221"/>
    <w:rsid w:val="00AA12B4"/>
    <w:rsid w:val="00AA12F6"/>
    <w:rsid w:val="00AA130B"/>
    <w:rsid w:val="00AA15F9"/>
    <w:rsid w:val="00AA162A"/>
    <w:rsid w:val="00AA1805"/>
    <w:rsid w:val="00AA1863"/>
    <w:rsid w:val="00AA191E"/>
    <w:rsid w:val="00AA1A01"/>
    <w:rsid w:val="00AA1A04"/>
    <w:rsid w:val="00AA1AD6"/>
    <w:rsid w:val="00AA1C10"/>
    <w:rsid w:val="00AA1DBC"/>
    <w:rsid w:val="00AA1DD5"/>
    <w:rsid w:val="00AA1E94"/>
    <w:rsid w:val="00AA1F49"/>
    <w:rsid w:val="00AA1F74"/>
    <w:rsid w:val="00AA213E"/>
    <w:rsid w:val="00AA2755"/>
    <w:rsid w:val="00AA28FA"/>
    <w:rsid w:val="00AA2A0B"/>
    <w:rsid w:val="00AA2A0D"/>
    <w:rsid w:val="00AA2B8B"/>
    <w:rsid w:val="00AA2B92"/>
    <w:rsid w:val="00AA2E62"/>
    <w:rsid w:val="00AA2E86"/>
    <w:rsid w:val="00AA2F78"/>
    <w:rsid w:val="00AA311C"/>
    <w:rsid w:val="00AA3256"/>
    <w:rsid w:val="00AA3273"/>
    <w:rsid w:val="00AA32A2"/>
    <w:rsid w:val="00AA3527"/>
    <w:rsid w:val="00AA3651"/>
    <w:rsid w:val="00AA39A6"/>
    <w:rsid w:val="00AA39A8"/>
    <w:rsid w:val="00AA39C0"/>
    <w:rsid w:val="00AA3B67"/>
    <w:rsid w:val="00AA3DED"/>
    <w:rsid w:val="00AA3E2D"/>
    <w:rsid w:val="00AA421F"/>
    <w:rsid w:val="00AA425B"/>
    <w:rsid w:val="00AA46E3"/>
    <w:rsid w:val="00AA48CC"/>
    <w:rsid w:val="00AA4957"/>
    <w:rsid w:val="00AA4B0A"/>
    <w:rsid w:val="00AA4C7C"/>
    <w:rsid w:val="00AA5065"/>
    <w:rsid w:val="00AA507B"/>
    <w:rsid w:val="00AA50A6"/>
    <w:rsid w:val="00AA5105"/>
    <w:rsid w:val="00AA519A"/>
    <w:rsid w:val="00AA51D4"/>
    <w:rsid w:val="00AA5267"/>
    <w:rsid w:val="00AA544B"/>
    <w:rsid w:val="00AA55ED"/>
    <w:rsid w:val="00AA5759"/>
    <w:rsid w:val="00AA581B"/>
    <w:rsid w:val="00AA5A5F"/>
    <w:rsid w:val="00AA5A87"/>
    <w:rsid w:val="00AA5B6F"/>
    <w:rsid w:val="00AA5C6E"/>
    <w:rsid w:val="00AA5DF9"/>
    <w:rsid w:val="00AA6348"/>
    <w:rsid w:val="00AA6632"/>
    <w:rsid w:val="00AA669D"/>
    <w:rsid w:val="00AA67C8"/>
    <w:rsid w:val="00AA687A"/>
    <w:rsid w:val="00AA689C"/>
    <w:rsid w:val="00AA68E3"/>
    <w:rsid w:val="00AA6971"/>
    <w:rsid w:val="00AA6B3C"/>
    <w:rsid w:val="00AA6E67"/>
    <w:rsid w:val="00AA7033"/>
    <w:rsid w:val="00AA706D"/>
    <w:rsid w:val="00AA7075"/>
    <w:rsid w:val="00AA70C4"/>
    <w:rsid w:val="00AA7191"/>
    <w:rsid w:val="00AA71C1"/>
    <w:rsid w:val="00AA7453"/>
    <w:rsid w:val="00AA757C"/>
    <w:rsid w:val="00AA7714"/>
    <w:rsid w:val="00AA77BE"/>
    <w:rsid w:val="00AA7866"/>
    <w:rsid w:val="00AA798C"/>
    <w:rsid w:val="00AA7CF5"/>
    <w:rsid w:val="00AB0272"/>
    <w:rsid w:val="00AB02C1"/>
    <w:rsid w:val="00AB0637"/>
    <w:rsid w:val="00AB064B"/>
    <w:rsid w:val="00AB074D"/>
    <w:rsid w:val="00AB0CBB"/>
    <w:rsid w:val="00AB0DB8"/>
    <w:rsid w:val="00AB0E86"/>
    <w:rsid w:val="00AB0F89"/>
    <w:rsid w:val="00AB111D"/>
    <w:rsid w:val="00AB12F9"/>
    <w:rsid w:val="00AB140A"/>
    <w:rsid w:val="00AB1427"/>
    <w:rsid w:val="00AB17F8"/>
    <w:rsid w:val="00AB18DF"/>
    <w:rsid w:val="00AB196C"/>
    <w:rsid w:val="00AB1A13"/>
    <w:rsid w:val="00AB1A19"/>
    <w:rsid w:val="00AB1A6E"/>
    <w:rsid w:val="00AB1CD1"/>
    <w:rsid w:val="00AB1CF2"/>
    <w:rsid w:val="00AB2100"/>
    <w:rsid w:val="00AB21CA"/>
    <w:rsid w:val="00AB227B"/>
    <w:rsid w:val="00AB235A"/>
    <w:rsid w:val="00AB2606"/>
    <w:rsid w:val="00AB263F"/>
    <w:rsid w:val="00AB267F"/>
    <w:rsid w:val="00AB2AD0"/>
    <w:rsid w:val="00AB2C5D"/>
    <w:rsid w:val="00AB2D31"/>
    <w:rsid w:val="00AB2D8F"/>
    <w:rsid w:val="00AB32C3"/>
    <w:rsid w:val="00AB3300"/>
    <w:rsid w:val="00AB3319"/>
    <w:rsid w:val="00AB3387"/>
    <w:rsid w:val="00AB33FB"/>
    <w:rsid w:val="00AB3524"/>
    <w:rsid w:val="00AB357B"/>
    <w:rsid w:val="00AB35D7"/>
    <w:rsid w:val="00AB363F"/>
    <w:rsid w:val="00AB36B5"/>
    <w:rsid w:val="00AB36EE"/>
    <w:rsid w:val="00AB376F"/>
    <w:rsid w:val="00AB37F8"/>
    <w:rsid w:val="00AB3923"/>
    <w:rsid w:val="00AB3924"/>
    <w:rsid w:val="00AB3962"/>
    <w:rsid w:val="00AB3BC7"/>
    <w:rsid w:val="00AB3BE1"/>
    <w:rsid w:val="00AB3C80"/>
    <w:rsid w:val="00AB3EE3"/>
    <w:rsid w:val="00AB3EF5"/>
    <w:rsid w:val="00AB3F82"/>
    <w:rsid w:val="00AB40DA"/>
    <w:rsid w:val="00AB43ED"/>
    <w:rsid w:val="00AB4542"/>
    <w:rsid w:val="00AB4726"/>
    <w:rsid w:val="00AB47C0"/>
    <w:rsid w:val="00AB4BE3"/>
    <w:rsid w:val="00AB4CD5"/>
    <w:rsid w:val="00AB4D8E"/>
    <w:rsid w:val="00AB5105"/>
    <w:rsid w:val="00AB518C"/>
    <w:rsid w:val="00AB5256"/>
    <w:rsid w:val="00AB5342"/>
    <w:rsid w:val="00AB5398"/>
    <w:rsid w:val="00AB5535"/>
    <w:rsid w:val="00AB5711"/>
    <w:rsid w:val="00AB5919"/>
    <w:rsid w:val="00AB594E"/>
    <w:rsid w:val="00AB5ABB"/>
    <w:rsid w:val="00AB5C60"/>
    <w:rsid w:val="00AB5ED2"/>
    <w:rsid w:val="00AB617E"/>
    <w:rsid w:val="00AB61AA"/>
    <w:rsid w:val="00AB64AE"/>
    <w:rsid w:val="00AB6545"/>
    <w:rsid w:val="00AB65ED"/>
    <w:rsid w:val="00AB668E"/>
    <w:rsid w:val="00AB679D"/>
    <w:rsid w:val="00AB67CF"/>
    <w:rsid w:val="00AB6856"/>
    <w:rsid w:val="00AB69D4"/>
    <w:rsid w:val="00AB6A1A"/>
    <w:rsid w:val="00AB6D44"/>
    <w:rsid w:val="00AB6D7E"/>
    <w:rsid w:val="00AB70F1"/>
    <w:rsid w:val="00AB76ED"/>
    <w:rsid w:val="00AB7849"/>
    <w:rsid w:val="00AB7950"/>
    <w:rsid w:val="00AB7964"/>
    <w:rsid w:val="00AB7BB9"/>
    <w:rsid w:val="00AB7C90"/>
    <w:rsid w:val="00AB7CA4"/>
    <w:rsid w:val="00AB7FA6"/>
    <w:rsid w:val="00AC009C"/>
    <w:rsid w:val="00AC00DA"/>
    <w:rsid w:val="00AC013F"/>
    <w:rsid w:val="00AC02DE"/>
    <w:rsid w:val="00AC053A"/>
    <w:rsid w:val="00AC0694"/>
    <w:rsid w:val="00AC06EF"/>
    <w:rsid w:val="00AC07BC"/>
    <w:rsid w:val="00AC087F"/>
    <w:rsid w:val="00AC0944"/>
    <w:rsid w:val="00AC0AD6"/>
    <w:rsid w:val="00AC0CB8"/>
    <w:rsid w:val="00AC0F3B"/>
    <w:rsid w:val="00AC0FD9"/>
    <w:rsid w:val="00AC1028"/>
    <w:rsid w:val="00AC142B"/>
    <w:rsid w:val="00AC1784"/>
    <w:rsid w:val="00AC1924"/>
    <w:rsid w:val="00AC1E56"/>
    <w:rsid w:val="00AC2063"/>
    <w:rsid w:val="00AC2341"/>
    <w:rsid w:val="00AC274E"/>
    <w:rsid w:val="00AC297A"/>
    <w:rsid w:val="00AC2BBA"/>
    <w:rsid w:val="00AC2D24"/>
    <w:rsid w:val="00AC2F5A"/>
    <w:rsid w:val="00AC307C"/>
    <w:rsid w:val="00AC3125"/>
    <w:rsid w:val="00AC31B5"/>
    <w:rsid w:val="00AC32A8"/>
    <w:rsid w:val="00AC35D9"/>
    <w:rsid w:val="00AC3627"/>
    <w:rsid w:val="00AC36B3"/>
    <w:rsid w:val="00AC3949"/>
    <w:rsid w:val="00AC3BAF"/>
    <w:rsid w:val="00AC3F36"/>
    <w:rsid w:val="00AC3F54"/>
    <w:rsid w:val="00AC3F61"/>
    <w:rsid w:val="00AC40FF"/>
    <w:rsid w:val="00AC413B"/>
    <w:rsid w:val="00AC41BF"/>
    <w:rsid w:val="00AC4227"/>
    <w:rsid w:val="00AC4265"/>
    <w:rsid w:val="00AC42A0"/>
    <w:rsid w:val="00AC4311"/>
    <w:rsid w:val="00AC438C"/>
    <w:rsid w:val="00AC44CF"/>
    <w:rsid w:val="00AC4522"/>
    <w:rsid w:val="00AC4A53"/>
    <w:rsid w:val="00AC4C6D"/>
    <w:rsid w:val="00AC4E33"/>
    <w:rsid w:val="00AC4EB6"/>
    <w:rsid w:val="00AC5008"/>
    <w:rsid w:val="00AC5057"/>
    <w:rsid w:val="00AC508E"/>
    <w:rsid w:val="00AC53B2"/>
    <w:rsid w:val="00AC5409"/>
    <w:rsid w:val="00AC5907"/>
    <w:rsid w:val="00AC5A86"/>
    <w:rsid w:val="00AC5ABE"/>
    <w:rsid w:val="00AC5AD1"/>
    <w:rsid w:val="00AC5C0C"/>
    <w:rsid w:val="00AC5C86"/>
    <w:rsid w:val="00AC5CF0"/>
    <w:rsid w:val="00AC5D6B"/>
    <w:rsid w:val="00AC5F68"/>
    <w:rsid w:val="00AC61D8"/>
    <w:rsid w:val="00AC69C6"/>
    <w:rsid w:val="00AC6A02"/>
    <w:rsid w:val="00AC6A5A"/>
    <w:rsid w:val="00AC6A95"/>
    <w:rsid w:val="00AC6B92"/>
    <w:rsid w:val="00AC6D12"/>
    <w:rsid w:val="00AC6D44"/>
    <w:rsid w:val="00AC6FF6"/>
    <w:rsid w:val="00AC710B"/>
    <w:rsid w:val="00AC7342"/>
    <w:rsid w:val="00AC7599"/>
    <w:rsid w:val="00AC7661"/>
    <w:rsid w:val="00AC77BE"/>
    <w:rsid w:val="00AC7AF8"/>
    <w:rsid w:val="00AC7DD3"/>
    <w:rsid w:val="00AC7E51"/>
    <w:rsid w:val="00AD0055"/>
    <w:rsid w:val="00AD0206"/>
    <w:rsid w:val="00AD03ED"/>
    <w:rsid w:val="00AD065B"/>
    <w:rsid w:val="00AD08C8"/>
    <w:rsid w:val="00AD0ADC"/>
    <w:rsid w:val="00AD0CAF"/>
    <w:rsid w:val="00AD0FB0"/>
    <w:rsid w:val="00AD1102"/>
    <w:rsid w:val="00AD1121"/>
    <w:rsid w:val="00AD123F"/>
    <w:rsid w:val="00AD13AB"/>
    <w:rsid w:val="00AD1570"/>
    <w:rsid w:val="00AD17A8"/>
    <w:rsid w:val="00AD1811"/>
    <w:rsid w:val="00AD1939"/>
    <w:rsid w:val="00AD1A14"/>
    <w:rsid w:val="00AD1E40"/>
    <w:rsid w:val="00AD1E9D"/>
    <w:rsid w:val="00AD1EC3"/>
    <w:rsid w:val="00AD1F64"/>
    <w:rsid w:val="00AD2179"/>
    <w:rsid w:val="00AD2202"/>
    <w:rsid w:val="00AD236E"/>
    <w:rsid w:val="00AD258A"/>
    <w:rsid w:val="00AD25D0"/>
    <w:rsid w:val="00AD26B5"/>
    <w:rsid w:val="00AD27C0"/>
    <w:rsid w:val="00AD27D4"/>
    <w:rsid w:val="00AD2883"/>
    <w:rsid w:val="00AD28EA"/>
    <w:rsid w:val="00AD2955"/>
    <w:rsid w:val="00AD298B"/>
    <w:rsid w:val="00AD2AAE"/>
    <w:rsid w:val="00AD2BA4"/>
    <w:rsid w:val="00AD2C83"/>
    <w:rsid w:val="00AD2C9F"/>
    <w:rsid w:val="00AD2E4B"/>
    <w:rsid w:val="00AD2F40"/>
    <w:rsid w:val="00AD30A0"/>
    <w:rsid w:val="00AD31FC"/>
    <w:rsid w:val="00AD324E"/>
    <w:rsid w:val="00AD32AA"/>
    <w:rsid w:val="00AD369D"/>
    <w:rsid w:val="00AD384F"/>
    <w:rsid w:val="00AD3864"/>
    <w:rsid w:val="00AD3AF2"/>
    <w:rsid w:val="00AD3BB0"/>
    <w:rsid w:val="00AD3D7C"/>
    <w:rsid w:val="00AD3EAB"/>
    <w:rsid w:val="00AD40E4"/>
    <w:rsid w:val="00AD4288"/>
    <w:rsid w:val="00AD44AB"/>
    <w:rsid w:val="00AD4502"/>
    <w:rsid w:val="00AD459C"/>
    <w:rsid w:val="00AD46C4"/>
    <w:rsid w:val="00AD4814"/>
    <w:rsid w:val="00AD4943"/>
    <w:rsid w:val="00AD4B88"/>
    <w:rsid w:val="00AD4E7D"/>
    <w:rsid w:val="00AD4F11"/>
    <w:rsid w:val="00AD4FCA"/>
    <w:rsid w:val="00AD4FD1"/>
    <w:rsid w:val="00AD502A"/>
    <w:rsid w:val="00AD50EE"/>
    <w:rsid w:val="00AD5114"/>
    <w:rsid w:val="00AD519F"/>
    <w:rsid w:val="00AD5524"/>
    <w:rsid w:val="00AD5A38"/>
    <w:rsid w:val="00AD5BE1"/>
    <w:rsid w:val="00AD5C25"/>
    <w:rsid w:val="00AD5CD6"/>
    <w:rsid w:val="00AD5F73"/>
    <w:rsid w:val="00AD5FE8"/>
    <w:rsid w:val="00AD60AD"/>
    <w:rsid w:val="00AD6210"/>
    <w:rsid w:val="00AD6213"/>
    <w:rsid w:val="00AD62CD"/>
    <w:rsid w:val="00AD64A3"/>
    <w:rsid w:val="00AD6633"/>
    <w:rsid w:val="00AD6652"/>
    <w:rsid w:val="00AD66F0"/>
    <w:rsid w:val="00AD6822"/>
    <w:rsid w:val="00AD69C6"/>
    <w:rsid w:val="00AD6C9E"/>
    <w:rsid w:val="00AD6E8A"/>
    <w:rsid w:val="00AD6F8F"/>
    <w:rsid w:val="00AD712E"/>
    <w:rsid w:val="00AD7295"/>
    <w:rsid w:val="00AD7336"/>
    <w:rsid w:val="00AD74A0"/>
    <w:rsid w:val="00AD756B"/>
    <w:rsid w:val="00AD7983"/>
    <w:rsid w:val="00AD7C35"/>
    <w:rsid w:val="00AD7D8C"/>
    <w:rsid w:val="00AD7E94"/>
    <w:rsid w:val="00AD7F39"/>
    <w:rsid w:val="00AD7F8A"/>
    <w:rsid w:val="00AE0034"/>
    <w:rsid w:val="00AE0078"/>
    <w:rsid w:val="00AE009F"/>
    <w:rsid w:val="00AE0150"/>
    <w:rsid w:val="00AE0194"/>
    <w:rsid w:val="00AE0227"/>
    <w:rsid w:val="00AE0427"/>
    <w:rsid w:val="00AE0645"/>
    <w:rsid w:val="00AE070B"/>
    <w:rsid w:val="00AE0727"/>
    <w:rsid w:val="00AE08A7"/>
    <w:rsid w:val="00AE0B21"/>
    <w:rsid w:val="00AE0B71"/>
    <w:rsid w:val="00AE0B82"/>
    <w:rsid w:val="00AE0C6D"/>
    <w:rsid w:val="00AE0C86"/>
    <w:rsid w:val="00AE0D93"/>
    <w:rsid w:val="00AE0F45"/>
    <w:rsid w:val="00AE134F"/>
    <w:rsid w:val="00AE1376"/>
    <w:rsid w:val="00AE1498"/>
    <w:rsid w:val="00AE15FA"/>
    <w:rsid w:val="00AE170C"/>
    <w:rsid w:val="00AE19E0"/>
    <w:rsid w:val="00AE1A77"/>
    <w:rsid w:val="00AE1D6B"/>
    <w:rsid w:val="00AE2017"/>
    <w:rsid w:val="00AE217B"/>
    <w:rsid w:val="00AE22BC"/>
    <w:rsid w:val="00AE24E5"/>
    <w:rsid w:val="00AE2526"/>
    <w:rsid w:val="00AE252D"/>
    <w:rsid w:val="00AE27B6"/>
    <w:rsid w:val="00AE27E8"/>
    <w:rsid w:val="00AE293D"/>
    <w:rsid w:val="00AE2A73"/>
    <w:rsid w:val="00AE2E5D"/>
    <w:rsid w:val="00AE2F7D"/>
    <w:rsid w:val="00AE310C"/>
    <w:rsid w:val="00AE329E"/>
    <w:rsid w:val="00AE3363"/>
    <w:rsid w:val="00AE362A"/>
    <w:rsid w:val="00AE38B2"/>
    <w:rsid w:val="00AE3906"/>
    <w:rsid w:val="00AE3945"/>
    <w:rsid w:val="00AE3A14"/>
    <w:rsid w:val="00AE3A6D"/>
    <w:rsid w:val="00AE3FA9"/>
    <w:rsid w:val="00AE3FAB"/>
    <w:rsid w:val="00AE404F"/>
    <w:rsid w:val="00AE40F7"/>
    <w:rsid w:val="00AE420A"/>
    <w:rsid w:val="00AE4223"/>
    <w:rsid w:val="00AE4335"/>
    <w:rsid w:val="00AE45A1"/>
    <w:rsid w:val="00AE45E0"/>
    <w:rsid w:val="00AE4652"/>
    <w:rsid w:val="00AE4689"/>
    <w:rsid w:val="00AE48AD"/>
    <w:rsid w:val="00AE490A"/>
    <w:rsid w:val="00AE499D"/>
    <w:rsid w:val="00AE4B28"/>
    <w:rsid w:val="00AE4EC3"/>
    <w:rsid w:val="00AE4F0E"/>
    <w:rsid w:val="00AE50E9"/>
    <w:rsid w:val="00AE518F"/>
    <w:rsid w:val="00AE527A"/>
    <w:rsid w:val="00AE52B0"/>
    <w:rsid w:val="00AE5343"/>
    <w:rsid w:val="00AE5378"/>
    <w:rsid w:val="00AE53B3"/>
    <w:rsid w:val="00AE5592"/>
    <w:rsid w:val="00AE56C3"/>
    <w:rsid w:val="00AE58E2"/>
    <w:rsid w:val="00AE5936"/>
    <w:rsid w:val="00AE59D4"/>
    <w:rsid w:val="00AE5A22"/>
    <w:rsid w:val="00AE5AFC"/>
    <w:rsid w:val="00AE5E50"/>
    <w:rsid w:val="00AE6009"/>
    <w:rsid w:val="00AE6313"/>
    <w:rsid w:val="00AE6B10"/>
    <w:rsid w:val="00AE6BDF"/>
    <w:rsid w:val="00AE6C41"/>
    <w:rsid w:val="00AE6CD0"/>
    <w:rsid w:val="00AE6DF2"/>
    <w:rsid w:val="00AE6F5A"/>
    <w:rsid w:val="00AE7114"/>
    <w:rsid w:val="00AE71D0"/>
    <w:rsid w:val="00AE729F"/>
    <w:rsid w:val="00AE7545"/>
    <w:rsid w:val="00AE75FF"/>
    <w:rsid w:val="00AE766A"/>
    <w:rsid w:val="00AE77C6"/>
    <w:rsid w:val="00AE77CE"/>
    <w:rsid w:val="00AE7800"/>
    <w:rsid w:val="00AE7940"/>
    <w:rsid w:val="00AE7A6B"/>
    <w:rsid w:val="00AE7AFE"/>
    <w:rsid w:val="00AE7E34"/>
    <w:rsid w:val="00AE7F59"/>
    <w:rsid w:val="00AF0248"/>
    <w:rsid w:val="00AF0363"/>
    <w:rsid w:val="00AF05C1"/>
    <w:rsid w:val="00AF0627"/>
    <w:rsid w:val="00AF069E"/>
    <w:rsid w:val="00AF0755"/>
    <w:rsid w:val="00AF07CE"/>
    <w:rsid w:val="00AF08F2"/>
    <w:rsid w:val="00AF09C9"/>
    <w:rsid w:val="00AF0A8F"/>
    <w:rsid w:val="00AF0B87"/>
    <w:rsid w:val="00AF0E07"/>
    <w:rsid w:val="00AF111E"/>
    <w:rsid w:val="00AF1133"/>
    <w:rsid w:val="00AF12B7"/>
    <w:rsid w:val="00AF1350"/>
    <w:rsid w:val="00AF14DA"/>
    <w:rsid w:val="00AF160E"/>
    <w:rsid w:val="00AF16DA"/>
    <w:rsid w:val="00AF17A6"/>
    <w:rsid w:val="00AF18AC"/>
    <w:rsid w:val="00AF18E3"/>
    <w:rsid w:val="00AF1961"/>
    <w:rsid w:val="00AF1B39"/>
    <w:rsid w:val="00AF1BE1"/>
    <w:rsid w:val="00AF1E01"/>
    <w:rsid w:val="00AF1EFD"/>
    <w:rsid w:val="00AF201C"/>
    <w:rsid w:val="00AF20CD"/>
    <w:rsid w:val="00AF20F3"/>
    <w:rsid w:val="00AF2175"/>
    <w:rsid w:val="00AF249D"/>
    <w:rsid w:val="00AF25E1"/>
    <w:rsid w:val="00AF2623"/>
    <w:rsid w:val="00AF27CF"/>
    <w:rsid w:val="00AF289D"/>
    <w:rsid w:val="00AF2DC9"/>
    <w:rsid w:val="00AF2E11"/>
    <w:rsid w:val="00AF2F6A"/>
    <w:rsid w:val="00AF32CB"/>
    <w:rsid w:val="00AF32D1"/>
    <w:rsid w:val="00AF3345"/>
    <w:rsid w:val="00AF337B"/>
    <w:rsid w:val="00AF3460"/>
    <w:rsid w:val="00AF3593"/>
    <w:rsid w:val="00AF35A3"/>
    <w:rsid w:val="00AF36E0"/>
    <w:rsid w:val="00AF3718"/>
    <w:rsid w:val="00AF374D"/>
    <w:rsid w:val="00AF3BE3"/>
    <w:rsid w:val="00AF3C01"/>
    <w:rsid w:val="00AF3CEC"/>
    <w:rsid w:val="00AF3E6E"/>
    <w:rsid w:val="00AF3EB6"/>
    <w:rsid w:val="00AF3EBD"/>
    <w:rsid w:val="00AF4136"/>
    <w:rsid w:val="00AF414C"/>
    <w:rsid w:val="00AF4298"/>
    <w:rsid w:val="00AF44DC"/>
    <w:rsid w:val="00AF4531"/>
    <w:rsid w:val="00AF4604"/>
    <w:rsid w:val="00AF46D8"/>
    <w:rsid w:val="00AF4778"/>
    <w:rsid w:val="00AF47C1"/>
    <w:rsid w:val="00AF4833"/>
    <w:rsid w:val="00AF4AC2"/>
    <w:rsid w:val="00AF4D2F"/>
    <w:rsid w:val="00AF4DD4"/>
    <w:rsid w:val="00AF4E18"/>
    <w:rsid w:val="00AF4EEE"/>
    <w:rsid w:val="00AF4F26"/>
    <w:rsid w:val="00AF4F29"/>
    <w:rsid w:val="00AF4FD2"/>
    <w:rsid w:val="00AF5083"/>
    <w:rsid w:val="00AF5251"/>
    <w:rsid w:val="00AF549B"/>
    <w:rsid w:val="00AF58A1"/>
    <w:rsid w:val="00AF5A42"/>
    <w:rsid w:val="00AF5B65"/>
    <w:rsid w:val="00AF5B98"/>
    <w:rsid w:val="00AF5E68"/>
    <w:rsid w:val="00AF5EEC"/>
    <w:rsid w:val="00AF5F4C"/>
    <w:rsid w:val="00AF5F59"/>
    <w:rsid w:val="00AF5FB9"/>
    <w:rsid w:val="00AF6139"/>
    <w:rsid w:val="00AF6418"/>
    <w:rsid w:val="00AF6448"/>
    <w:rsid w:val="00AF658F"/>
    <w:rsid w:val="00AF6762"/>
    <w:rsid w:val="00AF6827"/>
    <w:rsid w:val="00AF688A"/>
    <w:rsid w:val="00AF694D"/>
    <w:rsid w:val="00AF6B91"/>
    <w:rsid w:val="00AF6BE0"/>
    <w:rsid w:val="00AF6DC6"/>
    <w:rsid w:val="00AF6F1F"/>
    <w:rsid w:val="00AF7031"/>
    <w:rsid w:val="00AF7098"/>
    <w:rsid w:val="00AF70C9"/>
    <w:rsid w:val="00AF73F2"/>
    <w:rsid w:val="00AF747A"/>
    <w:rsid w:val="00AF7515"/>
    <w:rsid w:val="00AF774F"/>
    <w:rsid w:val="00AF78C8"/>
    <w:rsid w:val="00AF7941"/>
    <w:rsid w:val="00AF794E"/>
    <w:rsid w:val="00AF7952"/>
    <w:rsid w:val="00AF7C6B"/>
    <w:rsid w:val="00AF7CE2"/>
    <w:rsid w:val="00AF7F73"/>
    <w:rsid w:val="00B00042"/>
    <w:rsid w:val="00B001F9"/>
    <w:rsid w:val="00B002DB"/>
    <w:rsid w:val="00B002F6"/>
    <w:rsid w:val="00B0053E"/>
    <w:rsid w:val="00B00602"/>
    <w:rsid w:val="00B006F9"/>
    <w:rsid w:val="00B00811"/>
    <w:rsid w:val="00B0087D"/>
    <w:rsid w:val="00B00945"/>
    <w:rsid w:val="00B009A7"/>
    <w:rsid w:val="00B009A8"/>
    <w:rsid w:val="00B00A4F"/>
    <w:rsid w:val="00B00AA4"/>
    <w:rsid w:val="00B00BCA"/>
    <w:rsid w:val="00B00D7E"/>
    <w:rsid w:val="00B00E5B"/>
    <w:rsid w:val="00B01297"/>
    <w:rsid w:val="00B01331"/>
    <w:rsid w:val="00B015AF"/>
    <w:rsid w:val="00B015B4"/>
    <w:rsid w:val="00B0161D"/>
    <w:rsid w:val="00B0182E"/>
    <w:rsid w:val="00B018C6"/>
    <w:rsid w:val="00B01908"/>
    <w:rsid w:val="00B01D4A"/>
    <w:rsid w:val="00B01DAB"/>
    <w:rsid w:val="00B021CC"/>
    <w:rsid w:val="00B023C0"/>
    <w:rsid w:val="00B02643"/>
    <w:rsid w:val="00B028C7"/>
    <w:rsid w:val="00B029BB"/>
    <w:rsid w:val="00B02A11"/>
    <w:rsid w:val="00B02F53"/>
    <w:rsid w:val="00B02F81"/>
    <w:rsid w:val="00B03000"/>
    <w:rsid w:val="00B0321C"/>
    <w:rsid w:val="00B038D9"/>
    <w:rsid w:val="00B038FF"/>
    <w:rsid w:val="00B039E7"/>
    <w:rsid w:val="00B03B8D"/>
    <w:rsid w:val="00B03C4E"/>
    <w:rsid w:val="00B03CB7"/>
    <w:rsid w:val="00B03CFF"/>
    <w:rsid w:val="00B03F36"/>
    <w:rsid w:val="00B03FF1"/>
    <w:rsid w:val="00B04048"/>
    <w:rsid w:val="00B04052"/>
    <w:rsid w:val="00B04137"/>
    <w:rsid w:val="00B041C7"/>
    <w:rsid w:val="00B0428D"/>
    <w:rsid w:val="00B04310"/>
    <w:rsid w:val="00B0439A"/>
    <w:rsid w:val="00B044BF"/>
    <w:rsid w:val="00B04538"/>
    <w:rsid w:val="00B046AC"/>
    <w:rsid w:val="00B0492F"/>
    <w:rsid w:val="00B04A35"/>
    <w:rsid w:val="00B04A60"/>
    <w:rsid w:val="00B04C5E"/>
    <w:rsid w:val="00B04CD1"/>
    <w:rsid w:val="00B04D4C"/>
    <w:rsid w:val="00B04EBF"/>
    <w:rsid w:val="00B04F81"/>
    <w:rsid w:val="00B05167"/>
    <w:rsid w:val="00B051A9"/>
    <w:rsid w:val="00B05272"/>
    <w:rsid w:val="00B0596C"/>
    <w:rsid w:val="00B05D21"/>
    <w:rsid w:val="00B05D39"/>
    <w:rsid w:val="00B05D72"/>
    <w:rsid w:val="00B05E1E"/>
    <w:rsid w:val="00B060FE"/>
    <w:rsid w:val="00B0633B"/>
    <w:rsid w:val="00B0640B"/>
    <w:rsid w:val="00B06620"/>
    <w:rsid w:val="00B06700"/>
    <w:rsid w:val="00B0679E"/>
    <w:rsid w:val="00B06ABC"/>
    <w:rsid w:val="00B06BF3"/>
    <w:rsid w:val="00B06C10"/>
    <w:rsid w:val="00B06DE7"/>
    <w:rsid w:val="00B06E22"/>
    <w:rsid w:val="00B06E31"/>
    <w:rsid w:val="00B06F52"/>
    <w:rsid w:val="00B07093"/>
    <w:rsid w:val="00B0769E"/>
    <w:rsid w:val="00B076ED"/>
    <w:rsid w:val="00B07788"/>
    <w:rsid w:val="00B07791"/>
    <w:rsid w:val="00B0786D"/>
    <w:rsid w:val="00B078E7"/>
    <w:rsid w:val="00B079FA"/>
    <w:rsid w:val="00B07B90"/>
    <w:rsid w:val="00B07B97"/>
    <w:rsid w:val="00B07DB8"/>
    <w:rsid w:val="00B10343"/>
    <w:rsid w:val="00B1042F"/>
    <w:rsid w:val="00B1070F"/>
    <w:rsid w:val="00B10712"/>
    <w:rsid w:val="00B10847"/>
    <w:rsid w:val="00B108DF"/>
    <w:rsid w:val="00B10A49"/>
    <w:rsid w:val="00B10AB4"/>
    <w:rsid w:val="00B10B20"/>
    <w:rsid w:val="00B10C16"/>
    <w:rsid w:val="00B10DA0"/>
    <w:rsid w:val="00B10E94"/>
    <w:rsid w:val="00B10E9F"/>
    <w:rsid w:val="00B11051"/>
    <w:rsid w:val="00B11321"/>
    <w:rsid w:val="00B114A3"/>
    <w:rsid w:val="00B115B3"/>
    <w:rsid w:val="00B11663"/>
    <w:rsid w:val="00B117A4"/>
    <w:rsid w:val="00B117DF"/>
    <w:rsid w:val="00B11913"/>
    <w:rsid w:val="00B11946"/>
    <w:rsid w:val="00B11A22"/>
    <w:rsid w:val="00B11A9A"/>
    <w:rsid w:val="00B11D0F"/>
    <w:rsid w:val="00B11D4C"/>
    <w:rsid w:val="00B11FB3"/>
    <w:rsid w:val="00B12051"/>
    <w:rsid w:val="00B12059"/>
    <w:rsid w:val="00B122B6"/>
    <w:rsid w:val="00B12522"/>
    <w:rsid w:val="00B125F5"/>
    <w:rsid w:val="00B12707"/>
    <w:rsid w:val="00B12766"/>
    <w:rsid w:val="00B12A2B"/>
    <w:rsid w:val="00B12F0C"/>
    <w:rsid w:val="00B12FD5"/>
    <w:rsid w:val="00B13072"/>
    <w:rsid w:val="00B13275"/>
    <w:rsid w:val="00B132A1"/>
    <w:rsid w:val="00B133EB"/>
    <w:rsid w:val="00B136F1"/>
    <w:rsid w:val="00B137DC"/>
    <w:rsid w:val="00B1387A"/>
    <w:rsid w:val="00B139B1"/>
    <w:rsid w:val="00B139D4"/>
    <w:rsid w:val="00B13BD0"/>
    <w:rsid w:val="00B13BEB"/>
    <w:rsid w:val="00B13C0E"/>
    <w:rsid w:val="00B13C2C"/>
    <w:rsid w:val="00B13C7D"/>
    <w:rsid w:val="00B13CAD"/>
    <w:rsid w:val="00B13CBA"/>
    <w:rsid w:val="00B13DF4"/>
    <w:rsid w:val="00B14271"/>
    <w:rsid w:val="00B14335"/>
    <w:rsid w:val="00B143B8"/>
    <w:rsid w:val="00B14554"/>
    <w:rsid w:val="00B147DF"/>
    <w:rsid w:val="00B14833"/>
    <w:rsid w:val="00B14859"/>
    <w:rsid w:val="00B148F2"/>
    <w:rsid w:val="00B1494F"/>
    <w:rsid w:val="00B14CC9"/>
    <w:rsid w:val="00B14D16"/>
    <w:rsid w:val="00B14D6F"/>
    <w:rsid w:val="00B14FEA"/>
    <w:rsid w:val="00B1516C"/>
    <w:rsid w:val="00B15324"/>
    <w:rsid w:val="00B15345"/>
    <w:rsid w:val="00B15374"/>
    <w:rsid w:val="00B1564D"/>
    <w:rsid w:val="00B15750"/>
    <w:rsid w:val="00B15954"/>
    <w:rsid w:val="00B15B03"/>
    <w:rsid w:val="00B15C18"/>
    <w:rsid w:val="00B15C9C"/>
    <w:rsid w:val="00B15F23"/>
    <w:rsid w:val="00B16039"/>
    <w:rsid w:val="00B16265"/>
    <w:rsid w:val="00B162AB"/>
    <w:rsid w:val="00B162B5"/>
    <w:rsid w:val="00B162DC"/>
    <w:rsid w:val="00B16368"/>
    <w:rsid w:val="00B16503"/>
    <w:rsid w:val="00B16778"/>
    <w:rsid w:val="00B16837"/>
    <w:rsid w:val="00B169B1"/>
    <w:rsid w:val="00B16BB6"/>
    <w:rsid w:val="00B16D3B"/>
    <w:rsid w:val="00B170C2"/>
    <w:rsid w:val="00B170EA"/>
    <w:rsid w:val="00B171C4"/>
    <w:rsid w:val="00B174AF"/>
    <w:rsid w:val="00B17514"/>
    <w:rsid w:val="00B17B20"/>
    <w:rsid w:val="00B17B9C"/>
    <w:rsid w:val="00B17E0A"/>
    <w:rsid w:val="00B201CC"/>
    <w:rsid w:val="00B202C3"/>
    <w:rsid w:val="00B2034B"/>
    <w:rsid w:val="00B20877"/>
    <w:rsid w:val="00B20A64"/>
    <w:rsid w:val="00B20D7A"/>
    <w:rsid w:val="00B20EA5"/>
    <w:rsid w:val="00B20ECB"/>
    <w:rsid w:val="00B20FF2"/>
    <w:rsid w:val="00B21207"/>
    <w:rsid w:val="00B214E2"/>
    <w:rsid w:val="00B21531"/>
    <w:rsid w:val="00B2170F"/>
    <w:rsid w:val="00B2176D"/>
    <w:rsid w:val="00B21975"/>
    <w:rsid w:val="00B219B1"/>
    <w:rsid w:val="00B219C7"/>
    <w:rsid w:val="00B21A4B"/>
    <w:rsid w:val="00B21AD3"/>
    <w:rsid w:val="00B21B1B"/>
    <w:rsid w:val="00B21BF4"/>
    <w:rsid w:val="00B21F8F"/>
    <w:rsid w:val="00B220FF"/>
    <w:rsid w:val="00B22107"/>
    <w:rsid w:val="00B2216F"/>
    <w:rsid w:val="00B22509"/>
    <w:rsid w:val="00B227E6"/>
    <w:rsid w:val="00B227FF"/>
    <w:rsid w:val="00B22962"/>
    <w:rsid w:val="00B229EA"/>
    <w:rsid w:val="00B22B6D"/>
    <w:rsid w:val="00B22E49"/>
    <w:rsid w:val="00B22E7F"/>
    <w:rsid w:val="00B22EAA"/>
    <w:rsid w:val="00B22F26"/>
    <w:rsid w:val="00B23079"/>
    <w:rsid w:val="00B23098"/>
    <w:rsid w:val="00B2315F"/>
    <w:rsid w:val="00B232E5"/>
    <w:rsid w:val="00B2337F"/>
    <w:rsid w:val="00B23423"/>
    <w:rsid w:val="00B2378E"/>
    <w:rsid w:val="00B237C8"/>
    <w:rsid w:val="00B23970"/>
    <w:rsid w:val="00B23A63"/>
    <w:rsid w:val="00B23A96"/>
    <w:rsid w:val="00B23C5C"/>
    <w:rsid w:val="00B23D99"/>
    <w:rsid w:val="00B23E46"/>
    <w:rsid w:val="00B240AF"/>
    <w:rsid w:val="00B242A4"/>
    <w:rsid w:val="00B242AD"/>
    <w:rsid w:val="00B24332"/>
    <w:rsid w:val="00B245D1"/>
    <w:rsid w:val="00B24817"/>
    <w:rsid w:val="00B24A81"/>
    <w:rsid w:val="00B24B73"/>
    <w:rsid w:val="00B24C6C"/>
    <w:rsid w:val="00B25004"/>
    <w:rsid w:val="00B25090"/>
    <w:rsid w:val="00B25277"/>
    <w:rsid w:val="00B25371"/>
    <w:rsid w:val="00B2540D"/>
    <w:rsid w:val="00B25537"/>
    <w:rsid w:val="00B2560E"/>
    <w:rsid w:val="00B25618"/>
    <w:rsid w:val="00B25E57"/>
    <w:rsid w:val="00B25EBF"/>
    <w:rsid w:val="00B25F22"/>
    <w:rsid w:val="00B25F4D"/>
    <w:rsid w:val="00B25FD0"/>
    <w:rsid w:val="00B25FDD"/>
    <w:rsid w:val="00B25FE8"/>
    <w:rsid w:val="00B263BC"/>
    <w:rsid w:val="00B265AB"/>
    <w:rsid w:val="00B265E6"/>
    <w:rsid w:val="00B26622"/>
    <w:rsid w:val="00B26A4F"/>
    <w:rsid w:val="00B26B8D"/>
    <w:rsid w:val="00B26E78"/>
    <w:rsid w:val="00B26E82"/>
    <w:rsid w:val="00B26FA7"/>
    <w:rsid w:val="00B27193"/>
    <w:rsid w:val="00B27727"/>
    <w:rsid w:val="00B2798C"/>
    <w:rsid w:val="00B279E1"/>
    <w:rsid w:val="00B27A46"/>
    <w:rsid w:val="00B27DED"/>
    <w:rsid w:val="00B27EAC"/>
    <w:rsid w:val="00B30144"/>
    <w:rsid w:val="00B303A4"/>
    <w:rsid w:val="00B303F4"/>
    <w:rsid w:val="00B30588"/>
    <w:rsid w:val="00B30838"/>
    <w:rsid w:val="00B308E5"/>
    <w:rsid w:val="00B30904"/>
    <w:rsid w:val="00B3092A"/>
    <w:rsid w:val="00B3096F"/>
    <w:rsid w:val="00B30996"/>
    <w:rsid w:val="00B30AB1"/>
    <w:rsid w:val="00B30B2A"/>
    <w:rsid w:val="00B30C34"/>
    <w:rsid w:val="00B30E83"/>
    <w:rsid w:val="00B30F5E"/>
    <w:rsid w:val="00B31187"/>
    <w:rsid w:val="00B311D4"/>
    <w:rsid w:val="00B31285"/>
    <w:rsid w:val="00B312AD"/>
    <w:rsid w:val="00B3139F"/>
    <w:rsid w:val="00B31487"/>
    <w:rsid w:val="00B314FC"/>
    <w:rsid w:val="00B31505"/>
    <w:rsid w:val="00B315FA"/>
    <w:rsid w:val="00B31627"/>
    <w:rsid w:val="00B31696"/>
    <w:rsid w:val="00B31E5A"/>
    <w:rsid w:val="00B31FA6"/>
    <w:rsid w:val="00B31FF3"/>
    <w:rsid w:val="00B3201C"/>
    <w:rsid w:val="00B32041"/>
    <w:rsid w:val="00B3242F"/>
    <w:rsid w:val="00B324DF"/>
    <w:rsid w:val="00B325B1"/>
    <w:rsid w:val="00B325DE"/>
    <w:rsid w:val="00B32752"/>
    <w:rsid w:val="00B32942"/>
    <w:rsid w:val="00B329B8"/>
    <w:rsid w:val="00B32C6E"/>
    <w:rsid w:val="00B32D2E"/>
    <w:rsid w:val="00B32D9B"/>
    <w:rsid w:val="00B32E41"/>
    <w:rsid w:val="00B32E42"/>
    <w:rsid w:val="00B32E92"/>
    <w:rsid w:val="00B33032"/>
    <w:rsid w:val="00B33039"/>
    <w:rsid w:val="00B3316F"/>
    <w:rsid w:val="00B33203"/>
    <w:rsid w:val="00B332D5"/>
    <w:rsid w:val="00B332F1"/>
    <w:rsid w:val="00B3338B"/>
    <w:rsid w:val="00B33447"/>
    <w:rsid w:val="00B3373E"/>
    <w:rsid w:val="00B33AFA"/>
    <w:rsid w:val="00B33C2C"/>
    <w:rsid w:val="00B33EFF"/>
    <w:rsid w:val="00B33F11"/>
    <w:rsid w:val="00B33F22"/>
    <w:rsid w:val="00B3403E"/>
    <w:rsid w:val="00B3425E"/>
    <w:rsid w:val="00B3450A"/>
    <w:rsid w:val="00B34769"/>
    <w:rsid w:val="00B3486D"/>
    <w:rsid w:val="00B348E1"/>
    <w:rsid w:val="00B349E2"/>
    <w:rsid w:val="00B34B2E"/>
    <w:rsid w:val="00B34B5F"/>
    <w:rsid w:val="00B34DC3"/>
    <w:rsid w:val="00B35066"/>
    <w:rsid w:val="00B351F5"/>
    <w:rsid w:val="00B3530C"/>
    <w:rsid w:val="00B35407"/>
    <w:rsid w:val="00B35457"/>
    <w:rsid w:val="00B35600"/>
    <w:rsid w:val="00B3563C"/>
    <w:rsid w:val="00B356CE"/>
    <w:rsid w:val="00B35AA7"/>
    <w:rsid w:val="00B35B2B"/>
    <w:rsid w:val="00B35B34"/>
    <w:rsid w:val="00B35CD0"/>
    <w:rsid w:val="00B35D65"/>
    <w:rsid w:val="00B35DB4"/>
    <w:rsid w:val="00B35E04"/>
    <w:rsid w:val="00B35E39"/>
    <w:rsid w:val="00B35ED2"/>
    <w:rsid w:val="00B35F0D"/>
    <w:rsid w:val="00B3608B"/>
    <w:rsid w:val="00B3614F"/>
    <w:rsid w:val="00B361E7"/>
    <w:rsid w:val="00B36324"/>
    <w:rsid w:val="00B363C0"/>
    <w:rsid w:val="00B365C1"/>
    <w:rsid w:val="00B365E6"/>
    <w:rsid w:val="00B36714"/>
    <w:rsid w:val="00B36715"/>
    <w:rsid w:val="00B36A7E"/>
    <w:rsid w:val="00B36AF5"/>
    <w:rsid w:val="00B36B3F"/>
    <w:rsid w:val="00B36C13"/>
    <w:rsid w:val="00B36C6A"/>
    <w:rsid w:val="00B36C8A"/>
    <w:rsid w:val="00B36EC9"/>
    <w:rsid w:val="00B36F18"/>
    <w:rsid w:val="00B36F65"/>
    <w:rsid w:val="00B370D7"/>
    <w:rsid w:val="00B370EE"/>
    <w:rsid w:val="00B37169"/>
    <w:rsid w:val="00B37262"/>
    <w:rsid w:val="00B37339"/>
    <w:rsid w:val="00B374EF"/>
    <w:rsid w:val="00B376BD"/>
    <w:rsid w:val="00B376DE"/>
    <w:rsid w:val="00B377B2"/>
    <w:rsid w:val="00B37CE1"/>
    <w:rsid w:val="00B37FCD"/>
    <w:rsid w:val="00B401BF"/>
    <w:rsid w:val="00B40202"/>
    <w:rsid w:val="00B40290"/>
    <w:rsid w:val="00B4032F"/>
    <w:rsid w:val="00B404A3"/>
    <w:rsid w:val="00B4066C"/>
    <w:rsid w:val="00B4077C"/>
    <w:rsid w:val="00B407A3"/>
    <w:rsid w:val="00B4097F"/>
    <w:rsid w:val="00B409B3"/>
    <w:rsid w:val="00B40ACA"/>
    <w:rsid w:val="00B41072"/>
    <w:rsid w:val="00B411E1"/>
    <w:rsid w:val="00B41265"/>
    <w:rsid w:val="00B412A1"/>
    <w:rsid w:val="00B41386"/>
    <w:rsid w:val="00B413AB"/>
    <w:rsid w:val="00B414E7"/>
    <w:rsid w:val="00B41587"/>
    <w:rsid w:val="00B41589"/>
    <w:rsid w:val="00B416AE"/>
    <w:rsid w:val="00B41769"/>
    <w:rsid w:val="00B41872"/>
    <w:rsid w:val="00B41880"/>
    <w:rsid w:val="00B41897"/>
    <w:rsid w:val="00B418FD"/>
    <w:rsid w:val="00B41AD7"/>
    <w:rsid w:val="00B41BF6"/>
    <w:rsid w:val="00B41C9E"/>
    <w:rsid w:val="00B4201F"/>
    <w:rsid w:val="00B420B8"/>
    <w:rsid w:val="00B42708"/>
    <w:rsid w:val="00B4289D"/>
    <w:rsid w:val="00B42B5B"/>
    <w:rsid w:val="00B42D20"/>
    <w:rsid w:val="00B42DAF"/>
    <w:rsid w:val="00B43289"/>
    <w:rsid w:val="00B43336"/>
    <w:rsid w:val="00B4359C"/>
    <w:rsid w:val="00B43676"/>
    <w:rsid w:val="00B43A05"/>
    <w:rsid w:val="00B43E61"/>
    <w:rsid w:val="00B4426C"/>
    <w:rsid w:val="00B444E1"/>
    <w:rsid w:val="00B4467D"/>
    <w:rsid w:val="00B446D8"/>
    <w:rsid w:val="00B44746"/>
    <w:rsid w:val="00B44A01"/>
    <w:rsid w:val="00B44CAD"/>
    <w:rsid w:val="00B44DD0"/>
    <w:rsid w:val="00B44E2B"/>
    <w:rsid w:val="00B44F58"/>
    <w:rsid w:val="00B44FA8"/>
    <w:rsid w:val="00B450B0"/>
    <w:rsid w:val="00B452C7"/>
    <w:rsid w:val="00B4563F"/>
    <w:rsid w:val="00B458F9"/>
    <w:rsid w:val="00B45B7B"/>
    <w:rsid w:val="00B45C43"/>
    <w:rsid w:val="00B45F3B"/>
    <w:rsid w:val="00B45F4D"/>
    <w:rsid w:val="00B45F7A"/>
    <w:rsid w:val="00B461EA"/>
    <w:rsid w:val="00B4646B"/>
    <w:rsid w:val="00B464AA"/>
    <w:rsid w:val="00B464F7"/>
    <w:rsid w:val="00B4680C"/>
    <w:rsid w:val="00B46841"/>
    <w:rsid w:val="00B46889"/>
    <w:rsid w:val="00B468CD"/>
    <w:rsid w:val="00B4698F"/>
    <w:rsid w:val="00B46A3C"/>
    <w:rsid w:val="00B46C01"/>
    <w:rsid w:val="00B46D80"/>
    <w:rsid w:val="00B46E8C"/>
    <w:rsid w:val="00B47013"/>
    <w:rsid w:val="00B4712D"/>
    <w:rsid w:val="00B471E6"/>
    <w:rsid w:val="00B4748B"/>
    <w:rsid w:val="00B47563"/>
    <w:rsid w:val="00B477D6"/>
    <w:rsid w:val="00B47905"/>
    <w:rsid w:val="00B47C42"/>
    <w:rsid w:val="00B47C61"/>
    <w:rsid w:val="00B47E04"/>
    <w:rsid w:val="00B47E3B"/>
    <w:rsid w:val="00B47F1E"/>
    <w:rsid w:val="00B5019A"/>
    <w:rsid w:val="00B50234"/>
    <w:rsid w:val="00B50515"/>
    <w:rsid w:val="00B50607"/>
    <w:rsid w:val="00B5071D"/>
    <w:rsid w:val="00B507AE"/>
    <w:rsid w:val="00B5086C"/>
    <w:rsid w:val="00B509FE"/>
    <w:rsid w:val="00B50CEA"/>
    <w:rsid w:val="00B50E54"/>
    <w:rsid w:val="00B51096"/>
    <w:rsid w:val="00B510A9"/>
    <w:rsid w:val="00B5138A"/>
    <w:rsid w:val="00B5143B"/>
    <w:rsid w:val="00B514E4"/>
    <w:rsid w:val="00B515F8"/>
    <w:rsid w:val="00B51638"/>
    <w:rsid w:val="00B517FA"/>
    <w:rsid w:val="00B5181B"/>
    <w:rsid w:val="00B518AF"/>
    <w:rsid w:val="00B519A1"/>
    <w:rsid w:val="00B519C7"/>
    <w:rsid w:val="00B519EE"/>
    <w:rsid w:val="00B51A2E"/>
    <w:rsid w:val="00B51BF8"/>
    <w:rsid w:val="00B51CC0"/>
    <w:rsid w:val="00B51D94"/>
    <w:rsid w:val="00B51DC7"/>
    <w:rsid w:val="00B51ED2"/>
    <w:rsid w:val="00B521E9"/>
    <w:rsid w:val="00B523EA"/>
    <w:rsid w:val="00B52447"/>
    <w:rsid w:val="00B524DE"/>
    <w:rsid w:val="00B527F1"/>
    <w:rsid w:val="00B52B9F"/>
    <w:rsid w:val="00B52C97"/>
    <w:rsid w:val="00B52CDC"/>
    <w:rsid w:val="00B52D12"/>
    <w:rsid w:val="00B52E94"/>
    <w:rsid w:val="00B530CF"/>
    <w:rsid w:val="00B533DC"/>
    <w:rsid w:val="00B5341B"/>
    <w:rsid w:val="00B53554"/>
    <w:rsid w:val="00B537B7"/>
    <w:rsid w:val="00B53860"/>
    <w:rsid w:val="00B538F5"/>
    <w:rsid w:val="00B539D0"/>
    <w:rsid w:val="00B53A5D"/>
    <w:rsid w:val="00B53CEB"/>
    <w:rsid w:val="00B53CFA"/>
    <w:rsid w:val="00B53E8D"/>
    <w:rsid w:val="00B53F85"/>
    <w:rsid w:val="00B5405D"/>
    <w:rsid w:val="00B54094"/>
    <w:rsid w:val="00B54132"/>
    <w:rsid w:val="00B5417C"/>
    <w:rsid w:val="00B54423"/>
    <w:rsid w:val="00B54620"/>
    <w:rsid w:val="00B54642"/>
    <w:rsid w:val="00B5484C"/>
    <w:rsid w:val="00B54B08"/>
    <w:rsid w:val="00B54C75"/>
    <w:rsid w:val="00B54D46"/>
    <w:rsid w:val="00B5500C"/>
    <w:rsid w:val="00B554D3"/>
    <w:rsid w:val="00B556D0"/>
    <w:rsid w:val="00B556D4"/>
    <w:rsid w:val="00B557D5"/>
    <w:rsid w:val="00B557E1"/>
    <w:rsid w:val="00B557EE"/>
    <w:rsid w:val="00B5584B"/>
    <w:rsid w:val="00B559C2"/>
    <w:rsid w:val="00B55C3D"/>
    <w:rsid w:val="00B55D76"/>
    <w:rsid w:val="00B5603A"/>
    <w:rsid w:val="00B5621B"/>
    <w:rsid w:val="00B562B9"/>
    <w:rsid w:val="00B56375"/>
    <w:rsid w:val="00B566E9"/>
    <w:rsid w:val="00B56981"/>
    <w:rsid w:val="00B56B21"/>
    <w:rsid w:val="00B56C06"/>
    <w:rsid w:val="00B56D1D"/>
    <w:rsid w:val="00B57030"/>
    <w:rsid w:val="00B57053"/>
    <w:rsid w:val="00B57136"/>
    <w:rsid w:val="00B572CE"/>
    <w:rsid w:val="00B57385"/>
    <w:rsid w:val="00B57734"/>
    <w:rsid w:val="00B57A2C"/>
    <w:rsid w:val="00B57BB9"/>
    <w:rsid w:val="00B57D15"/>
    <w:rsid w:val="00B57EB3"/>
    <w:rsid w:val="00B57F8B"/>
    <w:rsid w:val="00B600AA"/>
    <w:rsid w:val="00B601F6"/>
    <w:rsid w:val="00B60431"/>
    <w:rsid w:val="00B6082F"/>
    <w:rsid w:val="00B609FB"/>
    <w:rsid w:val="00B60BFA"/>
    <w:rsid w:val="00B60C67"/>
    <w:rsid w:val="00B60DC0"/>
    <w:rsid w:val="00B6117F"/>
    <w:rsid w:val="00B6125B"/>
    <w:rsid w:val="00B61305"/>
    <w:rsid w:val="00B61335"/>
    <w:rsid w:val="00B613FC"/>
    <w:rsid w:val="00B6144B"/>
    <w:rsid w:val="00B61680"/>
    <w:rsid w:val="00B61776"/>
    <w:rsid w:val="00B61821"/>
    <w:rsid w:val="00B61AA4"/>
    <w:rsid w:val="00B61B9E"/>
    <w:rsid w:val="00B61BC6"/>
    <w:rsid w:val="00B61C1B"/>
    <w:rsid w:val="00B61CF0"/>
    <w:rsid w:val="00B61D09"/>
    <w:rsid w:val="00B61D75"/>
    <w:rsid w:val="00B61F6D"/>
    <w:rsid w:val="00B62057"/>
    <w:rsid w:val="00B62230"/>
    <w:rsid w:val="00B622DF"/>
    <w:rsid w:val="00B62621"/>
    <w:rsid w:val="00B626B4"/>
    <w:rsid w:val="00B62763"/>
    <w:rsid w:val="00B627A8"/>
    <w:rsid w:val="00B6286A"/>
    <w:rsid w:val="00B6296B"/>
    <w:rsid w:val="00B62A19"/>
    <w:rsid w:val="00B62D33"/>
    <w:rsid w:val="00B62D75"/>
    <w:rsid w:val="00B62EFD"/>
    <w:rsid w:val="00B62F16"/>
    <w:rsid w:val="00B6300A"/>
    <w:rsid w:val="00B63038"/>
    <w:rsid w:val="00B630E4"/>
    <w:rsid w:val="00B6327B"/>
    <w:rsid w:val="00B635E6"/>
    <w:rsid w:val="00B63722"/>
    <w:rsid w:val="00B63754"/>
    <w:rsid w:val="00B63778"/>
    <w:rsid w:val="00B637AD"/>
    <w:rsid w:val="00B637F9"/>
    <w:rsid w:val="00B63B11"/>
    <w:rsid w:val="00B63D25"/>
    <w:rsid w:val="00B64370"/>
    <w:rsid w:val="00B6444C"/>
    <w:rsid w:val="00B648DA"/>
    <w:rsid w:val="00B64981"/>
    <w:rsid w:val="00B649F9"/>
    <w:rsid w:val="00B64AC3"/>
    <w:rsid w:val="00B64BA4"/>
    <w:rsid w:val="00B64C2D"/>
    <w:rsid w:val="00B64F0D"/>
    <w:rsid w:val="00B64F42"/>
    <w:rsid w:val="00B64F75"/>
    <w:rsid w:val="00B64FE2"/>
    <w:rsid w:val="00B6510E"/>
    <w:rsid w:val="00B65151"/>
    <w:rsid w:val="00B65504"/>
    <w:rsid w:val="00B6570B"/>
    <w:rsid w:val="00B65940"/>
    <w:rsid w:val="00B65A01"/>
    <w:rsid w:val="00B65DEF"/>
    <w:rsid w:val="00B65E10"/>
    <w:rsid w:val="00B65E92"/>
    <w:rsid w:val="00B6608F"/>
    <w:rsid w:val="00B661CA"/>
    <w:rsid w:val="00B66741"/>
    <w:rsid w:val="00B66A83"/>
    <w:rsid w:val="00B66AAD"/>
    <w:rsid w:val="00B66D28"/>
    <w:rsid w:val="00B66EC7"/>
    <w:rsid w:val="00B66F8C"/>
    <w:rsid w:val="00B66FF5"/>
    <w:rsid w:val="00B6703C"/>
    <w:rsid w:val="00B67099"/>
    <w:rsid w:val="00B670B5"/>
    <w:rsid w:val="00B67321"/>
    <w:rsid w:val="00B6752B"/>
    <w:rsid w:val="00B67555"/>
    <w:rsid w:val="00B675A8"/>
    <w:rsid w:val="00B675D2"/>
    <w:rsid w:val="00B676BE"/>
    <w:rsid w:val="00B67771"/>
    <w:rsid w:val="00B678AE"/>
    <w:rsid w:val="00B67916"/>
    <w:rsid w:val="00B67A51"/>
    <w:rsid w:val="00B67C4D"/>
    <w:rsid w:val="00B67C84"/>
    <w:rsid w:val="00B70217"/>
    <w:rsid w:val="00B70279"/>
    <w:rsid w:val="00B703F5"/>
    <w:rsid w:val="00B7046C"/>
    <w:rsid w:val="00B70558"/>
    <w:rsid w:val="00B70623"/>
    <w:rsid w:val="00B70702"/>
    <w:rsid w:val="00B70A81"/>
    <w:rsid w:val="00B70ABF"/>
    <w:rsid w:val="00B70BEA"/>
    <w:rsid w:val="00B70EA4"/>
    <w:rsid w:val="00B70F69"/>
    <w:rsid w:val="00B71046"/>
    <w:rsid w:val="00B71071"/>
    <w:rsid w:val="00B71078"/>
    <w:rsid w:val="00B71189"/>
    <w:rsid w:val="00B71299"/>
    <w:rsid w:val="00B71846"/>
    <w:rsid w:val="00B71A5D"/>
    <w:rsid w:val="00B71AB5"/>
    <w:rsid w:val="00B71C1A"/>
    <w:rsid w:val="00B71CAA"/>
    <w:rsid w:val="00B7236D"/>
    <w:rsid w:val="00B72518"/>
    <w:rsid w:val="00B7256B"/>
    <w:rsid w:val="00B72584"/>
    <w:rsid w:val="00B725A3"/>
    <w:rsid w:val="00B725BF"/>
    <w:rsid w:val="00B7262B"/>
    <w:rsid w:val="00B7268C"/>
    <w:rsid w:val="00B7280D"/>
    <w:rsid w:val="00B7296E"/>
    <w:rsid w:val="00B72B1F"/>
    <w:rsid w:val="00B72CF1"/>
    <w:rsid w:val="00B72CF8"/>
    <w:rsid w:val="00B72D6C"/>
    <w:rsid w:val="00B72D9E"/>
    <w:rsid w:val="00B72E53"/>
    <w:rsid w:val="00B72E70"/>
    <w:rsid w:val="00B73367"/>
    <w:rsid w:val="00B7353A"/>
    <w:rsid w:val="00B736A8"/>
    <w:rsid w:val="00B7375A"/>
    <w:rsid w:val="00B7388C"/>
    <w:rsid w:val="00B739CC"/>
    <w:rsid w:val="00B73BBA"/>
    <w:rsid w:val="00B73E00"/>
    <w:rsid w:val="00B74069"/>
    <w:rsid w:val="00B74121"/>
    <w:rsid w:val="00B7434E"/>
    <w:rsid w:val="00B7441F"/>
    <w:rsid w:val="00B7460B"/>
    <w:rsid w:val="00B74677"/>
    <w:rsid w:val="00B746AA"/>
    <w:rsid w:val="00B746B0"/>
    <w:rsid w:val="00B746C3"/>
    <w:rsid w:val="00B7473A"/>
    <w:rsid w:val="00B7478F"/>
    <w:rsid w:val="00B7484B"/>
    <w:rsid w:val="00B74977"/>
    <w:rsid w:val="00B74BD2"/>
    <w:rsid w:val="00B7521B"/>
    <w:rsid w:val="00B753F4"/>
    <w:rsid w:val="00B75503"/>
    <w:rsid w:val="00B755A2"/>
    <w:rsid w:val="00B758FA"/>
    <w:rsid w:val="00B75AE4"/>
    <w:rsid w:val="00B75DEA"/>
    <w:rsid w:val="00B75E80"/>
    <w:rsid w:val="00B7601A"/>
    <w:rsid w:val="00B76063"/>
    <w:rsid w:val="00B76156"/>
    <w:rsid w:val="00B762DE"/>
    <w:rsid w:val="00B7646B"/>
    <w:rsid w:val="00B765F6"/>
    <w:rsid w:val="00B766A4"/>
    <w:rsid w:val="00B76A5B"/>
    <w:rsid w:val="00B76BDC"/>
    <w:rsid w:val="00B76C7C"/>
    <w:rsid w:val="00B76C98"/>
    <w:rsid w:val="00B76D99"/>
    <w:rsid w:val="00B76EC0"/>
    <w:rsid w:val="00B771F3"/>
    <w:rsid w:val="00B775EB"/>
    <w:rsid w:val="00B77664"/>
    <w:rsid w:val="00B77666"/>
    <w:rsid w:val="00B77944"/>
    <w:rsid w:val="00B77A23"/>
    <w:rsid w:val="00B77DDA"/>
    <w:rsid w:val="00B77F1C"/>
    <w:rsid w:val="00B77FA3"/>
    <w:rsid w:val="00B80139"/>
    <w:rsid w:val="00B801BA"/>
    <w:rsid w:val="00B8028D"/>
    <w:rsid w:val="00B80522"/>
    <w:rsid w:val="00B8058A"/>
    <w:rsid w:val="00B805C8"/>
    <w:rsid w:val="00B805DF"/>
    <w:rsid w:val="00B805FA"/>
    <w:rsid w:val="00B8066D"/>
    <w:rsid w:val="00B8071F"/>
    <w:rsid w:val="00B80724"/>
    <w:rsid w:val="00B80831"/>
    <w:rsid w:val="00B8089C"/>
    <w:rsid w:val="00B80ADB"/>
    <w:rsid w:val="00B80B77"/>
    <w:rsid w:val="00B80B80"/>
    <w:rsid w:val="00B80BE1"/>
    <w:rsid w:val="00B80C9E"/>
    <w:rsid w:val="00B81069"/>
    <w:rsid w:val="00B81095"/>
    <w:rsid w:val="00B81678"/>
    <w:rsid w:val="00B816AE"/>
    <w:rsid w:val="00B8177B"/>
    <w:rsid w:val="00B81834"/>
    <w:rsid w:val="00B818F9"/>
    <w:rsid w:val="00B81D4D"/>
    <w:rsid w:val="00B82348"/>
    <w:rsid w:val="00B82526"/>
    <w:rsid w:val="00B828DF"/>
    <w:rsid w:val="00B82912"/>
    <w:rsid w:val="00B82B55"/>
    <w:rsid w:val="00B82E74"/>
    <w:rsid w:val="00B82F2F"/>
    <w:rsid w:val="00B8308D"/>
    <w:rsid w:val="00B83207"/>
    <w:rsid w:val="00B8326F"/>
    <w:rsid w:val="00B832B7"/>
    <w:rsid w:val="00B8333D"/>
    <w:rsid w:val="00B8339D"/>
    <w:rsid w:val="00B83433"/>
    <w:rsid w:val="00B835B9"/>
    <w:rsid w:val="00B83827"/>
    <w:rsid w:val="00B83898"/>
    <w:rsid w:val="00B8399B"/>
    <w:rsid w:val="00B83E16"/>
    <w:rsid w:val="00B83FF8"/>
    <w:rsid w:val="00B840B2"/>
    <w:rsid w:val="00B841A4"/>
    <w:rsid w:val="00B84310"/>
    <w:rsid w:val="00B8439A"/>
    <w:rsid w:val="00B8449B"/>
    <w:rsid w:val="00B84635"/>
    <w:rsid w:val="00B846B6"/>
    <w:rsid w:val="00B84803"/>
    <w:rsid w:val="00B8491D"/>
    <w:rsid w:val="00B84D22"/>
    <w:rsid w:val="00B84E0F"/>
    <w:rsid w:val="00B85059"/>
    <w:rsid w:val="00B85152"/>
    <w:rsid w:val="00B851B2"/>
    <w:rsid w:val="00B851C0"/>
    <w:rsid w:val="00B852DC"/>
    <w:rsid w:val="00B856DC"/>
    <w:rsid w:val="00B85CAB"/>
    <w:rsid w:val="00B85CF5"/>
    <w:rsid w:val="00B85FC4"/>
    <w:rsid w:val="00B85FCE"/>
    <w:rsid w:val="00B862AA"/>
    <w:rsid w:val="00B86593"/>
    <w:rsid w:val="00B868A7"/>
    <w:rsid w:val="00B86B8E"/>
    <w:rsid w:val="00B86B94"/>
    <w:rsid w:val="00B86BA2"/>
    <w:rsid w:val="00B86D3F"/>
    <w:rsid w:val="00B86D4C"/>
    <w:rsid w:val="00B8704B"/>
    <w:rsid w:val="00B8705C"/>
    <w:rsid w:val="00B87099"/>
    <w:rsid w:val="00B87245"/>
    <w:rsid w:val="00B872CA"/>
    <w:rsid w:val="00B878BB"/>
    <w:rsid w:val="00B8795F"/>
    <w:rsid w:val="00B87C3E"/>
    <w:rsid w:val="00B9072F"/>
    <w:rsid w:val="00B907F8"/>
    <w:rsid w:val="00B90A0C"/>
    <w:rsid w:val="00B90BB3"/>
    <w:rsid w:val="00B90C74"/>
    <w:rsid w:val="00B90EB7"/>
    <w:rsid w:val="00B90F6E"/>
    <w:rsid w:val="00B90F75"/>
    <w:rsid w:val="00B910BB"/>
    <w:rsid w:val="00B912E2"/>
    <w:rsid w:val="00B917C0"/>
    <w:rsid w:val="00B91842"/>
    <w:rsid w:val="00B918F1"/>
    <w:rsid w:val="00B9190E"/>
    <w:rsid w:val="00B91942"/>
    <w:rsid w:val="00B91A3E"/>
    <w:rsid w:val="00B92276"/>
    <w:rsid w:val="00B925B0"/>
    <w:rsid w:val="00B925ED"/>
    <w:rsid w:val="00B9262F"/>
    <w:rsid w:val="00B9265D"/>
    <w:rsid w:val="00B92668"/>
    <w:rsid w:val="00B927B1"/>
    <w:rsid w:val="00B9280A"/>
    <w:rsid w:val="00B92908"/>
    <w:rsid w:val="00B929E0"/>
    <w:rsid w:val="00B92AD2"/>
    <w:rsid w:val="00B92CB8"/>
    <w:rsid w:val="00B92ECA"/>
    <w:rsid w:val="00B92F68"/>
    <w:rsid w:val="00B9301F"/>
    <w:rsid w:val="00B931D1"/>
    <w:rsid w:val="00B9324B"/>
    <w:rsid w:val="00B9326A"/>
    <w:rsid w:val="00B9339C"/>
    <w:rsid w:val="00B933D6"/>
    <w:rsid w:val="00B93469"/>
    <w:rsid w:val="00B935A8"/>
    <w:rsid w:val="00B93699"/>
    <w:rsid w:val="00B938D1"/>
    <w:rsid w:val="00B939DE"/>
    <w:rsid w:val="00B93A92"/>
    <w:rsid w:val="00B93AFA"/>
    <w:rsid w:val="00B93D88"/>
    <w:rsid w:val="00B93EC2"/>
    <w:rsid w:val="00B93FBD"/>
    <w:rsid w:val="00B94009"/>
    <w:rsid w:val="00B94041"/>
    <w:rsid w:val="00B940E0"/>
    <w:rsid w:val="00B944B1"/>
    <w:rsid w:val="00B9482B"/>
    <w:rsid w:val="00B949BD"/>
    <w:rsid w:val="00B94AF0"/>
    <w:rsid w:val="00B94B5E"/>
    <w:rsid w:val="00B94D56"/>
    <w:rsid w:val="00B94E2A"/>
    <w:rsid w:val="00B94EF1"/>
    <w:rsid w:val="00B951DB"/>
    <w:rsid w:val="00B95277"/>
    <w:rsid w:val="00B9548C"/>
    <w:rsid w:val="00B9567A"/>
    <w:rsid w:val="00B957AA"/>
    <w:rsid w:val="00B95BBB"/>
    <w:rsid w:val="00B95BC4"/>
    <w:rsid w:val="00B95E27"/>
    <w:rsid w:val="00B95EDF"/>
    <w:rsid w:val="00B95EE6"/>
    <w:rsid w:val="00B95FD7"/>
    <w:rsid w:val="00B9610A"/>
    <w:rsid w:val="00B96320"/>
    <w:rsid w:val="00B96443"/>
    <w:rsid w:val="00B96922"/>
    <w:rsid w:val="00B96AE9"/>
    <w:rsid w:val="00B96AF9"/>
    <w:rsid w:val="00B96BF4"/>
    <w:rsid w:val="00B96C29"/>
    <w:rsid w:val="00B96E7D"/>
    <w:rsid w:val="00B96F90"/>
    <w:rsid w:val="00B97285"/>
    <w:rsid w:val="00B9746C"/>
    <w:rsid w:val="00B974FA"/>
    <w:rsid w:val="00B9757C"/>
    <w:rsid w:val="00B9784B"/>
    <w:rsid w:val="00B97958"/>
    <w:rsid w:val="00B97A47"/>
    <w:rsid w:val="00B97B50"/>
    <w:rsid w:val="00B97C0F"/>
    <w:rsid w:val="00B97E6B"/>
    <w:rsid w:val="00B97F71"/>
    <w:rsid w:val="00BA0065"/>
    <w:rsid w:val="00BA024D"/>
    <w:rsid w:val="00BA0279"/>
    <w:rsid w:val="00BA0310"/>
    <w:rsid w:val="00BA045A"/>
    <w:rsid w:val="00BA0472"/>
    <w:rsid w:val="00BA04EC"/>
    <w:rsid w:val="00BA0586"/>
    <w:rsid w:val="00BA0C41"/>
    <w:rsid w:val="00BA0DE4"/>
    <w:rsid w:val="00BA0EE7"/>
    <w:rsid w:val="00BA0F12"/>
    <w:rsid w:val="00BA107A"/>
    <w:rsid w:val="00BA1311"/>
    <w:rsid w:val="00BA138A"/>
    <w:rsid w:val="00BA13E2"/>
    <w:rsid w:val="00BA14FB"/>
    <w:rsid w:val="00BA154D"/>
    <w:rsid w:val="00BA1600"/>
    <w:rsid w:val="00BA170D"/>
    <w:rsid w:val="00BA1903"/>
    <w:rsid w:val="00BA22EF"/>
    <w:rsid w:val="00BA23C6"/>
    <w:rsid w:val="00BA2485"/>
    <w:rsid w:val="00BA24E0"/>
    <w:rsid w:val="00BA2700"/>
    <w:rsid w:val="00BA27CD"/>
    <w:rsid w:val="00BA288E"/>
    <w:rsid w:val="00BA2B06"/>
    <w:rsid w:val="00BA2CA4"/>
    <w:rsid w:val="00BA2DCD"/>
    <w:rsid w:val="00BA2F75"/>
    <w:rsid w:val="00BA30BB"/>
    <w:rsid w:val="00BA3160"/>
    <w:rsid w:val="00BA335C"/>
    <w:rsid w:val="00BA34B9"/>
    <w:rsid w:val="00BA3690"/>
    <w:rsid w:val="00BA38B8"/>
    <w:rsid w:val="00BA3A8E"/>
    <w:rsid w:val="00BA3B19"/>
    <w:rsid w:val="00BA3CD9"/>
    <w:rsid w:val="00BA3D6F"/>
    <w:rsid w:val="00BA3E0C"/>
    <w:rsid w:val="00BA3E82"/>
    <w:rsid w:val="00BA400B"/>
    <w:rsid w:val="00BA406F"/>
    <w:rsid w:val="00BA40C4"/>
    <w:rsid w:val="00BA4318"/>
    <w:rsid w:val="00BA4355"/>
    <w:rsid w:val="00BA43F2"/>
    <w:rsid w:val="00BA44A9"/>
    <w:rsid w:val="00BA45D9"/>
    <w:rsid w:val="00BA46A3"/>
    <w:rsid w:val="00BA46AC"/>
    <w:rsid w:val="00BA46D8"/>
    <w:rsid w:val="00BA47CC"/>
    <w:rsid w:val="00BA4825"/>
    <w:rsid w:val="00BA4AF0"/>
    <w:rsid w:val="00BA4B99"/>
    <w:rsid w:val="00BA4CF5"/>
    <w:rsid w:val="00BA4DEE"/>
    <w:rsid w:val="00BA4E77"/>
    <w:rsid w:val="00BA4E7C"/>
    <w:rsid w:val="00BA4F13"/>
    <w:rsid w:val="00BA4FCF"/>
    <w:rsid w:val="00BA51B7"/>
    <w:rsid w:val="00BA5452"/>
    <w:rsid w:val="00BA5486"/>
    <w:rsid w:val="00BA551F"/>
    <w:rsid w:val="00BA55EF"/>
    <w:rsid w:val="00BA56BD"/>
    <w:rsid w:val="00BA59E9"/>
    <w:rsid w:val="00BA5AE9"/>
    <w:rsid w:val="00BA5AF4"/>
    <w:rsid w:val="00BA5C91"/>
    <w:rsid w:val="00BA5DEF"/>
    <w:rsid w:val="00BA5E73"/>
    <w:rsid w:val="00BA5FF7"/>
    <w:rsid w:val="00BA6112"/>
    <w:rsid w:val="00BA616C"/>
    <w:rsid w:val="00BA6213"/>
    <w:rsid w:val="00BA64EC"/>
    <w:rsid w:val="00BA6513"/>
    <w:rsid w:val="00BA676A"/>
    <w:rsid w:val="00BA6892"/>
    <w:rsid w:val="00BA68DB"/>
    <w:rsid w:val="00BA6A71"/>
    <w:rsid w:val="00BA6BA5"/>
    <w:rsid w:val="00BA7098"/>
    <w:rsid w:val="00BA71E3"/>
    <w:rsid w:val="00BA72E8"/>
    <w:rsid w:val="00BA735C"/>
    <w:rsid w:val="00BA758D"/>
    <w:rsid w:val="00BA75CB"/>
    <w:rsid w:val="00BA76D9"/>
    <w:rsid w:val="00BA7A83"/>
    <w:rsid w:val="00BA7AC1"/>
    <w:rsid w:val="00BA7B6D"/>
    <w:rsid w:val="00BA7BC6"/>
    <w:rsid w:val="00BA7CB0"/>
    <w:rsid w:val="00BA7E28"/>
    <w:rsid w:val="00BB00B5"/>
    <w:rsid w:val="00BB0149"/>
    <w:rsid w:val="00BB0196"/>
    <w:rsid w:val="00BB0319"/>
    <w:rsid w:val="00BB08FE"/>
    <w:rsid w:val="00BB0988"/>
    <w:rsid w:val="00BB09A8"/>
    <w:rsid w:val="00BB0B0D"/>
    <w:rsid w:val="00BB0D74"/>
    <w:rsid w:val="00BB0E2E"/>
    <w:rsid w:val="00BB0E7D"/>
    <w:rsid w:val="00BB0EAF"/>
    <w:rsid w:val="00BB0F29"/>
    <w:rsid w:val="00BB103F"/>
    <w:rsid w:val="00BB1143"/>
    <w:rsid w:val="00BB164F"/>
    <w:rsid w:val="00BB1D70"/>
    <w:rsid w:val="00BB1D7F"/>
    <w:rsid w:val="00BB1E94"/>
    <w:rsid w:val="00BB1F69"/>
    <w:rsid w:val="00BB1FFA"/>
    <w:rsid w:val="00BB2106"/>
    <w:rsid w:val="00BB21E9"/>
    <w:rsid w:val="00BB2204"/>
    <w:rsid w:val="00BB25F4"/>
    <w:rsid w:val="00BB2704"/>
    <w:rsid w:val="00BB275B"/>
    <w:rsid w:val="00BB2C1E"/>
    <w:rsid w:val="00BB2CA6"/>
    <w:rsid w:val="00BB2D46"/>
    <w:rsid w:val="00BB2DC0"/>
    <w:rsid w:val="00BB31BC"/>
    <w:rsid w:val="00BB32A9"/>
    <w:rsid w:val="00BB33E5"/>
    <w:rsid w:val="00BB3513"/>
    <w:rsid w:val="00BB3700"/>
    <w:rsid w:val="00BB3AC3"/>
    <w:rsid w:val="00BB3AE3"/>
    <w:rsid w:val="00BB3C20"/>
    <w:rsid w:val="00BB3D02"/>
    <w:rsid w:val="00BB4122"/>
    <w:rsid w:val="00BB425A"/>
    <w:rsid w:val="00BB4331"/>
    <w:rsid w:val="00BB44AD"/>
    <w:rsid w:val="00BB468B"/>
    <w:rsid w:val="00BB4A3F"/>
    <w:rsid w:val="00BB4B10"/>
    <w:rsid w:val="00BB4E77"/>
    <w:rsid w:val="00BB4FE5"/>
    <w:rsid w:val="00BB52F0"/>
    <w:rsid w:val="00BB557C"/>
    <w:rsid w:val="00BB59C4"/>
    <w:rsid w:val="00BB5B4B"/>
    <w:rsid w:val="00BB5B7F"/>
    <w:rsid w:val="00BB5C41"/>
    <w:rsid w:val="00BB5D69"/>
    <w:rsid w:val="00BB5DFD"/>
    <w:rsid w:val="00BB5F1C"/>
    <w:rsid w:val="00BB6076"/>
    <w:rsid w:val="00BB6094"/>
    <w:rsid w:val="00BB6155"/>
    <w:rsid w:val="00BB6308"/>
    <w:rsid w:val="00BB640C"/>
    <w:rsid w:val="00BB677D"/>
    <w:rsid w:val="00BB6810"/>
    <w:rsid w:val="00BB6951"/>
    <w:rsid w:val="00BB6B3B"/>
    <w:rsid w:val="00BB6E65"/>
    <w:rsid w:val="00BB6F06"/>
    <w:rsid w:val="00BB6F61"/>
    <w:rsid w:val="00BB70F5"/>
    <w:rsid w:val="00BB7462"/>
    <w:rsid w:val="00BB74D4"/>
    <w:rsid w:val="00BB753A"/>
    <w:rsid w:val="00BB766A"/>
    <w:rsid w:val="00BB7739"/>
    <w:rsid w:val="00BB773E"/>
    <w:rsid w:val="00BB77F6"/>
    <w:rsid w:val="00BB7B1D"/>
    <w:rsid w:val="00BB7F6D"/>
    <w:rsid w:val="00BC023C"/>
    <w:rsid w:val="00BC0441"/>
    <w:rsid w:val="00BC084E"/>
    <w:rsid w:val="00BC09C4"/>
    <w:rsid w:val="00BC0B63"/>
    <w:rsid w:val="00BC0BAD"/>
    <w:rsid w:val="00BC0C48"/>
    <w:rsid w:val="00BC0CE6"/>
    <w:rsid w:val="00BC0F08"/>
    <w:rsid w:val="00BC117E"/>
    <w:rsid w:val="00BC1209"/>
    <w:rsid w:val="00BC1474"/>
    <w:rsid w:val="00BC159E"/>
    <w:rsid w:val="00BC1814"/>
    <w:rsid w:val="00BC1921"/>
    <w:rsid w:val="00BC1968"/>
    <w:rsid w:val="00BC19A9"/>
    <w:rsid w:val="00BC1ABB"/>
    <w:rsid w:val="00BC1B21"/>
    <w:rsid w:val="00BC1BD8"/>
    <w:rsid w:val="00BC1BDA"/>
    <w:rsid w:val="00BC1C3E"/>
    <w:rsid w:val="00BC1E45"/>
    <w:rsid w:val="00BC1FDF"/>
    <w:rsid w:val="00BC20E7"/>
    <w:rsid w:val="00BC214E"/>
    <w:rsid w:val="00BC21BB"/>
    <w:rsid w:val="00BC23E7"/>
    <w:rsid w:val="00BC23F8"/>
    <w:rsid w:val="00BC264D"/>
    <w:rsid w:val="00BC27D4"/>
    <w:rsid w:val="00BC286B"/>
    <w:rsid w:val="00BC2A1B"/>
    <w:rsid w:val="00BC2D43"/>
    <w:rsid w:val="00BC2E3A"/>
    <w:rsid w:val="00BC3114"/>
    <w:rsid w:val="00BC316F"/>
    <w:rsid w:val="00BC32B3"/>
    <w:rsid w:val="00BC33AC"/>
    <w:rsid w:val="00BC34DF"/>
    <w:rsid w:val="00BC34ED"/>
    <w:rsid w:val="00BC36BE"/>
    <w:rsid w:val="00BC36E3"/>
    <w:rsid w:val="00BC3898"/>
    <w:rsid w:val="00BC398E"/>
    <w:rsid w:val="00BC39A4"/>
    <w:rsid w:val="00BC3A18"/>
    <w:rsid w:val="00BC3AD5"/>
    <w:rsid w:val="00BC3DEE"/>
    <w:rsid w:val="00BC40F7"/>
    <w:rsid w:val="00BC42C4"/>
    <w:rsid w:val="00BC444C"/>
    <w:rsid w:val="00BC44FB"/>
    <w:rsid w:val="00BC453A"/>
    <w:rsid w:val="00BC4589"/>
    <w:rsid w:val="00BC45A5"/>
    <w:rsid w:val="00BC467C"/>
    <w:rsid w:val="00BC473C"/>
    <w:rsid w:val="00BC4A1C"/>
    <w:rsid w:val="00BC4B72"/>
    <w:rsid w:val="00BC4BA8"/>
    <w:rsid w:val="00BC4D94"/>
    <w:rsid w:val="00BC4F57"/>
    <w:rsid w:val="00BC4F8E"/>
    <w:rsid w:val="00BC50A7"/>
    <w:rsid w:val="00BC50BF"/>
    <w:rsid w:val="00BC51FA"/>
    <w:rsid w:val="00BC536C"/>
    <w:rsid w:val="00BC5388"/>
    <w:rsid w:val="00BC5438"/>
    <w:rsid w:val="00BC54FD"/>
    <w:rsid w:val="00BC5557"/>
    <w:rsid w:val="00BC5806"/>
    <w:rsid w:val="00BC582F"/>
    <w:rsid w:val="00BC5847"/>
    <w:rsid w:val="00BC58A9"/>
    <w:rsid w:val="00BC5A8D"/>
    <w:rsid w:val="00BC5B96"/>
    <w:rsid w:val="00BC5C4E"/>
    <w:rsid w:val="00BC5E2B"/>
    <w:rsid w:val="00BC5F10"/>
    <w:rsid w:val="00BC6078"/>
    <w:rsid w:val="00BC60E2"/>
    <w:rsid w:val="00BC6107"/>
    <w:rsid w:val="00BC61E7"/>
    <w:rsid w:val="00BC68B6"/>
    <w:rsid w:val="00BC6918"/>
    <w:rsid w:val="00BC6980"/>
    <w:rsid w:val="00BC69BC"/>
    <w:rsid w:val="00BC6B2D"/>
    <w:rsid w:val="00BC6D5F"/>
    <w:rsid w:val="00BC6F65"/>
    <w:rsid w:val="00BC6F8C"/>
    <w:rsid w:val="00BC6FCE"/>
    <w:rsid w:val="00BC70EA"/>
    <w:rsid w:val="00BC70FB"/>
    <w:rsid w:val="00BC7173"/>
    <w:rsid w:val="00BC7198"/>
    <w:rsid w:val="00BC71DB"/>
    <w:rsid w:val="00BC728C"/>
    <w:rsid w:val="00BC776F"/>
    <w:rsid w:val="00BC7799"/>
    <w:rsid w:val="00BC7914"/>
    <w:rsid w:val="00BC79F1"/>
    <w:rsid w:val="00BC79F5"/>
    <w:rsid w:val="00BC7B19"/>
    <w:rsid w:val="00BC7DBE"/>
    <w:rsid w:val="00BC7E54"/>
    <w:rsid w:val="00BC7F31"/>
    <w:rsid w:val="00BD004A"/>
    <w:rsid w:val="00BD0475"/>
    <w:rsid w:val="00BD0490"/>
    <w:rsid w:val="00BD0828"/>
    <w:rsid w:val="00BD08F2"/>
    <w:rsid w:val="00BD0A88"/>
    <w:rsid w:val="00BD0AB1"/>
    <w:rsid w:val="00BD0ABB"/>
    <w:rsid w:val="00BD0C09"/>
    <w:rsid w:val="00BD1024"/>
    <w:rsid w:val="00BD102F"/>
    <w:rsid w:val="00BD15A6"/>
    <w:rsid w:val="00BD1861"/>
    <w:rsid w:val="00BD1879"/>
    <w:rsid w:val="00BD1890"/>
    <w:rsid w:val="00BD1A10"/>
    <w:rsid w:val="00BD1A1E"/>
    <w:rsid w:val="00BD1B58"/>
    <w:rsid w:val="00BD1BAA"/>
    <w:rsid w:val="00BD1BF5"/>
    <w:rsid w:val="00BD1C89"/>
    <w:rsid w:val="00BD1CEF"/>
    <w:rsid w:val="00BD1D73"/>
    <w:rsid w:val="00BD1E5A"/>
    <w:rsid w:val="00BD1F06"/>
    <w:rsid w:val="00BD1F88"/>
    <w:rsid w:val="00BD217A"/>
    <w:rsid w:val="00BD2316"/>
    <w:rsid w:val="00BD2318"/>
    <w:rsid w:val="00BD244E"/>
    <w:rsid w:val="00BD261E"/>
    <w:rsid w:val="00BD277F"/>
    <w:rsid w:val="00BD27AD"/>
    <w:rsid w:val="00BD2B36"/>
    <w:rsid w:val="00BD2CC0"/>
    <w:rsid w:val="00BD2DF3"/>
    <w:rsid w:val="00BD2ED0"/>
    <w:rsid w:val="00BD3025"/>
    <w:rsid w:val="00BD322F"/>
    <w:rsid w:val="00BD33C1"/>
    <w:rsid w:val="00BD351C"/>
    <w:rsid w:val="00BD3720"/>
    <w:rsid w:val="00BD3735"/>
    <w:rsid w:val="00BD3744"/>
    <w:rsid w:val="00BD37ED"/>
    <w:rsid w:val="00BD386E"/>
    <w:rsid w:val="00BD3900"/>
    <w:rsid w:val="00BD39BF"/>
    <w:rsid w:val="00BD3D96"/>
    <w:rsid w:val="00BD3F40"/>
    <w:rsid w:val="00BD3F4F"/>
    <w:rsid w:val="00BD416A"/>
    <w:rsid w:val="00BD41AF"/>
    <w:rsid w:val="00BD4230"/>
    <w:rsid w:val="00BD43AD"/>
    <w:rsid w:val="00BD444F"/>
    <w:rsid w:val="00BD467F"/>
    <w:rsid w:val="00BD47F0"/>
    <w:rsid w:val="00BD4A0E"/>
    <w:rsid w:val="00BD4BD8"/>
    <w:rsid w:val="00BD4C37"/>
    <w:rsid w:val="00BD4D62"/>
    <w:rsid w:val="00BD4DED"/>
    <w:rsid w:val="00BD4FD9"/>
    <w:rsid w:val="00BD5070"/>
    <w:rsid w:val="00BD5212"/>
    <w:rsid w:val="00BD5227"/>
    <w:rsid w:val="00BD537E"/>
    <w:rsid w:val="00BD53A1"/>
    <w:rsid w:val="00BD5431"/>
    <w:rsid w:val="00BD564A"/>
    <w:rsid w:val="00BD5667"/>
    <w:rsid w:val="00BD56E0"/>
    <w:rsid w:val="00BD5C17"/>
    <w:rsid w:val="00BD5D4F"/>
    <w:rsid w:val="00BD5E17"/>
    <w:rsid w:val="00BD5E24"/>
    <w:rsid w:val="00BD5E6E"/>
    <w:rsid w:val="00BD60AE"/>
    <w:rsid w:val="00BD6117"/>
    <w:rsid w:val="00BD62BE"/>
    <w:rsid w:val="00BD6351"/>
    <w:rsid w:val="00BD63CD"/>
    <w:rsid w:val="00BD6568"/>
    <w:rsid w:val="00BD6675"/>
    <w:rsid w:val="00BD6A78"/>
    <w:rsid w:val="00BD6BE3"/>
    <w:rsid w:val="00BD704C"/>
    <w:rsid w:val="00BD7135"/>
    <w:rsid w:val="00BD7157"/>
    <w:rsid w:val="00BD732E"/>
    <w:rsid w:val="00BD76AA"/>
    <w:rsid w:val="00BD7721"/>
    <w:rsid w:val="00BD7B46"/>
    <w:rsid w:val="00BD7FA4"/>
    <w:rsid w:val="00BE029B"/>
    <w:rsid w:val="00BE0377"/>
    <w:rsid w:val="00BE047B"/>
    <w:rsid w:val="00BE061E"/>
    <w:rsid w:val="00BE0684"/>
    <w:rsid w:val="00BE09B9"/>
    <w:rsid w:val="00BE0B20"/>
    <w:rsid w:val="00BE0C92"/>
    <w:rsid w:val="00BE0CA6"/>
    <w:rsid w:val="00BE0D20"/>
    <w:rsid w:val="00BE0D2B"/>
    <w:rsid w:val="00BE0D4D"/>
    <w:rsid w:val="00BE0D69"/>
    <w:rsid w:val="00BE0F45"/>
    <w:rsid w:val="00BE103C"/>
    <w:rsid w:val="00BE105E"/>
    <w:rsid w:val="00BE10C2"/>
    <w:rsid w:val="00BE1155"/>
    <w:rsid w:val="00BE129B"/>
    <w:rsid w:val="00BE135A"/>
    <w:rsid w:val="00BE1459"/>
    <w:rsid w:val="00BE199A"/>
    <w:rsid w:val="00BE1A02"/>
    <w:rsid w:val="00BE1CEE"/>
    <w:rsid w:val="00BE1D15"/>
    <w:rsid w:val="00BE1E15"/>
    <w:rsid w:val="00BE1F00"/>
    <w:rsid w:val="00BE1F09"/>
    <w:rsid w:val="00BE20DC"/>
    <w:rsid w:val="00BE2104"/>
    <w:rsid w:val="00BE22CE"/>
    <w:rsid w:val="00BE230D"/>
    <w:rsid w:val="00BE231E"/>
    <w:rsid w:val="00BE2358"/>
    <w:rsid w:val="00BE2832"/>
    <w:rsid w:val="00BE28D0"/>
    <w:rsid w:val="00BE2A23"/>
    <w:rsid w:val="00BE2A45"/>
    <w:rsid w:val="00BE2E50"/>
    <w:rsid w:val="00BE2F91"/>
    <w:rsid w:val="00BE2FBE"/>
    <w:rsid w:val="00BE30EC"/>
    <w:rsid w:val="00BE31C5"/>
    <w:rsid w:val="00BE32B5"/>
    <w:rsid w:val="00BE3438"/>
    <w:rsid w:val="00BE3616"/>
    <w:rsid w:val="00BE369A"/>
    <w:rsid w:val="00BE378F"/>
    <w:rsid w:val="00BE37B3"/>
    <w:rsid w:val="00BE38E6"/>
    <w:rsid w:val="00BE39B4"/>
    <w:rsid w:val="00BE3C83"/>
    <w:rsid w:val="00BE3C92"/>
    <w:rsid w:val="00BE3EE6"/>
    <w:rsid w:val="00BE3F43"/>
    <w:rsid w:val="00BE4267"/>
    <w:rsid w:val="00BE4551"/>
    <w:rsid w:val="00BE462A"/>
    <w:rsid w:val="00BE46C0"/>
    <w:rsid w:val="00BE4745"/>
    <w:rsid w:val="00BE4ADD"/>
    <w:rsid w:val="00BE4C8D"/>
    <w:rsid w:val="00BE4D64"/>
    <w:rsid w:val="00BE4F24"/>
    <w:rsid w:val="00BE4FD8"/>
    <w:rsid w:val="00BE5053"/>
    <w:rsid w:val="00BE506E"/>
    <w:rsid w:val="00BE521D"/>
    <w:rsid w:val="00BE5380"/>
    <w:rsid w:val="00BE54A0"/>
    <w:rsid w:val="00BE54B6"/>
    <w:rsid w:val="00BE58A3"/>
    <w:rsid w:val="00BE5962"/>
    <w:rsid w:val="00BE5C0A"/>
    <w:rsid w:val="00BE5C99"/>
    <w:rsid w:val="00BE60C8"/>
    <w:rsid w:val="00BE66DF"/>
    <w:rsid w:val="00BE6805"/>
    <w:rsid w:val="00BE6B34"/>
    <w:rsid w:val="00BE6CD4"/>
    <w:rsid w:val="00BE706B"/>
    <w:rsid w:val="00BE709A"/>
    <w:rsid w:val="00BE71BB"/>
    <w:rsid w:val="00BE71C9"/>
    <w:rsid w:val="00BE7243"/>
    <w:rsid w:val="00BE7247"/>
    <w:rsid w:val="00BE7338"/>
    <w:rsid w:val="00BE7574"/>
    <w:rsid w:val="00BE75C3"/>
    <w:rsid w:val="00BE773E"/>
    <w:rsid w:val="00BE7A6D"/>
    <w:rsid w:val="00BE7D3D"/>
    <w:rsid w:val="00BF0382"/>
    <w:rsid w:val="00BF047D"/>
    <w:rsid w:val="00BF06E4"/>
    <w:rsid w:val="00BF0726"/>
    <w:rsid w:val="00BF0A9F"/>
    <w:rsid w:val="00BF0B95"/>
    <w:rsid w:val="00BF0C48"/>
    <w:rsid w:val="00BF0C9C"/>
    <w:rsid w:val="00BF0D47"/>
    <w:rsid w:val="00BF0DCF"/>
    <w:rsid w:val="00BF0DFF"/>
    <w:rsid w:val="00BF0E5F"/>
    <w:rsid w:val="00BF0EAF"/>
    <w:rsid w:val="00BF0EEA"/>
    <w:rsid w:val="00BF1054"/>
    <w:rsid w:val="00BF129C"/>
    <w:rsid w:val="00BF13BC"/>
    <w:rsid w:val="00BF1445"/>
    <w:rsid w:val="00BF145B"/>
    <w:rsid w:val="00BF1650"/>
    <w:rsid w:val="00BF16BA"/>
    <w:rsid w:val="00BF193F"/>
    <w:rsid w:val="00BF1CF1"/>
    <w:rsid w:val="00BF1E89"/>
    <w:rsid w:val="00BF1F96"/>
    <w:rsid w:val="00BF233D"/>
    <w:rsid w:val="00BF2449"/>
    <w:rsid w:val="00BF2459"/>
    <w:rsid w:val="00BF248F"/>
    <w:rsid w:val="00BF2519"/>
    <w:rsid w:val="00BF25F2"/>
    <w:rsid w:val="00BF260C"/>
    <w:rsid w:val="00BF2A81"/>
    <w:rsid w:val="00BF2C8E"/>
    <w:rsid w:val="00BF2D71"/>
    <w:rsid w:val="00BF31EA"/>
    <w:rsid w:val="00BF32DD"/>
    <w:rsid w:val="00BF35AF"/>
    <w:rsid w:val="00BF36A3"/>
    <w:rsid w:val="00BF36EB"/>
    <w:rsid w:val="00BF394A"/>
    <w:rsid w:val="00BF3DF5"/>
    <w:rsid w:val="00BF4083"/>
    <w:rsid w:val="00BF40DD"/>
    <w:rsid w:val="00BF412B"/>
    <w:rsid w:val="00BF427A"/>
    <w:rsid w:val="00BF430A"/>
    <w:rsid w:val="00BF4386"/>
    <w:rsid w:val="00BF4634"/>
    <w:rsid w:val="00BF463C"/>
    <w:rsid w:val="00BF470A"/>
    <w:rsid w:val="00BF4A66"/>
    <w:rsid w:val="00BF4ABB"/>
    <w:rsid w:val="00BF4BDD"/>
    <w:rsid w:val="00BF4D30"/>
    <w:rsid w:val="00BF4D6C"/>
    <w:rsid w:val="00BF4E42"/>
    <w:rsid w:val="00BF4F44"/>
    <w:rsid w:val="00BF4F81"/>
    <w:rsid w:val="00BF508F"/>
    <w:rsid w:val="00BF5399"/>
    <w:rsid w:val="00BF53DF"/>
    <w:rsid w:val="00BF54D6"/>
    <w:rsid w:val="00BF5A05"/>
    <w:rsid w:val="00BF5B30"/>
    <w:rsid w:val="00BF5BAE"/>
    <w:rsid w:val="00BF5D21"/>
    <w:rsid w:val="00BF5DDB"/>
    <w:rsid w:val="00BF5EF5"/>
    <w:rsid w:val="00BF5FE7"/>
    <w:rsid w:val="00BF5FF9"/>
    <w:rsid w:val="00BF61F4"/>
    <w:rsid w:val="00BF622B"/>
    <w:rsid w:val="00BF6888"/>
    <w:rsid w:val="00BF69A6"/>
    <w:rsid w:val="00BF6A50"/>
    <w:rsid w:val="00BF6A9C"/>
    <w:rsid w:val="00BF6BAF"/>
    <w:rsid w:val="00BF6C83"/>
    <w:rsid w:val="00BF6CA0"/>
    <w:rsid w:val="00BF6CAF"/>
    <w:rsid w:val="00BF714C"/>
    <w:rsid w:val="00BF7191"/>
    <w:rsid w:val="00BF72B8"/>
    <w:rsid w:val="00BF7330"/>
    <w:rsid w:val="00BF743A"/>
    <w:rsid w:val="00BF7440"/>
    <w:rsid w:val="00BF74A9"/>
    <w:rsid w:val="00BF76E3"/>
    <w:rsid w:val="00BF7732"/>
    <w:rsid w:val="00BF77EB"/>
    <w:rsid w:val="00BF7D2C"/>
    <w:rsid w:val="00BF7FAF"/>
    <w:rsid w:val="00C00218"/>
    <w:rsid w:val="00C002F5"/>
    <w:rsid w:val="00C00385"/>
    <w:rsid w:val="00C006E8"/>
    <w:rsid w:val="00C0074B"/>
    <w:rsid w:val="00C00758"/>
    <w:rsid w:val="00C00801"/>
    <w:rsid w:val="00C009A8"/>
    <w:rsid w:val="00C00BB6"/>
    <w:rsid w:val="00C00C3F"/>
    <w:rsid w:val="00C00FBD"/>
    <w:rsid w:val="00C010B4"/>
    <w:rsid w:val="00C011F3"/>
    <w:rsid w:val="00C0134B"/>
    <w:rsid w:val="00C0138D"/>
    <w:rsid w:val="00C01665"/>
    <w:rsid w:val="00C016AC"/>
    <w:rsid w:val="00C0187E"/>
    <w:rsid w:val="00C01AC9"/>
    <w:rsid w:val="00C01AFF"/>
    <w:rsid w:val="00C01BC5"/>
    <w:rsid w:val="00C01BE7"/>
    <w:rsid w:val="00C01C36"/>
    <w:rsid w:val="00C01CA1"/>
    <w:rsid w:val="00C01DAA"/>
    <w:rsid w:val="00C01F2E"/>
    <w:rsid w:val="00C01F58"/>
    <w:rsid w:val="00C022D5"/>
    <w:rsid w:val="00C024A4"/>
    <w:rsid w:val="00C02708"/>
    <w:rsid w:val="00C02733"/>
    <w:rsid w:val="00C02768"/>
    <w:rsid w:val="00C027F8"/>
    <w:rsid w:val="00C029F7"/>
    <w:rsid w:val="00C02C5F"/>
    <w:rsid w:val="00C02F52"/>
    <w:rsid w:val="00C0302A"/>
    <w:rsid w:val="00C03139"/>
    <w:rsid w:val="00C031A2"/>
    <w:rsid w:val="00C03247"/>
    <w:rsid w:val="00C03366"/>
    <w:rsid w:val="00C03379"/>
    <w:rsid w:val="00C03452"/>
    <w:rsid w:val="00C0361C"/>
    <w:rsid w:val="00C0369C"/>
    <w:rsid w:val="00C03813"/>
    <w:rsid w:val="00C0395B"/>
    <w:rsid w:val="00C03EB5"/>
    <w:rsid w:val="00C04086"/>
    <w:rsid w:val="00C040CE"/>
    <w:rsid w:val="00C043E8"/>
    <w:rsid w:val="00C04474"/>
    <w:rsid w:val="00C0462B"/>
    <w:rsid w:val="00C0484E"/>
    <w:rsid w:val="00C04D38"/>
    <w:rsid w:val="00C04D9C"/>
    <w:rsid w:val="00C04FA3"/>
    <w:rsid w:val="00C05003"/>
    <w:rsid w:val="00C05347"/>
    <w:rsid w:val="00C05365"/>
    <w:rsid w:val="00C056D5"/>
    <w:rsid w:val="00C05963"/>
    <w:rsid w:val="00C05984"/>
    <w:rsid w:val="00C05997"/>
    <w:rsid w:val="00C05A2E"/>
    <w:rsid w:val="00C05A91"/>
    <w:rsid w:val="00C05B7A"/>
    <w:rsid w:val="00C05D39"/>
    <w:rsid w:val="00C05D50"/>
    <w:rsid w:val="00C05E1C"/>
    <w:rsid w:val="00C05FFE"/>
    <w:rsid w:val="00C0600F"/>
    <w:rsid w:val="00C0628E"/>
    <w:rsid w:val="00C064CB"/>
    <w:rsid w:val="00C064D0"/>
    <w:rsid w:val="00C0653E"/>
    <w:rsid w:val="00C066A3"/>
    <w:rsid w:val="00C0671A"/>
    <w:rsid w:val="00C06747"/>
    <w:rsid w:val="00C0675B"/>
    <w:rsid w:val="00C06770"/>
    <w:rsid w:val="00C06A3B"/>
    <w:rsid w:val="00C06AA6"/>
    <w:rsid w:val="00C06FCC"/>
    <w:rsid w:val="00C06FFF"/>
    <w:rsid w:val="00C07034"/>
    <w:rsid w:val="00C07224"/>
    <w:rsid w:val="00C0726A"/>
    <w:rsid w:val="00C0736D"/>
    <w:rsid w:val="00C07470"/>
    <w:rsid w:val="00C074DD"/>
    <w:rsid w:val="00C076F2"/>
    <w:rsid w:val="00C07906"/>
    <w:rsid w:val="00C07A2D"/>
    <w:rsid w:val="00C07A33"/>
    <w:rsid w:val="00C07B89"/>
    <w:rsid w:val="00C07BAC"/>
    <w:rsid w:val="00C07BDA"/>
    <w:rsid w:val="00C07C95"/>
    <w:rsid w:val="00C07DC1"/>
    <w:rsid w:val="00C10264"/>
    <w:rsid w:val="00C10282"/>
    <w:rsid w:val="00C102B2"/>
    <w:rsid w:val="00C1033C"/>
    <w:rsid w:val="00C10403"/>
    <w:rsid w:val="00C105D0"/>
    <w:rsid w:val="00C105ED"/>
    <w:rsid w:val="00C10627"/>
    <w:rsid w:val="00C10695"/>
    <w:rsid w:val="00C10860"/>
    <w:rsid w:val="00C10919"/>
    <w:rsid w:val="00C109F2"/>
    <w:rsid w:val="00C10B06"/>
    <w:rsid w:val="00C10F84"/>
    <w:rsid w:val="00C1115D"/>
    <w:rsid w:val="00C111EB"/>
    <w:rsid w:val="00C11280"/>
    <w:rsid w:val="00C112C8"/>
    <w:rsid w:val="00C112F7"/>
    <w:rsid w:val="00C11593"/>
    <w:rsid w:val="00C117C4"/>
    <w:rsid w:val="00C11ADF"/>
    <w:rsid w:val="00C11B67"/>
    <w:rsid w:val="00C11C55"/>
    <w:rsid w:val="00C11CB5"/>
    <w:rsid w:val="00C11CE7"/>
    <w:rsid w:val="00C11CFB"/>
    <w:rsid w:val="00C11D04"/>
    <w:rsid w:val="00C11DDB"/>
    <w:rsid w:val="00C11E82"/>
    <w:rsid w:val="00C11FE2"/>
    <w:rsid w:val="00C120C9"/>
    <w:rsid w:val="00C120DF"/>
    <w:rsid w:val="00C1232A"/>
    <w:rsid w:val="00C1244F"/>
    <w:rsid w:val="00C1253A"/>
    <w:rsid w:val="00C12553"/>
    <w:rsid w:val="00C125BE"/>
    <w:rsid w:val="00C12889"/>
    <w:rsid w:val="00C1292B"/>
    <w:rsid w:val="00C12A22"/>
    <w:rsid w:val="00C12A41"/>
    <w:rsid w:val="00C12A47"/>
    <w:rsid w:val="00C12AC5"/>
    <w:rsid w:val="00C12C26"/>
    <w:rsid w:val="00C12D92"/>
    <w:rsid w:val="00C1301A"/>
    <w:rsid w:val="00C13239"/>
    <w:rsid w:val="00C1325B"/>
    <w:rsid w:val="00C13289"/>
    <w:rsid w:val="00C13561"/>
    <w:rsid w:val="00C13805"/>
    <w:rsid w:val="00C13E0C"/>
    <w:rsid w:val="00C13E89"/>
    <w:rsid w:val="00C13FCA"/>
    <w:rsid w:val="00C13FD7"/>
    <w:rsid w:val="00C140A9"/>
    <w:rsid w:val="00C141AA"/>
    <w:rsid w:val="00C14665"/>
    <w:rsid w:val="00C146EC"/>
    <w:rsid w:val="00C147EC"/>
    <w:rsid w:val="00C1483D"/>
    <w:rsid w:val="00C14917"/>
    <w:rsid w:val="00C14A08"/>
    <w:rsid w:val="00C14BBE"/>
    <w:rsid w:val="00C14D0B"/>
    <w:rsid w:val="00C14D8A"/>
    <w:rsid w:val="00C154CC"/>
    <w:rsid w:val="00C15601"/>
    <w:rsid w:val="00C15A30"/>
    <w:rsid w:val="00C15C0C"/>
    <w:rsid w:val="00C15CAE"/>
    <w:rsid w:val="00C15E3E"/>
    <w:rsid w:val="00C15FDC"/>
    <w:rsid w:val="00C16014"/>
    <w:rsid w:val="00C1615C"/>
    <w:rsid w:val="00C16162"/>
    <w:rsid w:val="00C161C7"/>
    <w:rsid w:val="00C16313"/>
    <w:rsid w:val="00C163AB"/>
    <w:rsid w:val="00C16465"/>
    <w:rsid w:val="00C166C0"/>
    <w:rsid w:val="00C16A5F"/>
    <w:rsid w:val="00C16B28"/>
    <w:rsid w:val="00C16B70"/>
    <w:rsid w:val="00C16C46"/>
    <w:rsid w:val="00C16CC8"/>
    <w:rsid w:val="00C16F4E"/>
    <w:rsid w:val="00C16FF6"/>
    <w:rsid w:val="00C17147"/>
    <w:rsid w:val="00C17194"/>
    <w:rsid w:val="00C17933"/>
    <w:rsid w:val="00C17964"/>
    <w:rsid w:val="00C17987"/>
    <w:rsid w:val="00C17C04"/>
    <w:rsid w:val="00C17EEB"/>
    <w:rsid w:val="00C17F60"/>
    <w:rsid w:val="00C20025"/>
    <w:rsid w:val="00C201AC"/>
    <w:rsid w:val="00C20225"/>
    <w:rsid w:val="00C20475"/>
    <w:rsid w:val="00C20491"/>
    <w:rsid w:val="00C20555"/>
    <w:rsid w:val="00C20701"/>
    <w:rsid w:val="00C20789"/>
    <w:rsid w:val="00C207AE"/>
    <w:rsid w:val="00C20979"/>
    <w:rsid w:val="00C20A25"/>
    <w:rsid w:val="00C20B2E"/>
    <w:rsid w:val="00C20BD5"/>
    <w:rsid w:val="00C20BFD"/>
    <w:rsid w:val="00C20EB1"/>
    <w:rsid w:val="00C20EB9"/>
    <w:rsid w:val="00C20F87"/>
    <w:rsid w:val="00C21079"/>
    <w:rsid w:val="00C2113E"/>
    <w:rsid w:val="00C21161"/>
    <w:rsid w:val="00C212E5"/>
    <w:rsid w:val="00C21447"/>
    <w:rsid w:val="00C21471"/>
    <w:rsid w:val="00C21479"/>
    <w:rsid w:val="00C214B7"/>
    <w:rsid w:val="00C214EE"/>
    <w:rsid w:val="00C215A8"/>
    <w:rsid w:val="00C2164C"/>
    <w:rsid w:val="00C216A4"/>
    <w:rsid w:val="00C216C4"/>
    <w:rsid w:val="00C2174C"/>
    <w:rsid w:val="00C218CF"/>
    <w:rsid w:val="00C2194C"/>
    <w:rsid w:val="00C219B0"/>
    <w:rsid w:val="00C21A2C"/>
    <w:rsid w:val="00C21B70"/>
    <w:rsid w:val="00C21E80"/>
    <w:rsid w:val="00C21FBF"/>
    <w:rsid w:val="00C2224C"/>
    <w:rsid w:val="00C222C2"/>
    <w:rsid w:val="00C2230C"/>
    <w:rsid w:val="00C2234E"/>
    <w:rsid w:val="00C224B0"/>
    <w:rsid w:val="00C22702"/>
    <w:rsid w:val="00C22794"/>
    <w:rsid w:val="00C228DB"/>
    <w:rsid w:val="00C22961"/>
    <w:rsid w:val="00C229B5"/>
    <w:rsid w:val="00C22CB7"/>
    <w:rsid w:val="00C22E3C"/>
    <w:rsid w:val="00C2303D"/>
    <w:rsid w:val="00C2307F"/>
    <w:rsid w:val="00C23148"/>
    <w:rsid w:val="00C23219"/>
    <w:rsid w:val="00C234E4"/>
    <w:rsid w:val="00C234F6"/>
    <w:rsid w:val="00C235C2"/>
    <w:rsid w:val="00C2360C"/>
    <w:rsid w:val="00C2376E"/>
    <w:rsid w:val="00C2395A"/>
    <w:rsid w:val="00C23A1A"/>
    <w:rsid w:val="00C23CE5"/>
    <w:rsid w:val="00C241F2"/>
    <w:rsid w:val="00C243B3"/>
    <w:rsid w:val="00C243F7"/>
    <w:rsid w:val="00C24471"/>
    <w:rsid w:val="00C247F2"/>
    <w:rsid w:val="00C24825"/>
    <w:rsid w:val="00C24B0D"/>
    <w:rsid w:val="00C24BD0"/>
    <w:rsid w:val="00C24F4C"/>
    <w:rsid w:val="00C25147"/>
    <w:rsid w:val="00C251E4"/>
    <w:rsid w:val="00C25312"/>
    <w:rsid w:val="00C25362"/>
    <w:rsid w:val="00C25366"/>
    <w:rsid w:val="00C2538E"/>
    <w:rsid w:val="00C25490"/>
    <w:rsid w:val="00C25607"/>
    <w:rsid w:val="00C256DD"/>
    <w:rsid w:val="00C25751"/>
    <w:rsid w:val="00C2575B"/>
    <w:rsid w:val="00C25867"/>
    <w:rsid w:val="00C25937"/>
    <w:rsid w:val="00C25A22"/>
    <w:rsid w:val="00C25A4A"/>
    <w:rsid w:val="00C25A53"/>
    <w:rsid w:val="00C25B2F"/>
    <w:rsid w:val="00C25C7A"/>
    <w:rsid w:val="00C260B4"/>
    <w:rsid w:val="00C261B8"/>
    <w:rsid w:val="00C2632F"/>
    <w:rsid w:val="00C264F8"/>
    <w:rsid w:val="00C26761"/>
    <w:rsid w:val="00C2681C"/>
    <w:rsid w:val="00C2690F"/>
    <w:rsid w:val="00C26B7E"/>
    <w:rsid w:val="00C26EA5"/>
    <w:rsid w:val="00C2701C"/>
    <w:rsid w:val="00C27380"/>
    <w:rsid w:val="00C27477"/>
    <w:rsid w:val="00C27863"/>
    <w:rsid w:val="00C2791C"/>
    <w:rsid w:val="00C279BB"/>
    <w:rsid w:val="00C27AB1"/>
    <w:rsid w:val="00C27ACC"/>
    <w:rsid w:val="00C27AE6"/>
    <w:rsid w:val="00C27C21"/>
    <w:rsid w:val="00C27F1A"/>
    <w:rsid w:val="00C2AD79"/>
    <w:rsid w:val="00C300A0"/>
    <w:rsid w:val="00C30495"/>
    <w:rsid w:val="00C3052C"/>
    <w:rsid w:val="00C305AC"/>
    <w:rsid w:val="00C306D4"/>
    <w:rsid w:val="00C30734"/>
    <w:rsid w:val="00C3079A"/>
    <w:rsid w:val="00C30870"/>
    <w:rsid w:val="00C3087B"/>
    <w:rsid w:val="00C308F8"/>
    <w:rsid w:val="00C30B74"/>
    <w:rsid w:val="00C30B84"/>
    <w:rsid w:val="00C30D14"/>
    <w:rsid w:val="00C310BC"/>
    <w:rsid w:val="00C31181"/>
    <w:rsid w:val="00C31657"/>
    <w:rsid w:val="00C3166C"/>
    <w:rsid w:val="00C317FC"/>
    <w:rsid w:val="00C31875"/>
    <w:rsid w:val="00C31A1C"/>
    <w:rsid w:val="00C31D13"/>
    <w:rsid w:val="00C31F4A"/>
    <w:rsid w:val="00C3201D"/>
    <w:rsid w:val="00C32051"/>
    <w:rsid w:val="00C32559"/>
    <w:rsid w:val="00C3258F"/>
    <w:rsid w:val="00C325ED"/>
    <w:rsid w:val="00C32642"/>
    <w:rsid w:val="00C326B6"/>
    <w:rsid w:val="00C32808"/>
    <w:rsid w:val="00C32B22"/>
    <w:rsid w:val="00C32B6B"/>
    <w:rsid w:val="00C32C18"/>
    <w:rsid w:val="00C32CC0"/>
    <w:rsid w:val="00C32F93"/>
    <w:rsid w:val="00C32FFC"/>
    <w:rsid w:val="00C3361A"/>
    <w:rsid w:val="00C33737"/>
    <w:rsid w:val="00C33878"/>
    <w:rsid w:val="00C33A9B"/>
    <w:rsid w:val="00C33B00"/>
    <w:rsid w:val="00C33D37"/>
    <w:rsid w:val="00C33E97"/>
    <w:rsid w:val="00C33FA7"/>
    <w:rsid w:val="00C33FC1"/>
    <w:rsid w:val="00C3406A"/>
    <w:rsid w:val="00C34089"/>
    <w:rsid w:val="00C341E7"/>
    <w:rsid w:val="00C34202"/>
    <w:rsid w:val="00C342F2"/>
    <w:rsid w:val="00C343D0"/>
    <w:rsid w:val="00C3463A"/>
    <w:rsid w:val="00C346C2"/>
    <w:rsid w:val="00C3473E"/>
    <w:rsid w:val="00C3491A"/>
    <w:rsid w:val="00C3492C"/>
    <w:rsid w:val="00C349E3"/>
    <w:rsid w:val="00C349E8"/>
    <w:rsid w:val="00C349EC"/>
    <w:rsid w:val="00C34B78"/>
    <w:rsid w:val="00C34BBF"/>
    <w:rsid w:val="00C34D0D"/>
    <w:rsid w:val="00C34F49"/>
    <w:rsid w:val="00C34F5F"/>
    <w:rsid w:val="00C34F83"/>
    <w:rsid w:val="00C35075"/>
    <w:rsid w:val="00C35186"/>
    <w:rsid w:val="00C35653"/>
    <w:rsid w:val="00C357EB"/>
    <w:rsid w:val="00C3583E"/>
    <w:rsid w:val="00C3598D"/>
    <w:rsid w:val="00C35CE2"/>
    <w:rsid w:val="00C35ED0"/>
    <w:rsid w:val="00C360E8"/>
    <w:rsid w:val="00C36107"/>
    <w:rsid w:val="00C3645E"/>
    <w:rsid w:val="00C3652A"/>
    <w:rsid w:val="00C3659D"/>
    <w:rsid w:val="00C3671E"/>
    <w:rsid w:val="00C369E4"/>
    <w:rsid w:val="00C36AF1"/>
    <w:rsid w:val="00C36C26"/>
    <w:rsid w:val="00C36C5C"/>
    <w:rsid w:val="00C3720F"/>
    <w:rsid w:val="00C37256"/>
    <w:rsid w:val="00C372BA"/>
    <w:rsid w:val="00C37570"/>
    <w:rsid w:val="00C37727"/>
    <w:rsid w:val="00C37895"/>
    <w:rsid w:val="00C378AC"/>
    <w:rsid w:val="00C378C2"/>
    <w:rsid w:val="00C379A8"/>
    <w:rsid w:val="00C379C5"/>
    <w:rsid w:val="00C37A7D"/>
    <w:rsid w:val="00C37C19"/>
    <w:rsid w:val="00C37D36"/>
    <w:rsid w:val="00C37DF2"/>
    <w:rsid w:val="00C37F35"/>
    <w:rsid w:val="00C37FF9"/>
    <w:rsid w:val="00C40164"/>
    <w:rsid w:val="00C403C9"/>
    <w:rsid w:val="00C404F9"/>
    <w:rsid w:val="00C40576"/>
    <w:rsid w:val="00C405DF"/>
    <w:rsid w:val="00C40955"/>
    <w:rsid w:val="00C40971"/>
    <w:rsid w:val="00C40AB2"/>
    <w:rsid w:val="00C40C91"/>
    <w:rsid w:val="00C40D5F"/>
    <w:rsid w:val="00C40E32"/>
    <w:rsid w:val="00C40F47"/>
    <w:rsid w:val="00C41098"/>
    <w:rsid w:val="00C41270"/>
    <w:rsid w:val="00C412B6"/>
    <w:rsid w:val="00C41449"/>
    <w:rsid w:val="00C41813"/>
    <w:rsid w:val="00C41B8D"/>
    <w:rsid w:val="00C41BAD"/>
    <w:rsid w:val="00C41CF1"/>
    <w:rsid w:val="00C41D26"/>
    <w:rsid w:val="00C41DDB"/>
    <w:rsid w:val="00C41F0D"/>
    <w:rsid w:val="00C4204D"/>
    <w:rsid w:val="00C426C6"/>
    <w:rsid w:val="00C4291E"/>
    <w:rsid w:val="00C42963"/>
    <w:rsid w:val="00C42AC2"/>
    <w:rsid w:val="00C42B85"/>
    <w:rsid w:val="00C42C28"/>
    <w:rsid w:val="00C42CCF"/>
    <w:rsid w:val="00C42CF2"/>
    <w:rsid w:val="00C42DE1"/>
    <w:rsid w:val="00C42E26"/>
    <w:rsid w:val="00C42F0F"/>
    <w:rsid w:val="00C4327B"/>
    <w:rsid w:val="00C432D7"/>
    <w:rsid w:val="00C43537"/>
    <w:rsid w:val="00C4358A"/>
    <w:rsid w:val="00C436E2"/>
    <w:rsid w:val="00C436EF"/>
    <w:rsid w:val="00C43797"/>
    <w:rsid w:val="00C43835"/>
    <w:rsid w:val="00C43A32"/>
    <w:rsid w:val="00C43B06"/>
    <w:rsid w:val="00C43B3B"/>
    <w:rsid w:val="00C43C1A"/>
    <w:rsid w:val="00C43C5C"/>
    <w:rsid w:val="00C43E20"/>
    <w:rsid w:val="00C43E30"/>
    <w:rsid w:val="00C43E95"/>
    <w:rsid w:val="00C43F01"/>
    <w:rsid w:val="00C4435E"/>
    <w:rsid w:val="00C44463"/>
    <w:rsid w:val="00C445DC"/>
    <w:rsid w:val="00C446DF"/>
    <w:rsid w:val="00C44753"/>
    <w:rsid w:val="00C4476A"/>
    <w:rsid w:val="00C44AA5"/>
    <w:rsid w:val="00C44AA8"/>
    <w:rsid w:val="00C44AD5"/>
    <w:rsid w:val="00C44AF4"/>
    <w:rsid w:val="00C44BCD"/>
    <w:rsid w:val="00C44C3A"/>
    <w:rsid w:val="00C44DDF"/>
    <w:rsid w:val="00C44E99"/>
    <w:rsid w:val="00C44ED3"/>
    <w:rsid w:val="00C45091"/>
    <w:rsid w:val="00C45159"/>
    <w:rsid w:val="00C4538D"/>
    <w:rsid w:val="00C45390"/>
    <w:rsid w:val="00C45600"/>
    <w:rsid w:val="00C45621"/>
    <w:rsid w:val="00C4566A"/>
    <w:rsid w:val="00C456AE"/>
    <w:rsid w:val="00C457DD"/>
    <w:rsid w:val="00C45AD9"/>
    <w:rsid w:val="00C45AEC"/>
    <w:rsid w:val="00C45C87"/>
    <w:rsid w:val="00C46294"/>
    <w:rsid w:val="00C464EB"/>
    <w:rsid w:val="00C46725"/>
    <w:rsid w:val="00C467C4"/>
    <w:rsid w:val="00C46963"/>
    <w:rsid w:val="00C46A3D"/>
    <w:rsid w:val="00C46A5F"/>
    <w:rsid w:val="00C46C41"/>
    <w:rsid w:val="00C46DAA"/>
    <w:rsid w:val="00C46DFE"/>
    <w:rsid w:val="00C472DF"/>
    <w:rsid w:val="00C473E9"/>
    <w:rsid w:val="00C47580"/>
    <w:rsid w:val="00C47617"/>
    <w:rsid w:val="00C479A9"/>
    <w:rsid w:val="00C47A26"/>
    <w:rsid w:val="00C47AE7"/>
    <w:rsid w:val="00C47B8E"/>
    <w:rsid w:val="00C47EF6"/>
    <w:rsid w:val="00C5006A"/>
    <w:rsid w:val="00C500CC"/>
    <w:rsid w:val="00C5013D"/>
    <w:rsid w:val="00C50294"/>
    <w:rsid w:val="00C50333"/>
    <w:rsid w:val="00C50405"/>
    <w:rsid w:val="00C504FC"/>
    <w:rsid w:val="00C50781"/>
    <w:rsid w:val="00C5089B"/>
    <w:rsid w:val="00C50A11"/>
    <w:rsid w:val="00C50AD0"/>
    <w:rsid w:val="00C50C06"/>
    <w:rsid w:val="00C50C4D"/>
    <w:rsid w:val="00C50CA1"/>
    <w:rsid w:val="00C50E8B"/>
    <w:rsid w:val="00C50EC3"/>
    <w:rsid w:val="00C50FC8"/>
    <w:rsid w:val="00C510CD"/>
    <w:rsid w:val="00C5146F"/>
    <w:rsid w:val="00C515D2"/>
    <w:rsid w:val="00C51B11"/>
    <w:rsid w:val="00C51BA4"/>
    <w:rsid w:val="00C51C4A"/>
    <w:rsid w:val="00C51DFA"/>
    <w:rsid w:val="00C522C3"/>
    <w:rsid w:val="00C52380"/>
    <w:rsid w:val="00C52563"/>
    <w:rsid w:val="00C525B0"/>
    <w:rsid w:val="00C5287A"/>
    <w:rsid w:val="00C52B33"/>
    <w:rsid w:val="00C52BA0"/>
    <w:rsid w:val="00C52BB3"/>
    <w:rsid w:val="00C52C58"/>
    <w:rsid w:val="00C52C5B"/>
    <w:rsid w:val="00C52F42"/>
    <w:rsid w:val="00C531E2"/>
    <w:rsid w:val="00C5334C"/>
    <w:rsid w:val="00C53372"/>
    <w:rsid w:val="00C5367C"/>
    <w:rsid w:val="00C53D6C"/>
    <w:rsid w:val="00C53E33"/>
    <w:rsid w:val="00C53F33"/>
    <w:rsid w:val="00C5413E"/>
    <w:rsid w:val="00C54238"/>
    <w:rsid w:val="00C543E3"/>
    <w:rsid w:val="00C54562"/>
    <w:rsid w:val="00C54770"/>
    <w:rsid w:val="00C54922"/>
    <w:rsid w:val="00C54BB2"/>
    <w:rsid w:val="00C54CD9"/>
    <w:rsid w:val="00C5541F"/>
    <w:rsid w:val="00C55582"/>
    <w:rsid w:val="00C555F6"/>
    <w:rsid w:val="00C55A67"/>
    <w:rsid w:val="00C55BCF"/>
    <w:rsid w:val="00C55CAC"/>
    <w:rsid w:val="00C55CE5"/>
    <w:rsid w:val="00C55D95"/>
    <w:rsid w:val="00C55E48"/>
    <w:rsid w:val="00C55E93"/>
    <w:rsid w:val="00C5630E"/>
    <w:rsid w:val="00C56388"/>
    <w:rsid w:val="00C564C0"/>
    <w:rsid w:val="00C567F7"/>
    <w:rsid w:val="00C569F5"/>
    <w:rsid w:val="00C56B2E"/>
    <w:rsid w:val="00C56C2A"/>
    <w:rsid w:val="00C56CDD"/>
    <w:rsid w:val="00C56E32"/>
    <w:rsid w:val="00C571F5"/>
    <w:rsid w:val="00C57408"/>
    <w:rsid w:val="00C57606"/>
    <w:rsid w:val="00C57647"/>
    <w:rsid w:val="00C57852"/>
    <w:rsid w:val="00C578DA"/>
    <w:rsid w:val="00C57F5F"/>
    <w:rsid w:val="00C60011"/>
    <w:rsid w:val="00C60062"/>
    <w:rsid w:val="00C600E0"/>
    <w:rsid w:val="00C600FA"/>
    <w:rsid w:val="00C601B0"/>
    <w:rsid w:val="00C6028E"/>
    <w:rsid w:val="00C604CD"/>
    <w:rsid w:val="00C6084C"/>
    <w:rsid w:val="00C60C91"/>
    <w:rsid w:val="00C60E0F"/>
    <w:rsid w:val="00C60F03"/>
    <w:rsid w:val="00C60F29"/>
    <w:rsid w:val="00C61063"/>
    <w:rsid w:val="00C61198"/>
    <w:rsid w:val="00C611B7"/>
    <w:rsid w:val="00C6121A"/>
    <w:rsid w:val="00C61340"/>
    <w:rsid w:val="00C614B0"/>
    <w:rsid w:val="00C618E6"/>
    <w:rsid w:val="00C6197A"/>
    <w:rsid w:val="00C619A1"/>
    <w:rsid w:val="00C61D1D"/>
    <w:rsid w:val="00C61D55"/>
    <w:rsid w:val="00C61F2A"/>
    <w:rsid w:val="00C61F47"/>
    <w:rsid w:val="00C620DE"/>
    <w:rsid w:val="00C620E5"/>
    <w:rsid w:val="00C6219D"/>
    <w:rsid w:val="00C62508"/>
    <w:rsid w:val="00C62555"/>
    <w:rsid w:val="00C62574"/>
    <w:rsid w:val="00C627B2"/>
    <w:rsid w:val="00C628BB"/>
    <w:rsid w:val="00C62C26"/>
    <w:rsid w:val="00C62D5D"/>
    <w:rsid w:val="00C62F6E"/>
    <w:rsid w:val="00C6336E"/>
    <w:rsid w:val="00C633D8"/>
    <w:rsid w:val="00C633F1"/>
    <w:rsid w:val="00C63422"/>
    <w:rsid w:val="00C6349C"/>
    <w:rsid w:val="00C635C9"/>
    <w:rsid w:val="00C635EB"/>
    <w:rsid w:val="00C635FD"/>
    <w:rsid w:val="00C635FE"/>
    <w:rsid w:val="00C63697"/>
    <w:rsid w:val="00C63781"/>
    <w:rsid w:val="00C63837"/>
    <w:rsid w:val="00C63BC6"/>
    <w:rsid w:val="00C63C46"/>
    <w:rsid w:val="00C63D9B"/>
    <w:rsid w:val="00C63DAB"/>
    <w:rsid w:val="00C63F5E"/>
    <w:rsid w:val="00C63FB1"/>
    <w:rsid w:val="00C64139"/>
    <w:rsid w:val="00C643DB"/>
    <w:rsid w:val="00C6471F"/>
    <w:rsid w:val="00C6473F"/>
    <w:rsid w:val="00C647AD"/>
    <w:rsid w:val="00C6484B"/>
    <w:rsid w:val="00C648F1"/>
    <w:rsid w:val="00C64A60"/>
    <w:rsid w:val="00C64BFD"/>
    <w:rsid w:val="00C64D54"/>
    <w:rsid w:val="00C64DDD"/>
    <w:rsid w:val="00C64DE8"/>
    <w:rsid w:val="00C64EE2"/>
    <w:rsid w:val="00C64FBA"/>
    <w:rsid w:val="00C65543"/>
    <w:rsid w:val="00C6568F"/>
    <w:rsid w:val="00C65A05"/>
    <w:rsid w:val="00C65C18"/>
    <w:rsid w:val="00C65C9E"/>
    <w:rsid w:val="00C65CEB"/>
    <w:rsid w:val="00C65D4B"/>
    <w:rsid w:val="00C65EBF"/>
    <w:rsid w:val="00C6645C"/>
    <w:rsid w:val="00C665F1"/>
    <w:rsid w:val="00C666A1"/>
    <w:rsid w:val="00C66743"/>
    <w:rsid w:val="00C668CC"/>
    <w:rsid w:val="00C66B99"/>
    <w:rsid w:val="00C66C16"/>
    <w:rsid w:val="00C66CEE"/>
    <w:rsid w:val="00C66CF9"/>
    <w:rsid w:val="00C66CFC"/>
    <w:rsid w:val="00C671D5"/>
    <w:rsid w:val="00C672EE"/>
    <w:rsid w:val="00C674A1"/>
    <w:rsid w:val="00C674CD"/>
    <w:rsid w:val="00C67525"/>
    <w:rsid w:val="00C675CB"/>
    <w:rsid w:val="00C676AA"/>
    <w:rsid w:val="00C676CC"/>
    <w:rsid w:val="00C6779E"/>
    <w:rsid w:val="00C677B6"/>
    <w:rsid w:val="00C677CA"/>
    <w:rsid w:val="00C67862"/>
    <w:rsid w:val="00C67C51"/>
    <w:rsid w:val="00C67C7A"/>
    <w:rsid w:val="00C67C93"/>
    <w:rsid w:val="00C67DC0"/>
    <w:rsid w:val="00C67E43"/>
    <w:rsid w:val="00C67E75"/>
    <w:rsid w:val="00C7010D"/>
    <w:rsid w:val="00C7021D"/>
    <w:rsid w:val="00C702C6"/>
    <w:rsid w:val="00C70371"/>
    <w:rsid w:val="00C706BD"/>
    <w:rsid w:val="00C70711"/>
    <w:rsid w:val="00C7094D"/>
    <w:rsid w:val="00C709C6"/>
    <w:rsid w:val="00C70BB9"/>
    <w:rsid w:val="00C71032"/>
    <w:rsid w:val="00C7103B"/>
    <w:rsid w:val="00C7128D"/>
    <w:rsid w:val="00C7145F"/>
    <w:rsid w:val="00C714B9"/>
    <w:rsid w:val="00C71564"/>
    <w:rsid w:val="00C715FE"/>
    <w:rsid w:val="00C716C3"/>
    <w:rsid w:val="00C716D6"/>
    <w:rsid w:val="00C718B9"/>
    <w:rsid w:val="00C7191C"/>
    <w:rsid w:val="00C7191E"/>
    <w:rsid w:val="00C71A47"/>
    <w:rsid w:val="00C71D53"/>
    <w:rsid w:val="00C71E42"/>
    <w:rsid w:val="00C723EA"/>
    <w:rsid w:val="00C72481"/>
    <w:rsid w:val="00C72852"/>
    <w:rsid w:val="00C728BB"/>
    <w:rsid w:val="00C72B5A"/>
    <w:rsid w:val="00C72C0A"/>
    <w:rsid w:val="00C72CB4"/>
    <w:rsid w:val="00C7310B"/>
    <w:rsid w:val="00C7351E"/>
    <w:rsid w:val="00C73682"/>
    <w:rsid w:val="00C7371A"/>
    <w:rsid w:val="00C73791"/>
    <w:rsid w:val="00C739C1"/>
    <w:rsid w:val="00C73A1D"/>
    <w:rsid w:val="00C73C2B"/>
    <w:rsid w:val="00C73EC8"/>
    <w:rsid w:val="00C73F32"/>
    <w:rsid w:val="00C74074"/>
    <w:rsid w:val="00C740DB"/>
    <w:rsid w:val="00C740E9"/>
    <w:rsid w:val="00C7414A"/>
    <w:rsid w:val="00C743AB"/>
    <w:rsid w:val="00C74400"/>
    <w:rsid w:val="00C74408"/>
    <w:rsid w:val="00C74495"/>
    <w:rsid w:val="00C744B5"/>
    <w:rsid w:val="00C7463D"/>
    <w:rsid w:val="00C746E0"/>
    <w:rsid w:val="00C747C4"/>
    <w:rsid w:val="00C74825"/>
    <w:rsid w:val="00C748F5"/>
    <w:rsid w:val="00C74972"/>
    <w:rsid w:val="00C749E5"/>
    <w:rsid w:val="00C74A68"/>
    <w:rsid w:val="00C74C0A"/>
    <w:rsid w:val="00C74DA6"/>
    <w:rsid w:val="00C74F3E"/>
    <w:rsid w:val="00C74F44"/>
    <w:rsid w:val="00C74F48"/>
    <w:rsid w:val="00C751DC"/>
    <w:rsid w:val="00C751F4"/>
    <w:rsid w:val="00C7540E"/>
    <w:rsid w:val="00C75413"/>
    <w:rsid w:val="00C755B3"/>
    <w:rsid w:val="00C75703"/>
    <w:rsid w:val="00C75B65"/>
    <w:rsid w:val="00C75C17"/>
    <w:rsid w:val="00C75C24"/>
    <w:rsid w:val="00C75FC7"/>
    <w:rsid w:val="00C760D1"/>
    <w:rsid w:val="00C7613C"/>
    <w:rsid w:val="00C7618E"/>
    <w:rsid w:val="00C761AA"/>
    <w:rsid w:val="00C762BE"/>
    <w:rsid w:val="00C76497"/>
    <w:rsid w:val="00C765EB"/>
    <w:rsid w:val="00C76671"/>
    <w:rsid w:val="00C766C1"/>
    <w:rsid w:val="00C766EF"/>
    <w:rsid w:val="00C76734"/>
    <w:rsid w:val="00C76794"/>
    <w:rsid w:val="00C76838"/>
    <w:rsid w:val="00C76C11"/>
    <w:rsid w:val="00C76C87"/>
    <w:rsid w:val="00C7721D"/>
    <w:rsid w:val="00C772B8"/>
    <w:rsid w:val="00C7743D"/>
    <w:rsid w:val="00C7755C"/>
    <w:rsid w:val="00C7760A"/>
    <w:rsid w:val="00C77778"/>
    <w:rsid w:val="00C77A78"/>
    <w:rsid w:val="00C77A81"/>
    <w:rsid w:val="00C77B1B"/>
    <w:rsid w:val="00C77D17"/>
    <w:rsid w:val="00C77D32"/>
    <w:rsid w:val="00C77E8F"/>
    <w:rsid w:val="00C77F5D"/>
    <w:rsid w:val="00C8003F"/>
    <w:rsid w:val="00C800F4"/>
    <w:rsid w:val="00C80153"/>
    <w:rsid w:val="00C80168"/>
    <w:rsid w:val="00C8028E"/>
    <w:rsid w:val="00C802E1"/>
    <w:rsid w:val="00C80399"/>
    <w:rsid w:val="00C8063A"/>
    <w:rsid w:val="00C807BE"/>
    <w:rsid w:val="00C80842"/>
    <w:rsid w:val="00C80967"/>
    <w:rsid w:val="00C809B5"/>
    <w:rsid w:val="00C80A9A"/>
    <w:rsid w:val="00C80F9E"/>
    <w:rsid w:val="00C81177"/>
    <w:rsid w:val="00C81325"/>
    <w:rsid w:val="00C8138B"/>
    <w:rsid w:val="00C813CC"/>
    <w:rsid w:val="00C813F4"/>
    <w:rsid w:val="00C8140E"/>
    <w:rsid w:val="00C81511"/>
    <w:rsid w:val="00C81519"/>
    <w:rsid w:val="00C81797"/>
    <w:rsid w:val="00C8184D"/>
    <w:rsid w:val="00C8190B"/>
    <w:rsid w:val="00C819D1"/>
    <w:rsid w:val="00C81ACF"/>
    <w:rsid w:val="00C81B22"/>
    <w:rsid w:val="00C81B88"/>
    <w:rsid w:val="00C81D02"/>
    <w:rsid w:val="00C81DB5"/>
    <w:rsid w:val="00C81DE4"/>
    <w:rsid w:val="00C81E5A"/>
    <w:rsid w:val="00C820D3"/>
    <w:rsid w:val="00C821EE"/>
    <w:rsid w:val="00C82366"/>
    <w:rsid w:val="00C823E6"/>
    <w:rsid w:val="00C824FD"/>
    <w:rsid w:val="00C82796"/>
    <w:rsid w:val="00C82812"/>
    <w:rsid w:val="00C82861"/>
    <w:rsid w:val="00C829B7"/>
    <w:rsid w:val="00C82A12"/>
    <w:rsid w:val="00C82AEE"/>
    <w:rsid w:val="00C82B48"/>
    <w:rsid w:val="00C82DDF"/>
    <w:rsid w:val="00C82E2D"/>
    <w:rsid w:val="00C830E4"/>
    <w:rsid w:val="00C832BF"/>
    <w:rsid w:val="00C8356A"/>
    <w:rsid w:val="00C83586"/>
    <w:rsid w:val="00C836C0"/>
    <w:rsid w:val="00C83BDE"/>
    <w:rsid w:val="00C83BE6"/>
    <w:rsid w:val="00C83C7E"/>
    <w:rsid w:val="00C83E7E"/>
    <w:rsid w:val="00C83F6A"/>
    <w:rsid w:val="00C8406A"/>
    <w:rsid w:val="00C840CE"/>
    <w:rsid w:val="00C841D2"/>
    <w:rsid w:val="00C842AB"/>
    <w:rsid w:val="00C842EE"/>
    <w:rsid w:val="00C84339"/>
    <w:rsid w:val="00C843F5"/>
    <w:rsid w:val="00C8455E"/>
    <w:rsid w:val="00C8474E"/>
    <w:rsid w:val="00C847BA"/>
    <w:rsid w:val="00C847F3"/>
    <w:rsid w:val="00C84962"/>
    <w:rsid w:val="00C84E2D"/>
    <w:rsid w:val="00C851E5"/>
    <w:rsid w:val="00C8523C"/>
    <w:rsid w:val="00C8526B"/>
    <w:rsid w:val="00C85303"/>
    <w:rsid w:val="00C85314"/>
    <w:rsid w:val="00C854FE"/>
    <w:rsid w:val="00C856C0"/>
    <w:rsid w:val="00C8596B"/>
    <w:rsid w:val="00C85A72"/>
    <w:rsid w:val="00C85A8B"/>
    <w:rsid w:val="00C85B27"/>
    <w:rsid w:val="00C85B4D"/>
    <w:rsid w:val="00C85BEC"/>
    <w:rsid w:val="00C85C69"/>
    <w:rsid w:val="00C85F13"/>
    <w:rsid w:val="00C86218"/>
    <w:rsid w:val="00C86252"/>
    <w:rsid w:val="00C86495"/>
    <w:rsid w:val="00C866E2"/>
    <w:rsid w:val="00C867D7"/>
    <w:rsid w:val="00C8695E"/>
    <w:rsid w:val="00C86BA2"/>
    <w:rsid w:val="00C86C4E"/>
    <w:rsid w:val="00C86E9E"/>
    <w:rsid w:val="00C870A7"/>
    <w:rsid w:val="00C8713E"/>
    <w:rsid w:val="00C87149"/>
    <w:rsid w:val="00C87160"/>
    <w:rsid w:val="00C872B0"/>
    <w:rsid w:val="00C872FB"/>
    <w:rsid w:val="00C87385"/>
    <w:rsid w:val="00C875E4"/>
    <w:rsid w:val="00C87687"/>
    <w:rsid w:val="00C876A0"/>
    <w:rsid w:val="00C8772F"/>
    <w:rsid w:val="00C87932"/>
    <w:rsid w:val="00C87A0F"/>
    <w:rsid w:val="00C87A52"/>
    <w:rsid w:val="00C87AE8"/>
    <w:rsid w:val="00C87BCB"/>
    <w:rsid w:val="00C87D68"/>
    <w:rsid w:val="00C87E4A"/>
    <w:rsid w:val="00C87F7D"/>
    <w:rsid w:val="00C90256"/>
    <w:rsid w:val="00C9038B"/>
    <w:rsid w:val="00C9045E"/>
    <w:rsid w:val="00C908A2"/>
    <w:rsid w:val="00C90906"/>
    <w:rsid w:val="00C90AAC"/>
    <w:rsid w:val="00C90C64"/>
    <w:rsid w:val="00C90D89"/>
    <w:rsid w:val="00C90E08"/>
    <w:rsid w:val="00C90E33"/>
    <w:rsid w:val="00C90F16"/>
    <w:rsid w:val="00C90F25"/>
    <w:rsid w:val="00C91114"/>
    <w:rsid w:val="00C9139F"/>
    <w:rsid w:val="00C914D4"/>
    <w:rsid w:val="00C91506"/>
    <w:rsid w:val="00C91540"/>
    <w:rsid w:val="00C91542"/>
    <w:rsid w:val="00C916D6"/>
    <w:rsid w:val="00C91753"/>
    <w:rsid w:val="00C917F6"/>
    <w:rsid w:val="00C918FA"/>
    <w:rsid w:val="00C91961"/>
    <w:rsid w:val="00C91DA3"/>
    <w:rsid w:val="00C91E0C"/>
    <w:rsid w:val="00C9207C"/>
    <w:rsid w:val="00C9220A"/>
    <w:rsid w:val="00C92335"/>
    <w:rsid w:val="00C92416"/>
    <w:rsid w:val="00C92488"/>
    <w:rsid w:val="00C924D5"/>
    <w:rsid w:val="00C924E0"/>
    <w:rsid w:val="00C92732"/>
    <w:rsid w:val="00C927EF"/>
    <w:rsid w:val="00C928E6"/>
    <w:rsid w:val="00C929F0"/>
    <w:rsid w:val="00C92B07"/>
    <w:rsid w:val="00C92B2E"/>
    <w:rsid w:val="00C92CA3"/>
    <w:rsid w:val="00C92D7F"/>
    <w:rsid w:val="00C92EE6"/>
    <w:rsid w:val="00C92F59"/>
    <w:rsid w:val="00C92F8F"/>
    <w:rsid w:val="00C92FCD"/>
    <w:rsid w:val="00C932DA"/>
    <w:rsid w:val="00C93365"/>
    <w:rsid w:val="00C93492"/>
    <w:rsid w:val="00C9368B"/>
    <w:rsid w:val="00C9374E"/>
    <w:rsid w:val="00C938E4"/>
    <w:rsid w:val="00C938F6"/>
    <w:rsid w:val="00C9390D"/>
    <w:rsid w:val="00C939E0"/>
    <w:rsid w:val="00C93DE6"/>
    <w:rsid w:val="00C93E33"/>
    <w:rsid w:val="00C93E95"/>
    <w:rsid w:val="00C94020"/>
    <w:rsid w:val="00C942B1"/>
    <w:rsid w:val="00C942C7"/>
    <w:rsid w:val="00C94362"/>
    <w:rsid w:val="00C94391"/>
    <w:rsid w:val="00C945B2"/>
    <w:rsid w:val="00C949EA"/>
    <w:rsid w:val="00C94B4D"/>
    <w:rsid w:val="00C94DB9"/>
    <w:rsid w:val="00C94E0F"/>
    <w:rsid w:val="00C9513D"/>
    <w:rsid w:val="00C952A7"/>
    <w:rsid w:val="00C95421"/>
    <w:rsid w:val="00C954F4"/>
    <w:rsid w:val="00C9555E"/>
    <w:rsid w:val="00C95580"/>
    <w:rsid w:val="00C955D4"/>
    <w:rsid w:val="00C9574D"/>
    <w:rsid w:val="00C958B2"/>
    <w:rsid w:val="00C95B70"/>
    <w:rsid w:val="00C95C84"/>
    <w:rsid w:val="00C95CFF"/>
    <w:rsid w:val="00C95E5F"/>
    <w:rsid w:val="00C96003"/>
    <w:rsid w:val="00C960E2"/>
    <w:rsid w:val="00C9616D"/>
    <w:rsid w:val="00C961B7"/>
    <w:rsid w:val="00C963A7"/>
    <w:rsid w:val="00C965FF"/>
    <w:rsid w:val="00C96883"/>
    <w:rsid w:val="00C968F2"/>
    <w:rsid w:val="00C96974"/>
    <w:rsid w:val="00C96A2E"/>
    <w:rsid w:val="00C96B2E"/>
    <w:rsid w:val="00C96C30"/>
    <w:rsid w:val="00C96E03"/>
    <w:rsid w:val="00C971A2"/>
    <w:rsid w:val="00C9727A"/>
    <w:rsid w:val="00C976DF"/>
    <w:rsid w:val="00C977F9"/>
    <w:rsid w:val="00C97A9E"/>
    <w:rsid w:val="00C97E75"/>
    <w:rsid w:val="00C97F24"/>
    <w:rsid w:val="00CA003A"/>
    <w:rsid w:val="00CA0082"/>
    <w:rsid w:val="00CA02B7"/>
    <w:rsid w:val="00CA0486"/>
    <w:rsid w:val="00CA055D"/>
    <w:rsid w:val="00CA0572"/>
    <w:rsid w:val="00CA064A"/>
    <w:rsid w:val="00CA0946"/>
    <w:rsid w:val="00CA0952"/>
    <w:rsid w:val="00CA0958"/>
    <w:rsid w:val="00CA0AFA"/>
    <w:rsid w:val="00CA0B38"/>
    <w:rsid w:val="00CA0DD0"/>
    <w:rsid w:val="00CA0E0F"/>
    <w:rsid w:val="00CA0E89"/>
    <w:rsid w:val="00CA10C1"/>
    <w:rsid w:val="00CA11AF"/>
    <w:rsid w:val="00CA1308"/>
    <w:rsid w:val="00CA13AB"/>
    <w:rsid w:val="00CA13C5"/>
    <w:rsid w:val="00CA13E4"/>
    <w:rsid w:val="00CA1447"/>
    <w:rsid w:val="00CA149A"/>
    <w:rsid w:val="00CA1726"/>
    <w:rsid w:val="00CA181A"/>
    <w:rsid w:val="00CA19AC"/>
    <w:rsid w:val="00CA1A9C"/>
    <w:rsid w:val="00CA1D5E"/>
    <w:rsid w:val="00CA1DF1"/>
    <w:rsid w:val="00CA1F1A"/>
    <w:rsid w:val="00CA2005"/>
    <w:rsid w:val="00CA2113"/>
    <w:rsid w:val="00CA2889"/>
    <w:rsid w:val="00CA29E3"/>
    <w:rsid w:val="00CA3097"/>
    <w:rsid w:val="00CA30A0"/>
    <w:rsid w:val="00CA30CD"/>
    <w:rsid w:val="00CA3221"/>
    <w:rsid w:val="00CA3228"/>
    <w:rsid w:val="00CA33E1"/>
    <w:rsid w:val="00CA3461"/>
    <w:rsid w:val="00CA36EC"/>
    <w:rsid w:val="00CA3728"/>
    <w:rsid w:val="00CA3A3C"/>
    <w:rsid w:val="00CA3B9A"/>
    <w:rsid w:val="00CA3D04"/>
    <w:rsid w:val="00CA3F62"/>
    <w:rsid w:val="00CA3FAC"/>
    <w:rsid w:val="00CA4139"/>
    <w:rsid w:val="00CA435D"/>
    <w:rsid w:val="00CA43D4"/>
    <w:rsid w:val="00CA4545"/>
    <w:rsid w:val="00CA45E3"/>
    <w:rsid w:val="00CA48CD"/>
    <w:rsid w:val="00CA4929"/>
    <w:rsid w:val="00CA4E4C"/>
    <w:rsid w:val="00CA4E9C"/>
    <w:rsid w:val="00CA4EC5"/>
    <w:rsid w:val="00CA4FD1"/>
    <w:rsid w:val="00CA50AF"/>
    <w:rsid w:val="00CA54EC"/>
    <w:rsid w:val="00CA55CC"/>
    <w:rsid w:val="00CA55F0"/>
    <w:rsid w:val="00CA594B"/>
    <w:rsid w:val="00CA59C6"/>
    <w:rsid w:val="00CA59F8"/>
    <w:rsid w:val="00CA5AB5"/>
    <w:rsid w:val="00CA5C14"/>
    <w:rsid w:val="00CA5C3F"/>
    <w:rsid w:val="00CA5D14"/>
    <w:rsid w:val="00CA5D28"/>
    <w:rsid w:val="00CA5EC8"/>
    <w:rsid w:val="00CA5FCE"/>
    <w:rsid w:val="00CA6391"/>
    <w:rsid w:val="00CA64B7"/>
    <w:rsid w:val="00CA6554"/>
    <w:rsid w:val="00CA667A"/>
    <w:rsid w:val="00CA681E"/>
    <w:rsid w:val="00CA6A6E"/>
    <w:rsid w:val="00CA6D53"/>
    <w:rsid w:val="00CA6FF4"/>
    <w:rsid w:val="00CA753E"/>
    <w:rsid w:val="00CA759E"/>
    <w:rsid w:val="00CA75CD"/>
    <w:rsid w:val="00CA778B"/>
    <w:rsid w:val="00CA78EE"/>
    <w:rsid w:val="00CA7A63"/>
    <w:rsid w:val="00CA7CDE"/>
    <w:rsid w:val="00CA7DF0"/>
    <w:rsid w:val="00CA7E63"/>
    <w:rsid w:val="00CA7EAB"/>
    <w:rsid w:val="00CA7EFD"/>
    <w:rsid w:val="00CB005F"/>
    <w:rsid w:val="00CB022D"/>
    <w:rsid w:val="00CB027B"/>
    <w:rsid w:val="00CB034B"/>
    <w:rsid w:val="00CB04C3"/>
    <w:rsid w:val="00CB04CA"/>
    <w:rsid w:val="00CB06D1"/>
    <w:rsid w:val="00CB0797"/>
    <w:rsid w:val="00CB07F2"/>
    <w:rsid w:val="00CB0B7F"/>
    <w:rsid w:val="00CB0C77"/>
    <w:rsid w:val="00CB0CDA"/>
    <w:rsid w:val="00CB100E"/>
    <w:rsid w:val="00CB10EA"/>
    <w:rsid w:val="00CB119A"/>
    <w:rsid w:val="00CB11D3"/>
    <w:rsid w:val="00CB1237"/>
    <w:rsid w:val="00CB1286"/>
    <w:rsid w:val="00CB12D3"/>
    <w:rsid w:val="00CB13BE"/>
    <w:rsid w:val="00CB1661"/>
    <w:rsid w:val="00CB16D4"/>
    <w:rsid w:val="00CB1707"/>
    <w:rsid w:val="00CB1726"/>
    <w:rsid w:val="00CB17D7"/>
    <w:rsid w:val="00CB19DB"/>
    <w:rsid w:val="00CB1B1D"/>
    <w:rsid w:val="00CB1B5A"/>
    <w:rsid w:val="00CB1C4C"/>
    <w:rsid w:val="00CB1E35"/>
    <w:rsid w:val="00CB20C4"/>
    <w:rsid w:val="00CB2104"/>
    <w:rsid w:val="00CB220F"/>
    <w:rsid w:val="00CB2304"/>
    <w:rsid w:val="00CB2432"/>
    <w:rsid w:val="00CB24D0"/>
    <w:rsid w:val="00CB26C7"/>
    <w:rsid w:val="00CB27D4"/>
    <w:rsid w:val="00CB27D7"/>
    <w:rsid w:val="00CB2895"/>
    <w:rsid w:val="00CB2910"/>
    <w:rsid w:val="00CB2937"/>
    <w:rsid w:val="00CB2BBB"/>
    <w:rsid w:val="00CB2BD3"/>
    <w:rsid w:val="00CB302D"/>
    <w:rsid w:val="00CB304F"/>
    <w:rsid w:val="00CB30B0"/>
    <w:rsid w:val="00CB31D5"/>
    <w:rsid w:val="00CB33A4"/>
    <w:rsid w:val="00CB3769"/>
    <w:rsid w:val="00CB394A"/>
    <w:rsid w:val="00CB399F"/>
    <w:rsid w:val="00CB3A3B"/>
    <w:rsid w:val="00CB3B5D"/>
    <w:rsid w:val="00CB3B7A"/>
    <w:rsid w:val="00CB3C8E"/>
    <w:rsid w:val="00CB3CE8"/>
    <w:rsid w:val="00CB3D3D"/>
    <w:rsid w:val="00CB3D91"/>
    <w:rsid w:val="00CB3DAD"/>
    <w:rsid w:val="00CB3EC9"/>
    <w:rsid w:val="00CB4264"/>
    <w:rsid w:val="00CB43FA"/>
    <w:rsid w:val="00CB4413"/>
    <w:rsid w:val="00CB4475"/>
    <w:rsid w:val="00CB44A8"/>
    <w:rsid w:val="00CB44E0"/>
    <w:rsid w:val="00CB4636"/>
    <w:rsid w:val="00CB4663"/>
    <w:rsid w:val="00CB47EC"/>
    <w:rsid w:val="00CB49AC"/>
    <w:rsid w:val="00CB4A44"/>
    <w:rsid w:val="00CB4A80"/>
    <w:rsid w:val="00CB4AD2"/>
    <w:rsid w:val="00CB4BB5"/>
    <w:rsid w:val="00CB4C4C"/>
    <w:rsid w:val="00CB4D23"/>
    <w:rsid w:val="00CB4D25"/>
    <w:rsid w:val="00CB4D95"/>
    <w:rsid w:val="00CB4EAB"/>
    <w:rsid w:val="00CB4F1A"/>
    <w:rsid w:val="00CB5038"/>
    <w:rsid w:val="00CB507C"/>
    <w:rsid w:val="00CB5088"/>
    <w:rsid w:val="00CB52D6"/>
    <w:rsid w:val="00CB53C6"/>
    <w:rsid w:val="00CB5471"/>
    <w:rsid w:val="00CB5535"/>
    <w:rsid w:val="00CB5674"/>
    <w:rsid w:val="00CB567E"/>
    <w:rsid w:val="00CB596F"/>
    <w:rsid w:val="00CB5CE0"/>
    <w:rsid w:val="00CB5FB2"/>
    <w:rsid w:val="00CB6025"/>
    <w:rsid w:val="00CB619C"/>
    <w:rsid w:val="00CB6396"/>
    <w:rsid w:val="00CB6433"/>
    <w:rsid w:val="00CB66B2"/>
    <w:rsid w:val="00CB6707"/>
    <w:rsid w:val="00CB68CE"/>
    <w:rsid w:val="00CB68E6"/>
    <w:rsid w:val="00CB6B30"/>
    <w:rsid w:val="00CB6B8E"/>
    <w:rsid w:val="00CB6BB6"/>
    <w:rsid w:val="00CB6E86"/>
    <w:rsid w:val="00CB6F5A"/>
    <w:rsid w:val="00CB7048"/>
    <w:rsid w:val="00CB731B"/>
    <w:rsid w:val="00CB7334"/>
    <w:rsid w:val="00CB7857"/>
    <w:rsid w:val="00CB7A61"/>
    <w:rsid w:val="00CB7B77"/>
    <w:rsid w:val="00CB7D6C"/>
    <w:rsid w:val="00CB7DD0"/>
    <w:rsid w:val="00CB7DF9"/>
    <w:rsid w:val="00CB7EB8"/>
    <w:rsid w:val="00CC0039"/>
    <w:rsid w:val="00CC014F"/>
    <w:rsid w:val="00CC0395"/>
    <w:rsid w:val="00CC03FB"/>
    <w:rsid w:val="00CC045C"/>
    <w:rsid w:val="00CC05A2"/>
    <w:rsid w:val="00CC0640"/>
    <w:rsid w:val="00CC07DE"/>
    <w:rsid w:val="00CC0A04"/>
    <w:rsid w:val="00CC0A90"/>
    <w:rsid w:val="00CC0AD4"/>
    <w:rsid w:val="00CC0AFE"/>
    <w:rsid w:val="00CC0BCF"/>
    <w:rsid w:val="00CC0C9B"/>
    <w:rsid w:val="00CC0D0B"/>
    <w:rsid w:val="00CC1157"/>
    <w:rsid w:val="00CC126F"/>
    <w:rsid w:val="00CC12F5"/>
    <w:rsid w:val="00CC137F"/>
    <w:rsid w:val="00CC146F"/>
    <w:rsid w:val="00CC15CC"/>
    <w:rsid w:val="00CC1824"/>
    <w:rsid w:val="00CC1920"/>
    <w:rsid w:val="00CC1976"/>
    <w:rsid w:val="00CC1B85"/>
    <w:rsid w:val="00CC1B88"/>
    <w:rsid w:val="00CC1D54"/>
    <w:rsid w:val="00CC1DC2"/>
    <w:rsid w:val="00CC1DF2"/>
    <w:rsid w:val="00CC1E37"/>
    <w:rsid w:val="00CC1E51"/>
    <w:rsid w:val="00CC1EED"/>
    <w:rsid w:val="00CC225F"/>
    <w:rsid w:val="00CC2294"/>
    <w:rsid w:val="00CC22C0"/>
    <w:rsid w:val="00CC24E1"/>
    <w:rsid w:val="00CC274A"/>
    <w:rsid w:val="00CC2900"/>
    <w:rsid w:val="00CC2925"/>
    <w:rsid w:val="00CC296E"/>
    <w:rsid w:val="00CC2979"/>
    <w:rsid w:val="00CC29E2"/>
    <w:rsid w:val="00CC2A13"/>
    <w:rsid w:val="00CC2A63"/>
    <w:rsid w:val="00CC2A92"/>
    <w:rsid w:val="00CC2CA7"/>
    <w:rsid w:val="00CC2F4B"/>
    <w:rsid w:val="00CC3039"/>
    <w:rsid w:val="00CC303A"/>
    <w:rsid w:val="00CC33B5"/>
    <w:rsid w:val="00CC35DA"/>
    <w:rsid w:val="00CC37EE"/>
    <w:rsid w:val="00CC382D"/>
    <w:rsid w:val="00CC3853"/>
    <w:rsid w:val="00CC38C7"/>
    <w:rsid w:val="00CC3A04"/>
    <w:rsid w:val="00CC3A2C"/>
    <w:rsid w:val="00CC3ACE"/>
    <w:rsid w:val="00CC3D84"/>
    <w:rsid w:val="00CC3D99"/>
    <w:rsid w:val="00CC3DA5"/>
    <w:rsid w:val="00CC3DC4"/>
    <w:rsid w:val="00CC42E3"/>
    <w:rsid w:val="00CC44E4"/>
    <w:rsid w:val="00CC4664"/>
    <w:rsid w:val="00CC4729"/>
    <w:rsid w:val="00CC4BE9"/>
    <w:rsid w:val="00CC4D97"/>
    <w:rsid w:val="00CC4E26"/>
    <w:rsid w:val="00CC4E29"/>
    <w:rsid w:val="00CC4E9E"/>
    <w:rsid w:val="00CC4FCF"/>
    <w:rsid w:val="00CC512A"/>
    <w:rsid w:val="00CC5360"/>
    <w:rsid w:val="00CC53FD"/>
    <w:rsid w:val="00CC5437"/>
    <w:rsid w:val="00CC5731"/>
    <w:rsid w:val="00CC58EA"/>
    <w:rsid w:val="00CC58FD"/>
    <w:rsid w:val="00CC5A74"/>
    <w:rsid w:val="00CC5BCB"/>
    <w:rsid w:val="00CC5E19"/>
    <w:rsid w:val="00CC5EFB"/>
    <w:rsid w:val="00CC5FCD"/>
    <w:rsid w:val="00CC605A"/>
    <w:rsid w:val="00CC61DB"/>
    <w:rsid w:val="00CC61EC"/>
    <w:rsid w:val="00CC624C"/>
    <w:rsid w:val="00CC6322"/>
    <w:rsid w:val="00CC6548"/>
    <w:rsid w:val="00CC65F5"/>
    <w:rsid w:val="00CC6618"/>
    <w:rsid w:val="00CC6849"/>
    <w:rsid w:val="00CC6972"/>
    <w:rsid w:val="00CC69DF"/>
    <w:rsid w:val="00CC6CC9"/>
    <w:rsid w:val="00CC6D90"/>
    <w:rsid w:val="00CC6E69"/>
    <w:rsid w:val="00CC6EBA"/>
    <w:rsid w:val="00CC6F8E"/>
    <w:rsid w:val="00CC702B"/>
    <w:rsid w:val="00CC70EF"/>
    <w:rsid w:val="00CC728E"/>
    <w:rsid w:val="00CC72B8"/>
    <w:rsid w:val="00CC7321"/>
    <w:rsid w:val="00CC7345"/>
    <w:rsid w:val="00CC7357"/>
    <w:rsid w:val="00CC7678"/>
    <w:rsid w:val="00CC77EC"/>
    <w:rsid w:val="00CC799A"/>
    <w:rsid w:val="00CC7A06"/>
    <w:rsid w:val="00CC7C98"/>
    <w:rsid w:val="00CC7DC6"/>
    <w:rsid w:val="00CD0120"/>
    <w:rsid w:val="00CD0369"/>
    <w:rsid w:val="00CD0384"/>
    <w:rsid w:val="00CD0433"/>
    <w:rsid w:val="00CD064B"/>
    <w:rsid w:val="00CD076B"/>
    <w:rsid w:val="00CD07A8"/>
    <w:rsid w:val="00CD089A"/>
    <w:rsid w:val="00CD0BDE"/>
    <w:rsid w:val="00CD0DC0"/>
    <w:rsid w:val="00CD0E94"/>
    <w:rsid w:val="00CD125F"/>
    <w:rsid w:val="00CD132E"/>
    <w:rsid w:val="00CD1560"/>
    <w:rsid w:val="00CD15E3"/>
    <w:rsid w:val="00CD19F3"/>
    <w:rsid w:val="00CD1A6D"/>
    <w:rsid w:val="00CD1D9F"/>
    <w:rsid w:val="00CD1E73"/>
    <w:rsid w:val="00CD1ECA"/>
    <w:rsid w:val="00CD1F3F"/>
    <w:rsid w:val="00CD1FF3"/>
    <w:rsid w:val="00CD2163"/>
    <w:rsid w:val="00CD24CF"/>
    <w:rsid w:val="00CD2586"/>
    <w:rsid w:val="00CD267D"/>
    <w:rsid w:val="00CD26DC"/>
    <w:rsid w:val="00CD26E0"/>
    <w:rsid w:val="00CD2B5F"/>
    <w:rsid w:val="00CD2F0F"/>
    <w:rsid w:val="00CD3167"/>
    <w:rsid w:val="00CD31E9"/>
    <w:rsid w:val="00CD3266"/>
    <w:rsid w:val="00CD32A0"/>
    <w:rsid w:val="00CD333F"/>
    <w:rsid w:val="00CD33D4"/>
    <w:rsid w:val="00CD344E"/>
    <w:rsid w:val="00CD36E9"/>
    <w:rsid w:val="00CD3728"/>
    <w:rsid w:val="00CD3754"/>
    <w:rsid w:val="00CD37C3"/>
    <w:rsid w:val="00CD39B2"/>
    <w:rsid w:val="00CD3A48"/>
    <w:rsid w:val="00CD3B5D"/>
    <w:rsid w:val="00CD3CA1"/>
    <w:rsid w:val="00CD3D33"/>
    <w:rsid w:val="00CD3D7B"/>
    <w:rsid w:val="00CD41BA"/>
    <w:rsid w:val="00CD4245"/>
    <w:rsid w:val="00CD4262"/>
    <w:rsid w:val="00CD4273"/>
    <w:rsid w:val="00CD4286"/>
    <w:rsid w:val="00CD435C"/>
    <w:rsid w:val="00CD43EE"/>
    <w:rsid w:val="00CD44F9"/>
    <w:rsid w:val="00CD4545"/>
    <w:rsid w:val="00CD468A"/>
    <w:rsid w:val="00CD47E1"/>
    <w:rsid w:val="00CD48CE"/>
    <w:rsid w:val="00CD4A2F"/>
    <w:rsid w:val="00CD4BEB"/>
    <w:rsid w:val="00CD4C9F"/>
    <w:rsid w:val="00CD4EDD"/>
    <w:rsid w:val="00CD4EEB"/>
    <w:rsid w:val="00CD50F1"/>
    <w:rsid w:val="00CD511B"/>
    <w:rsid w:val="00CD5149"/>
    <w:rsid w:val="00CD5293"/>
    <w:rsid w:val="00CD559D"/>
    <w:rsid w:val="00CD5682"/>
    <w:rsid w:val="00CD57A4"/>
    <w:rsid w:val="00CD5887"/>
    <w:rsid w:val="00CD5981"/>
    <w:rsid w:val="00CD5B4C"/>
    <w:rsid w:val="00CD665E"/>
    <w:rsid w:val="00CD6763"/>
    <w:rsid w:val="00CD6785"/>
    <w:rsid w:val="00CD6789"/>
    <w:rsid w:val="00CD6840"/>
    <w:rsid w:val="00CD6864"/>
    <w:rsid w:val="00CD6AAA"/>
    <w:rsid w:val="00CD6B74"/>
    <w:rsid w:val="00CD6C67"/>
    <w:rsid w:val="00CD6ED8"/>
    <w:rsid w:val="00CD6EF6"/>
    <w:rsid w:val="00CD710C"/>
    <w:rsid w:val="00CD7254"/>
    <w:rsid w:val="00CD7255"/>
    <w:rsid w:val="00CD72EB"/>
    <w:rsid w:val="00CD7448"/>
    <w:rsid w:val="00CD7495"/>
    <w:rsid w:val="00CD78F7"/>
    <w:rsid w:val="00CD7D9B"/>
    <w:rsid w:val="00CD7E05"/>
    <w:rsid w:val="00CE003A"/>
    <w:rsid w:val="00CE004A"/>
    <w:rsid w:val="00CE03D3"/>
    <w:rsid w:val="00CE0807"/>
    <w:rsid w:val="00CE090D"/>
    <w:rsid w:val="00CE0A65"/>
    <w:rsid w:val="00CE0A8D"/>
    <w:rsid w:val="00CE0ECF"/>
    <w:rsid w:val="00CE0F42"/>
    <w:rsid w:val="00CE11B2"/>
    <w:rsid w:val="00CE154A"/>
    <w:rsid w:val="00CE15D8"/>
    <w:rsid w:val="00CE184C"/>
    <w:rsid w:val="00CE1881"/>
    <w:rsid w:val="00CE188D"/>
    <w:rsid w:val="00CE1902"/>
    <w:rsid w:val="00CE1998"/>
    <w:rsid w:val="00CE1AA0"/>
    <w:rsid w:val="00CE1AF6"/>
    <w:rsid w:val="00CE1C12"/>
    <w:rsid w:val="00CE20A3"/>
    <w:rsid w:val="00CE2176"/>
    <w:rsid w:val="00CE22A2"/>
    <w:rsid w:val="00CE247B"/>
    <w:rsid w:val="00CE2790"/>
    <w:rsid w:val="00CE2817"/>
    <w:rsid w:val="00CE287A"/>
    <w:rsid w:val="00CE2A6B"/>
    <w:rsid w:val="00CE2B75"/>
    <w:rsid w:val="00CE2CE7"/>
    <w:rsid w:val="00CE2DD9"/>
    <w:rsid w:val="00CE2F2A"/>
    <w:rsid w:val="00CE3142"/>
    <w:rsid w:val="00CE318C"/>
    <w:rsid w:val="00CE32AC"/>
    <w:rsid w:val="00CE3305"/>
    <w:rsid w:val="00CE35D3"/>
    <w:rsid w:val="00CE3606"/>
    <w:rsid w:val="00CE385B"/>
    <w:rsid w:val="00CE3A75"/>
    <w:rsid w:val="00CE3ACF"/>
    <w:rsid w:val="00CE3C25"/>
    <w:rsid w:val="00CE3D34"/>
    <w:rsid w:val="00CE3E80"/>
    <w:rsid w:val="00CE3F44"/>
    <w:rsid w:val="00CE3FFA"/>
    <w:rsid w:val="00CE40CA"/>
    <w:rsid w:val="00CE42FE"/>
    <w:rsid w:val="00CE432B"/>
    <w:rsid w:val="00CE4334"/>
    <w:rsid w:val="00CE4350"/>
    <w:rsid w:val="00CE464B"/>
    <w:rsid w:val="00CE47D4"/>
    <w:rsid w:val="00CE4B29"/>
    <w:rsid w:val="00CE4BBA"/>
    <w:rsid w:val="00CE4C22"/>
    <w:rsid w:val="00CE4C83"/>
    <w:rsid w:val="00CE4EE4"/>
    <w:rsid w:val="00CE501F"/>
    <w:rsid w:val="00CE53A0"/>
    <w:rsid w:val="00CE5898"/>
    <w:rsid w:val="00CE5931"/>
    <w:rsid w:val="00CE5955"/>
    <w:rsid w:val="00CE5AEF"/>
    <w:rsid w:val="00CE5AF3"/>
    <w:rsid w:val="00CE5BDA"/>
    <w:rsid w:val="00CE5C2D"/>
    <w:rsid w:val="00CE5CB7"/>
    <w:rsid w:val="00CE5CF8"/>
    <w:rsid w:val="00CE5D77"/>
    <w:rsid w:val="00CE5F57"/>
    <w:rsid w:val="00CE61F4"/>
    <w:rsid w:val="00CE6318"/>
    <w:rsid w:val="00CE6341"/>
    <w:rsid w:val="00CE6403"/>
    <w:rsid w:val="00CE6449"/>
    <w:rsid w:val="00CE6935"/>
    <w:rsid w:val="00CE6A17"/>
    <w:rsid w:val="00CE6C04"/>
    <w:rsid w:val="00CE6C29"/>
    <w:rsid w:val="00CE6F2C"/>
    <w:rsid w:val="00CE6F98"/>
    <w:rsid w:val="00CE71AB"/>
    <w:rsid w:val="00CE7608"/>
    <w:rsid w:val="00CE7930"/>
    <w:rsid w:val="00CE7A7F"/>
    <w:rsid w:val="00CE7CAE"/>
    <w:rsid w:val="00CE7D00"/>
    <w:rsid w:val="00CE7D27"/>
    <w:rsid w:val="00CE7EE0"/>
    <w:rsid w:val="00CE7FD3"/>
    <w:rsid w:val="00CF036B"/>
    <w:rsid w:val="00CF03BB"/>
    <w:rsid w:val="00CF0465"/>
    <w:rsid w:val="00CF0536"/>
    <w:rsid w:val="00CF0557"/>
    <w:rsid w:val="00CF05BD"/>
    <w:rsid w:val="00CF0799"/>
    <w:rsid w:val="00CF0A58"/>
    <w:rsid w:val="00CF0BA3"/>
    <w:rsid w:val="00CF0F5B"/>
    <w:rsid w:val="00CF1339"/>
    <w:rsid w:val="00CF13D7"/>
    <w:rsid w:val="00CF1691"/>
    <w:rsid w:val="00CF1A99"/>
    <w:rsid w:val="00CF1AE3"/>
    <w:rsid w:val="00CF1B24"/>
    <w:rsid w:val="00CF1C55"/>
    <w:rsid w:val="00CF1C9C"/>
    <w:rsid w:val="00CF1CBB"/>
    <w:rsid w:val="00CF1DA5"/>
    <w:rsid w:val="00CF1DAB"/>
    <w:rsid w:val="00CF1E96"/>
    <w:rsid w:val="00CF1FAC"/>
    <w:rsid w:val="00CF20DB"/>
    <w:rsid w:val="00CF2193"/>
    <w:rsid w:val="00CF22B7"/>
    <w:rsid w:val="00CF231D"/>
    <w:rsid w:val="00CF27C4"/>
    <w:rsid w:val="00CF29D7"/>
    <w:rsid w:val="00CF2BE6"/>
    <w:rsid w:val="00CF30AD"/>
    <w:rsid w:val="00CF30E3"/>
    <w:rsid w:val="00CF31A6"/>
    <w:rsid w:val="00CF323B"/>
    <w:rsid w:val="00CF3629"/>
    <w:rsid w:val="00CF3665"/>
    <w:rsid w:val="00CF39D1"/>
    <w:rsid w:val="00CF3AEE"/>
    <w:rsid w:val="00CF3BDF"/>
    <w:rsid w:val="00CF3CD5"/>
    <w:rsid w:val="00CF3E47"/>
    <w:rsid w:val="00CF3E51"/>
    <w:rsid w:val="00CF3EB1"/>
    <w:rsid w:val="00CF3F96"/>
    <w:rsid w:val="00CF4074"/>
    <w:rsid w:val="00CF407B"/>
    <w:rsid w:val="00CF41B9"/>
    <w:rsid w:val="00CF4258"/>
    <w:rsid w:val="00CF42AE"/>
    <w:rsid w:val="00CF4501"/>
    <w:rsid w:val="00CF4830"/>
    <w:rsid w:val="00CF4B2B"/>
    <w:rsid w:val="00CF5020"/>
    <w:rsid w:val="00CF50DE"/>
    <w:rsid w:val="00CF54CF"/>
    <w:rsid w:val="00CF5543"/>
    <w:rsid w:val="00CF57ED"/>
    <w:rsid w:val="00CF5AA6"/>
    <w:rsid w:val="00CF5AB0"/>
    <w:rsid w:val="00CF5C85"/>
    <w:rsid w:val="00CF5E02"/>
    <w:rsid w:val="00CF60D3"/>
    <w:rsid w:val="00CF62CE"/>
    <w:rsid w:val="00CF6334"/>
    <w:rsid w:val="00CF646F"/>
    <w:rsid w:val="00CF64B4"/>
    <w:rsid w:val="00CF663A"/>
    <w:rsid w:val="00CF66AC"/>
    <w:rsid w:val="00CF680C"/>
    <w:rsid w:val="00CF6A3A"/>
    <w:rsid w:val="00CF6D17"/>
    <w:rsid w:val="00CF6D3C"/>
    <w:rsid w:val="00CF6FDE"/>
    <w:rsid w:val="00CF7040"/>
    <w:rsid w:val="00CF716F"/>
    <w:rsid w:val="00CF71F4"/>
    <w:rsid w:val="00CF727F"/>
    <w:rsid w:val="00CF731E"/>
    <w:rsid w:val="00CF7391"/>
    <w:rsid w:val="00CF76E0"/>
    <w:rsid w:val="00CF79F1"/>
    <w:rsid w:val="00CF7A64"/>
    <w:rsid w:val="00CF7A82"/>
    <w:rsid w:val="00CF7C7B"/>
    <w:rsid w:val="00CF7CCB"/>
    <w:rsid w:val="00CF7E2C"/>
    <w:rsid w:val="00D0023E"/>
    <w:rsid w:val="00D0046F"/>
    <w:rsid w:val="00D00481"/>
    <w:rsid w:val="00D00518"/>
    <w:rsid w:val="00D005B6"/>
    <w:rsid w:val="00D006B4"/>
    <w:rsid w:val="00D00728"/>
    <w:rsid w:val="00D009A6"/>
    <w:rsid w:val="00D00A56"/>
    <w:rsid w:val="00D00BBD"/>
    <w:rsid w:val="00D00C2A"/>
    <w:rsid w:val="00D00ECF"/>
    <w:rsid w:val="00D00F98"/>
    <w:rsid w:val="00D00FC4"/>
    <w:rsid w:val="00D010FB"/>
    <w:rsid w:val="00D01515"/>
    <w:rsid w:val="00D0152A"/>
    <w:rsid w:val="00D01610"/>
    <w:rsid w:val="00D0170B"/>
    <w:rsid w:val="00D017EA"/>
    <w:rsid w:val="00D01966"/>
    <w:rsid w:val="00D01A98"/>
    <w:rsid w:val="00D01AD1"/>
    <w:rsid w:val="00D01B5C"/>
    <w:rsid w:val="00D01B69"/>
    <w:rsid w:val="00D01C29"/>
    <w:rsid w:val="00D01E6D"/>
    <w:rsid w:val="00D01FEC"/>
    <w:rsid w:val="00D02096"/>
    <w:rsid w:val="00D022C1"/>
    <w:rsid w:val="00D02368"/>
    <w:rsid w:val="00D0254C"/>
    <w:rsid w:val="00D0260B"/>
    <w:rsid w:val="00D0263A"/>
    <w:rsid w:val="00D028C5"/>
    <w:rsid w:val="00D02A71"/>
    <w:rsid w:val="00D02A9A"/>
    <w:rsid w:val="00D02B9C"/>
    <w:rsid w:val="00D03267"/>
    <w:rsid w:val="00D03274"/>
    <w:rsid w:val="00D0329C"/>
    <w:rsid w:val="00D03568"/>
    <w:rsid w:val="00D0380D"/>
    <w:rsid w:val="00D03811"/>
    <w:rsid w:val="00D03AEC"/>
    <w:rsid w:val="00D03EBB"/>
    <w:rsid w:val="00D03F36"/>
    <w:rsid w:val="00D03F44"/>
    <w:rsid w:val="00D03F4D"/>
    <w:rsid w:val="00D03F53"/>
    <w:rsid w:val="00D040ED"/>
    <w:rsid w:val="00D041A1"/>
    <w:rsid w:val="00D04449"/>
    <w:rsid w:val="00D045E0"/>
    <w:rsid w:val="00D045FC"/>
    <w:rsid w:val="00D0461F"/>
    <w:rsid w:val="00D04665"/>
    <w:rsid w:val="00D046A3"/>
    <w:rsid w:val="00D046C6"/>
    <w:rsid w:val="00D04804"/>
    <w:rsid w:val="00D04A55"/>
    <w:rsid w:val="00D04B0F"/>
    <w:rsid w:val="00D04F55"/>
    <w:rsid w:val="00D0518A"/>
    <w:rsid w:val="00D053A1"/>
    <w:rsid w:val="00D05629"/>
    <w:rsid w:val="00D0563F"/>
    <w:rsid w:val="00D0580C"/>
    <w:rsid w:val="00D05958"/>
    <w:rsid w:val="00D0596B"/>
    <w:rsid w:val="00D059FB"/>
    <w:rsid w:val="00D05B3B"/>
    <w:rsid w:val="00D05B5D"/>
    <w:rsid w:val="00D0616F"/>
    <w:rsid w:val="00D06444"/>
    <w:rsid w:val="00D066DF"/>
    <w:rsid w:val="00D067A8"/>
    <w:rsid w:val="00D06814"/>
    <w:rsid w:val="00D06BA7"/>
    <w:rsid w:val="00D06D3A"/>
    <w:rsid w:val="00D06FD5"/>
    <w:rsid w:val="00D07426"/>
    <w:rsid w:val="00D074A7"/>
    <w:rsid w:val="00D07789"/>
    <w:rsid w:val="00D07846"/>
    <w:rsid w:val="00D07B0E"/>
    <w:rsid w:val="00D07E37"/>
    <w:rsid w:val="00D07EDF"/>
    <w:rsid w:val="00D101ED"/>
    <w:rsid w:val="00D10361"/>
    <w:rsid w:val="00D103D9"/>
    <w:rsid w:val="00D10467"/>
    <w:rsid w:val="00D104BB"/>
    <w:rsid w:val="00D1050C"/>
    <w:rsid w:val="00D10902"/>
    <w:rsid w:val="00D10AF9"/>
    <w:rsid w:val="00D10AFD"/>
    <w:rsid w:val="00D10B45"/>
    <w:rsid w:val="00D10C95"/>
    <w:rsid w:val="00D10D18"/>
    <w:rsid w:val="00D10D37"/>
    <w:rsid w:val="00D10E3F"/>
    <w:rsid w:val="00D1117F"/>
    <w:rsid w:val="00D111F0"/>
    <w:rsid w:val="00D1137E"/>
    <w:rsid w:val="00D114CB"/>
    <w:rsid w:val="00D1152D"/>
    <w:rsid w:val="00D116D7"/>
    <w:rsid w:val="00D11771"/>
    <w:rsid w:val="00D11839"/>
    <w:rsid w:val="00D11992"/>
    <w:rsid w:val="00D11A4F"/>
    <w:rsid w:val="00D11F86"/>
    <w:rsid w:val="00D11FC1"/>
    <w:rsid w:val="00D1219E"/>
    <w:rsid w:val="00D121F4"/>
    <w:rsid w:val="00D1241B"/>
    <w:rsid w:val="00D126A2"/>
    <w:rsid w:val="00D12F43"/>
    <w:rsid w:val="00D12FD9"/>
    <w:rsid w:val="00D131DE"/>
    <w:rsid w:val="00D131F7"/>
    <w:rsid w:val="00D1324C"/>
    <w:rsid w:val="00D13253"/>
    <w:rsid w:val="00D1359D"/>
    <w:rsid w:val="00D135D7"/>
    <w:rsid w:val="00D13793"/>
    <w:rsid w:val="00D1382E"/>
    <w:rsid w:val="00D13980"/>
    <w:rsid w:val="00D13A7C"/>
    <w:rsid w:val="00D13CCF"/>
    <w:rsid w:val="00D13F94"/>
    <w:rsid w:val="00D14216"/>
    <w:rsid w:val="00D1440D"/>
    <w:rsid w:val="00D1447B"/>
    <w:rsid w:val="00D14AB7"/>
    <w:rsid w:val="00D14B61"/>
    <w:rsid w:val="00D14C55"/>
    <w:rsid w:val="00D14C5A"/>
    <w:rsid w:val="00D14D80"/>
    <w:rsid w:val="00D14D8D"/>
    <w:rsid w:val="00D14FF1"/>
    <w:rsid w:val="00D1513B"/>
    <w:rsid w:val="00D15170"/>
    <w:rsid w:val="00D152BA"/>
    <w:rsid w:val="00D15327"/>
    <w:rsid w:val="00D15495"/>
    <w:rsid w:val="00D156AA"/>
    <w:rsid w:val="00D157A1"/>
    <w:rsid w:val="00D15A4A"/>
    <w:rsid w:val="00D15BA7"/>
    <w:rsid w:val="00D15C73"/>
    <w:rsid w:val="00D15D49"/>
    <w:rsid w:val="00D15F5D"/>
    <w:rsid w:val="00D16033"/>
    <w:rsid w:val="00D161A5"/>
    <w:rsid w:val="00D162CA"/>
    <w:rsid w:val="00D162F7"/>
    <w:rsid w:val="00D16383"/>
    <w:rsid w:val="00D164D6"/>
    <w:rsid w:val="00D164F1"/>
    <w:rsid w:val="00D165C3"/>
    <w:rsid w:val="00D165CC"/>
    <w:rsid w:val="00D166E3"/>
    <w:rsid w:val="00D1674F"/>
    <w:rsid w:val="00D1687C"/>
    <w:rsid w:val="00D16B99"/>
    <w:rsid w:val="00D16CBE"/>
    <w:rsid w:val="00D16CCC"/>
    <w:rsid w:val="00D16D82"/>
    <w:rsid w:val="00D16E95"/>
    <w:rsid w:val="00D16E9D"/>
    <w:rsid w:val="00D16F61"/>
    <w:rsid w:val="00D17056"/>
    <w:rsid w:val="00D1715C"/>
    <w:rsid w:val="00D171B9"/>
    <w:rsid w:val="00D172AC"/>
    <w:rsid w:val="00D172E5"/>
    <w:rsid w:val="00D175B5"/>
    <w:rsid w:val="00D17633"/>
    <w:rsid w:val="00D177F9"/>
    <w:rsid w:val="00D179A1"/>
    <w:rsid w:val="00D179A4"/>
    <w:rsid w:val="00D17AAC"/>
    <w:rsid w:val="00D17BBF"/>
    <w:rsid w:val="00D2008B"/>
    <w:rsid w:val="00D20141"/>
    <w:rsid w:val="00D2050C"/>
    <w:rsid w:val="00D206EA"/>
    <w:rsid w:val="00D20AC0"/>
    <w:rsid w:val="00D20AF5"/>
    <w:rsid w:val="00D20CAE"/>
    <w:rsid w:val="00D20D8F"/>
    <w:rsid w:val="00D20DC4"/>
    <w:rsid w:val="00D20E04"/>
    <w:rsid w:val="00D2101D"/>
    <w:rsid w:val="00D210A6"/>
    <w:rsid w:val="00D210C8"/>
    <w:rsid w:val="00D213F9"/>
    <w:rsid w:val="00D21493"/>
    <w:rsid w:val="00D215D7"/>
    <w:rsid w:val="00D2172A"/>
    <w:rsid w:val="00D21911"/>
    <w:rsid w:val="00D219FE"/>
    <w:rsid w:val="00D21A26"/>
    <w:rsid w:val="00D21AB3"/>
    <w:rsid w:val="00D21B01"/>
    <w:rsid w:val="00D21E4D"/>
    <w:rsid w:val="00D2225F"/>
    <w:rsid w:val="00D222F2"/>
    <w:rsid w:val="00D2232E"/>
    <w:rsid w:val="00D22428"/>
    <w:rsid w:val="00D22477"/>
    <w:rsid w:val="00D22767"/>
    <w:rsid w:val="00D22C5E"/>
    <w:rsid w:val="00D22E27"/>
    <w:rsid w:val="00D22EAD"/>
    <w:rsid w:val="00D23314"/>
    <w:rsid w:val="00D234DD"/>
    <w:rsid w:val="00D2384C"/>
    <w:rsid w:val="00D23878"/>
    <w:rsid w:val="00D238B1"/>
    <w:rsid w:val="00D23A28"/>
    <w:rsid w:val="00D23BC4"/>
    <w:rsid w:val="00D23BF5"/>
    <w:rsid w:val="00D23F52"/>
    <w:rsid w:val="00D23FEB"/>
    <w:rsid w:val="00D2412F"/>
    <w:rsid w:val="00D24131"/>
    <w:rsid w:val="00D24175"/>
    <w:rsid w:val="00D24473"/>
    <w:rsid w:val="00D24687"/>
    <w:rsid w:val="00D24795"/>
    <w:rsid w:val="00D2481F"/>
    <w:rsid w:val="00D24A21"/>
    <w:rsid w:val="00D24B41"/>
    <w:rsid w:val="00D24C7B"/>
    <w:rsid w:val="00D24D27"/>
    <w:rsid w:val="00D24E03"/>
    <w:rsid w:val="00D24ED3"/>
    <w:rsid w:val="00D24EF8"/>
    <w:rsid w:val="00D24FE4"/>
    <w:rsid w:val="00D250A5"/>
    <w:rsid w:val="00D25174"/>
    <w:rsid w:val="00D253D6"/>
    <w:rsid w:val="00D2548B"/>
    <w:rsid w:val="00D25582"/>
    <w:rsid w:val="00D258D9"/>
    <w:rsid w:val="00D2599A"/>
    <w:rsid w:val="00D25B0C"/>
    <w:rsid w:val="00D25B44"/>
    <w:rsid w:val="00D25C6F"/>
    <w:rsid w:val="00D25CB3"/>
    <w:rsid w:val="00D25CF4"/>
    <w:rsid w:val="00D25ECD"/>
    <w:rsid w:val="00D26182"/>
    <w:rsid w:val="00D2627E"/>
    <w:rsid w:val="00D26292"/>
    <w:rsid w:val="00D2635D"/>
    <w:rsid w:val="00D26595"/>
    <w:rsid w:val="00D266EA"/>
    <w:rsid w:val="00D26836"/>
    <w:rsid w:val="00D26D24"/>
    <w:rsid w:val="00D26D7C"/>
    <w:rsid w:val="00D26D9C"/>
    <w:rsid w:val="00D26DF1"/>
    <w:rsid w:val="00D27027"/>
    <w:rsid w:val="00D27110"/>
    <w:rsid w:val="00D27314"/>
    <w:rsid w:val="00D2731B"/>
    <w:rsid w:val="00D27401"/>
    <w:rsid w:val="00D2740F"/>
    <w:rsid w:val="00D2746D"/>
    <w:rsid w:val="00D27541"/>
    <w:rsid w:val="00D27624"/>
    <w:rsid w:val="00D27692"/>
    <w:rsid w:val="00D27791"/>
    <w:rsid w:val="00D27B41"/>
    <w:rsid w:val="00D27E83"/>
    <w:rsid w:val="00D27FCA"/>
    <w:rsid w:val="00D301E6"/>
    <w:rsid w:val="00D3031F"/>
    <w:rsid w:val="00D303A1"/>
    <w:rsid w:val="00D303AD"/>
    <w:rsid w:val="00D304C4"/>
    <w:rsid w:val="00D30656"/>
    <w:rsid w:val="00D30679"/>
    <w:rsid w:val="00D30727"/>
    <w:rsid w:val="00D30781"/>
    <w:rsid w:val="00D307C3"/>
    <w:rsid w:val="00D30851"/>
    <w:rsid w:val="00D308CA"/>
    <w:rsid w:val="00D308F9"/>
    <w:rsid w:val="00D30A39"/>
    <w:rsid w:val="00D30C1C"/>
    <w:rsid w:val="00D30C41"/>
    <w:rsid w:val="00D30C75"/>
    <w:rsid w:val="00D30CDA"/>
    <w:rsid w:val="00D30D17"/>
    <w:rsid w:val="00D31072"/>
    <w:rsid w:val="00D31278"/>
    <w:rsid w:val="00D312E0"/>
    <w:rsid w:val="00D313F2"/>
    <w:rsid w:val="00D31664"/>
    <w:rsid w:val="00D31897"/>
    <w:rsid w:val="00D31999"/>
    <w:rsid w:val="00D31A5C"/>
    <w:rsid w:val="00D31D22"/>
    <w:rsid w:val="00D31D6E"/>
    <w:rsid w:val="00D31E43"/>
    <w:rsid w:val="00D32039"/>
    <w:rsid w:val="00D3208A"/>
    <w:rsid w:val="00D32303"/>
    <w:rsid w:val="00D32575"/>
    <w:rsid w:val="00D32588"/>
    <w:rsid w:val="00D32720"/>
    <w:rsid w:val="00D3278F"/>
    <w:rsid w:val="00D327B4"/>
    <w:rsid w:val="00D3282B"/>
    <w:rsid w:val="00D32BC6"/>
    <w:rsid w:val="00D32EE4"/>
    <w:rsid w:val="00D32F69"/>
    <w:rsid w:val="00D33030"/>
    <w:rsid w:val="00D33059"/>
    <w:rsid w:val="00D3312B"/>
    <w:rsid w:val="00D3314E"/>
    <w:rsid w:val="00D3327E"/>
    <w:rsid w:val="00D333E9"/>
    <w:rsid w:val="00D33799"/>
    <w:rsid w:val="00D337D9"/>
    <w:rsid w:val="00D339CE"/>
    <w:rsid w:val="00D339E2"/>
    <w:rsid w:val="00D33AC0"/>
    <w:rsid w:val="00D33BC0"/>
    <w:rsid w:val="00D33DF7"/>
    <w:rsid w:val="00D33FD2"/>
    <w:rsid w:val="00D33FDD"/>
    <w:rsid w:val="00D34148"/>
    <w:rsid w:val="00D34165"/>
    <w:rsid w:val="00D34354"/>
    <w:rsid w:val="00D34981"/>
    <w:rsid w:val="00D349DE"/>
    <w:rsid w:val="00D34AA3"/>
    <w:rsid w:val="00D34AB2"/>
    <w:rsid w:val="00D34AEB"/>
    <w:rsid w:val="00D34C5D"/>
    <w:rsid w:val="00D34D51"/>
    <w:rsid w:val="00D34D86"/>
    <w:rsid w:val="00D34DC7"/>
    <w:rsid w:val="00D35040"/>
    <w:rsid w:val="00D35095"/>
    <w:rsid w:val="00D351D9"/>
    <w:rsid w:val="00D352FD"/>
    <w:rsid w:val="00D35778"/>
    <w:rsid w:val="00D35794"/>
    <w:rsid w:val="00D35863"/>
    <w:rsid w:val="00D35D6C"/>
    <w:rsid w:val="00D35E27"/>
    <w:rsid w:val="00D35E77"/>
    <w:rsid w:val="00D36043"/>
    <w:rsid w:val="00D36281"/>
    <w:rsid w:val="00D36282"/>
    <w:rsid w:val="00D3637B"/>
    <w:rsid w:val="00D3643F"/>
    <w:rsid w:val="00D3646F"/>
    <w:rsid w:val="00D3676A"/>
    <w:rsid w:val="00D36822"/>
    <w:rsid w:val="00D36882"/>
    <w:rsid w:val="00D36A15"/>
    <w:rsid w:val="00D36AA5"/>
    <w:rsid w:val="00D36FBB"/>
    <w:rsid w:val="00D3701E"/>
    <w:rsid w:val="00D370E2"/>
    <w:rsid w:val="00D37171"/>
    <w:rsid w:val="00D371F8"/>
    <w:rsid w:val="00D3725F"/>
    <w:rsid w:val="00D372ED"/>
    <w:rsid w:val="00D37318"/>
    <w:rsid w:val="00D3737B"/>
    <w:rsid w:val="00D374E5"/>
    <w:rsid w:val="00D37832"/>
    <w:rsid w:val="00D378EB"/>
    <w:rsid w:val="00D37C1E"/>
    <w:rsid w:val="00D37C22"/>
    <w:rsid w:val="00D401B8"/>
    <w:rsid w:val="00D40306"/>
    <w:rsid w:val="00D40329"/>
    <w:rsid w:val="00D40498"/>
    <w:rsid w:val="00D404FD"/>
    <w:rsid w:val="00D406B4"/>
    <w:rsid w:val="00D40A2C"/>
    <w:rsid w:val="00D40DAD"/>
    <w:rsid w:val="00D40DE6"/>
    <w:rsid w:val="00D40DFF"/>
    <w:rsid w:val="00D40E06"/>
    <w:rsid w:val="00D40F28"/>
    <w:rsid w:val="00D40F38"/>
    <w:rsid w:val="00D40F7D"/>
    <w:rsid w:val="00D41043"/>
    <w:rsid w:val="00D4112C"/>
    <w:rsid w:val="00D4165B"/>
    <w:rsid w:val="00D41746"/>
    <w:rsid w:val="00D41853"/>
    <w:rsid w:val="00D41AB7"/>
    <w:rsid w:val="00D41C12"/>
    <w:rsid w:val="00D41C55"/>
    <w:rsid w:val="00D41D9B"/>
    <w:rsid w:val="00D41E9A"/>
    <w:rsid w:val="00D41EFD"/>
    <w:rsid w:val="00D41F3A"/>
    <w:rsid w:val="00D421CD"/>
    <w:rsid w:val="00D422B2"/>
    <w:rsid w:val="00D4239E"/>
    <w:rsid w:val="00D4249D"/>
    <w:rsid w:val="00D42874"/>
    <w:rsid w:val="00D428A6"/>
    <w:rsid w:val="00D429C9"/>
    <w:rsid w:val="00D42BDB"/>
    <w:rsid w:val="00D42C04"/>
    <w:rsid w:val="00D430AC"/>
    <w:rsid w:val="00D43141"/>
    <w:rsid w:val="00D431A4"/>
    <w:rsid w:val="00D431FD"/>
    <w:rsid w:val="00D4336A"/>
    <w:rsid w:val="00D434F5"/>
    <w:rsid w:val="00D43697"/>
    <w:rsid w:val="00D43740"/>
    <w:rsid w:val="00D43763"/>
    <w:rsid w:val="00D4384B"/>
    <w:rsid w:val="00D43A08"/>
    <w:rsid w:val="00D43A79"/>
    <w:rsid w:val="00D43E33"/>
    <w:rsid w:val="00D43EFD"/>
    <w:rsid w:val="00D43FEA"/>
    <w:rsid w:val="00D4419A"/>
    <w:rsid w:val="00D442B9"/>
    <w:rsid w:val="00D44462"/>
    <w:rsid w:val="00D44493"/>
    <w:rsid w:val="00D447B6"/>
    <w:rsid w:val="00D448C7"/>
    <w:rsid w:val="00D44ABA"/>
    <w:rsid w:val="00D44D16"/>
    <w:rsid w:val="00D44E0A"/>
    <w:rsid w:val="00D44F1D"/>
    <w:rsid w:val="00D44F90"/>
    <w:rsid w:val="00D44F9D"/>
    <w:rsid w:val="00D44FA9"/>
    <w:rsid w:val="00D45013"/>
    <w:rsid w:val="00D4509E"/>
    <w:rsid w:val="00D452C5"/>
    <w:rsid w:val="00D4537C"/>
    <w:rsid w:val="00D459D1"/>
    <w:rsid w:val="00D45A76"/>
    <w:rsid w:val="00D45AD2"/>
    <w:rsid w:val="00D45C6F"/>
    <w:rsid w:val="00D45CF1"/>
    <w:rsid w:val="00D45FA4"/>
    <w:rsid w:val="00D46070"/>
    <w:rsid w:val="00D4612E"/>
    <w:rsid w:val="00D465A5"/>
    <w:rsid w:val="00D46BED"/>
    <w:rsid w:val="00D46CF3"/>
    <w:rsid w:val="00D46E1F"/>
    <w:rsid w:val="00D47028"/>
    <w:rsid w:val="00D47357"/>
    <w:rsid w:val="00D474AA"/>
    <w:rsid w:val="00D4753D"/>
    <w:rsid w:val="00D476C6"/>
    <w:rsid w:val="00D476D2"/>
    <w:rsid w:val="00D476FC"/>
    <w:rsid w:val="00D47816"/>
    <w:rsid w:val="00D4790C"/>
    <w:rsid w:val="00D4791A"/>
    <w:rsid w:val="00D479CB"/>
    <w:rsid w:val="00D47B4B"/>
    <w:rsid w:val="00D47BE0"/>
    <w:rsid w:val="00D47BE2"/>
    <w:rsid w:val="00D47C05"/>
    <w:rsid w:val="00D50090"/>
    <w:rsid w:val="00D502A7"/>
    <w:rsid w:val="00D50309"/>
    <w:rsid w:val="00D50314"/>
    <w:rsid w:val="00D5031C"/>
    <w:rsid w:val="00D503AF"/>
    <w:rsid w:val="00D5040C"/>
    <w:rsid w:val="00D504E4"/>
    <w:rsid w:val="00D5062C"/>
    <w:rsid w:val="00D508DE"/>
    <w:rsid w:val="00D508EF"/>
    <w:rsid w:val="00D50930"/>
    <w:rsid w:val="00D50940"/>
    <w:rsid w:val="00D509F4"/>
    <w:rsid w:val="00D50A9C"/>
    <w:rsid w:val="00D50D32"/>
    <w:rsid w:val="00D50EB3"/>
    <w:rsid w:val="00D50F9C"/>
    <w:rsid w:val="00D50FCF"/>
    <w:rsid w:val="00D5117B"/>
    <w:rsid w:val="00D51189"/>
    <w:rsid w:val="00D512BD"/>
    <w:rsid w:val="00D513E2"/>
    <w:rsid w:val="00D51481"/>
    <w:rsid w:val="00D51493"/>
    <w:rsid w:val="00D5164E"/>
    <w:rsid w:val="00D5179F"/>
    <w:rsid w:val="00D51854"/>
    <w:rsid w:val="00D5195D"/>
    <w:rsid w:val="00D51B0D"/>
    <w:rsid w:val="00D51F39"/>
    <w:rsid w:val="00D52113"/>
    <w:rsid w:val="00D523F3"/>
    <w:rsid w:val="00D5249C"/>
    <w:rsid w:val="00D5269D"/>
    <w:rsid w:val="00D5273D"/>
    <w:rsid w:val="00D5281B"/>
    <w:rsid w:val="00D528E7"/>
    <w:rsid w:val="00D52988"/>
    <w:rsid w:val="00D52AA0"/>
    <w:rsid w:val="00D52B9D"/>
    <w:rsid w:val="00D52C8A"/>
    <w:rsid w:val="00D52E41"/>
    <w:rsid w:val="00D52E6E"/>
    <w:rsid w:val="00D52E82"/>
    <w:rsid w:val="00D52F1C"/>
    <w:rsid w:val="00D53007"/>
    <w:rsid w:val="00D530F2"/>
    <w:rsid w:val="00D53269"/>
    <w:rsid w:val="00D533FD"/>
    <w:rsid w:val="00D53436"/>
    <w:rsid w:val="00D535F8"/>
    <w:rsid w:val="00D536D8"/>
    <w:rsid w:val="00D5386D"/>
    <w:rsid w:val="00D53A54"/>
    <w:rsid w:val="00D53B72"/>
    <w:rsid w:val="00D53D35"/>
    <w:rsid w:val="00D53F34"/>
    <w:rsid w:val="00D54164"/>
    <w:rsid w:val="00D5429F"/>
    <w:rsid w:val="00D5430E"/>
    <w:rsid w:val="00D54714"/>
    <w:rsid w:val="00D54962"/>
    <w:rsid w:val="00D54A19"/>
    <w:rsid w:val="00D54B26"/>
    <w:rsid w:val="00D54B2C"/>
    <w:rsid w:val="00D54D96"/>
    <w:rsid w:val="00D54DF0"/>
    <w:rsid w:val="00D54DF3"/>
    <w:rsid w:val="00D54E65"/>
    <w:rsid w:val="00D54F08"/>
    <w:rsid w:val="00D550CF"/>
    <w:rsid w:val="00D55258"/>
    <w:rsid w:val="00D55380"/>
    <w:rsid w:val="00D554F7"/>
    <w:rsid w:val="00D554FF"/>
    <w:rsid w:val="00D55702"/>
    <w:rsid w:val="00D557DB"/>
    <w:rsid w:val="00D557ED"/>
    <w:rsid w:val="00D558C6"/>
    <w:rsid w:val="00D55A61"/>
    <w:rsid w:val="00D55A67"/>
    <w:rsid w:val="00D55A7B"/>
    <w:rsid w:val="00D55B8A"/>
    <w:rsid w:val="00D55C78"/>
    <w:rsid w:val="00D55D08"/>
    <w:rsid w:val="00D55DBF"/>
    <w:rsid w:val="00D55FBC"/>
    <w:rsid w:val="00D56013"/>
    <w:rsid w:val="00D5646D"/>
    <w:rsid w:val="00D56496"/>
    <w:rsid w:val="00D5657D"/>
    <w:rsid w:val="00D56647"/>
    <w:rsid w:val="00D5674F"/>
    <w:rsid w:val="00D56773"/>
    <w:rsid w:val="00D56AC1"/>
    <w:rsid w:val="00D56C4C"/>
    <w:rsid w:val="00D56DBF"/>
    <w:rsid w:val="00D56E08"/>
    <w:rsid w:val="00D56EEB"/>
    <w:rsid w:val="00D56F1E"/>
    <w:rsid w:val="00D56F4B"/>
    <w:rsid w:val="00D5714C"/>
    <w:rsid w:val="00D573DA"/>
    <w:rsid w:val="00D5743E"/>
    <w:rsid w:val="00D574D2"/>
    <w:rsid w:val="00D57601"/>
    <w:rsid w:val="00D57637"/>
    <w:rsid w:val="00D576D1"/>
    <w:rsid w:val="00D57800"/>
    <w:rsid w:val="00D5797E"/>
    <w:rsid w:val="00D57A04"/>
    <w:rsid w:val="00D57D12"/>
    <w:rsid w:val="00D57DD1"/>
    <w:rsid w:val="00D57DE1"/>
    <w:rsid w:val="00D57F47"/>
    <w:rsid w:val="00D6023C"/>
    <w:rsid w:val="00D602EC"/>
    <w:rsid w:val="00D603C2"/>
    <w:rsid w:val="00D60612"/>
    <w:rsid w:val="00D6066B"/>
    <w:rsid w:val="00D606E1"/>
    <w:rsid w:val="00D60836"/>
    <w:rsid w:val="00D60A52"/>
    <w:rsid w:val="00D60AEE"/>
    <w:rsid w:val="00D60B45"/>
    <w:rsid w:val="00D60C24"/>
    <w:rsid w:val="00D60D71"/>
    <w:rsid w:val="00D61059"/>
    <w:rsid w:val="00D61339"/>
    <w:rsid w:val="00D61588"/>
    <w:rsid w:val="00D61683"/>
    <w:rsid w:val="00D61AC4"/>
    <w:rsid w:val="00D61C39"/>
    <w:rsid w:val="00D61C9C"/>
    <w:rsid w:val="00D62051"/>
    <w:rsid w:val="00D6207E"/>
    <w:rsid w:val="00D62208"/>
    <w:rsid w:val="00D6225F"/>
    <w:rsid w:val="00D62273"/>
    <w:rsid w:val="00D622EF"/>
    <w:rsid w:val="00D62412"/>
    <w:rsid w:val="00D62653"/>
    <w:rsid w:val="00D62723"/>
    <w:rsid w:val="00D62894"/>
    <w:rsid w:val="00D628BF"/>
    <w:rsid w:val="00D62A2A"/>
    <w:rsid w:val="00D62DC1"/>
    <w:rsid w:val="00D6304A"/>
    <w:rsid w:val="00D63125"/>
    <w:rsid w:val="00D631FD"/>
    <w:rsid w:val="00D63400"/>
    <w:rsid w:val="00D634D7"/>
    <w:rsid w:val="00D634DE"/>
    <w:rsid w:val="00D63640"/>
    <w:rsid w:val="00D6381A"/>
    <w:rsid w:val="00D63867"/>
    <w:rsid w:val="00D63C3E"/>
    <w:rsid w:val="00D63C51"/>
    <w:rsid w:val="00D63DD5"/>
    <w:rsid w:val="00D63DEC"/>
    <w:rsid w:val="00D64079"/>
    <w:rsid w:val="00D641E7"/>
    <w:rsid w:val="00D64602"/>
    <w:rsid w:val="00D6479F"/>
    <w:rsid w:val="00D649BF"/>
    <w:rsid w:val="00D64A68"/>
    <w:rsid w:val="00D64CC8"/>
    <w:rsid w:val="00D64E45"/>
    <w:rsid w:val="00D650C9"/>
    <w:rsid w:val="00D65199"/>
    <w:rsid w:val="00D6524B"/>
    <w:rsid w:val="00D6534F"/>
    <w:rsid w:val="00D6537D"/>
    <w:rsid w:val="00D65460"/>
    <w:rsid w:val="00D65530"/>
    <w:rsid w:val="00D6559B"/>
    <w:rsid w:val="00D655B1"/>
    <w:rsid w:val="00D6590F"/>
    <w:rsid w:val="00D65932"/>
    <w:rsid w:val="00D659EF"/>
    <w:rsid w:val="00D65CD3"/>
    <w:rsid w:val="00D65D68"/>
    <w:rsid w:val="00D65F80"/>
    <w:rsid w:val="00D6604D"/>
    <w:rsid w:val="00D66052"/>
    <w:rsid w:val="00D660E9"/>
    <w:rsid w:val="00D661E3"/>
    <w:rsid w:val="00D66208"/>
    <w:rsid w:val="00D6641B"/>
    <w:rsid w:val="00D666ED"/>
    <w:rsid w:val="00D66984"/>
    <w:rsid w:val="00D66A71"/>
    <w:rsid w:val="00D66F71"/>
    <w:rsid w:val="00D66FA7"/>
    <w:rsid w:val="00D671F4"/>
    <w:rsid w:val="00D6734D"/>
    <w:rsid w:val="00D67375"/>
    <w:rsid w:val="00D67386"/>
    <w:rsid w:val="00D67670"/>
    <w:rsid w:val="00D676E9"/>
    <w:rsid w:val="00D678D5"/>
    <w:rsid w:val="00D67A90"/>
    <w:rsid w:val="00D67B8F"/>
    <w:rsid w:val="00D67B9A"/>
    <w:rsid w:val="00D67BEA"/>
    <w:rsid w:val="00D67FAB"/>
    <w:rsid w:val="00D7004E"/>
    <w:rsid w:val="00D700D9"/>
    <w:rsid w:val="00D701D0"/>
    <w:rsid w:val="00D70251"/>
    <w:rsid w:val="00D70288"/>
    <w:rsid w:val="00D702F4"/>
    <w:rsid w:val="00D703A6"/>
    <w:rsid w:val="00D70757"/>
    <w:rsid w:val="00D70799"/>
    <w:rsid w:val="00D707A2"/>
    <w:rsid w:val="00D70815"/>
    <w:rsid w:val="00D7093C"/>
    <w:rsid w:val="00D70A04"/>
    <w:rsid w:val="00D70AED"/>
    <w:rsid w:val="00D70C0F"/>
    <w:rsid w:val="00D70D2F"/>
    <w:rsid w:val="00D70EA4"/>
    <w:rsid w:val="00D712A6"/>
    <w:rsid w:val="00D715DF"/>
    <w:rsid w:val="00D7177E"/>
    <w:rsid w:val="00D71794"/>
    <w:rsid w:val="00D7194F"/>
    <w:rsid w:val="00D719E4"/>
    <w:rsid w:val="00D71CD8"/>
    <w:rsid w:val="00D71DCC"/>
    <w:rsid w:val="00D71DF0"/>
    <w:rsid w:val="00D71E3D"/>
    <w:rsid w:val="00D72139"/>
    <w:rsid w:val="00D72278"/>
    <w:rsid w:val="00D725DA"/>
    <w:rsid w:val="00D72600"/>
    <w:rsid w:val="00D72820"/>
    <w:rsid w:val="00D729BE"/>
    <w:rsid w:val="00D72D21"/>
    <w:rsid w:val="00D7303F"/>
    <w:rsid w:val="00D73090"/>
    <w:rsid w:val="00D731B1"/>
    <w:rsid w:val="00D7320E"/>
    <w:rsid w:val="00D7323E"/>
    <w:rsid w:val="00D732BD"/>
    <w:rsid w:val="00D732C7"/>
    <w:rsid w:val="00D7331E"/>
    <w:rsid w:val="00D73323"/>
    <w:rsid w:val="00D7344B"/>
    <w:rsid w:val="00D73527"/>
    <w:rsid w:val="00D735E7"/>
    <w:rsid w:val="00D739FF"/>
    <w:rsid w:val="00D73A43"/>
    <w:rsid w:val="00D73B37"/>
    <w:rsid w:val="00D73B63"/>
    <w:rsid w:val="00D73B80"/>
    <w:rsid w:val="00D73C86"/>
    <w:rsid w:val="00D73D08"/>
    <w:rsid w:val="00D73D1A"/>
    <w:rsid w:val="00D73DD5"/>
    <w:rsid w:val="00D73F7F"/>
    <w:rsid w:val="00D74002"/>
    <w:rsid w:val="00D7411B"/>
    <w:rsid w:val="00D743AF"/>
    <w:rsid w:val="00D744D3"/>
    <w:rsid w:val="00D744D7"/>
    <w:rsid w:val="00D7451E"/>
    <w:rsid w:val="00D74737"/>
    <w:rsid w:val="00D74803"/>
    <w:rsid w:val="00D74857"/>
    <w:rsid w:val="00D74913"/>
    <w:rsid w:val="00D7496A"/>
    <w:rsid w:val="00D74A21"/>
    <w:rsid w:val="00D74B07"/>
    <w:rsid w:val="00D74F64"/>
    <w:rsid w:val="00D7501A"/>
    <w:rsid w:val="00D750BE"/>
    <w:rsid w:val="00D750D8"/>
    <w:rsid w:val="00D7557E"/>
    <w:rsid w:val="00D7599A"/>
    <w:rsid w:val="00D75A31"/>
    <w:rsid w:val="00D75A64"/>
    <w:rsid w:val="00D75B7C"/>
    <w:rsid w:val="00D75F20"/>
    <w:rsid w:val="00D76081"/>
    <w:rsid w:val="00D76236"/>
    <w:rsid w:val="00D76365"/>
    <w:rsid w:val="00D763A9"/>
    <w:rsid w:val="00D763FA"/>
    <w:rsid w:val="00D764A3"/>
    <w:rsid w:val="00D76659"/>
    <w:rsid w:val="00D766A8"/>
    <w:rsid w:val="00D767B6"/>
    <w:rsid w:val="00D768E1"/>
    <w:rsid w:val="00D769FE"/>
    <w:rsid w:val="00D76C6A"/>
    <w:rsid w:val="00D77270"/>
    <w:rsid w:val="00D77293"/>
    <w:rsid w:val="00D772EA"/>
    <w:rsid w:val="00D772F2"/>
    <w:rsid w:val="00D77385"/>
    <w:rsid w:val="00D774A0"/>
    <w:rsid w:val="00D776FA"/>
    <w:rsid w:val="00D77719"/>
    <w:rsid w:val="00D777ED"/>
    <w:rsid w:val="00D77A1F"/>
    <w:rsid w:val="00D77D33"/>
    <w:rsid w:val="00D77F7A"/>
    <w:rsid w:val="00D80031"/>
    <w:rsid w:val="00D8009A"/>
    <w:rsid w:val="00D800A0"/>
    <w:rsid w:val="00D80162"/>
    <w:rsid w:val="00D802EB"/>
    <w:rsid w:val="00D8038E"/>
    <w:rsid w:val="00D8060F"/>
    <w:rsid w:val="00D806DE"/>
    <w:rsid w:val="00D8082C"/>
    <w:rsid w:val="00D80890"/>
    <w:rsid w:val="00D808CE"/>
    <w:rsid w:val="00D8099A"/>
    <w:rsid w:val="00D80A7B"/>
    <w:rsid w:val="00D80F32"/>
    <w:rsid w:val="00D80FD9"/>
    <w:rsid w:val="00D810C4"/>
    <w:rsid w:val="00D815CE"/>
    <w:rsid w:val="00D815D4"/>
    <w:rsid w:val="00D81768"/>
    <w:rsid w:val="00D8183E"/>
    <w:rsid w:val="00D8187C"/>
    <w:rsid w:val="00D819A2"/>
    <w:rsid w:val="00D81CBF"/>
    <w:rsid w:val="00D82112"/>
    <w:rsid w:val="00D821DD"/>
    <w:rsid w:val="00D822DF"/>
    <w:rsid w:val="00D823DF"/>
    <w:rsid w:val="00D825CF"/>
    <w:rsid w:val="00D8266A"/>
    <w:rsid w:val="00D82819"/>
    <w:rsid w:val="00D82877"/>
    <w:rsid w:val="00D82ACC"/>
    <w:rsid w:val="00D82D68"/>
    <w:rsid w:val="00D82E3D"/>
    <w:rsid w:val="00D82E48"/>
    <w:rsid w:val="00D8315A"/>
    <w:rsid w:val="00D8319C"/>
    <w:rsid w:val="00D831E7"/>
    <w:rsid w:val="00D83268"/>
    <w:rsid w:val="00D83377"/>
    <w:rsid w:val="00D837E1"/>
    <w:rsid w:val="00D8382F"/>
    <w:rsid w:val="00D838C0"/>
    <w:rsid w:val="00D83940"/>
    <w:rsid w:val="00D83993"/>
    <w:rsid w:val="00D83A23"/>
    <w:rsid w:val="00D83B8C"/>
    <w:rsid w:val="00D83D58"/>
    <w:rsid w:val="00D83E03"/>
    <w:rsid w:val="00D84127"/>
    <w:rsid w:val="00D84459"/>
    <w:rsid w:val="00D84831"/>
    <w:rsid w:val="00D84850"/>
    <w:rsid w:val="00D8487C"/>
    <w:rsid w:val="00D84AAA"/>
    <w:rsid w:val="00D84C29"/>
    <w:rsid w:val="00D84CA9"/>
    <w:rsid w:val="00D84EFA"/>
    <w:rsid w:val="00D84F70"/>
    <w:rsid w:val="00D84FC8"/>
    <w:rsid w:val="00D85015"/>
    <w:rsid w:val="00D85272"/>
    <w:rsid w:val="00D85297"/>
    <w:rsid w:val="00D852DE"/>
    <w:rsid w:val="00D8549A"/>
    <w:rsid w:val="00D85534"/>
    <w:rsid w:val="00D85536"/>
    <w:rsid w:val="00D85583"/>
    <w:rsid w:val="00D85615"/>
    <w:rsid w:val="00D85D7F"/>
    <w:rsid w:val="00D8617B"/>
    <w:rsid w:val="00D86190"/>
    <w:rsid w:val="00D86281"/>
    <w:rsid w:val="00D86557"/>
    <w:rsid w:val="00D8671E"/>
    <w:rsid w:val="00D867A0"/>
    <w:rsid w:val="00D86970"/>
    <w:rsid w:val="00D86B46"/>
    <w:rsid w:val="00D86BE8"/>
    <w:rsid w:val="00D86C0D"/>
    <w:rsid w:val="00D86C2F"/>
    <w:rsid w:val="00D86D4F"/>
    <w:rsid w:val="00D86F36"/>
    <w:rsid w:val="00D87006"/>
    <w:rsid w:val="00D8722D"/>
    <w:rsid w:val="00D8733F"/>
    <w:rsid w:val="00D87375"/>
    <w:rsid w:val="00D87702"/>
    <w:rsid w:val="00D8778F"/>
    <w:rsid w:val="00D87A8A"/>
    <w:rsid w:val="00D87BAF"/>
    <w:rsid w:val="00D87BB5"/>
    <w:rsid w:val="00D87C4B"/>
    <w:rsid w:val="00D9020F"/>
    <w:rsid w:val="00D902A5"/>
    <w:rsid w:val="00D902E1"/>
    <w:rsid w:val="00D90430"/>
    <w:rsid w:val="00D9050B"/>
    <w:rsid w:val="00D906C5"/>
    <w:rsid w:val="00D9075C"/>
    <w:rsid w:val="00D90760"/>
    <w:rsid w:val="00D90838"/>
    <w:rsid w:val="00D908A5"/>
    <w:rsid w:val="00D90A01"/>
    <w:rsid w:val="00D90C4A"/>
    <w:rsid w:val="00D90DFF"/>
    <w:rsid w:val="00D90E42"/>
    <w:rsid w:val="00D90EC3"/>
    <w:rsid w:val="00D910DB"/>
    <w:rsid w:val="00D91171"/>
    <w:rsid w:val="00D913FE"/>
    <w:rsid w:val="00D914F7"/>
    <w:rsid w:val="00D915AB"/>
    <w:rsid w:val="00D91686"/>
    <w:rsid w:val="00D91751"/>
    <w:rsid w:val="00D91786"/>
    <w:rsid w:val="00D91800"/>
    <w:rsid w:val="00D9199C"/>
    <w:rsid w:val="00D91B6B"/>
    <w:rsid w:val="00D91BBC"/>
    <w:rsid w:val="00D91BC4"/>
    <w:rsid w:val="00D91D54"/>
    <w:rsid w:val="00D91DA1"/>
    <w:rsid w:val="00D9208D"/>
    <w:rsid w:val="00D92270"/>
    <w:rsid w:val="00D9230C"/>
    <w:rsid w:val="00D92449"/>
    <w:rsid w:val="00D927FB"/>
    <w:rsid w:val="00D92868"/>
    <w:rsid w:val="00D9287C"/>
    <w:rsid w:val="00D92B26"/>
    <w:rsid w:val="00D92DFE"/>
    <w:rsid w:val="00D92F18"/>
    <w:rsid w:val="00D93223"/>
    <w:rsid w:val="00D9336F"/>
    <w:rsid w:val="00D933C4"/>
    <w:rsid w:val="00D9348E"/>
    <w:rsid w:val="00D935CA"/>
    <w:rsid w:val="00D937CB"/>
    <w:rsid w:val="00D939B8"/>
    <w:rsid w:val="00D93B7B"/>
    <w:rsid w:val="00D94050"/>
    <w:rsid w:val="00D94076"/>
    <w:rsid w:val="00D940C0"/>
    <w:rsid w:val="00D946A7"/>
    <w:rsid w:val="00D946D4"/>
    <w:rsid w:val="00D946E3"/>
    <w:rsid w:val="00D94728"/>
    <w:rsid w:val="00D947EF"/>
    <w:rsid w:val="00D94857"/>
    <w:rsid w:val="00D9493F"/>
    <w:rsid w:val="00D94B2B"/>
    <w:rsid w:val="00D94C35"/>
    <w:rsid w:val="00D94C5B"/>
    <w:rsid w:val="00D94D44"/>
    <w:rsid w:val="00D94DE7"/>
    <w:rsid w:val="00D94FBA"/>
    <w:rsid w:val="00D953D3"/>
    <w:rsid w:val="00D95409"/>
    <w:rsid w:val="00D95554"/>
    <w:rsid w:val="00D955DB"/>
    <w:rsid w:val="00D9567E"/>
    <w:rsid w:val="00D958EF"/>
    <w:rsid w:val="00D95B48"/>
    <w:rsid w:val="00D95B9D"/>
    <w:rsid w:val="00D95C14"/>
    <w:rsid w:val="00D95C53"/>
    <w:rsid w:val="00D95C6E"/>
    <w:rsid w:val="00D95CE4"/>
    <w:rsid w:val="00D95D79"/>
    <w:rsid w:val="00D95DD9"/>
    <w:rsid w:val="00D95E04"/>
    <w:rsid w:val="00D961A9"/>
    <w:rsid w:val="00D9628E"/>
    <w:rsid w:val="00D964F4"/>
    <w:rsid w:val="00D9684B"/>
    <w:rsid w:val="00D96999"/>
    <w:rsid w:val="00D96A38"/>
    <w:rsid w:val="00D96C05"/>
    <w:rsid w:val="00D96E50"/>
    <w:rsid w:val="00D96F5F"/>
    <w:rsid w:val="00D96FC0"/>
    <w:rsid w:val="00D97095"/>
    <w:rsid w:val="00D9723C"/>
    <w:rsid w:val="00D9741F"/>
    <w:rsid w:val="00D97539"/>
    <w:rsid w:val="00D9757E"/>
    <w:rsid w:val="00D975FD"/>
    <w:rsid w:val="00D9768E"/>
    <w:rsid w:val="00D978DD"/>
    <w:rsid w:val="00D97C17"/>
    <w:rsid w:val="00D97CCE"/>
    <w:rsid w:val="00D97D42"/>
    <w:rsid w:val="00D97E28"/>
    <w:rsid w:val="00D97F2E"/>
    <w:rsid w:val="00DA00B9"/>
    <w:rsid w:val="00DA00F5"/>
    <w:rsid w:val="00DA0105"/>
    <w:rsid w:val="00DA0113"/>
    <w:rsid w:val="00DA04B6"/>
    <w:rsid w:val="00DA0508"/>
    <w:rsid w:val="00DA0672"/>
    <w:rsid w:val="00DA0805"/>
    <w:rsid w:val="00DA0888"/>
    <w:rsid w:val="00DA0976"/>
    <w:rsid w:val="00DA0A0E"/>
    <w:rsid w:val="00DA0B40"/>
    <w:rsid w:val="00DA0C23"/>
    <w:rsid w:val="00DA0C69"/>
    <w:rsid w:val="00DA0CD6"/>
    <w:rsid w:val="00DA0D8A"/>
    <w:rsid w:val="00DA0F3F"/>
    <w:rsid w:val="00DA10FF"/>
    <w:rsid w:val="00DA1157"/>
    <w:rsid w:val="00DA1206"/>
    <w:rsid w:val="00DA12BE"/>
    <w:rsid w:val="00DA134C"/>
    <w:rsid w:val="00DA1397"/>
    <w:rsid w:val="00DA1472"/>
    <w:rsid w:val="00DA148E"/>
    <w:rsid w:val="00DA1618"/>
    <w:rsid w:val="00DA17B2"/>
    <w:rsid w:val="00DA1D01"/>
    <w:rsid w:val="00DA1DC3"/>
    <w:rsid w:val="00DA1E59"/>
    <w:rsid w:val="00DA1F4B"/>
    <w:rsid w:val="00DA21E5"/>
    <w:rsid w:val="00DA2210"/>
    <w:rsid w:val="00DA2232"/>
    <w:rsid w:val="00DA2342"/>
    <w:rsid w:val="00DA2384"/>
    <w:rsid w:val="00DA23DA"/>
    <w:rsid w:val="00DA23EC"/>
    <w:rsid w:val="00DA244D"/>
    <w:rsid w:val="00DA2645"/>
    <w:rsid w:val="00DA27F9"/>
    <w:rsid w:val="00DA29EF"/>
    <w:rsid w:val="00DA2A00"/>
    <w:rsid w:val="00DA2ADC"/>
    <w:rsid w:val="00DA2C92"/>
    <w:rsid w:val="00DA2CCD"/>
    <w:rsid w:val="00DA2F26"/>
    <w:rsid w:val="00DA2F66"/>
    <w:rsid w:val="00DA3043"/>
    <w:rsid w:val="00DA32F1"/>
    <w:rsid w:val="00DA333E"/>
    <w:rsid w:val="00DA3359"/>
    <w:rsid w:val="00DA344E"/>
    <w:rsid w:val="00DA3757"/>
    <w:rsid w:val="00DA3C78"/>
    <w:rsid w:val="00DA3D17"/>
    <w:rsid w:val="00DA3E9C"/>
    <w:rsid w:val="00DA3EC7"/>
    <w:rsid w:val="00DA4326"/>
    <w:rsid w:val="00DA43D5"/>
    <w:rsid w:val="00DA4460"/>
    <w:rsid w:val="00DA472A"/>
    <w:rsid w:val="00DA4957"/>
    <w:rsid w:val="00DA500A"/>
    <w:rsid w:val="00DA524B"/>
    <w:rsid w:val="00DA58F8"/>
    <w:rsid w:val="00DA5928"/>
    <w:rsid w:val="00DA5A6A"/>
    <w:rsid w:val="00DA5B82"/>
    <w:rsid w:val="00DA5C1A"/>
    <w:rsid w:val="00DA5CE2"/>
    <w:rsid w:val="00DA5DAC"/>
    <w:rsid w:val="00DA5DD8"/>
    <w:rsid w:val="00DA5EB1"/>
    <w:rsid w:val="00DA6206"/>
    <w:rsid w:val="00DA630A"/>
    <w:rsid w:val="00DA63BF"/>
    <w:rsid w:val="00DA64BD"/>
    <w:rsid w:val="00DA64D5"/>
    <w:rsid w:val="00DA6602"/>
    <w:rsid w:val="00DA6725"/>
    <w:rsid w:val="00DA67E6"/>
    <w:rsid w:val="00DA684C"/>
    <w:rsid w:val="00DA6983"/>
    <w:rsid w:val="00DA6A40"/>
    <w:rsid w:val="00DA6B43"/>
    <w:rsid w:val="00DA6CA6"/>
    <w:rsid w:val="00DA6CEF"/>
    <w:rsid w:val="00DA6E66"/>
    <w:rsid w:val="00DA6F5A"/>
    <w:rsid w:val="00DA70DB"/>
    <w:rsid w:val="00DA73DE"/>
    <w:rsid w:val="00DA756E"/>
    <w:rsid w:val="00DA7722"/>
    <w:rsid w:val="00DA77CF"/>
    <w:rsid w:val="00DA78E3"/>
    <w:rsid w:val="00DA7978"/>
    <w:rsid w:val="00DA7A0E"/>
    <w:rsid w:val="00DA7A3C"/>
    <w:rsid w:val="00DA7AEC"/>
    <w:rsid w:val="00DA7B3F"/>
    <w:rsid w:val="00DA7C59"/>
    <w:rsid w:val="00DA7C8A"/>
    <w:rsid w:val="00DA7CE6"/>
    <w:rsid w:val="00DA7E98"/>
    <w:rsid w:val="00DA7F6E"/>
    <w:rsid w:val="00DA7FA9"/>
    <w:rsid w:val="00DB0303"/>
    <w:rsid w:val="00DB048B"/>
    <w:rsid w:val="00DB04DE"/>
    <w:rsid w:val="00DB059D"/>
    <w:rsid w:val="00DB0646"/>
    <w:rsid w:val="00DB07F8"/>
    <w:rsid w:val="00DB087F"/>
    <w:rsid w:val="00DB0908"/>
    <w:rsid w:val="00DB0948"/>
    <w:rsid w:val="00DB0BB3"/>
    <w:rsid w:val="00DB0C37"/>
    <w:rsid w:val="00DB0CE2"/>
    <w:rsid w:val="00DB12D8"/>
    <w:rsid w:val="00DB12DC"/>
    <w:rsid w:val="00DB14D0"/>
    <w:rsid w:val="00DB1568"/>
    <w:rsid w:val="00DB18EE"/>
    <w:rsid w:val="00DB1A0E"/>
    <w:rsid w:val="00DB1AD4"/>
    <w:rsid w:val="00DB1BB3"/>
    <w:rsid w:val="00DB1BD0"/>
    <w:rsid w:val="00DB1BD1"/>
    <w:rsid w:val="00DB1CE0"/>
    <w:rsid w:val="00DB1E02"/>
    <w:rsid w:val="00DB1FC1"/>
    <w:rsid w:val="00DB1FD4"/>
    <w:rsid w:val="00DB2265"/>
    <w:rsid w:val="00DB230A"/>
    <w:rsid w:val="00DB232C"/>
    <w:rsid w:val="00DB2334"/>
    <w:rsid w:val="00DB25BF"/>
    <w:rsid w:val="00DB2786"/>
    <w:rsid w:val="00DB29E1"/>
    <w:rsid w:val="00DB2A7A"/>
    <w:rsid w:val="00DB2B2B"/>
    <w:rsid w:val="00DB2BAB"/>
    <w:rsid w:val="00DB2D47"/>
    <w:rsid w:val="00DB2DBC"/>
    <w:rsid w:val="00DB2E6F"/>
    <w:rsid w:val="00DB3321"/>
    <w:rsid w:val="00DB33A7"/>
    <w:rsid w:val="00DB3423"/>
    <w:rsid w:val="00DB377D"/>
    <w:rsid w:val="00DB379B"/>
    <w:rsid w:val="00DB38A6"/>
    <w:rsid w:val="00DB39B4"/>
    <w:rsid w:val="00DB39EF"/>
    <w:rsid w:val="00DB3AEF"/>
    <w:rsid w:val="00DB3B63"/>
    <w:rsid w:val="00DB3BBE"/>
    <w:rsid w:val="00DB3C07"/>
    <w:rsid w:val="00DB3C1F"/>
    <w:rsid w:val="00DB3DD8"/>
    <w:rsid w:val="00DB3DF7"/>
    <w:rsid w:val="00DB415A"/>
    <w:rsid w:val="00DB4459"/>
    <w:rsid w:val="00DB449C"/>
    <w:rsid w:val="00DB44A7"/>
    <w:rsid w:val="00DB4559"/>
    <w:rsid w:val="00DB46AD"/>
    <w:rsid w:val="00DB4AD5"/>
    <w:rsid w:val="00DB4B6A"/>
    <w:rsid w:val="00DB4E42"/>
    <w:rsid w:val="00DB53EE"/>
    <w:rsid w:val="00DB5475"/>
    <w:rsid w:val="00DB574E"/>
    <w:rsid w:val="00DB57B1"/>
    <w:rsid w:val="00DB57F8"/>
    <w:rsid w:val="00DB58B1"/>
    <w:rsid w:val="00DB58F8"/>
    <w:rsid w:val="00DB5AAD"/>
    <w:rsid w:val="00DB5B99"/>
    <w:rsid w:val="00DB5C36"/>
    <w:rsid w:val="00DB5F07"/>
    <w:rsid w:val="00DB5FAD"/>
    <w:rsid w:val="00DB61B8"/>
    <w:rsid w:val="00DB61E0"/>
    <w:rsid w:val="00DB6470"/>
    <w:rsid w:val="00DB6693"/>
    <w:rsid w:val="00DB67BA"/>
    <w:rsid w:val="00DB696B"/>
    <w:rsid w:val="00DB69C3"/>
    <w:rsid w:val="00DB6A52"/>
    <w:rsid w:val="00DB6F5F"/>
    <w:rsid w:val="00DB7084"/>
    <w:rsid w:val="00DB714C"/>
    <w:rsid w:val="00DB7273"/>
    <w:rsid w:val="00DB7281"/>
    <w:rsid w:val="00DB7585"/>
    <w:rsid w:val="00DB7868"/>
    <w:rsid w:val="00DB786A"/>
    <w:rsid w:val="00DB7F8F"/>
    <w:rsid w:val="00DC00B2"/>
    <w:rsid w:val="00DC01D8"/>
    <w:rsid w:val="00DC0282"/>
    <w:rsid w:val="00DC02D9"/>
    <w:rsid w:val="00DC03BC"/>
    <w:rsid w:val="00DC03DC"/>
    <w:rsid w:val="00DC041D"/>
    <w:rsid w:val="00DC05D5"/>
    <w:rsid w:val="00DC05E4"/>
    <w:rsid w:val="00DC0731"/>
    <w:rsid w:val="00DC0851"/>
    <w:rsid w:val="00DC0938"/>
    <w:rsid w:val="00DC0ABB"/>
    <w:rsid w:val="00DC0BB5"/>
    <w:rsid w:val="00DC0C8A"/>
    <w:rsid w:val="00DC0D01"/>
    <w:rsid w:val="00DC0DB8"/>
    <w:rsid w:val="00DC0E48"/>
    <w:rsid w:val="00DC0F5E"/>
    <w:rsid w:val="00DC15FF"/>
    <w:rsid w:val="00DC17FE"/>
    <w:rsid w:val="00DC1AB1"/>
    <w:rsid w:val="00DC1B63"/>
    <w:rsid w:val="00DC1C55"/>
    <w:rsid w:val="00DC1CC4"/>
    <w:rsid w:val="00DC2046"/>
    <w:rsid w:val="00DC20EE"/>
    <w:rsid w:val="00DC25B2"/>
    <w:rsid w:val="00DC25BA"/>
    <w:rsid w:val="00DC26C3"/>
    <w:rsid w:val="00DC27A4"/>
    <w:rsid w:val="00DC2B31"/>
    <w:rsid w:val="00DC2DAD"/>
    <w:rsid w:val="00DC2EA9"/>
    <w:rsid w:val="00DC3090"/>
    <w:rsid w:val="00DC316C"/>
    <w:rsid w:val="00DC32A1"/>
    <w:rsid w:val="00DC33AF"/>
    <w:rsid w:val="00DC33D0"/>
    <w:rsid w:val="00DC351F"/>
    <w:rsid w:val="00DC364D"/>
    <w:rsid w:val="00DC3AA4"/>
    <w:rsid w:val="00DC3CF4"/>
    <w:rsid w:val="00DC3D34"/>
    <w:rsid w:val="00DC3E35"/>
    <w:rsid w:val="00DC3F18"/>
    <w:rsid w:val="00DC3F89"/>
    <w:rsid w:val="00DC4038"/>
    <w:rsid w:val="00DC40CC"/>
    <w:rsid w:val="00DC41BA"/>
    <w:rsid w:val="00DC433A"/>
    <w:rsid w:val="00DC44B1"/>
    <w:rsid w:val="00DC45DA"/>
    <w:rsid w:val="00DC466B"/>
    <w:rsid w:val="00DC47CF"/>
    <w:rsid w:val="00DC497F"/>
    <w:rsid w:val="00DC4D3E"/>
    <w:rsid w:val="00DC4E84"/>
    <w:rsid w:val="00DC4E9F"/>
    <w:rsid w:val="00DC4F72"/>
    <w:rsid w:val="00DC4FBF"/>
    <w:rsid w:val="00DC50C4"/>
    <w:rsid w:val="00DC5106"/>
    <w:rsid w:val="00DC510D"/>
    <w:rsid w:val="00DC52C9"/>
    <w:rsid w:val="00DC5617"/>
    <w:rsid w:val="00DC5627"/>
    <w:rsid w:val="00DC5657"/>
    <w:rsid w:val="00DC56F3"/>
    <w:rsid w:val="00DC5739"/>
    <w:rsid w:val="00DC5788"/>
    <w:rsid w:val="00DC5848"/>
    <w:rsid w:val="00DC5888"/>
    <w:rsid w:val="00DC58FA"/>
    <w:rsid w:val="00DC5943"/>
    <w:rsid w:val="00DC5C6A"/>
    <w:rsid w:val="00DC5C71"/>
    <w:rsid w:val="00DC5E52"/>
    <w:rsid w:val="00DC5F68"/>
    <w:rsid w:val="00DC5F87"/>
    <w:rsid w:val="00DC6163"/>
    <w:rsid w:val="00DC620C"/>
    <w:rsid w:val="00DC62FB"/>
    <w:rsid w:val="00DC63C5"/>
    <w:rsid w:val="00DC6521"/>
    <w:rsid w:val="00DC656F"/>
    <w:rsid w:val="00DC67BA"/>
    <w:rsid w:val="00DC67CC"/>
    <w:rsid w:val="00DC68B0"/>
    <w:rsid w:val="00DC691B"/>
    <w:rsid w:val="00DC6A75"/>
    <w:rsid w:val="00DC6D48"/>
    <w:rsid w:val="00DC6DCF"/>
    <w:rsid w:val="00DC70FF"/>
    <w:rsid w:val="00DC7166"/>
    <w:rsid w:val="00DC72A7"/>
    <w:rsid w:val="00DC75D6"/>
    <w:rsid w:val="00DC761F"/>
    <w:rsid w:val="00DC7C32"/>
    <w:rsid w:val="00DC9158"/>
    <w:rsid w:val="00DD0001"/>
    <w:rsid w:val="00DD0085"/>
    <w:rsid w:val="00DD00E1"/>
    <w:rsid w:val="00DD012E"/>
    <w:rsid w:val="00DD0184"/>
    <w:rsid w:val="00DD0194"/>
    <w:rsid w:val="00DD025D"/>
    <w:rsid w:val="00DD0321"/>
    <w:rsid w:val="00DD03CB"/>
    <w:rsid w:val="00DD0494"/>
    <w:rsid w:val="00DD051A"/>
    <w:rsid w:val="00DD066D"/>
    <w:rsid w:val="00DD07F2"/>
    <w:rsid w:val="00DD0B0B"/>
    <w:rsid w:val="00DD0B1D"/>
    <w:rsid w:val="00DD0C55"/>
    <w:rsid w:val="00DD0C8A"/>
    <w:rsid w:val="00DD0C9B"/>
    <w:rsid w:val="00DD0FBB"/>
    <w:rsid w:val="00DD10EE"/>
    <w:rsid w:val="00DD11B5"/>
    <w:rsid w:val="00DD15C7"/>
    <w:rsid w:val="00DD15CD"/>
    <w:rsid w:val="00DD1B62"/>
    <w:rsid w:val="00DD1CE3"/>
    <w:rsid w:val="00DD1CF3"/>
    <w:rsid w:val="00DD1E69"/>
    <w:rsid w:val="00DD1FBD"/>
    <w:rsid w:val="00DD2030"/>
    <w:rsid w:val="00DD213F"/>
    <w:rsid w:val="00DD24CF"/>
    <w:rsid w:val="00DD25D9"/>
    <w:rsid w:val="00DD267C"/>
    <w:rsid w:val="00DD27CF"/>
    <w:rsid w:val="00DD2821"/>
    <w:rsid w:val="00DD286A"/>
    <w:rsid w:val="00DD2A1C"/>
    <w:rsid w:val="00DD2ABB"/>
    <w:rsid w:val="00DD2AF2"/>
    <w:rsid w:val="00DD2CD4"/>
    <w:rsid w:val="00DD2D58"/>
    <w:rsid w:val="00DD2FCA"/>
    <w:rsid w:val="00DD3164"/>
    <w:rsid w:val="00DD3480"/>
    <w:rsid w:val="00DD3499"/>
    <w:rsid w:val="00DD3541"/>
    <w:rsid w:val="00DD38D7"/>
    <w:rsid w:val="00DD3902"/>
    <w:rsid w:val="00DD3929"/>
    <w:rsid w:val="00DD3960"/>
    <w:rsid w:val="00DD3AC6"/>
    <w:rsid w:val="00DD3D31"/>
    <w:rsid w:val="00DD3F9D"/>
    <w:rsid w:val="00DD4232"/>
    <w:rsid w:val="00DD4345"/>
    <w:rsid w:val="00DD4568"/>
    <w:rsid w:val="00DD4A11"/>
    <w:rsid w:val="00DD4B47"/>
    <w:rsid w:val="00DD4C19"/>
    <w:rsid w:val="00DD4C31"/>
    <w:rsid w:val="00DD4D1A"/>
    <w:rsid w:val="00DD4FE6"/>
    <w:rsid w:val="00DD50AA"/>
    <w:rsid w:val="00DD525E"/>
    <w:rsid w:val="00DD5437"/>
    <w:rsid w:val="00DD5616"/>
    <w:rsid w:val="00DD586C"/>
    <w:rsid w:val="00DD598D"/>
    <w:rsid w:val="00DD5E9D"/>
    <w:rsid w:val="00DD5F27"/>
    <w:rsid w:val="00DD5F88"/>
    <w:rsid w:val="00DD62B7"/>
    <w:rsid w:val="00DD6541"/>
    <w:rsid w:val="00DD654B"/>
    <w:rsid w:val="00DD65D4"/>
    <w:rsid w:val="00DD662F"/>
    <w:rsid w:val="00DD6815"/>
    <w:rsid w:val="00DD6869"/>
    <w:rsid w:val="00DD689B"/>
    <w:rsid w:val="00DD6AD5"/>
    <w:rsid w:val="00DD6C1D"/>
    <w:rsid w:val="00DD6CA7"/>
    <w:rsid w:val="00DD6CCC"/>
    <w:rsid w:val="00DD6F95"/>
    <w:rsid w:val="00DD6FAA"/>
    <w:rsid w:val="00DD72D5"/>
    <w:rsid w:val="00DD7663"/>
    <w:rsid w:val="00DD7664"/>
    <w:rsid w:val="00DD76DB"/>
    <w:rsid w:val="00DD77A1"/>
    <w:rsid w:val="00DD78DD"/>
    <w:rsid w:val="00DD7D3B"/>
    <w:rsid w:val="00DE003D"/>
    <w:rsid w:val="00DE013C"/>
    <w:rsid w:val="00DE0314"/>
    <w:rsid w:val="00DE04B5"/>
    <w:rsid w:val="00DE0AC8"/>
    <w:rsid w:val="00DE0AEF"/>
    <w:rsid w:val="00DE0B6B"/>
    <w:rsid w:val="00DE0C7F"/>
    <w:rsid w:val="00DE0CAD"/>
    <w:rsid w:val="00DE0CED"/>
    <w:rsid w:val="00DE0D51"/>
    <w:rsid w:val="00DE0E5E"/>
    <w:rsid w:val="00DE1013"/>
    <w:rsid w:val="00DE127C"/>
    <w:rsid w:val="00DE1524"/>
    <w:rsid w:val="00DE1691"/>
    <w:rsid w:val="00DE1952"/>
    <w:rsid w:val="00DE1A5B"/>
    <w:rsid w:val="00DE1B2E"/>
    <w:rsid w:val="00DE1B55"/>
    <w:rsid w:val="00DE1B9C"/>
    <w:rsid w:val="00DE1E5A"/>
    <w:rsid w:val="00DE1F37"/>
    <w:rsid w:val="00DE2099"/>
    <w:rsid w:val="00DE2204"/>
    <w:rsid w:val="00DE2235"/>
    <w:rsid w:val="00DE2319"/>
    <w:rsid w:val="00DE24A8"/>
    <w:rsid w:val="00DE262F"/>
    <w:rsid w:val="00DE2816"/>
    <w:rsid w:val="00DE28AA"/>
    <w:rsid w:val="00DE28F8"/>
    <w:rsid w:val="00DE2B83"/>
    <w:rsid w:val="00DE2C25"/>
    <w:rsid w:val="00DE2CAE"/>
    <w:rsid w:val="00DE2FE9"/>
    <w:rsid w:val="00DE34C9"/>
    <w:rsid w:val="00DE3506"/>
    <w:rsid w:val="00DE3559"/>
    <w:rsid w:val="00DE3650"/>
    <w:rsid w:val="00DE37EA"/>
    <w:rsid w:val="00DE3A34"/>
    <w:rsid w:val="00DE3B05"/>
    <w:rsid w:val="00DE3B75"/>
    <w:rsid w:val="00DE3BB6"/>
    <w:rsid w:val="00DE3C18"/>
    <w:rsid w:val="00DE3C64"/>
    <w:rsid w:val="00DE3D5A"/>
    <w:rsid w:val="00DE3E92"/>
    <w:rsid w:val="00DE3F08"/>
    <w:rsid w:val="00DE3F5B"/>
    <w:rsid w:val="00DE404F"/>
    <w:rsid w:val="00DE41AF"/>
    <w:rsid w:val="00DE4303"/>
    <w:rsid w:val="00DE44E2"/>
    <w:rsid w:val="00DE4608"/>
    <w:rsid w:val="00DE4A5C"/>
    <w:rsid w:val="00DE4F4E"/>
    <w:rsid w:val="00DE4F5D"/>
    <w:rsid w:val="00DE506D"/>
    <w:rsid w:val="00DE50B0"/>
    <w:rsid w:val="00DE5280"/>
    <w:rsid w:val="00DE547E"/>
    <w:rsid w:val="00DE5483"/>
    <w:rsid w:val="00DE5515"/>
    <w:rsid w:val="00DE577F"/>
    <w:rsid w:val="00DE5874"/>
    <w:rsid w:val="00DE58E8"/>
    <w:rsid w:val="00DE59BF"/>
    <w:rsid w:val="00DE5A78"/>
    <w:rsid w:val="00DE5B1C"/>
    <w:rsid w:val="00DE5C63"/>
    <w:rsid w:val="00DE5D1B"/>
    <w:rsid w:val="00DE5D50"/>
    <w:rsid w:val="00DE5FC7"/>
    <w:rsid w:val="00DE60DC"/>
    <w:rsid w:val="00DE61D9"/>
    <w:rsid w:val="00DE6320"/>
    <w:rsid w:val="00DE63FB"/>
    <w:rsid w:val="00DE65B2"/>
    <w:rsid w:val="00DE68F6"/>
    <w:rsid w:val="00DE6A0E"/>
    <w:rsid w:val="00DE6A61"/>
    <w:rsid w:val="00DE6BB7"/>
    <w:rsid w:val="00DE6C6E"/>
    <w:rsid w:val="00DE6D33"/>
    <w:rsid w:val="00DE6F15"/>
    <w:rsid w:val="00DE6F3D"/>
    <w:rsid w:val="00DE7131"/>
    <w:rsid w:val="00DE7167"/>
    <w:rsid w:val="00DE71B3"/>
    <w:rsid w:val="00DE72EA"/>
    <w:rsid w:val="00DE7459"/>
    <w:rsid w:val="00DE775A"/>
    <w:rsid w:val="00DE777A"/>
    <w:rsid w:val="00DE77E4"/>
    <w:rsid w:val="00DE7A3F"/>
    <w:rsid w:val="00DE7A4A"/>
    <w:rsid w:val="00DE7B60"/>
    <w:rsid w:val="00DE7C87"/>
    <w:rsid w:val="00DF045A"/>
    <w:rsid w:val="00DF0492"/>
    <w:rsid w:val="00DF04E6"/>
    <w:rsid w:val="00DF050F"/>
    <w:rsid w:val="00DF0516"/>
    <w:rsid w:val="00DF061C"/>
    <w:rsid w:val="00DF06CA"/>
    <w:rsid w:val="00DF080E"/>
    <w:rsid w:val="00DF0823"/>
    <w:rsid w:val="00DF08FE"/>
    <w:rsid w:val="00DF0906"/>
    <w:rsid w:val="00DF0C29"/>
    <w:rsid w:val="00DF0C92"/>
    <w:rsid w:val="00DF0EB3"/>
    <w:rsid w:val="00DF0F23"/>
    <w:rsid w:val="00DF0FF4"/>
    <w:rsid w:val="00DF11DC"/>
    <w:rsid w:val="00DF13DE"/>
    <w:rsid w:val="00DF141A"/>
    <w:rsid w:val="00DF141D"/>
    <w:rsid w:val="00DF1517"/>
    <w:rsid w:val="00DF1524"/>
    <w:rsid w:val="00DF1587"/>
    <w:rsid w:val="00DF172E"/>
    <w:rsid w:val="00DF1ADD"/>
    <w:rsid w:val="00DF1AF5"/>
    <w:rsid w:val="00DF1B38"/>
    <w:rsid w:val="00DF1B3B"/>
    <w:rsid w:val="00DF1BC6"/>
    <w:rsid w:val="00DF1C9F"/>
    <w:rsid w:val="00DF1CED"/>
    <w:rsid w:val="00DF1D13"/>
    <w:rsid w:val="00DF1F51"/>
    <w:rsid w:val="00DF22D0"/>
    <w:rsid w:val="00DF2696"/>
    <w:rsid w:val="00DF27A0"/>
    <w:rsid w:val="00DF284E"/>
    <w:rsid w:val="00DF2974"/>
    <w:rsid w:val="00DF2B02"/>
    <w:rsid w:val="00DF2B52"/>
    <w:rsid w:val="00DF2B73"/>
    <w:rsid w:val="00DF2EEB"/>
    <w:rsid w:val="00DF3095"/>
    <w:rsid w:val="00DF31BD"/>
    <w:rsid w:val="00DF323A"/>
    <w:rsid w:val="00DF3292"/>
    <w:rsid w:val="00DF33EE"/>
    <w:rsid w:val="00DF33F4"/>
    <w:rsid w:val="00DF387D"/>
    <w:rsid w:val="00DF3884"/>
    <w:rsid w:val="00DF38A8"/>
    <w:rsid w:val="00DF3CE6"/>
    <w:rsid w:val="00DF4096"/>
    <w:rsid w:val="00DF4279"/>
    <w:rsid w:val="00DF435D"/>
    <w:rsid w:val="00DF43B6"/>
    <w:rsid w:val="00DF4421"/>
    <w:rsid w:val="00DF45A4"/>
    <w:rsid w:val="00DF480D"/>
    <w:rsid w:val="00DF485A"/>
    <w:rsid w:val="00DF492B"/>
    <w:rsid w:val="00DF4A51"/>
    <w:rsid w:val="00DF4A74"/>
    <w:rsid w:val="00DF4B4C"/>
    <w:rsid w:val="00DF4B57"/>
    <w:rsid w:val="00DF4C05"/>
    <w:rsid w:val="00DF4D18"/>
    <w:rsid w:val="00DF4ECE"/>
    <w:rsid w:val="00DF4FB6"/>
    <w:rsid w:val="00DF5370"/>
    <w:rsid w:val="00DF56EF"/>
    <w:rsid w:val="00DF57D6"/>
    <w:rsid w:val="00DF59F1"/>
    <w:rsid w:val="00DF5D32"/>
    <w:rsid w:val="00DF5F74"/>
    <w:rsid w:val="00DF6212"/>
    <w:rsid w:val="00DF6465"/>
    <w:rsid w:val="00DF6545"/>
    <w:rsid w:val="00DF6577"/>
    <w:rsid w:val="00DF65F6"/>
    <w:rsid w:val="00DF6ABB"/>
    <w:rsid w:val="00DF6B43"/>
    <w:rsid w:val="00DF7057"/>
    <w:rsid w:val="00DF7264"/>
    <w:rsid w:val="00DF7334"/>
    <w:rsid w:val="00DF76C1"/>
    <w:rsid w:val="00DF7838"/>
    <w:rsid w:val="00DF785C"/>
    <w:rsid w:val="00DF786B"/>
    <w:rsid w:val="00DF7A5E"/>
    <w:rsid w:val="00DF7A9A"/>
    <w:rsid w:val="00DF7AC7"/>
    <w:rsid w:val="00E000A3"/>
    <w:rsid w:val="00E000A7"/>
    <w:rsid w:val="00E001D7"/>
    <w:rsid w:val="00E00627"/>
    <w:rsid w:val="00E006A3"/>
    <w:rsid w:val="00E00A22"/>
    <w:rsid w:val="00E00A40"/>
    <w:rsid w:val="00E00B96"/>
    <w:rsid w:val="00E00CC0"/>
    <w:rsid w:val="00E00F73"/>
    <w:rsid w:val="00E0108B"/>
    <w:rsid w:val="00E0109D"/>
    <w:rsid w:val="00E01172"/>
    <w:rsid w:val="00E014C7"/>
    <w:rsid w:val="00E01703"/>
    <w:rsid w:val="00E01737"/>
    <w:rsid w:val="00E0186F"/>
    <w:rsid w:val="00E01912"/>
    <w:rsid w:val="00E0191E"/>
    <w:rsid w:val="00E01A5A"/>
    <w:rsid w:val="00E01D02"/>
    <w:rsid w:val="00E01E99"/>
    <w:rsid w:val="00E020F8"/>
    <w:rsid w:val="00E02179"/>
    <w:rsid w:val="00E02188"/>
    <w:rsid w:val="00E02327"/>
    <w:rsid w:val="00E023AF"/>
    <w:rsid w:val="00E025A2"/>
    <w:rsid w:val="00E02689"/>
    <w:rsid w:val="00E02837"/>
    <w:rsid w:val="00E028B8"/>
    <w:rsid w:val="00E0299C"/>
    <w:rsid w:val="00E029DB"/>
    <w:rsid w:val="00E02DA2"/>
    <w:rsid w:val="00E02DEE"/>
    <w:rsid w:val="00E02EA0"/>
    <w:rsid w:val="00E02EED"/>
    <w:rsid w:val="00E02F2E"/>
    <w:rsid w:val="00E02F42"/>
    <w:rsid w:val="00E030AD"/>
    <w:rsid w:val="00E030E2"/>
    <w:rsid w:val="00E032B1"/>
    <w:rsid w:val="00E03647"/>
    <w:rsid w:val="00E03737"/>
    <w:rsid w:val="00E03784"/>
    <w:rsid w:val="00E038AD"/>
    <w:rsid w:val="00E038D4"/>
    <w:rsid w:val="00E03943"/>
    <w:rsid w:val="00E039B6"/>
    <w:rsid w:val="00E03A3D"/>
    <w:rsid w:val="00E03A46"/>
    <w:rsid w:val="00E03AD5"/>
    <w:rsid w:val="00E03FEE"/>
    <w:rsid w:val="00E04007"/>
    <w:rsid w:val="00E0416B"/>
    <w:rsid w:val="00E041FC"/>
    <w:rsid w:val="00E042DE"/>
    <w:rsid w:val="00E04416"/>
    <w:rsid w:val="00E04439"/>
    <w:rsid w:val="00E04554"/>
    <w:rsid w:val="00E04676"/>
    <w:rsid w:val="00E047F7"/>
    <w:rsid w:val="00E049F4"/>
    <w:rsid w:val="00E04A7E"/>
    <w:rsid w:val="00E04BBF"/>
    <w:rsid w:val="00E04CF1"/>
    <w:rsid w:val="00E04D45"/>
    <w:rsid w:val="00E04D56"/>
    <w:rsid w:val="00E05007"/>
    <w:rsid w:val="00E050DB"/>
    <w:rsid w:val="00E050E7"/>
    <w:rsid w:val="00E051C9"/>
    <w:rsid w:val="00E054AE"/>
    <w:rsid w:val="00E0559B"/>
    <w:rsid w:val="00E055CA"/>
    <w:rsid w:val="00E056A3"/>
    <w:rsid w:val="00E05713"/>
    <w:rsid w:val="00E0585B"/>
    <w:rsid w:val="00E05881"/>
    <w:rsid w:val="00E05AA0"/>
    <w:rsid w:val="00E05CC0"/>
    <w:rsid w:val="00E05EA5"/>
    <w:rsid w:val="00E05F24"/>
    <w:rsid w:val="00E05F92"/>
    <w:rsid w:val="00E06082"/>
    <w:rsid w:val="00E060E0"/>
    <w:rsid w:val="00E061A0"/>
    <w:rsid w:val="00E063AA"/>
    <w:rsid w:val="00E06641"/>
    <w:rsid w:val="00E06677"/>
    <w:rsid w:val="00E0669A"/>
    <w:rsid w:val="00E0690C"/>
    <w:rsid w:val="00E0697B"/>
    <w:rsid w:val="00E069F0"/>
    <w:rsid w:val="00E06A8C"/>
    <w:rsid w:val="00E06AAD"/>
    <w:rsid w:val="00E06C6A"/>
    <w:rsid w:val="00E06E7A"/>
    <w:rsid w:val="00E0703E"/>
    <w:rsid w:val="00E07201"/>
    <w:rsid w:val="00E0722C"/>
    <w:rsid w:val="00E07242"/>
    <w:rsid w:val="00E07348"/>
    <w:rsid w:val="00E07360"/>
    <w:rsid w:val="00E073A6"/>
    <w:rsid w:val="00E07715"/>
    <w:rsid w:val="00E0773E"/>
    <w:rsid w:val="00E077DB"/>
    <w:rsid w:val="00E0782D"/>
    <w:rsid w:val="00E07890"/>
    <w:rsid w:val="00E07945"/>
    <w:rsid w:val="00E07AD3"/>
    <w:rsid w:val="00E07B1A"/>
    <w:rsid w:val="00E07C7E"/>
    <w:rsid w:val="00E07DB0"/>
    <w:rsid w:val="00E07E12"/>
    <w:rsid w:val="00E1001E"/>
    <w:rsid w:val="00E100B8"/>
    <w:rsid w:val="00E102CD"/>
    <w:rsid w:val="00E10526"/>
    <w:rsid w:val="00E10559"/>
    <w:rsid w:val="00E105F3"/>
    <w:rsid w:val="00E106DE"/>
    <w:rsid w:val="00E1093E"/>
    <w:rsid w:val="00E10D24"/>
    <w:rsid w:val="00E10E5B"/>
    <w:rsid w:val="00E10F3A"/>
    <w:rsid w:val="00E1102B"/>
    <w:rsid w:val="00E110A6"/>
    <w:rsid w:val="00E11152"/>
    <w:rsid w:val="00E1121A"/>
    <w:rsid w:val="00E1156F"/>
    <w:rsid w:val="00E1174A"/>
    <w:rsid w:val="00E1185C"/>
    <w:rsid w:val="00E11A58"/>
    <w:rsid w:val="00E11BEF"/>
    <w:rsid w:val="00E11BFD"/>
    <w:rsid w:val="00E11CAD"/>
    <w:rsid w:val="00E11F4E"/>
    <w:rsid w:val="00E11F98"/>
    <w:rsid w:val="00E11FCF"/>
    <w:rsid w:val="00E1222B"/>
    <w:rsid w:val="00E12375"/>
    <w:rsid w:val="00E12442"/>
    <w:rsid w:val="00E1264A"/>
    <w:rsid w:val="00E129B3"/>
    <w:rsid w:val="00E12CE8"/>
    <w:rsid w:val="00E12FA6"/>
    <w:rsid w:val="00E13158"/>
    <w:rsid w:val="00E133EB"/>
    <w:rsid w:val="00E135EF"/>
    <w:rsid w:val="00E136E0"/>
    <w:rsid w:val="00E13733"/>
    <w:rsid w:val="00E137C7"/>
    <w:rsid w:val="00E13A02"/>
    <w:rsid w:val="00E13A9C"/>
    <w:rsid w:val="00E13B37"/>
    <w:rsid w:val="00E13D5B"/>
    <w:rsid w:val="00E13E79"/>
    <w:rsid w:val="00E13FFA"/>
    <w:rsid w:val="00E1414B"/>
    <w:rsid w:val="00E14454"/>
    <w:rsid w:val="00E1475C"/>
    <w:rsid w:val="00E14803"/>
    <w:rsid w:val="00E14ABE"/>
    <w:rsid w:val="00E14DE6"/>
    <w:rsid w:val="00E14EA8"/>
    <w:rsid w:val="00E14EE8"/>
    <w:rsid w:val="00E14F13"/>
    <w:rsid w:val="00E15024"/>
    <w:rsid w:val="00E15111"/>
    <w:rsid w:val="00E15283"/>
    <w:rsid w:val="00E15308"/>
    <w:rsid w:val="00E154C4"/>
    <w:rsid w:val="00E154F5"/>
    <w:rsid w:val="00E1563F"/>
    <w:rsid w:val="00E15697"/>
    <w:rsid w:val="00E158FD"/>
    <w:rsid w:val="00E15994"/>
    <w:rsid w:val="00E159AE"/>
    <w:rsid w:val="00E159E2"/>
    <w:rsid w:val="00E15B15"/>
    <w:rsid w:val="00E15B68"/>
    <w:rsid w:val="00E15B6C"/>
    <w:rsid w:val="00E15CD9"/>
    <w:rsid w:val="00E15D8C"/>
    <w:rsid w:val="00E15E7D"/>
    <w:rsid w:val="00E16226"/>
    <w:rsid w:val="00E162D1"/>
    <w:rsid w:val="00E16411"/>
    <w:rsid w:val="00E164B3"/>
    <w:rsid w:val="00E16503"/>
    <w:rsid w:val="00E165BD"/>
    <w:rsid w:val="00E16842"/>
    <w:rsid w:val="00E1695A"/>
    <w:rsid w:val="00E16B5B"/>
    <w:rsid w:val="00E16BB1"/>
    <w:rsid w:val="00E16D94"/>
    <w:rsid w:val="00E16E6D"/>
    <w:rsid w:val="00E16ED9"/>
    <w:rsid w:val="00E16F45"/>
    <w:rsid w:val="00E17027"/>
    <w:rsid w:val="00E170CB"/>
    <w:rsid w:val="00E1725D"/>
    <w:rsid w:val="00E1726D"/>
    <w:rsid w:val="00E17289"/>
    <w:rsid w:val="00E17296"/>
    <w:rsid w:val="00E17307"/>
    <w:rsid w:val="00E17786"/>
    <w:rsid w:val="00E17792"/>
    <w:rsid w:val="00E17889"/>
    <w:rsid w:val="00E178CF"/>
    <w:rsid w:val="00E17A16"/>
    <w:rsid w:val="00E17A47"/>
    <w:rsid w:val="00E17AD2"/>
    <w:rsid w:val="00E17C70"/>
    <w:rsid w:val="00E203CD"/>
    <w:rsid w:val="00E20503"/>
    <w:rsid w:val="00E20558"/>
    <w:rsid w:val="00E20566"/>
    <w:rsid w:val="00E208F3"/>
    <w:rsid w:val="00E20A6A"/>
    <w:rsid w:val="00E20C3E"/>
    <w:rsid w:val="00E20E8C"/>
    <w:rsid w:val="00E20EAB"/>
    <w:rsid w:val="00E20ECA"/>
    <w:rsid w:val="00E20EE4"/>
    <w:rsid w:val="00E21025"/>
    <w:rsid w:val="00E21327"/>
    <w:rsid w:val="00E2135B"/>
    <w:rsid w:val="00E2153B"/>
    <w:rsid w:val="00E21574"/>
    <w:rsid w:val="00E216A4"/>
    <w:rsid w:val="00E21888"/>
    <w:rsid w:val="00E21A05"/>
    <w:rsid w:val="00E21B5B"/>
    <w:rsid w:val="00E21EEE"/>
    <w:rsid w:val="00E21F25"/>
    <w:rsid w:val="00E21FF4"/>
    <w:rsid w:val="00E2202D"/>
    <w:rsid w:val="00E220EE"/>
    <w:rsid w:val="00E224B5"/>
    <w:rsid w:val="00E2255D"/>
    <w:rsid w:val="00E22659"/>
    <w:rsid w:val="00E22C92"/>
    <w:rsid w:val="00E22D3B"/>
    <w:rsid w:val="00E230F9"/>
    <w:rsid w:val="00E2310B"/>
    <w:rsid w:val="00E231E0"/>
    <w:rsid w:val="00E232B1"/>
    <w:rsid w:val="00E233E8"/>
    <w:rsid w:val="00E23747"/>
    <w:rsid w:val="00E2374B"/>
    <w:rsid w:val="00E23B70"/>
    <w:rsid w:val="00E23BBB"/>
    <w:rsid w:val="00E23D33"/>
    <w:rsid w:val="00E23D5D"/>
    <w:rsid w:val="00E23D72"/>
    <w:rsid w:val="00E240C5"/>
    <w:rsid w:val="00E245EA"/>
    <w:rsid w:val="00E24AEB"/>
    <w:rsid w:val="00E24B1B"/>
    <w:rsid w:val="00E24B80"/>
    <w:rsid w:val="00E24D06"/>
    <w:rsid w:val="00E24E06"/>
    <w:rsid w:val="00E24EB1"/>
    <w:rsid w:val="00E24F15"/>
    <w:rsid w:val="00E24F60"/>
    <w:rsid w:val="00E25114"/>
    <w:rsid w:val="00E25185"/>
    <w:rsid w:val="00E2525D"/>
    <w:rsid w:val="00E2564F"/>
    <w:rsid w:val="00E2571A"/>
    <w:rsid w:val="00E258F9"/>
    <w:rsid w:val="00E2593D"/>
    <w:rsid w:val="00E25B4A"/>
    <w:rsid w:val="00E25C87"/>
    <w:rsid w:val="00E25DE2"/>
    <w:rsid w:val="00E25DFB"/>
    <w:rsid w:val="00E25F46"/>
    <w:rsid w:val="00E266FE"/>
    <w:rsid w:val="00E267CA"/>
    <w:rsid w:val="00E26813"/>
    <w:rsid w:val="00E268CF"/>
    <w:rsid w:val="00E26A3B"/>
    <w:rsid w:val="00E26A47"/>
    <w:rsid w:val="00E26B5E"/>
    <w:rsid w:val="00E26C73"/>
    <w:rsid w:val="00E26C82"/>
    <w:rsid w:val="00E26ECE"/>
    <w:rsid w:val="00E2710C"/>
    <w:rsid w:val="00E2727C"/>
    <w:rsid w:val="00E272E8"/>
    <w:rsid w:val="00E273CE"/>
    <w:rsid w:val="00E273EF"/>
    <w:rsid w:val="00E27412"/>
    <w:rsid w:val="00E2759F"/>
    <w:rsid w:val="00E276A7"/>
    <w:rsid w:val="00E2770B"/>
    <w:rsid w:val="00E27718"/>
    <w:rsid w:val="00E2790A"/>
    <w:rsid w:val="00E27C7E"/>
    <w:rsid w:val="00E27CB1"/>
    <w:rsid w:val="00E27EA5"/>
    <w:rsid w:val="00E27EE0"/>
    <w:rsid w:val="00E27F73"/>
    <w:rsid w:val="00E30016"/>
    <w:rsid w:val="00E30097"/>
    <w:rsid w:val="00E300F1"/>
    <w:rsid w:val="00E302DB"/>
    <w:rsid w:val="00E30AB2"/>
    <w:rsid w:val="00E30BCC"/>
    <w:rsid w:val="00E30CDD"/>
    <w:rsid w:val="00E30DB3"/>
    <w:rsid w:val="00E30DFC"/>
    <w:rsid w:val="00E30E7D"/>
    <w:rsid w:val="00E30EB2"/>
    <w:rsid w:val="00E30ED9"/>
    <w:rsid w:val="00E30F95"/>
    <w:rsid w:val="00E311A2"/>
    <w:rsid w:val="00E314C2"/>
    <w:rsid w:val="00E315AE"/>
    <w:rsid w:val="00E317CC"/>
    <w:rsid w:val="00E318C4"/>
    <w:rsid w:val="00E3192F"/>
    <w:rsid w:val="00E31B58"/>
    <w:rsid w:val="00E31C30"/>
    <w:rsid w:val="00E31DEA"/>
    <w:rsid w:val="00E3202D"/>
    <w:rsid w:val="00E32155"/>
    <w:rsid w:val="00E321C1"/>
    <w:rsid w:val="00E3223B"/>
    <w:rsid w:val="00E3243E"/>
    <w:rsid w:val="00E32630"/>
    <w:rsid w:val="00E32647"/>
    <w:rsid w:val="00E32747"/>
    <w:rsid w:val="00E3278F"/>
    <w:rsid w:val="00E32880"/>
    <w:rsid w:val="00E328F0"/>
    <w:rsid w:val="00E32A25"/>
    <w:rsid w:val="00E32A59"/>
    <w:rsid w:val="00E32C3E"/>
    <w:rsid w:val="00E32E54"/>
    <w:rsid w:val="00E33450"/>
    <w:rsid w:val="00E3346E"/>
    <w:rsid w:val="00E3357D"/>
    <w:rsid w:val="00E335DE"/>
    <w:rsid w:val="00E33601"/>
    <w:rsid w:val="00E33A1C"/>
    <w:rsid w:val="00E33BC9"/>
    <w:rsid w:val="00E33E10"/>
    <w:rsid w:val="00E33E1B"/>
    <w:rsid w:val="00E33E59"/>
    <w:rsid w:val="00E3422B"/>
    <w:rsid w:val="00E34F09"/>
    <w:rsid w:val="00E34F0A"/>
    <w:rsid w:val="00E35437"/>
    <w:rsid w:val="00E3543A"/>
    <w:rsid w:val="00E35537"/>
    <w:rsid w:val="00E356D3"/>
    <w:rsid w:val="00E35AD9"/>
    <w:rsid w:val="00E35C09"/>
    <w:rsid w:val="00E35C96"/>
    <w:rsid w:val="00E35E3D"/>
    <w:rsid w:val="00E35E45"/>
    <w:rsid w:val="00E35EEA"/>
    <w:rsid w:val="00E360A2"/>
    <w:rsid w:val="00E36350"/>
    <w:rsid w:val="00E3649A"/>
    <w:rsid w:val="00E3657A"/>
    <w:rsid w:val="00E366C7"/>
    <w:rsid w:val="00E366FE"/>
    <w:rsid w:val="00E36762"/>
    <w:rsid w:val="00E36863"/>
    <w:rsid w:val="00E36BEA"/>
    <w:rsid w:val="00E36CC1"/>
    <w:rsid w:val="00E36CEE"/>
    <w:rsid w:val="00E36D0D"/>
    <w:rsid w:val="00E36E48"/>
    <w:rsid w:val="00E37415"/>
    <w:rsid w:val="00E374E2"/>
    <w:rsid w:val="00E375B8"/>
    <w:rsid w:val="00E37605"/>
    <w:rsid w:val="00E376C6"/>
    <w:rsid w:val="00E37875"/>
    <w:rsid w:val="00E379CA"/>
    <w:rsid w:val="00E37A35"/>
    <w:rsid w:val="00E37A38"/>
    <w:rsid w:val="00E37AC9"/>
    <w:rsid w:val="00E37BB8"/>
    <w:rsid w:val="00E37DA8"/>
    <w:rsid w:val="00E40014"/>
    <w:rsid w:val="00E40250"/>
    <w:rsid w:val="00E402D0"/>
    <w:rsid w:val="00E40403"/>
    <w:rsid w:val="00E40772"/>
    <w:rsid w:val="00E40848"/>
    <w:rsid w:val="00E410E0"/>
    <w:rsid w:val="00E413B7"/>
    <w:rsid w:val="00E41A4C"/>
    <w:rsid w:val="00E41B22"/>
    <w:rsid w:val="00E41B35"/>
    <w:rsid w:val="00E41B66"/>
    <w:rsid w:val="00E41D06"/>
    <w:rsid w:val="00E41F69"/>
    <w:rsid w:val="00E4203D"/>
    <w:rsid w:val="00E42069"/>
    <w:rsid w:val="00E42253"/>
    <w:rsid w:val="00E42281"/>
    <w:rsid w:val="00E4239D"/>
    <w:rsid w:val="00E423B3"/>
    <w:rsid w:val="00E423C0"/>
    <w:rsid w:val="00E424C1"/>
    <w:rsid w:val="00E426FA"/>
    <w:rsid w:val="00E427CF"/>
    <w:rsid w:val="00E42A4B"/>
    <w:rsid w:val="00E42AC9"/>
    <w:rsid w:val="00E4311A"/>
    <w:rsid w:val="00E431F0"/>
    <w:rsid w:val="00E432EB"/>
    <w:rsid w:val="00E4348A"/>
    <w:rsid w:val="00E4356D"/>
    <w:rsid w:val="00E43765"/>
    <w:rsid w:val="00E43909"/>
    <w:rsid w:val="00E43C1A"/>
    <w:rsid w:val="00E43CB4"/>
    <w:rsid w:val="00E43CCF"/>
    <w:rsid w:val="00E43F22"/>
    <w:rsid w:val="00E4411D"/>
    <w:rsid w:val="00E44360"/>
    <w:rsid w:val="00E44BE4"/>
    <w:rsid w:val="00E44BF3"/>
    <w:rsid w:val="00E45243"/>
    <w:rsid w:val="00E45293"/>
    <w:rsid w:val="00E45400"/>
    <w:rsid w:val="00E4544B"/>
    <w:rsid w:val="00E45668"/>
    <w:rsid w:val="00E45780"/>
    <w:rsid w:val="00E45ACA"/>
    <w:rsid w:val="00E45B2D"/>
    <w:rsid w:val="00E45C80"/>
    <w:rsid w:val="00E45DA2"/>
    <w:rsid w:val="00E45F2E"/>
    <w:rsid w:val="00E46161"/>
    <w:rsid w:val="00E46331"/>
    <w:rsid w:val="00E463B7"/>
    <w:rsid w:val="00E463E4"/>
    <w:rsid w:val="00E46A48"/>
    <w:rsid w:val="00E46B27"/>
    <w:rsid w:val="00E46C89"/>
    <w:rsid w:val="00E46D83"/>
    <w:rsid w:val="00E46EF4"/>
    <w:rsid w:val="00E46F05"/>
    <w:rsid w:val="00E46F26"/>
    <w:rsid w:val="00E470BE"/>
    <w:rsid w:val="00E47163"/>
    <w:rsid w:val="00E47591"/>
    <w:rsid w:val="00E47665"/>
    <w:rsid w:val="00E477DA"/>
    <w:rsid w:val="00E4780F"/>
    <w:rsid w:val="00E478D8"/>
    <w:rsid w:val="00E47963"/>
    <w:rsid w:val="00E47978"/>
    <w:rsid w:val="00E47CF6"/>
    <w:rsid w:val="00E47DD5"/>
    <w:rsid w:val="00E500D8"/>
    <w:rsid w:val="00E50196"/>
    <w:rsid w:val="00E501A3"/>
    <w:rsid w:val="00E50512"/>
    <w:rsid w:val="00E50E73"/>
    <w:rsid w:val="00E50EA5"/>
    <w:rsid w:val="00E50F3E"/>
    <w:rsid w:val="00E510DB"/>
    <w:rsid w:val="00E510F0"/>
    <w:rsid w:val="00E5126F"/>
    <w:rsid w:val="00E513DD"/>
    <w:rsid w:val="00E51425"/>
    <w:rsid w:val="00E51641"/>
    <w:rsid w:val="00E51671"/>
    <w:rsid w:val="00E51806"/>
    <w:rsid w:val="00E51A52"/>
    <w:rsid w:val="00E51B45"/>
    <w:rsid w:val="00E51B63"/>
    <w:rsid w:val="00E5213D"/>
    <w:rsid w:val="00E52383"/>
    <w:rsid w:val="00E52535"/>
    <w:rsid w:val="00E525DB"/>
    <w:rsid w:val="00E52655"/>
    <w:rsid w:val="00E52734"/>
    <w:rsid w:val="00E52984"/>
    <w:rsid w:val="00E52A51"/>
    <w:rsid w:val="00E52BCF"/>
    <w:rsid w:val="00E52CBA"/>
    <w:rsid w:val="00E52CD4"/>
    <w:rsid w:val="00E52D42"/>
    <w:rsid w:val="00E52D43"/>
    <w:rsid w:val="00E52D98"/>
    <w:rsid w:val="00E52D9A"/>
    <w:rsid w:val="00E52FD4"/>
    <w:rsid w:val="00E53000"/>
    <w:rsid w:val="00E532FF"/>
    <w:rsid w:val="00E5344F"/>
    <w:rsid w:val="00E5358C"/>
    <w:rsid w:val="00E535D4"/>
    <w:rsid w:val="00E535E6"/>
    <w:rsid w:val="00E53753"/>
    <w:rsid w:val="00E53990"/>
    <w:rsid w:val="00E539FE"/>
    <w:rsid w:val="00E53A69"/>
    <w:rsid w:val="00E53BE7"/>
    <w:rsid w:val="00E53C0C"/>
    <w:rsid w:val="00E53EFB"/>
    <w:rsid w:val="00E542EA"/>
    <w:rsid w:val="00E54305"/>
    <w:rsid w:val="00E54698"/>
    <w:rsid w:val="00E546D6"/>
    <w:rsid w:val="00E546E3"/>
    <w:rsid w:val="00E547E6"/>
    <w:rsid w:val="00E54A35"/>
    <w:rsid w:val="00E54B0E"/>
    <w:rsid w:val="00E54B18"/>
    <w:rsid w:val="00E54C10"/>
    <w:rsid w:val="00E54D62"/>
    <w:rsid w:val="00E54E23"/>
    <w:rsid w:val="00E54FDD"/>
    <w:rsid w:val="00E55079"/>
    <w:rsid w:val="00E55638"/>
    <w:rsid w:val="00E5565D"/>
    <w:rsid w:val="00E556BB"/>
    <w:rsid w:val="00E5591A"/>
    <w:rsid w:val="00E559F9"/>
    <w:rsid w:val="00E55A44"/>
    <w:rsid w:val="00E55AD0"/>
    <w:rsid w:val="00E55C3D"/>
    <w:rsid w:val="00E55CA0"/>
    <w:rsid w:val="00E55CD5"/>
    <w:rsid w:val="00E55D44"/>
    <w:rsid w:val="00E560C2"/>
    <w:rsid w:val="00E561AE"/>
    <w:rsid w:val="00E56254"/>
    <w:rsid w:val="00E56293"/>
    <w:rsid w:val="00E56367"/>
    <w:rsid w:val="00E56467"/>
    <w:rsid w:val="00E56813"/>
    <w:rsid w:val="00E56881"/>
    <w:rsid w:val="00E56C03"/>
    <w:rsid w:val="00E56C44"/>
    <w:rsid w:val="00E56C46"/>
    <w:rsid w:val="00E570DF"/>
    <w:rsid w:val="00E57605"/>
    <w:rsid w:val="00E5785C"/>
    <w:rsid w:val="00E578B7"/>
    <w:rsid w:val="00E57934"/>
    <w:rsid w:val="00E579D6"/>
    <w:rsid w:val="00E57AC7"/>
    <w:rsid w:val="00E57B0A"/>
    <w:rsid w:val="00E57D7B"/>
    <w:rsid w:val="00E57DEF"/>
    <w:rsid w:val="00E60002"/>
    <w:rsid w:val="00E602CC"/>
    <w:rsid w:val="00E6062A"/>
    <w:rsid w:val="00E606CD"/>
    <w:rsid w:val="00E6079B"/>
    <w:rsid w:val="00E60962"/>
    <w:rsid w:val="00E60B2C"/>
    <w:rsid w:val="00E60B4A"/>
    <w:rsid w:val="00E60FED"/>
    <w:rsid w:val="00E61170"/>
    <w:rsid w:val="00E613E6"/>
    <w:rsid w:val="00E615F8"/>
    <w:rsid w:val="00E616AC"/>
    <w:rsid w:val="00E61869"/>
    <w:rsid w:val="00E618AB"/>
    <w:rsid w:val="00E61A09"/>
    <w:rsid w:val="00E61A27"/>
    <w:rsid w:val="00E61AB5"/>
    <w:rsid w:val="00E61ADB"/>
    <w:rsid w:val="00E61B0D"/>
    <w:rsid w:val="00E61B1A"/>
    <w:rsid w:val="00E61B47"/>
    <w:rsid w:val="00E61F80"/>
    <w:rsid w:val="00E6214F"/>
    <w:rsid w:val="00E62508"/>
    <w:rsid w:val="00E62555"/>
    <w:rsid w:val="00E62586"/>
    <w:rsid w:val="00E6262E"/>
    <w:rsid w:val="00E62847"/>
    <w:rsid w:val="00E62871"/>
    <w:rsid w:val="00E62941"/>
    <w:rsid w:val="00E62975"/>
    <w:rsid w:val="00E6299B"/>
    <w:rsid w:val="00E62D38"/>
    <w:rsid w:val="00E63513"/>
    <w:rsid w:val="00E6352A"/>
    <w:rsid w:val="00E6356F"/>
    <w:rsid w:val="00E635A5"/>
    <w:rsid w:val="00E63605"/>
    <w:rsid w:val="00E6382E"/>
    <w:rsid w:val="00E6386D"/>
    <w:rsid w:val="00E639FB"/>
    <w:rsid w:val="00E63A18"/>
    <w:rsid w:val="00E63AAE"/>
    <w:rsid w:val="00E63CF3"/>
    <w:rsid w:val="00E6402F"/>
    <w:rsid w:val="00E6420F"/>
    <w:rsid w:val="00E6436B"/>
    <w:rsid w:val="00E64578"/>
    <w:rsid w:val="00E64DF2"/>
    <w:rsid w:val="00E64E7A"/>
    <w:rsid w:val="00E64EAC"/>
    <w:rsid w:val="00E650DE"/>
    <w:rsid w:val="00E6510E"/>
    <w:rsid w:val="00E651A4"/>
    <w:rsid w:val="00E65244"/>
    <w:rsid w:val="00E65330"/>
    <w:rsid w:val="00E653EA"/>
    <w:rsid w:val="00E6563C"/>
    <w:rsid w:val="00E656F4"/>
    <w:rsid w:val="00E65760"/>
    <w:rsid w:val="00E65C76"/>
    <w:rsid w:val="00E65F63"/>
    <w:rsid w:val="00E65F70"/>
    <w:rsid w:val="00E66088"/>
    <w:rsid w:val="00E66096"/>
    <w:rsid w:val="00E660ED"/>
    <w:rsid w:val="00E6614A"/>
    <w:rsid w:val="00E66601"/>
    <w:rsid w:val="00E66737"/>
    <w:rsid w:val="00E6692D"/>
    <w:rsid w:val="00E66F13"/>
    <w:rsid w:val="00E66F98"/>
    <w:rsid w:val="00E66FDA"/>
    <w:rsid w:val="00E670EF"/>
    <w:rsid w:val="00E67179"/>
    <w:rsid w:val="00E673F7"/>
    <w:rsid w:val="00E67723"/>
    <w:rsid w:val="00E67BC2"/>
    <w:rsid w:val="00E67BD9"/>
    <w:rsid w:val="00E67CB8"/>
    <w:rsid w:val="00E67CF1"/>
    <w:rsid w:val="00E67D4D"/>
    <w:rsid w:val="00E67E95"/>
    <w:rsid w:val="00E67EC6"/>
    <w:rsid w:val="00E7024A"/>
    <w:rsid w:val="00E70518"/>
    <w:rsid w:val="00E70627"/>
    <w:rsid w:val="00E70698"/>
    <w:rsid w:val="00E7074E"/>
    <w:rsid w:val="00E70754"/>
    <w:rsid w:val="00E70A51"/>
    <w:rsid w:val="00E70AFA"/>
    <w:rsid w:val="00E70B5A"/>
    <w:rsid w:val="00E70B73"/>
    <w:rsid w:val="00E70D3A"/>
    <w:rsid w:val="00E70D88"/>
    <w:rsid w:val="00E70DD7"/>
    <w:rsid w:val="00E70DE9"/>
    <w:rsid w:val="00E70DF3"/>
    <w:rsid w:val="00E70FF4"/>
    <w:rsid w:val="00E71224"/>
    <w:rsid w:val="00E712B8"/>
    <w:rsid w:val="00E71450"/>
    <w:rsid w:val="00E7172D"/>
    <w:rsid w:val="00E71738"/>
    <w:rsid w:val="00E718D4"/>
    <w:rsid w:val="00E71A9E"/>
    <w:rsid w:val="00E71CFE"/>
    <w:rsid w:val="00E71DF6"/>
    <w:rsid w:val="00E71E3B"/>
    <w:rsid w:val="00E71FFA"/>
    <w:rsid w:val="00E72022"/>
    <w:rsid w:val="00E7209C"/>
    <w:rsid w:val="00E722B7"/>
    <w:rsid w:val="00E723B6"/>
    <w:rsid w:val="00E724E1"/>
    <w:rsid w:val="00E72874"/>
    <w:rsid w:val="00E7289C"/>
    <w:rsid w:val="00E7293E"/>
    <w:rsid w:val="00E72C5D"/>
    <w:rsid w:val="00E72D5A"/>
    <w:rsid w:val="00E73066"/>
    <w:rsid w:val="00E7328B"/>
    <w:rsid w:val="00E732FF"/>
    <w:rsid w:val="00E73535"/>
    <w:rsid w:val="00E73589"/>
    <w:rsid w:val="00E73599"/>
    <w:rsid w:val="00E735DA"/>
    <w:rsid w:val="00E73899"/>
    <w:rsid w:val="00E73B99"/>
    <w:rsid w:val="00E73B9F"/>
    <w:rsid w:val="00E73BCA"/>
    <w:rsid w:val="00E73C6C"/>
    <w:rsid w:val="00E73D56"/>
    <w:rsid w:val="00E73EF0"/>
    <w:rsid w:val="00E74038"/>
    <w:rsid w:val="00E74201"/>
    <w:rsid w:val="00E74304"/>
    <w:rsid w:val="00E743CA"/>
    <w:rsid w:val="00E74725"/>
    <w:rsid w:val="00E74797"/>
    <w:rsid w:val="00E7489D"/>
    <w:rsid w:val="00E748F5"/>
    <w:rsid w:val="00E7492E"/>
    <w:rsid w:val="00E74CB0"/>
    <w:rsid w:val="00E74D37"/>
    <w:rsid w:val="00E74DD0"/>
    <w:rsid w:val="00E74E1A"/>
    <w:rsid w:val="00E74EA2"/>
    <w:rsid w:val="00E74EDD"/>
    <w:rsid w:val="00E751DA"/>
    <w:rsid w:val="00E7520C"/>
    <w:rsid w:val="00E753EE"/>
    <w:rsid w:val="00E7557E"/>
    <w:rsid w:val="00E75586"/>
    <w:rsid w:val="00E75649"/>
    <w:rsid w:val="00E75792"/>
    <w:rsid w:val="00E75862"/>
    <w:rsid w:val="00E7589F"/>
    <w:rsid w:val="00E758E6"/>
    <w:rsid w:val="00E7592C"/>
    <w:rsid w:val="00E75ABC"/>
    <w:rsid w:val="00E75AED"/>
    <w:rsid w:val="00E75B58"/>
    <w:rsid w:val="00E75BB8"/>
    <w:rsid w:val="00E75DAC"/>
    <w:rsid w:val="00E76004"/>
    <w:rsid w:val="00E76138"/>
    <w:rsid w:val="00E76360"/>
    <w:rsid w:val="00E7651C"/>
    <w:rsid w:val="00E76709"/>
    <w:rsid w:val="00E769EB"/>
    <w:rsid w:val="00E76AD4"/>
    <w:rsid w:val="00E76C12"/>
    <w:rsid w:val="00E76D93"/>
    <w:rsid w:val="00E76F30"/>
    <w:rsid w:val="00E77005"/>
    <w:rsid w:val="00E770E8"/>
    <w:rsid w:val="00E772EC"/>
    <w:rsid w:val="00E774BB"/>
    <w:rsid w:val="00E77572"/>
    <w:rsid w:val="00E7763A"/>
    <w:rsid w:val="00E77702"/>
    <w:rsid w:val="00E779EE"/>
    <w:rsid w:val="00E77AC4"/>
    <w:rsid w:val="00E77B69"/>
    <w:rsid w:val="00E77D10"/>
    <w:rsid w:val="00E77ECA"/>
    <w:rsid w:val="00E77F9A"/>
    <w:rsid w:val="00E77FC7"/>
    <w:rsid w:val="00E8030B"/>
    <w:rsid w:val="00E8047C"/>
    <w:rsid w:val="00E8050C"/>
    <w:rsid w:val="00E8052B"/>
    <w:rsid w:val="00E80534"/>
    <w:rsid w:val="00E80560"/>
    <w:rsid w:val="00E805B9"/>
    <w:rsid w:val="00E8063F"/>
    <w:rsid w:val="00E80748"/>
    <w:rsid w:val="00E807BC"/>
    <w:rsid w:val="00E80AC3"/>
    <w:rsid w:val="00E80B03"/>
    <w:rsid w:val="00E80B61"/>
    <w:rsid w:val="00E80B90"/>
    <w:rsid w:val="00E80F5D"/>
    <w:rsid w:val="00E80FB5"/>
    <w:rsid w:val="00E8126D"/>
    <w:rsid w:val="00E81317"/>
    <w:rsid w:val="00E814A0"/>
    <w:rsid w:val="00E81508"/>
    <w:rsid w:val="00E81B1D"/>
    <w:rsid w:val="00E81D27"/>
    <w:rsid w:val="00E81E3A"/>
    <w:rsid w:val="00E821A8"/>
    <w:rsid w:val="00E82306"/>
    <w:rsid w:val="00E82381"/>
    <w:rsid w:val="00E82878"/>
    <w:rsid w:val="00E828CF"/>
    <w:rsid w:val="00E8295D"/>
    <w:rsid w:val="00E8296B"/>
    <w:rsid w:val="00E829AC"/>
    <w:rsid w:val="00E82BD6"/>
    <w:rsid w:val="00E82C84"/>
    <w:rsid w:val="00E82D4F"/>
    <w:rsid w:val="00E82FE5"/>
    <w:rsid w:val="00E8307C"/>
    <w:rsid w:val="00E83302"/>
    <w:rsid w:val="00E83379"/>
    <w:rsid w:val="00E83481"/>
    <w:rsid w:val="00E836C6"/>
    <w:rsid w:val="00E8386C"/>
    <w:rsid w:val="00E839DE"/>
    <w:rsid w:val="00E83BB1"/>
    <w:rsid w:val="00E83BBA"/>
    <w:rsid w:val="00E83C2D"/>
    <w:rsid w:val="00E83ED9"/>
    <w:rsid w:val="00E84065"/>
    <w:rsid w:val="00E84128"/>
    <w:rsid w:val="00E84600"/>
    <w:rsid w:val="00E8469F"/>
    <w:rsid w:val="00E849E6"/>
    <w:rsid w:val="00E84A99"/>
    <w:rsid w:val="00E84BC6"/>
    <w:rsid w:val="00E84C92"/>
    <w:rsid w:val="00E84DDF"/>
    <w:rsid w:val="00E8523E"/>
    <w:rsid w:val="00E85542"/>
    <w:rsid w:val="00E857E6"/>
    <w:rsid w:val="00E85907"/>
    <w:rsid w:val="00E85928"/>
    <w:rsid w:val="00E859A4"/>
    <w:rsid w:val="00E859AA"/>
    <w:rsid w:val="00E85D03"/>
    <w:rsid w:val="00E85E21"/>
    <w:rsid w:val="00E86042"/>
    <w:rsid w:val="00E861BD"/>
    <w:rsid w:val="00E8645A"/>
    <w:rsid w:val="00E86488"/>
    <w:rsid w:val="00E864B9"/>
    <w:rsid w:val="00E8653B"/>
    <w:rsid w:val="00E8667E"/>
    <w:rsid w:val="00E8673C"/>
    <w:rsid w:val="00E86742"/>
    <w:rsid w:val="00E8683D"/>
    <w:rsid w:val="00E86938"/>
    <w:rsid w:val="00E86993"/>
    <w:rsid w:val="00E869D3"/>
    <w:rsid w:val="00E86A53"/>
    <w:rsid w:val="00E86A7E"/>
    <w:rsid w:val="00E86C47"/>
    <w:rsid w:val="00E86FC7"/>
    <w:rsid w:val="00E86FF3"/>
    <w:rsid w:val="00E870C1"/>
    <w:rsid w:val="00E871DC"/>
    <w:rsid w:val="00E87391"/>
    <w:rsid w:val="00E873D3"/>
    <w:rsid w:val="00E87976"/>
    <w:rsid w:val="00E879D7"/>
    <w:rsid w:val="00E87BBB"/>
    <w:rsid w:val="00E87E13"/>
    <w:rsid w:val="00E87F2D"/>
    <w:rsid w:val="00E90091"/>
    <w:rsid w:val="00E9059C"/>
    <w:rsid w:val="00E9067B"/>
    <w:rsid w:val="00E90793"/>
    <w:rsid w:val="00E9079A"/>
    <w:rsid w:val="00E90BB3"/>
    <w:rsid w:val="00E90CB0"/>
    <w:rsid w:val="00E90DCA"/>
    <w:rsid w:val="00E91102"/>
    <w:rsid w:val="00E91110"/>
    <w:rsid w:val="00E911A1"/>
    <w:rsid w:val="00E911B5"/>
    <w:rsid w:val="00E913E8"/>
    <w:rsid w:val="00E915B5"/>
    <w:rsid w:val="00E91837"/>
    <w:rsid w:val="00E91AFE"/>
    <w:rsid w:val="00E91D3B"/>
    <w:rsid w:val="00E91F3F"/>
    <w:rsid w:val="00E9209B"/>
    <w:rsid w:val="00E923B0"/>
    <w:rsid w:val="00E9262F"/>
    <w:rsid w:val="00E9271F"/>
    <w:rsid w:val="00E92839"/>
    <w:rsid w:val="00E92868"/>
    <w:rsid w:val="00E92903"/>
    <w:rsid w:val="00E92B3C"/>
    <w:rsid w:val="00E92C05"/>
    <w:rsid w:val="00E92CF2"/>
    <w:rsid w:val="00E92F85"/>
    <w:rsid w:val="00E93093"/>
    <w:rsid w:val="00E931D5"/>
    <w:rsid w:val="00E931F9"/>
    <w:rsid w:val="00E93237"/>
    <w:rsid w:val="00E93281"/>
    <w:rsid w:val="00E93493"/>
    <w:rsid w:val="00E93667"/>
    <w:rsid w:val="00E9399E"/>
    <w:rsid w:val="00E939BE"/>
    <w:rsid w:val="00E93EC7"/>
    <w:rsid w:val="00E9400A"/>
    <w:rsid w:val="00E9434E"/>
    <w:rsid w:val="00E94579"/>
    <w:rsid w:val="00E945CD"/>
    <w:rsid w:val="00E946AB"/>
    <w:rsid w:val="00E9471F"/>
    <w:rsid w:val="00E9477A"/>
    <w:rsid w:val="00E94D7D"/>
    <w:rsid w:val="00E94E2B"/>
    <w:rsid w:val="00E94E45"/>
    <w:rsid w:val="00E951E3"/>
    <w:rsid w:val="00E9522D"/>
    <w:rsid w:val="00E952F7"/>
    <w:rsid w:val="00E95467"/>
    <w:rsid w:val="00E9555A"/>
    <w:rsid w:val="00E95871"/>
    <w:rsid w:val="00E95885"/>
    <w:rsid w:val="00E95A24"/>
    <w:rsid w:val="00E95B94"/>
    <w:rsid w:val="00E95BEF"/>
    <w:rsid w:val="00E95C94"/>
    <w:rsid w:val="00E95F25"/>
    <w:rsid w:val="00E95F9E"/>
    <w:rsid w:val="00E95FE4"/>
    <w:rsid w:val="00E9609A"/>
    <w:rsid w:val="00E9622F"/>
    <w:rsid w:val="00E96674"/>
    <w:rsid w:val="00E967B1"/>
    <w:rsid w:val="00E968E3"/>
    <w:rsid w:val="00E96A42"/>
    <w:rsid w:val="00E96AB3"/>
    <w:rsid w:val="00E96EC0"/>
    <w:rsid w:val="00E96F21"/>
    <w:rsid w:val="00E97010"/>
    <w:rsid w:val="00E9714A"/>
    <w:rsid w:val="00E971A3"/>
    <w:rsid w:val="00E97208"/>
    <w:rsid w:val="00E97686"/>
    <w:rsid w:val="00E976AE"/>
    <w:rsid w:val="00E97719"/>
    <w:rsid w:val="00E97745"/>
    <w:rsid w:val="00E97847"/>
    <w:rsid w:val="00E9784D"/>
    <w:rsid w:val="00E97C0E"/>
    <w:rsid w:val="00E97C81"/>
    <w:rsid w:val="00E97D49"/>
    <w:rsid w:val="00E97E99"/>
    <w:rsid w:val="00E97EEB"/>
    <w:rsid w:val="00EA00EA"/>
    <w:rsid w:val="00EA04A1"/>
    <w:rsid w:val="00EA0711"/>
    <w:rsid w:val="00EA0717"/>
    <w:rsid w:val="00EA0911"/>
    <w:rsid w:val="00EA0B18"/>
    <w:rsid w:val="00EA0CE1"/>
    <w:rsid w:val="00EA0E85"/>
    <w:rsid w:val="00EA124E"/>
    <w:rsid w:val="00EA1306"/>
    <w:rsid w:val="00EA13CD"/>
    <w:rsid w:val="00EA143C"/>
    <w:rsid w:val="00EA1501"/>
    <w:rsid w:val="00EA160C"/>
    <w:rsid w:val="00EA172C"/>
    <w:rsid w:val="00EA1843"/>
    <w:rsid w:val="00EA1967"/>
    <w:rsid w:val="00EA1AD6"/>
    <w:rsid w:val="00EA1B3C"/>
    <w:rsid w:val="00EA1BAE"/>
    <w:rsid w:val="00EA1DEA"/>
    <w:rsid w:val="00EA20CB"/>
    <w:rsid w:val="00EA20DE"/>
    <w:rsid w:val="00EA2280"/>
    <w:rsid w:val="00EA22CC"/>
    <w:rsid w:val="00EA25DA"/>
    <w:rsid w:val="00EA2640"/>
    <w:rsid w:val="00EA26FE"/>
    <w:rsid w:val="00EA29D8"/>
    <w:rsid w:val="00EA2BB8"/>
    <w:rsid w:val="00EA2C02"/>
    <w:rsid w:val="00EA2C4F"/>
    <w:rsid w:val="00EA2DB2"/>
    <w:rsid w:val="00EA2E07"/>
    <w:rsid w:val="00EA2E52"/>
    <w:rsid w:val="00EA309B"/>
    <w:rsid w:val="00EA31D0"/>
    <w:rsid w:val="00EA32E1"/>
    <w:rsid w:val="00EA3321"/>
    <w:rsid w:val="00EA357E"/>
    <w:rsid w:val="00EA3610"/>
    <w:rsid w:val="00EA3740"/>
    <w:rsid w:val="00EA3980"/>
    <w:rsid w:val="00EA39BB"/>
    <w:rsid w:val="00EA3B70"/>
    <w:rsid w:val="00EA3CD6"/>
    <w:rsid w:val="00EA3D39"/>
    <w:rsid w:val="00EA3D4E"/>
    <w:rsid w:val="00EA3D81"/>
    <w:rsid w:val="00EA3E07"/>
    <w:rsid w:val="00EA3E0C"/>
    <w:rsid w:val="00EA3F33"/>
    <w:rsid w:val="00EA41AF"/>
    <w:rsid w:val="00EA448E"/>
    <w:rsid w:val="00EA46A1"/>
    <w:rsid w:val="00EA4798"/>
    <w:rsid w:val="00EA4A10"/>
    <w:rsid w:val="00EA4C6F"/>
    <w:rsid w:val="00EA4D27"/>
    <w:rsid w:val="00EA505C"/>
    <w:rsid w:val="00EA5068"/>
    <w:rsid w:val="00EA5162"/>
    <w:rsid w:val="00EA51EC"/>
    <w:rsid w:val="00EA5211"/>
    <w:rsid w:val="00EA54BC"/>
    <w:rsid w:val="00EA5A59"/>
    <w:rsid w:val="00EA5C41"/>
    <w:rsid w:val="00EA5C48"/>
    <w:rsid w:val="00EA5D4B"/>
    <w:rsid w:val="00EA5E2D"/>
    <w:rsid w:val="00EA5E61"/>
    <w:rsid w:val="00EA5EAC"/>
    <w:rsid w:val="00EA5FCA"/>
    <w:rsid w:val="00EA6047"/>
    <w:rsid w:val="00EA6083"/>
    <w:rsid w:val="00EA616C"/>
    <w:rsid w:val="00EA61E6"/>
    <w:rsid w:val="00EA623E"/>
    <w:rsid w:val="00EA6305"/>
    <w:rsid w:val="00EA63B5"/>
    <w:rsid w:val="00EA64E9"/>
    <w:rsid w:val="00EA654F"/>
    <w:rsid w:val="00EA6551"/>
    <w:rsid w:val="00EA676E"/>
    <w:rsid w:val="00EA69A7"/>
    <w:rsid w:val="00EA6A06"/>
    <w:rsid w:val="00EA6BA2"/>
    <w:rsid w:val="00EA6C66"/>
    <w:rsid w:val="00EA6C8C"/>
    <w:rsid w:val="00EA6CF7"/>
    <w:rsid w:val="00EA6DEB"/>
    <w:rsid w:val="00EA7043"/>
    <w:rsid w:val="00EA719E"/>
    <w:rsid w:val="00EA723D"/>
    <w:rsid w:val="00EA72AC"/>
    <w:rsid w:val="00EA7362"/>
    <w:rsid w:val="00EA784C"/>
    <w:rsid w:val="00EA7880"/>
    <w:rsid w:val="00EA79ED"/>
    <w:rsid w:val="00EA7A0D"/>
    <w:rsid w:val="00EA7A99"/>
    <w:rsid w:val="00EA7C65"/>
    <w:rsid w:val="00EA7D68"/>
    <w:rsid w:val="00EA7F63"/>
    <w:rsid w:val="00EB031A"/>
    <w:rsid w:val="00EB0346"/>
    <w:rsid w:val="00EB043D"/>
    <w:rsid w:val="00EB04A7"/>
    <w:rsid w:val="00EB0964"/>
    <w:rsid w:val="00EB0A6C"/>
    <w:rsid w:val="00EB0D13"/>
    <w:rsid w:val="00EB0DC5"/>
    <w:rsid w:val="00EB0E56"/>
    <w:rsid w:val="00EB0E5A"/>
    <w:rsid w:val="00EB0FA7"/>
    <w:rsid w:val="00EB10A0"/>
    <w:rsid w:val="00EB110F"/>
    <w:rsid w:val="00EB1231"/>
    <w:rsid w:val="00EB1594"/>
    <w:rsid w:val="00EB16EA"/>
    <w:rsid w:val="00EB18BD"/>
    <w:rsid w:val="00EB1A39"/>
    <w:rsid w:val="00EB1AB7"/>
    <w:rsid w:val="00EB1B42"/>
    <w:rsid w:val="00EB1BDB"/>
    <w:rsid w:val="00EB1CD0"/>
    <w:rsid w:val="00EB1E7C"/>
    <w:rsid w:val="00EB1F26"/>
    <w:rsid w:val="00EB2052"/>
    <w:rsid w:val="00EB244B"/>
    <w:rsid w:val="00EB25C6"/>
    <w:rsid w:val="00EB25F6"/>
    <w:rsid w:val="00EB2709"/>
    <w:rsid w:val="00EB2749"/>
    <w:rsid w:val="00EB2771"/>
    <w:rsid w:val="00EB27F1"/>
    <w:rsid w:val="00EB2875"/>
    <w:rsid w:val="00EB2A06"/>
    <w:rsid w:val="00EB2A1D"/>
    <w:rsid w:val="00EB2A23"/>
    <w:rsid w:val="00EB2A7A"/>
    <w:rsid w:val="00EB2AB0"/>
    <w:rsid w:val="00EB2C61"/>
    <w:rsid w:val="00EB2C80"/>
    <w:rsid w:val="00EB2E2E"/>
    <w:rsid w:val="00EB2F9D"/>
    <w:rsid w:val="00EB3389"/>
    <w:rsid w:val="00EB356D"/>
    <w:rsid w:val="00EB37D4"/>
    <w:rsid w:val="00EB380D"/>
    <w:rsid w:val="00EB398B"/>
    <w:rsid w:val="00EB3A4E"/>
    <w:rsid w:val="00EB3B97"/>
    <w:rsid w:val="00EB3D40"/>
    <w:rsid w:val="00EB3E22"/>
    <w:rsid w:val="00EB3FD9"/>
    <w:rsid w:val="00EB3FEE"/>
    <w:rsid w:val="00EB3FF6"/>
    <w:rsid w:val="00EB4000"/>
    <w:rsid w:val="00EB436F"/>
    <w:rsid w:val="00EB4488"/>
    <w:rsid w:val="00EB4493"/>
    <w:rsid w:val="00EB451C"/>
    <w:rsid w:val="00EB464D"/>
    <w:rsid w:val="00EB4732"/>
    <w:rsid w:val="00EB488F"/>
    <w:rsid w:val="00EB4A9A"/>
    <w:rsid w:val="00EB4BBF"/>
    <w:rsid w:val="00EB4E32"/>
    <w:rsid w:val="00EB5046"/>
    <w:rsid w:val="00EB50B5"/>
    <w:rsid w:val="00EB55C3"/>
    <w:rsid w:val="00EB576F"/>
    <w:rsid w:val="00EB57C1"/>
    <w:rsid w:val="00EB582C"/>
    <w:rsid w:val="00EB5997"/>
    <w:rsid w:val="00EB5A04"/>
    <w:rsid w:val="00EB5BD3"/>
    <w:rsid w:val="00EB5CF9"/>
    <w:rsid w:val="00EB6041"/>
    <w:rsid w:val="00EB605D"/>
    <w:rsid w:val="00EB6130"/>
    <w:rsid w:val="00EB616A"/>
    <w:rsid w:val="00EB616C"/>
    <w:rsid w:val="00EB6181"/>
    <w:rsid w:val="00EB62A4"/>
    <w:rsid w:val="00EB6384"/>
    <w:rsid w:val="00EB6554"/>
    <w:rsid w:val="00EB6642"/>
    <w:rsid w:val="00EB6840"/>
    <w:rsid w:val="00EB68A7"/>
    <w:rsid w:val="00EB69E3"/>
    <w:rsid w:val="00EB6A36"/>
    <w:rsid w:val="00EB6ACF"/>
    <w:rsid w:val="00EB6B60"/>
    <w:rsid w:val="00EB6BC9"/>
    <w:rsid w:val="00EB6C83"/>
    <w:rsid w:val="00EB6DDE"/>
    <w:rsid w:val="00EB6EC3"/>
    <w:rsid w:val="00EB6F28"/>
    <w:rsid w:val="00EB70A5"/>
    <w:rsid w:val="00EB71AE"/>
    <w:rsid w:val="00EB7669"/>
    <w:rsid w:val="00EB79B7"/>
    <w:rsid w:val="00EB79FF"/>
    <w:rsid w:val="00EB7B7B"/>
    <w:rsid w:val="00EB7BFA"/>
    <w:rsid w:val="00EB7C6D"/>
    <w:rsid w:val="00EB7F3E"/>
    <w:rsid w:val="00EC0023"/>
    <w:rsid w:val="00EC003B"/>
    <w:rsid w:val="00EC0085"/>
    <w:rsid w:val="00EC00F7"/>
    <w:rsid w:val="00EC0411"/>
    <w:rsid w:val="00EC04D5"/>
    <w:rsid w:val="00EC0658"/>
    <w:rsid w:val="00EC068A"/>
    <w:rsid w:val="00EC06DE"/>
    <w:rsid w:val="00EC0707"/>
    <w:rsid w:val="00EC0866"/>
    <w:rsid w:val="00EC099E"/>
    <w:rsid w:val="00EC09E3"/>
    <w:rsid w:val="00EC0A0F"/>
    <w:rsid w:val="00EC0B9B"/>
    <w:rsid w:val="00EC0CB5"/>
    <w:rsid w:val="00EC0CEB"/>
    <w:rsid w:val="00EC0D6E"/>
    <w:rsid w:val="00EC0FCA"/>
    <w:rsid w:val="00EC106B"/>
    <w:rsid w:val="00EC12C5"/>
    <w:rsid w:val="00EC13FF"/>
    <w:rsid w:val="00EC16D9"/>
    <w:rsid w:val="00EC17AD"/>
    <w:rsid w:val="00EC193A"/>
    <w:rsid w:val="00EC1ABB"/>
    <w:rsid w:val="00EC1BA1"/>
    <w:rsid w:val="00EC1C2F"/>
    <w:rsid w:val="00EC1D36"/>
    <w:rsid w:val="00EC1DCF"/>
    <w:rsid w:val="00EC1DFB"/>
    <w:rsid w:val="00EC1E4B"/>
    <w:rsid w:val="00EC1EF4"/>
    <w:rsid w:val="00EC2091"/>
    <w:rsid w:val="00EC2390"/>
    <w:rsid w:val="00EC23B0"/>
    <w:rsid w:val="00EC25FC"/>
    <w:rsid w:val="00EC268D"/>
    <w:rsid w:val="00EC2995"/>
    <w:rsid w:val="00EC299C"/>
    <w:rsid w:val="00EC2AD2"/>
    <w:rsid w:val="00EC2F7E"/>
    <w:rsid w:val="00EC30D4"/>
    <w:rsid w:val="00EC30E6"/>
    <w:rsid w:val="00EC331A"/>
    <w:rsid w:val="00EC3320"/>
    <w:rsid w:val="00EC33EE"/>
    <w:rsid w:val="00EC34BA"/>
    <w:rsid w:val="00EC37A1"/>
    <w:rsid w:val="00EC3889"/>
    <w:rsid w:val="00EC3AB2"/>
    <w:rsid w:val="00EC3ACA"/>
    <w:rsid w:val="00EC3B63"/>
    <w:rsid w:val="00EC3BCA"/>
    <w:rsid w:val="00EC3E2D"/>
    <w:rsid w:val="00EC3F78"/>
    <w:rsid w:val="00EC4263"/>
    <w:rsid w:val="00EC4284"/>
    <w:rsid w:val="00EC42D9"/>
    <w:rsid w:val="00EC4395"/>
    <w:rsid w:val="00EC4422"/>
    <w:rsid w:val="00EC4488"/>
    <w:rsid w:val="00EC46DF"/>
    <w:rsid w:val="00EC47D6"/>
    <w:rsid w:val="00EC4991"/>
    <w:rsid w:val="00EC4AAB"/>
    <w:rsid w:val="00EC4B30"/>
    <w:rsid w:val="00EC4C55"/>
    <w:rsid w:val="00EC4E79"/>
    <w:rsid w:val="00EC4EDF"/>
    <w:rsid w:val="00EC4F55"/>
    <w:rsid w:val="00EC4F9A"/>
    <w:rsid w:val="00EC4FDA"/>
    <w:rsid w:val="00EC500D"/>
    <w:rsid w:val="00EC5294"/>
    <w:rsid w:val="00EC5299"/>
    <w:rsid w:val="00EC548A"/>
    <w:rsid w:val="00EC5547"/>
    <w:rsid w:val="00EC56A7"/>
    <w:rsid w:val="00EC56C7"/>
    <w:rsid w:val="00EC5839"/>
    <w:rsid w:val="00EC589F"/>
    <w:rsid w:val="00EC597D"/>
    <w:rsid w:val="00EC60C0"/>
    <w:rsid w:val="00EC6278"/>
    <w:rsid w:val="00EC6415"/>
    <w:rsid w:val="00EC64FD"/>
    <w:rsid w:val="00EC65E6"/>
    <w:rsid w:val="00EC68C3"/>
    <w:rsid w:val="00EC6B2E"/>
    <w:rsid w:val="00EC6F05"/>
    <w:rsid w:val="00EC72B3"/>
    <w:rsid w:val="00EC73DA"/>
    <w:rsid w:val="00EC757F"/>
    <w:rsid w:val="00EC75D7"/>
    <w:rsid w:val="00EC75F8"/>
    <w:rsid w:val="00EC78A3"/>
    <w:rsid w:val="00EC78C6"/>
    <w:rsid w:val="00EC79D3"/>
    <w:rsid w:val="00EC7B58"/>
    <w:rsid w:val="00EC7D24"/>
    <w:rsid w:val="00EC7E69"/>
    <w:rsid w:val="00EC7EEA"/>
    <w:rsid w:val="00EC7FC6"/>
    <w:rsid w:val="00ED0336"/>
    <w:rsid w:val="00ED0650"/>
    <w:rsid w:val="00ED0862"/>
    <w:rsid w:val="00ED0899"/>
    <w:rsid w:val="00ED09DE"/>
    <w:rsid w:val="00ED0B20"/>
    <w:rsid w:val="00ED0BAF"/>
    <w:rsid w:val="00ED0BE0"/>
    <w:rsid w:val="00ED0C42"/>
    <w:rsid w:val="00ED0C69"/>
    <w:rsid w:val="00ED0C75"/>
    <w:rsid w:val="00ED10E5"/>
    <w:rsid w:val="00ED111F"/>
    <w:rsid w:val="00ED1169"/>
    <w:rsid w:val="00ED1199"/>
    <w:rsid w:val="00ED12EE"/>
    <w:rsid w:val="00ED15BA"/>
    <w:rsid w:val="00ED16BA"/>
    <w:rsid w:val="00ED1A1C"/>
    <w:rsid w:val="00ED1A4F"/>
    <w:rsid w:val="00ED1A73"/>
    <w:rsid w:val="00ED1C3E"/>
    <w:rsid w:val="00ED1E02"/>
    <w:rsid w:val="00ED1E52"/>
    <w:rsid w:val="00ED1F94"/>
    <w:rsid w:val="00ED20A6"/>
    <w:rsid w:val="00ED23C7"/>
    <w:rsid w:val="00ED263B"/>
    <w:rsid w:val="00ED264B"/>
    <w:rsid w:val="00ED2962"/>
    <w:rsid w:val="00ED29AC"/>
    <w:rsid w:val="00ED2B41"/>
    <w:rsid w:val="00ED2CC8"/>
    <w:rsid w:val="00ED2D0C"/>
    <w:rsid w:val="00ED2E78"/>
    <w:rsid w:val="00ED2F39"/>
    <w:rsid w:val="00ED2FBF"/>
    <w:rsid w:val="00ED32B8"/>
    <w:rsid w:val="00ED340A"/>
    <w:rsid w:val="00ED3548"/>
    <w:rsid w:val="00ED3580"/>
    <w:rsid w:val="00ED35AC"/>
    <w:rsid w:val="00ED36DD"/>
    <w:rsid w:val="00ED3705"/>
    <w:rsid w:val="00ED3718"/>
    <w:rsid w:val="00ED3772"/>
    <w:rsid w:val="00ED3AB0"/>
    <w:rsid w:val="00ED3F67"/>
    <w:rsid w:val="00ED424A"/>
    <w:rsid w:val="00ED436E"/>
    <w:rsid w:val="00ED43A2"/>
    <w:rsid w:val="00ED446D"/>
    <w:rsid w:val="00ED4659"/>
    <w:rsid w:val="00ED46D5"/>
    <w:rsid w:val="00ED4722"/>
    <w:rsid w:val="00ED479F"/>
    <w:rsid w:val="00ED4908"/>
    <w:rsid w:val="00ED4B45"/>
    <w:rsid w:val="00ED4B6D"/>
    <w:rsid w:val="00ED4F11"/>
    <w:rsid w:val="00ED4F6A"/>
    <w:rsid w:val="00ED4F89"/>
    <w:rsid w:val="00ED50C2"/>
    <w:rsid w:val="00ED52EF"/>
    <w:rsid w:val="00ED5336"/>
    <w:rsid w:val="00ED53A2"/>
    <w:rsid w:val="00ED544F"/>
    <w:rsid w:val="00ED5477"/>
    <w:rsid w:val="00ED554C"/>
    <w:rsid w:val="00ED56C7"/>
    <w:rsid w:val="00ED5BDD"/>
    <w:rsid w:val="00ED5C0A"/>
    <w:rsid w:val="00ED5E04"/>
    <w:rsid w:val="00ED5E1A"/>
    <w:rsid w:val="00ED6224"/>
    <w:rsid w:val="00ED62DF"/>
    <w:rsid w:val="00ED63E6"/>
    <w:rsid w:val="00ED64D4"/>
    <w:rsid w:val="00ED670F"/>
    <w:rsid w:val="00ED6809"/>
    <w:rsid w:val="00ED6A17"/>
    <w:rsid w:val="00ED6AA4"/>
    <w:rsid w:val="00ED6FF5"/>
    <w:rsid w:val="00ED7160"/>
    <w:rsid w:val="00ED730E"/>
    <w:rsid w:val="00ED7356"/>
    <w:rsid w:val="00ED7439"/>
    <w:rsid w:val="00ED7498"/>
    <w:rsid w:val="00ED756B"/>
    <w:rsid w:val="00ED758D"/>
    <w:rsid w:val="00ED75E8"/>
    <w:rsid w:val="00ED76E4"/>
    <w:rsid w:val="00ED779D"/>
    <w:rsid w:val="00ED7801"/>
    <w:rsid w:val="00ED7D61"/>
    <w:rsid w:val="00ED7DD9"/>
    <w:rsid w:val="00ED7DFD"/>
    <w:rsid w:val="00ED7E1E"/>
    <w:rsid w:val="00ED7F7B"/>
    <w:rsid w:val="00EE0426"/>
    <w:rsid w:val="00EE04E6"/>
    <w:rsid w:val="00EE0547"/>
    <w:rsid w:val="00EE0714"/>
    <w:rsid w:val="00EE07D1"/>
    <w:rsid w:val="00EE1028"/>
    <w:rsid w:val="00EE115D"/>
    <w:rsid w:val="00EE1249"/>
    <w:rsid w:val="00EE1316"/>
    <w:rsid w:val="00EE134F"/>
    <w:rsid w:val="00EE16B3"/>
    <w:rsid w:val="00EE16F9"/>
    <w:rsid w:val="00EE1843"/>
    <w:rsid w:val="00EE1AAD"/>
    <w:rsid w:val="00EE1B04"/>
    <w:rsid w:val="00EE1C85"/>
    <w:rsid w:val="00EE1D36"/>
    <w:rsid w:val="00EE1EC3"/>
    <w:rsid w:val="00EE1F4F"/>
    <w:rsid w:val="00EE212A"/>
    <w:rsid w:val="00EE21CC"/>
    <w:rsid w:val="00EE243B"/>
    <w:rsid w:val="00EE276F"/>
    <w:rsid w:val="00EE28D9"/>
    <w:rsid w:val="00EE2B77"/>
    <w:rsid w:val="00EE2BF2"/>
    <w:rsid w:val="00EE2C66"/>
    <w:rsid w:val="00EE2D85"/>
    <w:rsid w:val="00EE3143"/>
    <w:rsid w:val="00EE335C"/>
    <w:rsid w:val="00EE33D3"/>
    <w:rsid w:val="00EE34EF"/>
    <w:rsid w:val="00EE35CC"/>
    <w:rsid w:val="00EE36A9"/>
    <w:rsid w:val="00EE382C"/>
    <w:rsid w:val="00EE3A19"/>
    <w:rsid w:val="00EE3A49"/>
    <w:rsid w:val="00EE3AE2"/>
    <w:rsid w:val="00EE3BB8"/>
    <w:rsid w:val="00EE3CAA"/>
    <w:rsid w:val="00EE3E44"/>
    <w:rsid w:val="00EE3E92"/>
    <w:rsid w:val="00EE3ECF"/>
    <w:rsid w:val="00EE4039"/>
    <w:rsid w:val="00EE4102"/>
    <w:rsid w:val="00EE4159"/>
    <w:rsid w:val="00EE43D8"/>
    <w:rsid w:val="00EE43E8"/>
    <w:rsid w:val="00EE4531"/>
    <w:rsid w:val="00EE4871"/>
    <w:rsid w:val="00EE48DE"/>
    <w:rsid w:val="00EE48E9"/>
    <w:rsid w:val="00EE48FB"/>
    <w:rsid w:val="00EE49B3"/>
    <w:rsid w:val="00EE4A6B"/>
    <w:rsid w:val="00EE4AF9"/>
    <w:rsid w:val="00EE4B5C"/>
    <w:rsid w:val="00EE4CE2"/>
    <w:rsid w:val="00EE4F8D"/>
    <w:rsid w:val="00EE4FFB"/>
    <w:rsid w:val="00EE5013"/>
    <w:rsid w:val="00EE519D"/>
    <w:rsid w:val="00EE5425"/>
    <w:rsid w:val="00EE54B0"/>
    <w:rsid w:val="00EE551D"/>
    <w:rsid w:val="00EE55CE"/>
    <w:rsid w:val="00EE5621"/>
    <w:rsid w:val="00EE563E"/>
    <w:rsid w:val="00EE58D5"/>
    <w:rsid w:val="00EE5985"/>
    <w:rsid w:val="00EE5A45"/>
    <w:rsid w:val="00EE5B43"/>
    <w:rsid w:val="00EE5BA6"/>
    <w:rsid w:val="00EE5D1C"/>
    <w:rsid w:val="00EE5DBC"/>
    <w:rsid w:val="00EE60D1"/>
    <w:rsid w:val="00EE61A7"/>
    <w:rsid w:val="00EE62EE"/>
    <w:rsid w:val="00EE6887"/>
    <w:rsid w:val="00EE6E4B"/>
    <w:rsid w:val="00EE6E5A"/>
    <w:rsid w:val="00EE6E9B"/>
    <w:rsid w:val="00EE6FE6"/>
    <w:rsid w:val="00EE7039"/>
    <w:rsid w:val="00EE70CD"/>
    <w:rsid w:val="00EE725E"/>
    <w:rsid w:val="00EE7309"/>
    <w:rsid w:val="00EE747F"/>
    <w:rsid w:val="00EE7958"/>
    <w:rsid w:val="00EE7971"/>
    <w:rsid w:val="00EE79FB"/>
    <w:rsid w:val="00EE7A54"/>
    <w:rsid w:val="00EE7CCE"/>
    <w:rsid w:val="00EE7D7F"/>
    <w:rsid w:val="00EE7FE6"/>
    <w:rsid w:val="00EF011A"/>
    <w:rsid w:val="00EF0525"/>
    <w:rsid w:val="00EF053A"/>
    <w:rsid w:val="00EF08A1"/>
    <w:rsid w:val="00EF0E37"/>
    <w:rsid w:val="00EF0FAB"/>
    <w:rsid w:val="00EF1045"/>
    <w:rsid w:val="00EF1115"/>
    <w:rsid w:val="00EF141A"/>
    <w:rsid w:val="00EF14DC"/>
    <w:rsid w:val="00EF1601"/>
    <w:rsid w:val="00EF181D"/>
    <w:rsid w:val="00EF1848"/>
    <w:rsid w:val="00EF18C3"/>
    <w:rsid w:val="00EF1993"/>
    <w:rsid w:val="00EF19EA"/>
    <w:rsid w:val="00EF19F0"/>
    <w:rsid w:val="00EF1C96"/>
    <w:rsid w:val="00EF1EF1"/>
    <w:rsid w:val="00EF2011"/>
    <w:rsid w:val="00EF22C0"/>
    <w:rsid w:val="00EF2703"/>
    <w:rsid w:val="00EF27D5"/>
    <w:rsid w:val="00EF28FC"/>
    <w:rsid w:val="00EF2917"/>
    <w:rsid w:val="00EF2984"/>
    <w:rsid w:val="00EF2C9F"/>
    <w:rsid w:val="00EF2F34"/>
    <w:rsid w:val="00EF2F52"/>
    <w:rsid w:val="00EF3063"/>
    <w:rsid w:val="00EF3115"/>
    <w:rsid w:val="00EF3298"/>
    <w:rsid w:val="00EF3338"/>
    <w:rsid w:val="00EF3714"/>
    <w:rsid w:val="00EF380E"/>
    <w:rsid w:val="00EF38BA"/>
    <w:rsid w:val="00EF3C9B"/>
    <w:rsid w:val="00EF3E40"/>
    <w:rsid w:val="00EF3FF1"/>
    <w:rsid w:val="00EF40AB"/>
    <w:rsid w:val="00EF453B"/>
    <w:rsid w:val="00EF4586"/>
    <w:rsid w:val="00EF484D"/>
    <w:rsid w:val="00EF486F"/>
    <w:rsid w:val="00EF49A7"/>
    <w:rsid w:val="00EF4A39"/>
    <w:rsid w:val="00EF4A99"/>
    <w:rsid w:val="00EF4AAC"/>
    <w:rsid w:val="00EF4AEE"/>
    <w:rsid w:val="00EF4C9F"/>
    <w:rsid w:val="00EF4D8C"/>
    <w:rsid w:val="00EF4FA2"/>
    <w:rsid w:val="00EF5050"/>
    <w:rsid w:val="00EF50AE"/>
    <w:rsid w:val="00EF534B"/>
    <w:rsid w:val="00EF547F"/>
    <w:rsid w:val="00EF5539"/>
    <w:rsid w:val="00EF55B3"/>
    <w:rsid w:val="00EF55F3"/>
    <w:rsid w:val="00EF55F4"/>
    <w:rsid w:val="00EF56E7"/>
    <w:rsid w:val="00EF582F"/>
    <w:rsid w:val="00EF583F"/>
    <w:rsid w:val="00EF588D"/>
    <w:rsid w:val="00EF5A8E"/>
    <w:rsid w:val="00EF5BCB"/>
    <w:rsid w:val="00EF5CF1"/>
    <w:rsid w:val="00EF5D19"/>
    <w:rsid w:val="00EF5DE5"/>
    <w:rsid w:val="00EF5F26"/>
    <w:rsid w:val="00EF61BE"/>
    <w:rsid w:val="00EF6411"/>
    <w:rsid w:val="00EF675C"/>
    <w:rsid w:val="00EF676B"/>
    <w:rsid w:val="00EF6AC9"/>
    <w:rsid w:val="00EF6B98"/>
    <w:rsid w:val="00EF6CBB"/>
    <w:rsid w:val="00EF6E7D"/>
    <w:rsid w:val="00EF6F6A"/>
    <w:rsid w:val="00EF70EE"/>
    <w:rsid w:val="00EF72BB"/>
    <w:rsid w:val="00EF7343"/>
    <w:rsid w:val="00EF77EF"/>
    <w:rsid w:val="00EF7C34"/>
    <w:rsid w:val="00EF7CD8"/>
    <w:rsid w:val="00EF7CF4"/>
    <w:rsid w:val="00EF7E65"/>
    <w:rsid w:val="00EF7EB3"/>
    <w:rsid w:val="00F000C2"/>
    <w:rsid w:val="00F002C4"/>
    <w:rsid w:val="00F00303"/>
    <w:rsid w:val="00F0034E"/>
    <w:rsid w:val="00F00419"/>
    <w:rsid w:val="00F00426"/>
    <w:rsid w:val="00F00542"/>
    <w:rsid w:val="00F00693"/>
    <w:rsid w:val="00F00811"/>
    <w:rsid w:val="00F009C6"/>
    <w:rsid w:val="00F009F3"/>
    <w:rsid w:val="00F00ADB"/>
    <w:rsid w:val="00F00C99"/>
    <w:rsid w:val="00F00CBD"/>
    <w:rsid w:val="00F00D2C"/>
    <w:rsid w:val="00F00E2B"/>
    <w:rsid w:val="00F00FB3"/>
    <w:rsid w:val="00F01011"/>
    <w:rsid w:val="00F01036"/>
    <w:rsid w:val="00F010C0"/>
    <w:rsid w:val="00F01158"/>
    <w:rsid w:val="00F011A1"/>
    <w:rsid w:val="00F015D3"/>
    <w:rsid w:val="00F017EF"/>
    <w:rsid w:val="00F01A09"/>
    <w:rsid w:val="00F01AD8"/>
    <w:rsid w:val="00F01C05"/>
    <w:rsid w:val="00F01C0B"/>
    <w:rsid w:val="00F01CCA"/>
    <w:rsid w:val="00F01D91"/>
    <w:rsid w:val="00F01E8C"/>
    <w:rsid w:val="00F021F1"/>
    <w:rsid w:val="00F022DF"/>
    <w:rsid w:val="00F02531"/>
    <w:rsid w:val="00F025C2"/>
    <w:rsid w:val="00F02710"/>
    <w:rsid w:val="00F029A3"/>
    <w:rsid w:val="00F02BB7"/>
    <w:rsid w:val="00F02E9B"/>
    <w:rsid w:val="00F03228"/>
    <w:rsid w:val="00F03327"/>
    <w:rsid w:val="00F0338B"/>
    <w:rsid w:val="00F03427"/>
    <w:rsid w:val="00F035EF"/>
    <w:rsid w:val="00F03789"/>
    <w:rsid w:val="00F03822"/>
    <w:rsid w:val="00F039F3"/>
    <w:rsid w:val="00F03AA6"/>
    <w:rsid w:val="00F03AEB"/>
    <w:rsid w:val="00F03B3C"/>
    <w:rsid w:val="00F03B53"/>
    <w:rsid w:val="00F03B87"/>
    <w:rsid w:val="00F03E7C"/>
    <w:rsid w:val="00F03F5F"/>
    <w:rsid w:val="00F03F8B"/>
    <w:rsid w:val="00F04145"/>
    <w:rsid w:val="00F04173"/>
    <w:rsid w:val="00F04293"/>
    <w:rsid w:val="00F042B9"/>
    <w:rsid w:val="00F042F9"/>
    <w:rsid w:val="00F0444B"/>
    <w:rsid w:val="00F04464"/>
    <w:rsid w:val="00F04889"/>
    <w:rsid w:val="00F048E4"/>
    <w:rsid w:val="00F04902"/>
    <w:rsid w:val="00F04912"/>
    <w:rsid w:val="00F049C4"/>
    <w:rsid w:val="00F04C33"/>
    <w:rsid w:val="00F0501A"/>
    <w:rsid w:val="00F0501E"/>
    <w:rsid w:val="00F05191"/>
    <w:rsid w:val="00F05219"/>
    <w:rsid w:val="00F05317"/>
    <w:rsid w:val="00F0546C"/>
    <w:rsid w:val="00F05804"/>
    <w:rsid w:val="00F059F2"/>
    <w:rsid w:val="00F05D59"/>
    <w:rsid w:val="00F05DC8"/>
    <w:rsid w:val="00F06186"/>
    <w:rsid w:val="00F06483"/>
    <w:rsid w:val="00F065ED"/>
    <w:rsid w:val="00F06CE4"/>
    <w:rsid w:val="00F06DE3"/>
    <w:rsid w:val="00F06E4C"/>
    <w:rsid w:val="00F06FC3"/>
    <w:rsid w:val="00F07031"/>
    <w:rsid w:val="00F07072"/>
    <w:rsid w:val="00F07099"/>
    <w:rsid w:val="00F0713A"/>
    <w:rsid w:val="00F071F8"/>
    <w:rsid w:val="00F07382"/>
    <w:rsid w:val="00F0744B"/>
    <w:rsid w:val="00F0771D"/>
    <w:rsid w:val="00F077D1"/>
    <w:rsid w:val="00F077ED"/>
    <w:rsid w:val="00F07B60"/>
    <w:rsid w:val="00F07C35"/>
    <w:rsid w:val="00F07FD1"/>
    <w:rsid w:val="00F100D5"/>
    <w:rsid w:val="00F10332"/>
    <w:rsid w:val="00F1035E"/>
    <w:rsid w:val="00F1048E"/>
    <w:rsid w:val="00F105F0"/>
    <w:rsid w:val="00F105F3"/>
    <w:rsid w:val="00F10805"/>
    <w:rsid w:val="00F10947"/>
    <w:rsid w:val="00F10C4E"/>
    <w:rsid w:val="00F10D59"/>
    <w:rsid w:val="00F10DB7"/>
    <w:rsid w:val="00F10ECB"/>
    <w:rsid w:val="00F10F15"/>
    <w:rsid w:val="00F10FDD"/>
    <w:rsid w:val="00F11088"/>
    <w:rsid w:val="00F1111D"/>
    <w:rsid w:val="00F1113E"/>
    <w:rsid w:val="00F11157"/>
    <w:rsid w:val="00F112D5"/>
    <w:rsid w:val="00F1133B"/>
    <w:rsid w:val="00F11365"/>
    <w:rsid w:val="00F11435"/>
    <w:rsid w:val="00F11482"/>
    <w:rsid w:val="00F114E9"/>
    <w:rsid w:val="00F115B4"/>
    <w:rsid w:val="00F1179D"/>
    <w:rsid w:val="00F117A1"/>
    <w:rsid w:val="00F117AA"/>
    <w:rsid w:val="00F118A9"/>
    <w:rsid w:val="00F11B8E"/>
    <w:rsid w:val="00F11D46"/>
    <w:rsid w:val="00F1208C"/>
    <w:rsid w:val="00F1243E"/>
    <w:rsid w:val="00F12556"/>
    <w:rsid w:val="00F12B6B"/>
    <w:rsid w:val="00F12C3A"/>
    <w:rsid w:val="00F12C9E"/>
    <w:rsid w:val="00F12CE4"/>
    <w:rsid w:val="00F12D2B"/>
    <w:rsid w:val="00F12E22"/>
    <w:rsid w:val="00F12E26"/>
    <w:rsid w:val="00F13088"/>
    <w:rsid w:val="00F13207"/>
    <w:rsid w:val="00F13215"/>
    <w:rsid w:val="00F13254"/>
    <w:rsid w:val="00F13284"/>
    <w:rsid w:val="00F13402"/>
    <w:rsid w:val="00F135F9"/>
    <w:rsid w:val="00F13669"/>
    <w:rsid w:val="00F137A1"/>
    <w:rsid w:val="00F13971"/>
    <w:rsid w:val="00F13A6D"/>
    <w:rsid w:val="00F13E19"/>
    <w:rsid w:val="00F13E48"/>
    <w:rsid w:val="00F13E6B"/>
    <w:rsid w:val="00F13ED4"/>
    <w:rsid w:val="00F14191"/>
    <w:rsid w:val="00F141F4"/>
    <w:rsid w:val="00F1427C"/>
    <w:rsid w:val="00F142BC"/>
    <w:rsid w:val="00F1438A"/>
    <w:rsid w:val="00F14465"/>
    <w:rsid w:val="00F1458A"/>
    <w:rsid w:val="00F14606"/>
    <w:rsid w:val="00F1488B"/>
    <w:rsid w:val="00F148A7"/>
    <w:rsid w:val="00F14970"/>
    <w:rsid w:val="00F14972"/>
    <w:rsid w:val="00F14A77"/>
    <w:rsid w:val="00F14C8B"/>
    <w:rsid w:val="00F14C8C"/>
    <w:rsid w:val="00F14CAE"/>
    <w:rsid w:val="00F14D65"/>
    <w:rsid w:val="00F14E0D"/>
    <w:rsid w:val="00F14E2A"/>
    <w:rsid w:val="00F14F6A"/>
    <w:rsid w:val="00F1508C"/>
    <w:rsid w:val="00F150F4"/>
    <w:rsid w:val="00F15204"/>
    <w:rsid w:val="00F1521C"/>
    <w:rsid w:val="00F15246"/>
    <w:rsid w:val="00F152AD"/>
    <w:rsid w:val="00F1536D"/>
    <w:rsid w:val="00F15387"/>
    <w:rsid w:val="00F1544B"/>
    <w:rsid w:val="00F15557"/>
    <w:rsid w:val="00F155CB"/>
    <w:rsid w:val="00F15918"/>
    <w:rsid w:val="00F1591C"/>
    <w:rsid w:val="00F1593B"/>
    <w:rsid w:val="00F15AA0"/>
    <w:rsid w:val="00F15C12"/>
    <w:rsid w:val="00F15D49"/>
    <w:rsid w:val="00F15DBC"/>
    <w:rsid w:val="00F15E59"/>
    <w:rsid w:val="00F16038"/>
    <w:rsid w:val="00F1609E"/>
    <w:rsid w:val="00F161AF"/>
    <w:rsid w:val="00F16220"/>
    <w:rsid w:val="00F16302"/>
    <w:rsid w:val="00F1656E"/>
    <w:rsid w:val="00F16577"/>
    <w:rsid w:val="00F16872"/>
    <w:rsid w:val="00F168E9"/>
    <w:rsid w:val="00F168EF"/>
    <w:rsid w:val="00F16B2E"/>
    <w:rsid w:val="00F16B3E"/>
    <w:rsid w:val="00F16C96"/>
    <w:rsid w:val="00F16EB8"/>
    <w:rsid w:val="00F16F37"/>
    <w:rsid w:val="00F16FC6"/>
    <w:rsid w:val="00F16FC9"/>
    <w:rsid w:val="00F1718B"/>
    <w:rsid w:val="00F1723B"/>
    <w:rsid w:val="00F1723F"/>
    <w:rsid w:val="00F172E0"/>
    <w:rsid w:val="00F1734A"/>
    <w:rsid w:val="00F1739E"/>
    <w:rsid w:val="00F173E4"/>
    <w:rsid w:val="00F174CF"/>
    <w:rsid w:val="00F17554"/>
    <w:rsid w:val="00F1755D"/>
    <w:rsid w:val="00F17680"/>
    <w:rsid w:val="00F17956"/>
    <w:rsid w:val="00F179C0"/>
    <w:rsid w:val="00F17A47"/>
    <w:rsid w:val="00F17CE5"/>
    <w:rsid w:val="00F17EDC"/>
    <w:rsid w:val="00F2039D"/>
    <w:rsid w:val="00F203C5"/>
    <w:rsid w:val="00F204C9"/>
    <w:rsid w:val="00F20565"/>
    <w:rsid w:val="00F20652"/>
    <w:rsid w:val="00F20748"/>
    <w:rsid w:val="00F207C1"/>
    <w:rsid w:val="00F20D25"/>
    <w:rsid w:val="00F20EDC"/>
    <w:rsid w:val="00F21125"/>
    <w:rsid w:val="00F21230"/>
    <w:rsid w:val="00F215A6"/>
    <w:rsid w:val="00F215FF"/>
    <w:rsid w:val="00F216F4"/>
    <w:rsid w:val="00F219C7"/>
    <w:rsid w:val="00F21A69"/>
    <w:rsid w:val="00F21BB4"/>
    <w:rsid w:val="00F21E35"/>
    <w:rsid w:val="00F21EA8"/>
    <w:rsid w:val="00F21F1D"/>
    <w:rsid w:val="00F221F2"/>
    <w:rsid w:val="00F22286"/>
    <w:rsid w:val="00F2228C"/>
    <w:rsid w:val="00F222E3"/>
    <w:rsid w:val="00F22407"/>
    <w:rsid w:val="00F22719"/>
    <w:rsid w:val="00F22A60"/>
    <w:rsid w:val="00F22BC8"/>
    <w:rsid w:val="00F22C84"/>
    <w:rsid w:val="00F22CB2"/>
    <w:rsid w:val="00F22D00"/>
    <w:rsid w:val="00F22D63"/>
    <w:rsid w:val="00F22ECD"/>
    <w:rsid w:val="00F231AD"/>
    <w:rsid w:val="00F232A7"/>
    <w:rsid w:val="00F233BD"/>
    <w:rsid w:val="00F234C2"/>
    <w:rsid w:val="00F234CF"/>
    <w:rsid w:val="00F235A8"/>
    <w:rsid w:val="00F235B6"/>
    <w:rsid w:val="00F23752"/>
    <w:rsid w:val="00F2377C"/>
    <w:rsid w:val="00F239E5"/>
    <w:rsid w:val="00F23A98"/>
    <w:rsid w:val="00F242B3"/>
    <w:rsid w:val="00F24342"/>
    <w:rsid w:val="00F243C1"/>
    <w:rsid w:val="00F24450"/>
    <w:rsid w:val="00F2446E"/>
    <w:rsid w:val="00F244F8"/>
    <w:rsid w:val="00F24543"/>
    <w:rsid w:val="00F24563"/>
    <w:rsid w:val="00F24593"/>
    <w:rsid w:val="00F24774"/>
    <w:rsid w:val="00F24795"/>
    <w:rsid w:val="00F247BA"/>
    <w:rsid w:val="00F24986"/>
    <w:rsid w:val="00F24BF1"/>
    <w:rsid w:val="00F24E2B"/>
    <w:rsid w:val="00F24EAA"/>
    <w:rsid w:val="00F250C1"/>
    <w:rsid w:val="00F25183"/>
    <w:rsid w:val="00F25205"/>
    <w:rsid w:val="00F252EF"/>
    <w:rsid w:val="00F253BA"/>
    <w:rsid w:val="00F255E7"/>
    <w:rsid w:val="00F25693"/>
    <w:rsid w:val="00F25A82"/>
    <w:rsid w:val="00F25BF1"/>
    <w:rsid w:val="00F25C73"/>
    <w:rsid w:val="00F25F8F"/>
    <w:rsid w:val="00F25FBE"/>
    <w:rsid w:val="00F260AE"/>
    <w:rsid w:val="00F26158"/>
    <w:rsid w:val="00F261B4"/>
    <w:rsid w:val="00F26215"/>
    <w:rsid w:val="00F2646C"/>
    <w:rsid w:val="00F2649D"/>
    <w:rsid w:val="00F265E9"/>
    <w:rsid w:val="00F2667F"/>
    <w:rsid w:val="00F26C4A"/>
    <w:rsid w:val="00F26E5C"/>
    <w:rsid w:val="00F26E84"/>
    <w:rsid w:val="00F26F7A"/>
    <w:rsid w:val="00F27292"/>
    <w:rsid w:val="00F27329"/>
    <w:rsid w:val="00F273EA"/>
    <w:rsid w:val="00F2790D"/>
    <w:rsid w:val="00F27AE4"/>
    <w:rsid w:val="00F27D11"/>
    <w:rsid w:val="00F27D18"/>
    <w:rsid w:val="00F27D22"/>
    <w:rsid w:val="00F27D3F"/>
    <w:rsid w:val="00F27EA8"/>
    <w:rsid w:val="00F27ED7"/>
    <w:rsid w:val="00F30114"/>
    <w:rsid w:val="00F301AC"/>
    <w:rsid w:val="00F3095B"/>
    <w:rsid w:val="00F3098B"/>
    <w:rsid w:val="00F30AED"/>
    <w:rsid w:val="00F30C32"/>
    <w:rsid w:val="00F30EE4"/>
    <w:rsid w:val="00F311C3"/>
    <w:rsid w:val="00F3133E"/>
    <w:rsid w:val="00F31A6D"/>
    <w:rsid w:val="00F31B20"/>
    <w:rsid w:val="00F31BD1"/>
    <w:rsid w:val="00F31C66"/>
    <w:rsid w:val="00F31CF7"/>
    <w:rsid w:val="00F31D2D"/>
    <w:rsid w:val="00F3205F"/>
    <w:rsid w:val="00F32276"/>
    <w:rsid w:val="00F32423"/>
    <w:rsid w:val="00F32477"/>
    <w:rsid w:val="00F32516"/>
    <w:rsid w:val="00F325A2"/>
    <w:rsid w:val="00F326CF"/>
    <w:rsid w:val="00F328AC"/>
    <w:rsid w:val="00F328DE"/>
    <w:rsid w:val="00F3298A"/>
    <w:rsid w:val="00F32C45"/>
    <w:rsid w:val="00F32DA5"/>
    <w:rsid w:val="00F32DAF"/>
    <w:rsid w:val="00F32DD2"/>
    <w:rsid w:val="00F32F46"/>
    <w:rsid w:val="00F330D2"/>
    <w:rsid w:val="00F3317C"/>
    <w:rsid w:val="00F3319B"/>
    <w:rsid w:val="00F33221"/>
    <w:rsid w:val="00F33771"/>
    <w:rsid w:val="00F33AE2"/>
    <w:rsid w:val="00F33B03"/>
    <w:rsid w:val="00F33F64"/>
    <w:rsid w:val="00F34002"/>
    <w:rsid w:val="00F3401F"/>
    <w:rsid w:val="00F3420D"/>
    <w:rsid w:val="00F34241"/>
    <w:rsid w:val="00F34435"/>
    <w:rsid w:val="00F34493"/>
    <w:rsid w:val="00F3470A"/>
    <w:rsid w:val="00F3474B"/>
    <w:rsid w:val="00F34999"/>
    <w:rsid w:val="00F34A58"/>
    <w:rsid w:val="00F34A9D"/>
    <w:rsid w:val="00F34AC9"/>
    <w:rsid w:val="00F34DF7"/>
    <w:rsid w:val="00F35267"/>
    <w:rsid w:val="00F352CB"/>
    <w:rsid w:val="00F3544D"/>
    <w:rsid w:val="00F35556"/>
    <w:rsid w:val="00F355B8"/>
    <w:rsid w:val="00F355BC"/>
    <w:rsid w:val="00F35867"/>
    <w:rsid w:val="00F3589F"/>
    <w:rsid w:val="00F3595D"/>
    <w:rsid w:val="00F35B84"/>
    <w:rsid w:val="00F35B8D"/>
    <w:rsid w:val="00F35EF0"/>
    <w:rsid w:val="00F3635F"/>
    <w:rsid w:val="00F363A3"/>
    <w:rsid w:val="00F36426"/>
    <w:rsid w:val="00F364BD"/>
    <w:rsid w:val="00F365EA"/>
    <w:rsid w:val="00F36B9A"/>
    <w:rsid w:val="00F36D57"/>
    <w:rsid w:val="00F370DB"/>
    <w:rsid w:val="00F3711B"/>
    <w:rsid w:val="00F37739"/>
    <w:rsid w:val="00F3782E"/>
    <w:rsid w:val="00F37967"/>
    <w:rsid w:val="00F37B66"/>
    <w:rsid w:val="00F37B78"/>
    <w:rsid w:val="00F37C7C"/>
    <w:rsid w:val="00F37D63"/>
    <w:rsid w:val="00F37EDC"/>
    <w:rsid w:val="00F37F48"/>
    <w:rsid w:val="00F37FE0"/>
    <w:rsid w:val="00F4013F"/>
    <w:rsid w:val="00F402DD"/>
    <w:rsid w:val="00F405DC"/>
    <w:rsid w:val="00F405E9"/>
    <w:rsid w:val="00F406A8"/>
    <w:rsid w:val="00F406E3"/>
    <w:rsid w:val="00F407A7"/>
    <w:rsid w:val="00F40965"/>
    <w:rsid w:val="00F40BEB"/>
    <w:rsid w:val="00F40D7B"/>
    <w:rsid w:val="00F40F11"/>
    <w:rsid w:val="00F40F27"/>
    <w:rsid w:val="00F40F86"/>
    <w:rsid w:val="00F4110B"/>
    <w:rsid w:val="00F41333"/>
    <w:rsid w:val="00F41640"/>
    <w:rsid w:val="00F41668"/>
    <w:rsid w:val="00F4171E"/>
    <w:rsid w:val="00F417DD"/>
    <w:rsid w:val="00F419B2"/>
    <w:rsid w:val="00F41A1A"/>
    <w:rsid w:val="00F41CCF"/>
    <w:rsid w:val="00F41CF3"/>
    <w:rsid w:val="00F41F38"/>
    <w:rsid w:val="00F42450"/>
    <w:rsid w:val="00F4251C"/>
    <w:rsid w:val="00F425FF"/>
    <w:rsid w:val="00F428A9"/>
    <w:rsid w:val="00F428E1"/>
    <w:rsid w:val="00F42901"/>
    <w:rsid w:val="00F429BC"/>
    <w:rsid w:val="00F42AA4"/>
    <w:rsid w:val="00F42B7A"/>
    <w:rsid w:val="00F42BD5"/>
    <w:rsid w:val="00F42CB2"/>
    <w:rsid w:val="00F42D3F"/>
    <w:rsid w:val="00F42E4C"/>
    <w:rsid w:val="00F42EA8"/>
    <w:rsid w:val="00F42EF7"/>
    <w:rsid w:val="00F42FD2"/>
    <w:rsid w:val="00F4316D"/>
    <w:rsid w:val="00F432A7"/>
    <w:rsid w:val="00F432E3"/>
    <w:rsid w:val="00F43375"/>
    <w:rsid w:val="00F434EA"/>
    <w:rsid w:val="00F4351A"/>
    <w:rsid w:val="00F43616"/>
    <w:rsid w:val="00F4361C"/>
    <w:rsid w:val="00F436F6"/>
    <w:rsid w:val="00F437E5"/>
    <w:rsid w:val="00F438A2"/>
    <w:rsid w:val="00F43A72"/>
    <w:rsid w:val="00F43AD7"/>
    <w:rsid w:val="00F43B21"/>
    <w:rsid w:val="00F43C15"/>
    <w:rsid w:val="00F43CAB"/>
    <w:rsid w:val="00F440E3"/>
    <w:rsid w:val="00F44110"/>
    <w:rsid w:val="00F441CC"/>
    <w:rsid w:val="00F44287"/>
    <w:rsid w:val="00F4429F"/>
    <w:rsid w:val="00F443BC"/>
    <w:rsid w:val="00F4442A"/>
    <w:rsid w:val="00F4481F"/>
    <w:rsid w:val="00F44D1B"/>
    <w:rsid w:val="00F450D3"/>
    <w:rsid w:val="00F45265"/>
    <w:rsid w:val="00F45410"/>
    <w:rsid w:val="00F454A4"/>
    <w:rsid w:val="00F45544"/>
    <w:rsid w:val="00F455BC"/>
    <w:rsid w:val="00F455E0"/>
    <w:rsid w:val="00F45909"/>
    <w:rsid w:val="00F45A46"/>
    <w:rsid w:val="00F45DF1"/>
    <w:rsid w:val="00F45E08"/>
    <w:rsid w:val="00F45E9E"/>
    <w:rsid w:val="00F45F8D"/>
    <w:rsid w:val="00F45FD1"/>
    <w:rsid w:val="00F46336"/>
    <w:rsid w:val="00F4652A"/>
    <w:rsid w:val="00F46577"/>
    <w:rsid w:val="00F465EE"/>
    <w:rsid w:val="00F46636"/>
    <w:rsid w:val="00F46785"/>
    <w:rsid w:val="00F46792"/>
    <w:rsid w:val="00F46E20"/>
    <w:rsid w:val="00F46F72"/>
    <w:rsid w:val="00F46FD5"/>
    <w:rsid w:val="00F4727D"/>
    <w:rsid w:val="00F4731B"/>
    <w:rsid w:val="00F473AA"/>
    <w:rsid w:val="00F475F6"/>
    <w:rsid w:val="00F4774B"/>
    <w:rsid w:val="00F47799"/>
    <w:rsid w:val="00F479D6"/>
    <w:rsid w:val="00F47A2C"/>
    <w:rsid w:val="00F47A36"/>
    <w:rsid w:val="00F47A4B"/>
    <w:rsid w:val="00F47A84"/>
    <w:rsid w:val="00F47CA0"/>
    <w:rsid w:val="00F501ED"/>
    <w:rsid w:val="00F5023D"/>
    <w:rsid w:val="00F504A3"/>
    <w:rsid w:val="00F50545"/>
    <w:rsid w:val="00F5060F"/>
    <w:rsid w:val="00F506A5"/>
    <w:rsid w:val="00F506A7"/>
    <w:rsid w:val="00F506E6"/>
    <w:rsid w:val="00F50784"/>
    <w:rsid w:val="00F508AC"/>
    <w:rsid w:val="00F5093E"/>
    <w:rsid w:val="00F509D4"/>
    <w:rsid w:val="00F50B3C"/>
    <w:rsid w:val="00F50B6F"/>
    <w:rsid w:val="00F50CEA"/>
    <w:rsid w:val="00F50EC8"/>
    <w:rsid w:val="00F50F25"/>
    <w:rsid w:val="00F50F5A"/>
    <w:rsid w:val="00F51099"/>
    <w:rsid w:val="00F512FB"/>
    <w:rsid w:val="00F5162A"/>
    <w:rsid w:val="00F51648"/>
    <w:rsid w:val="00F51679"/>
    <w:rsid w:val="00F51759"/>
    <w:rsid w:val="00F51781"/>
    <w:rsid w:val="00F51904"/>
    <w:rsid w:val="00F51D57"/>
    <w:rsid w:val="00F51DC1"/>
    <w:rsid w:val="00F51DE9"/>
    <w:rsid w:val="00F51E00"/>
    <w:rsid w:val="00F51E82"/>
    <w:rsid w:val="00F5211C"/>
    <w:rsid w:val="00F52227"/>
    <w:rsid w:val="00F522C7"/>
    <w:rsid w:val="00F523EF"/>
    <w:rsid w:val="00F523F2"/>
    <w:rsid w:val="00F52513"/>
    <w:rsid w:val="00F525EC"/>
    <w:rsid w:val="00F526FC"/>
    <w:rsid w:val="00F527ED"/>
    <w:rsid w:val="00F5286E"/>
    <w:rsid w:val="00F52A35"/>
    <w:rsid w:val="00F52AFC"/>
    <w:rsid w:val="00F52BA4"/>
    <w:rsid w:val="00F52C51"/>
    <w:rsid w:val="00F52D42"/>
    <w:rsid w:val="00F52E63"/>
    <w:rsid w:val="00F52EBB"/>
    <w:rsid w:val="00F53353"/>
    <w:rsid w:val="00F533C5"/>
    <w:rsid w:val="00F53590"/>
    <w:rsid w:val="00F5361F"/>
    <w:rsid w:val="00F53663"/>
    <w:rsid w:val="00F53729"/>
    <w:rsid w:val="00F537EE"/>
    <w:rsid w:val="00F53B66"/>
    <w:rsid w:val="00F53C01"/>
    <w:rsid w:val="00F53C4D"/>
    <w:rsid w:val="00F53DC3"/>
    <w:rsid w:val="00F53E99"/>
    <w:rsid w:val="00F53EDE"/>
    <w:rsid w:val="00F54084"/>
    <w:rsid w:val="00F5431E"/>
    <w:rsid w:val="00F543D4"/>
    <w:rsid w:val="00F54473"/>
    <w:rsid w:val="00F5450B"/>
    <w:rsid w:val="00F54574"/>
    <w:rsid w:val="00F545AD"/>
    <w:rsid w:val="00F548CC"/>
    <w:rsid w:val="00F54979"/>
    <w:rsid w:val="00F5499A"/>
    <w:rsid w:val="00F54AF0"/>
    <w:rsid w:val="00F54B56"/>
    <w:rsid w:val="00F54BC3"/>
    <w:rsid w:val="00F54DF8"/>
    <w:rsid w:val="00F54E96"/>
    <w:rsid w:val="00F54F37"/>
    <w:rsid w:val="00F54FA2"/>
    <w:rsid w:val="00F55100"/>
    <w:rsid w:val="00F5524C"/>
    <w:rsid w:val="00F55420"/>
    <w:rsid w:val="00F5568A"/>
    <w:rsid w:val="00F556BC"/>
    <w:rsid w:val="00F55ACB"/>
    <w:rsid w:val="00F55AD3"/>
    <w:rsid w:val="00F55D01"/>
    <w:rsid w:val="00F55D0E"/>
    <w:rsid w:val="00F55E14"/>
    <w:rsid w:val="00F55ED6"/>
    <w:rsid w:val="00F55F19"/>
    <w:rsid w:val="00F56079"/>
    <w:rsid w:val="00F56113"/>
    <w:rsid w:val="00F564E2"/>
    <w:rsid w:val="00F5650D"/>
    <w:rsid w:val="00F567B7"/>
    <w:rsid w:val="00F5693A"/>
    <w:rsid w:val="00F569F2"/>
    <w:rsid w:val="00F56DC9"/>
    <w:rsid w:val="00F56DF9"/>
    <w:rsid w:val="00F56EA7"/>
    <w:rsid w:val="00F56F72"/>
    <w:rsid w:val="00F57436"/>
    <w:rsid w:val="00F5760A"/>
    <w:rsid w:val="00F57742"/>
    <w:rsid w:val="00F579A8"/>
    <w:rsid w:val="00F579E7"/>
    <w:rsid w:val="00F57A70"/>
    <w:rsid w:val="00F57AD4"/>
    <w:rsid w:val="00F57B63"/>
    <w:rsid w:val="00F57C22"/>
    <w:rsid w:val="00F57DEF"/>
    <w:rsid w:val="00F57E04"/>
    <w:rsid w:val="00F57E2D"/>
    <w:rsid w:val="00F60041"/>
    <w:rsid w:val="00F600B0"/>
    <w:rsid w:val="00F60225"/>
    <w:rsid w:val="00F6028D"/>
    <w:rsid w:val="00F60341"/>
    <w:rsid w:val="00F6077A"/>
    <w:rsid w:val="00F607E3"/>
    <w:rsid w:val="00F60B16"/>
    <w:rsid w:val="00F60DE5"/>
    <w:rsid w:val="00F60F24"/>
    <w:rsid w:val="00F6102D"/>
    <w:rsid w:val="00F610F7"/>
    <w:rsid w:val="00F6110D"/>
    <w:rsid w:val="00F6113F"/>
    <w:rsid w:val="00F611B9"/>
    <w:rsid w:val="00F611D4"/>
    <w:rsid w:val="00F6174E"/>
    <w:rsid w:val="00F6185C"/>
    <w:rsid w:val="00F618A1"/>
    <w:rsid w:val="00F61B42"/>
    <w:rsid w:val="00F61BD6"/>
    <w:rsid w:val="00F61C46"/>
    <w:rsid w:val="00F61CC1"/>
    <w:rsid w:val="00F61D0C"/>
    <w:rsid w:val="00F61DA3"/>
    <w:rsid w:val="00F61DDC"/>
    <w:rsid w:val="00F62047"/>
    <w:rsid w:val="00F620C0"/>
    <w:rsid w:val="00F6232A"/>
    <w:rsid w:val="00F62644"/>
    <w:rsid w:val="00F62A89"/>
    <w:rsid w:val="00F62AF1"/>
    <w:rsid w:val="00F62DEB"/>
    <w:rsid w:val="00F62E75"/>
    <w:rsid w:val="00F63115"/>
    <w:rsid w:val="00F63130"/>
    <w:rsid w:val="00F633AC"/>
    <w:rsid w:val="00F633DD"/>
    <w:rsid w:val="00F63439"/>
    <w:rsid w:val="00F6344A"/>
    <w:rsid w:val="00F635D2"/>
    <w:rsid w:val="00F635F1"/>
    <w:rsid w:val="00F63777"/>
    <w:rsid w:val="00F6387B"/>
    <w:rsid w:val="00F63A4F"/>
    <w:rsid w:val="00F63A67"/>
    <w:rsid w:val="00F63A71"/>
    <w:rsid w:val="00F63AAE"/>
    <w:rsid w:val="00F63BA9"/>
    <w:rsid w:val="00F63CA0"/>
    <w:rsid w:val="00F63D43"/>
    <w:rsid w:val="00F63EAE"/>
    <w:rsid w:val="00F63EBB"/>
    <w:rsid w:val="00F63F61"/>
    <w:rsid w:val="00F64048"/>
    <w:rsid w:val="00F641EF"/>
    <w:rsid w:val="00F644B9"/>
    <w:rsid w:val="00F64648"/>
    <w:rsid w:val="00F646AA"/>
    <w:rsid w:val="00F6477F"/>
    <w:rsid w:val="00F647E6"/>
    <w:rsid w:val="00F6481C"/>
    <w:rsid w:val="00F648EB"/>
    <w:rsid w:val="00F649CD"/>
    <w:rsid w:val="00F649D5"/>
    <w:rsid w:val="00F64A12"/>
    <w:rsid w:val="00F64A13"/>
    <w:rsid w:val="00F64A6C"/>
    <w:rsid w:val="00F64AF8"/>
    <w:rsid w:val="00F64B40"/>
    <w:rsid w:val="00F651C3"/>
    <w:rsid w:val="00F652A1"/>
    <w:rsid w:val="00F6549E"/>
    <w:rsid w:val="00F6570E"/>
    <w:rsid w:val="00F65743"/>
    <w:rsid w:val="00F6578A"/>
    <w:rsid w:val="00F65981"/>
    <w:rsid w:val="00F65A0D"/>
    <w:rsid w:val="00F65A4F"/>
    <w:rsid w:val="00F65CA3"/>
    <w:rsid w:val="00F65FB1"/>
    <w:rsid w:val="00F65FD7"/>
    <w:rsid w:val="00F6614E"/>
    <w:rsid w:val="00F662D2"/>
    <w:rsid w:val="00F66333"/>
    <w:rsid w:val="00F6644F"/>
    <w:rsid w:val="00F66702"/>
    <w:rsid w:val="00F6687E"/>
    <w:rsid w:val="00F669DC"/>
    <w:rsid w:val="00F66A2B"/>
    <w:rsid w:val="00F66A70"/>
    <w:rsid w:val="00F66B4E"/>
    <w:rsid w:val="00F66FCE"/>
    <w:rsid w:val="00F67155"/>
    <w:rsid w:val="00F67302"/>
    <w:rsid w:val="00F6748E"/>
    <w:rsid w:val="00F6755C"/>
    <w:rsid w:val="00F67613"/>
    <w:rsid w:val="00F6774D"/>
    <w:rsid w:val="00F67806"/>
    <w:rsid w:val="00F67848"/>
    <w:rsid w:val="00F678A3"/>
    <w:rsid w:val="00F67905"/>
    <w:rsid w:val="00F67B0C"/>
    <w:rsid w:val="00F67BAB"/>
    <w:rsid w:val="00F700F6"/>
    <w:rsid w:val="00F701B8"/>
    <w:rsid w:val="00F702E1"/>
    <w:rsid w:val="00F7071F"/>
    <w:rsid w:val="00F707C8"/>
    <w:rsid w:val="00F70C27"/>
    <w:rsid w:val="00F70C4F"/>
    <w:rsid w:val="00F70C54"/>
    <w:rsid w:val="00F70ED9"/>
    <w:rsid w:val="00F70F64"/>
    <w:rsid w:val="00F71036"/>
    <w:rsid w:val="00F71299"/>
    <w:rsid w:val="00F712EF"/>
    <w:rsid w:val="00F71423"/>
    <w:rsid w:val="00F714FC"/>
    <w:rsid w:val="00F7153E"/>
    <w:rsid w:val="00F715B1"/>
    <w:rsid w:val="00F717D9"/>
    <w:rsid w:val="00F717DC"/>
    <w:rsid w:val="00F71841"/>
    <w:rsid w:val="00F71916"/>
    <w:rsid w:val="00F71AA0"/>
    <w:rsid w:val="00F71B3A"/>
    <w:rsid w:val="00F71BA3"/>
    <w:rsid w:val="00F71D0D"/>
    <w:rsid w:val="00F71D1A"/>
    <w:rsid w:val="00F71FC4"/>
    <w:rsid w:val="00F721EE"/>
    <w:rsid w:val="00F72364"/>
    <w:rsid w:val="00F7250A"/>
    <w:rsid w:val="00F7254D"/>
    <w:rsid w:val="00F726B3"/>
    <w:rsid w:val="00F72720"/>
    <w:rsid w:val="00F72987"/>
    <w:rsid w:val="00F72BFF"/>
    <w:rsid w:val="00F72CAE"/>
    <w:rsid w:val="00F72D66"/>
    <w:rsid w:val="00F72F58"/>
    <w:rsid w:val="00F72FD6"/>
    <w:rsid w:val="00F73002"/>
    <w:rsid w:val="00F730F2"/>
    <w:rsid w:val="00F730F7"/>
    <w:rsid w:val="00F73372"/>
    <w:rsid w:val="00F733AD"/>
    <w:rsid w:val="00F7351B"/>
    <w:rsid w:val="00F735EB"/>
    <w:rsid w:val="00F7360F"/>
    <w:rsid w:val="00F736A7"/>
    <w:rsid w:val="00F73A61"/>
    <w:rsid w:val="00F73A68"/>
    <w:rsid w:val="00F73DDE"/>
    <w:rsid w:val="00F73F77"/>
    <w:rsid w:val="00F74452"/>
    <w:rsid w:val="00F744A1"/>
    <w:rsid w:val="00F745F4"/>
    <w:rsid w:val="00F74842"/>
    <w:rsid w:val="00F74882"/>
    <w:rsid w:val="00F749B7"/>
    <w:rsid w:val="00F749F7"/>
    <w:rsid w:val="00F74AC9"/>
    <w:rsid w:val="00F74DE6"/>
    <w:rsid w:val="00F7507A"/>
    <w:rsid w:val="00F7516D"/>
    <w:rsid w:val="00F753AC"/>
    <w:rsid w:val="00F75466"/>
    <w:rsid w:val="00F75483"/>
    <w:rsid w:val="00F75525"/>
    <w:rsid w:val="00F75860"/>
    <w:rsid w:val="00F758A3"/>
    <w:rsid w:val="00F758B9"/>
    <w:rsid w:val="00F758DC"/>
    <w:rsid w:val="00F75902"/>
    <w:rsid w:val="00F759B0"/>
    <w:rsid w:val="00F759DD"/>
    <w:rsid w:val="00F75BAC"/>
    <w:rsid w:val="00F75BFF"/>
    <w:rsid w:val="00F76015"/>
    <w:rsid w:val="00F76036"/>
    <w:rsid w:val="00F7606C"/>
    <w:rsid w:val="00F761C0"/>
    <w:rsid w:val="00F761C9"/>
    <w:rsid w:val="00F761F4"/>
    <w:rsid w:val="00F7628D"/>
    <w:rsid w:val="00F763DA"/>
    <w:rsid w:val="00F765AF"/>
    <w:rsid w:val="00F765B0"/>
    <w:rsid w:val="00F765BB"/>
    <w:rsid w:val="00F765C5"/>
    <w:rsid w:val="00F76756"/>
    <w:rsid w:val="00F767E2"/>
    <w:rsid w:val="00F76826"/>
    <w:rsid w:val="00F7690A"/>
    <w:rsid w:val="00F769A9"/>
    <w:rsid w:val="00F76B2C"/>
    <w:rsid w:val="00F76BD2"/>
    <w:rsid w:val="00F76BF2"/>
    <w:rsid w:val="00F76C9D"/>
    <w:rsid w:val="00F76E0C"/>
    <w:rsid w:val="00F76ED2"/>
    <w:rsid w:val="00F76F19"/>
    <w:rsid w:val="00F7707F"/>
    <w:rsid w:val="00F7712F"/>
    <w:rsid w:val="00F771E0"/>
    <w:rsid w:val="00F77225"/>
    <w:rsid w:val="00F775EA"/>
    <w:rsid w:val="00F778B4"/>
    <w:rsid w:val="00F77930"/>
    <w:rsid w:val="00F77955"/>
    <w:rsid w:val="00F779D4"/>
    <w:rsid w:val="00F77BA4"/>
    <w:rsid w:val="00F77BDA"/>
    <w:rsid w:val="00F77C02"/>
    <w:rsid w:val="00F77C54"/>
    <w:rsid w:val="00F77CF3"/>
    <w:rsid w:val="00F77D82"/>
    <w:rsid w:val="00F77EB7"/>
    <w:rsid w:val="00F77FE2"/>
    <w:rsid w:val="00F80346"/>
    <w:rsid w:val="00F8047F"/>
    <w:rsid w:val="00F80517"/>
    <w:rsid w:val="00F80887"/>
    <w:rsid w:val="00F80913"/>
    <w:rsid w:val="00F80CE8"/>
    <w:rsid w:val="00F80D63"/>
    <w:rsid w:val="00F80D90"/>
    <w:rsid w:val="00F80D9B"/>
    <w:rsid w:val="00F80E3C"/>
    <w:rsid w:val="00F80E8B"/>
    <w:rsid w:val="00F80E9E"/>
    <w:rsid w:val="00F8110C"/>
    <w:rsid w:val="00F81133"/>
    <w:rsid w:val="00F811E0"/>
    <w:rsid w:val="00F81313"/>
    <w:rsid w:val="00F814F3"/>
    <w:rsid w:val="00F81650"/>
    <w:rsid w:val="00F818FC"/>
    <w:rsid w:val="00F81B19"/>
    <w:rsid w:val="00F81BF1"/>
    <w:rsid w:val="00F81C5F"/>
    <w:rsid w:val="00F81D37"/>
    <w:rsid w:val="00F81EED"/>
    <w:rsid w:val="00F8201B"/>
    <w:rsid w:val="00F82120"/>
    <w:rsid w:val="00F824B4"/>
    <w:rsid w:val="00F82708"/>
    <w:rsid w:val="00F82896"/>
    <w:rsid w:val="00F83101"/>
    <w:rsid w:val="00F83184"/>
    <w:rsid w:val="00F8321F"/>
    <w:rsid w:val="00F83270"/>
    <w:rsid w:val="00F832E4"/>
    <w:rsid w:val="00F83658"/>
    <w:rsid w:val="00F83ACA"/>
    <w:rsid w:val="00F83B5B"/>
    <w:rsid w:val="00F83CC6"/>
    <w:rsid w:val="00F83E1A"/>
    <w:rsid w:val="00F83FBF"/>
    <w:rsid w:val="00F83FCC"/>
    <w:rsid w:val="00F83FF5"/>
    <w:rsid w:val="00F84001"/>
    <w:rsid w:val="00F8404D"/>
    <w:rsid w:val="00F8422D"/>
    <w:rsid w:val="00F84404"/>
    <w:rsid w:val="00F84AFD"/>
    <w:rsid w:val="00F84C35"/>
    <w:rsid w:val="00F84E95"/>
    <w:rsid w:val="00F84ECF"/>
    <w:rsid w:val="00F84F28"/>
    <w:rsid w:val="00F850E2"/>
    <w:rsid w:val="00F8533B"/>
    <w:rsid w:val="00F85642"/>
    <w:rsid w:val="00F85881"/>
    <w:rsid w:val="00F85A5F"/>
    <w:rsid w:val="00F85F3C"/>
    <w:rsid w:val="00F85FFB"/>
    <w:rsid w:val="00F8601C"/>
    <w:rsid w:val="00F8615F"/>
    <w:rsid w:val="00F86C39"/>
    <w:rsid w:val="00F86CFD"/>
    <w:rsid w:val="00F86DE6"/>
    <w:rsid w:val="00F875FC"/>
    <w:rsid w:val="00F878D0"/>
    <w:rsid w:val="00F87D79"/>
    <w:rsid w:val="00F87DB8"/>
    <w:rsid w:val="00F87E53"/>
    <w:rsid w:val="00F87F10"/>
    <w:rsid w:val="00F87FD5"/>
    <w:rsid w:val="00F901AE"/>
    <w:rsid w:val="00F902A3"/>
    <w:rsid w:val="00F902FF"/>
    <w:rsid w:val="00F904EC"/>
    <w:rsid w:val="00F90564"/>
    <w:rsid w:val="00F90789"/>
    <w:rsid w:val="00F907C1"/>
    <w:rsid w:val="00F907D3"/>
    <w:rsid w:val="00F908D7"/>
    <w:rsid w:val="00F90CC0"/>
    <w:rsid w:val="00F90CCE"/>
    <w:rsid w:val="00F90EA5"/>
    <w:rsid w:val="00F90F15"/>
    <w:rsid w:val="00F9102E"/>
    <w:rsid w:val="00F9123E"/>
    <w:rsid w:val="00F91636"/>
    <w:rsid w:val="00F9186C"/>
    <w:rsid w:val="00F9196E"/>
    <w:rsid w:val="00F919FF"/>
    <w:rsid w:val="00F91AEF"/>
    <w:rsid w:val="00F91E3F"/>
    <w:rsid w:val="00F91F97"/>
    <w:rsid w:val="00F9235A"/>
    <w:rsid w:val="00F92389"/>
    <w:rsid w:val="00F92633"/>
    <w:rsid w:val="00F9263E"/>
    <w:rsid w:val="00F92708"/>
    <w:rsid w:val="00F92884"/>
    <w:rsid w:val="00F928DB"/>
    <w:rsid w:val="00F92A77"/>
    <w:rsid w:val="00F92ACF"/>
    <w:rsid w:val="00F92B78"/>
    <w:rsid w:val="00F92C17"/>
    <w:rsid w:val="00F92D27"/>
    <w:rsid w:val="00F92E4C"/>
    <w:rsid w:val="00F92FCF"/>
    <w:rsid w:val="00F93093"/>
    <w:rsid w:val="00F932E3"/>
    <w:rsid w:val="00F9345A"/>
    <w:rsid w:val="00F93491"/>
    <w:rsid w:val="00F93564"/>
    <w:rsid w:val="00F93658"/>
    <w:rsid w:val="00F93695"/>
    <w:rsid w:val="00F937D3"/>
    <w:rsid w:val="00F938C3"/>
    <w:rsid w:val="00F93911"/>
    <w:rsid w:val="00F93AC4"/>
    <w:rsid w:val="00F93B3F"/>
    <w:rsid w:val="00F93BB8"/>
    <w:rsid w:val="00F93D91"/>
    <w:rsid w:val="00F93F17"/>
    <w:rsid w:val="00F93FA0"/>
    <w:rsid w:val="00F943F2"/>
    <w:rsid w:val="00F9460C"/>
    <w:rsid w:val="00F947D4"/>
    <w:rsid w:val="00F94902"/>
    <w:rsid w:val="00F949C3"/>
    <w:rsid w:val="00F94B5C"/>
    <w:rsid w:val="00F94D60"/>
    <w:rsid w:val="00F94E10"/>
    <w:rsid w:val="00F94EDC"/>
    <w:rsid w:val="00F94F63"/>
    <w:rsid w:val="00F94FA7"/>
    <w:rsid w:val="00F95031"/>
    <w:rsid w:val="00F9513B"/>
    <w:rsid w:val="00F951E0"/>
    <w:rsid w:val="00F9562A"/>
    <w:rsid w:val="00F957FE"/>
    <w:rsid w:val="00F95866"/>
    <w:rsid w:val="00F95B0A"/>
    <w:rsid w:val="00F95E01"/>
    <w:rsid w:val="00F95E5A"/>
    <w:rsid w:val="00F96050"/>
    <w:rsid w:val="00F9617B"/>
    <w:rsid w:val="00F9647D"/>
    <w:rsid w:val="00F964DC"/>
    <w:rsid w:val="00F9687E"/>
    <w:rsid w:val="00F968FE"/>
    <w:rsid w:val="00F96925"/>
    <w:rsid w:val="00F96B0D"/>
    <w:rsid w:val="00F96BA9"/>
    <w:rsid w:val="00F96DE3"/>
    <w:rsid w:val="00F96EEE"/>
    <w:rsid w:val="00F97097"/>
    <w:rsid w:val="00F97132"/>
    <w:rsid w:val="00F972E1"/>
    <w:rsid w:val="00F972E8"/>
    <w:rsid w:val="00F978EF"/>
    <w:rsid w:val="00F97964"/>
    <w:rsid w:val="00F97C57"/>
    <w:rsid w:val="00F97D6B"/>
    <w:rsid w:val="00F97E46"/>
    <w:rsid w:val="00FA0023"/>
    <w:rsid w:val="00FA0043"/>
    <w:rsid w:val="00FA0220"/>
    <w:rsid w:val="00FA036A"/>
    <w:rsid w:val="00FA0370"/>
    <w:rsid w:val="00FA03BB"/>
    <w:rsid w:val="00FA0480"/>
    <w:rsid w:val="00FA0500"/>
    <w:rsid w:val="00FA05D7"/>
    <w:rsid w:val="00FA0727"/>
    <w:rsid w:val="00FA078A"/>
    <w:rsid w:val="00FA0B0C"/>
    <w:rsid w:val="00FA0B95"/>
    <w:rsid w:val="00FA0D9B"/>
    <w:rsid w:val="00FA0F95"/>
    <w:rsid w:val="00FA0FC7"/>
    <w:rsid w:val="00FA100A"/>
    <w:rsid w:val="00FA122B"/>
    <w:rsid w:val="00FA1240"/>
    <w:rsid w:val="00FA1337"/>
    <w:rsid w:val="00FA1521"/>
    <w:rsid w:val="00FA157C"/>
    <w:rsid w:val="00FA15D5"/>
    <w:rsid w:val="00FA16E8"/>
    <w:rsid w:val="00FA199F"/>
    <w:rsid w:val="00FA19A5"/>
    <w:rsid w:val="00FA1A5E"/>
    <w:rsid w:val="00FA1B99"/>
    <w:rsid w:val="00FA1D13"/>
    <w:rsid w:val="00FA2221"/>
    <w:rsid w:val="00FA2468"/>
    <w:rsid w:val="00FA2604"/>
    <w:rsid w:val="00FA2632"/>
    <w:rsid w:val="00FA2A6A"/>
    <w:rsid w:val="00FA2C84"/>
    <w:rsid w:val="00FA2CA8"/>
    <w:rsid w:val="00FA309E"/>
    <w:rsid w:val="00FA30AE"/>
    <w:rsid w:val="00FA32BF"/>
    <w:rsid w:val="00FA342C"/>
    <w:rsid w:val="00FA3A8C"/>
    <w:rsid w:val="00FA3AB0"/>
    <w:rsid w:val="00FA3B03"/>
    <w:rsid w:val="00FA3B34"/>
    <w:rsid w:val="00FA3BB5"/>
    <w:rsid w:val="00FA3BDB"/>
    <w:rsid w:val="00FA3CE0"/>
    <w:rsid w:val="00FA3E0C"/>
    <w:rsid w:val="00FA4115"/>
    <w:rsid w:val="00FA4145"/>
    <w:rsid w:val="00FA4261"/>
    <w:rsid w:val="00FA4322"/>
    <w:rsid w:val="00FA43F4"/>
    <w:rsid w:val="00FA4783"/>
    <w:rsid w:val="00FA4A44"/>
    <w:rsid w:val="00FA4B3C"/>
    <w:rsid w:val="00FA4B47"/>
    <w:rsid w:val="00FA4BCA"/>
    <w:rsid w:val="00FA4E57"/>
    <w:rsid w:val="00FA4E68"/>
    <w:rsid w:val="00FA4EF4"/>
    <w:rsid w:val="00FA4F8D"/>
    <w:rsid w:val="00FA4FBB"/>
    <w:rsid w:val="00FA5416"/>
    <w:rsid w:val="00FA54AD"/>
    <w:rsid w:val="00FA57AE"/>
    <w:rsid w:val="00FA5896"/>
    <w:rsid w:val="00FA5A53"/>
    <w:rsid w:val="00FA5B21"/>
    <w:rsid w:val="00FA5B4F"/>
    <w:rsid w:val="00FA5C3D"/>
    <w:rsid w:val="00FA5D17"/>
    <w:rsid w:val="00FA5D3B"/>
    <w:rsid w:val="00FA5DFB"/>
    <w:rsid w:val="00FA5E8C"/>
    <w:rsid w:val="00FA5EBE"/>
    <w:rsid w:val="00FA64F4"/>
    <w:rsid w:val="00FA659A"/>
    <w:rsid w:val="00FA671B"/>
    <w:rsid w:val="00FA674B"/>
    <w:rsid w:val="00FA6783"/>
    <w:rsid w:val="00FA6861"/>
    <w:rsid w:val="00FA6966"/>
    <w:rsid w:val="00FA697F"/>
    <w:rsid w:val="00FA6B2F"/>
    <w:rsid w:val="00FA6C67"/>
    <w:rsid w:val="00FA6D58"/>
    <w:rsid w:val="00FA7037"/>
    <w:rsid w:val="00FA727A"/>
    <w:rsid w:val="00FA731B"/>
    <w:rsid w:val="00FA794D"/>
    <w:rsid w:val="00FA794E"/>
    <w:rsid w:val="00FA7A69"/>
    <w:rsid w:val="00FA7AEC"/>
    <w:rsid w:val="00FA7B44"/>
    <w:rsid w:val="00FA7B59"/>
    <w:rsid w:val="00FA7C35"/>
    <w:rsid w:val="00FA7C3A"/>
    <w:rsid w:val="00FA7D65"/>
    <w:rsid w:val="00FB000A"/>
    <w:rsid w:val="00FB003C"/>
    <w:rsid w:val="00FB00AE"/>
    <w:rsid w:val="00FB00FC"/>
    <w:rsid w:val="00FB01B3"/>
    <w:rsid w:val="00FB01F9"/>
    <w:rsid w:val="00FB0275"/>
    <w:rsid w:val="00FB0534"/>
    <w:rsid w:val="00FB071C"/>
    <w:rsid w:val="00FB0760"/>
    <w:rsid w:val="00FB0976"/>
    <w:rsid w:val="00FB0A04"/>
    <w:rsid w:val="00FB11A2"/>
    <w:rsid w:val="00FB137A"/>
    <w:rsid w:val="00FB13D0"/>
    <w:rsid w:val="00FB1512"/>
    <w:rsid w:val="00FB164F"/>
    <w:rsid w:val="00FB168F"/>
    <w:rsid w:val="00FB16CF"/>
    <w:rsid w:val="00FB188F"/>
    <w:rsid w:val="00FB198B"/>
    <w:rsid w:val="00FB1B7D"/>
    <w:rsid w:val="00FB1CBC"/>
    <w:rsid w:val="00FB1D2B"/>
    <w:rsid w:val="00FB1D8F"/>
    <w:rsid w:val="00FB1EC6"/>
    <w:rsid w:val="00FB2072"/>
    <w:rsid w:val="00FB21AF"/>
    <w:rsid w:val="00FB2395"/>
    <w:rsid w:val="00FB2431"/>
    <w:rsid w:val="00FB2545"/>
    <w:rsid w:val="00FB261C"/>
    <w:rsid w:val="00FB2643"/>
    <w:rsid w:val="00FB2654"/>
    <w:rsid w:val="00FB271A"/>
    <w:rsid w:val="00FB286E"/>
    <w:rsid w:val="00FB29BD"/>
    <w:rsid w:val="00FB2AFD"/>
    <w:rsid w:val="00FB2B91"/>
    <w:rsid w:val="00FB2BA2"/>
    <w:rsid w:val="00FB2BAE"/>
    <w:rsid w:val="00FB2BED"/>
    <w:rsid w:val="00FB2CEB"/>
    <w:rsid w:val="00FB2CEF"/>
    <w:rsid w:val="00FB2D18"/>
    <w:rsid w:val="00FB2D43"/>
    <w:rsid w:val="00FB2DDF"/>
    <w:rsid w:val="00FB2E28"/>
    <w:rsid w:val="00FB2FE2"/>
    <w:rsid w:val="00FB34FF"/>
    <w:rsid w:val="00FB35F9"/>
    <w:rsid w:val="00FB3678"/>
    <w:rsid w:val="00FB36B7"/>
    <w:rsid w:val="00FB371C"/>
    <w:rsid w:val="00FB3727"/>
    <w:rsid w:val="00FB374B"/>
    <w:rsid w:val="00FB3BAD"/>
    <w:rsid w:val="00FB3F66"/>
    <w:rsid w:val="00FB40B7"/>
    <w:rsid w:val="00FB41A3"/>
    <w:rsid w:val="00FB429C"/>
    <w:rsid w:val="00FB43D9"/>
    <w:rsid w:val="00FB43ED"/>
    <w:rsid w:val="00FB470F"/>
    <w:rsid w:val="00FB4831"/>
    <w:rsid w:val="00FB4CE6"/>
    <w:rsid w:val="00FB4EF7"/>
    <w:rsid w:val="00FB4FB2"/>
    <w:rsid w:val="00FB5101"/>
    <w:rsid w:val="00FB5261"/>
    <w:rsid w:val="00FB53D0"/>
    <w:rsid w:val="00FB53D1"/>
    <w:rsid w:val="00FB5486"/>
    <w:rsid w:val="00FB54E6"/>
    <w:rsid w:val="00FB578A"/>
    <w:rsid w:val="00FB57C1"/>
    <w:rsid w:val="00FB57D0"/>
    <w:rsid w:val="00FB5875"/>
    <w:rsid w:val="00FB5B32"/>
    <w:rsid w:val="00FB5D17"/>
    <w:rsid w:val="00FB5DF7"/>
    <w:rsid w:val="00FB5ED1"/>
    <w:rsid w:val="00FB5F7E"/>
    <w:rsid w:val="00FB65BC"/>
    <w:rsid w:val="00FB65C0"/>
    <w:rsid w:val="00FB66EE"/>
    <w:rsid w:val="00FB6775"/>
    <w:rsid w:val="00FB697D"/>
    <w:rsid w:val="00FB6985"/>
    <w:rsid w:val="00FB6B36"/>
    <w:rsid w:val="00FB6C24"/>
    <w:rsid w:val="00FB6D43"/>
    <w:rsid w:val="00FB6E4A"/>
    <w:rsid w:val="00FB7121"/>
    <w:rsid w:val="00FB7202"/>
    <w:rsid w:val="00FB7587"/>
    <w:rsid w:val="00FB7594"/>
    <w:rsid w:val="00FB7654"/>
    <w:rsid w:val="00FB7680"/>
    <w:rsid w:val="00FB769B"/>
    <w:rsid w:val="00FB76CE"/>
    <w:rsid w:val="00FB7786"/>
    <w:rsid w:val="00FB7858"/>
    <w:rsid w:val="00FB7B84"/>
    <w:rsid w:val="00FB7BE0"/>
    <w:rsid w:val="00FB7C4B"/>
    <w:rsid w:val="00FC004E"/>
    <w:rsid w:val="00FC00A3"/>
    <w:rsid w:val="00FC0181"/>
    <w:rsid w:val="00FC01C0"/>
    <w:rsid w:val="00FC0212"/>
    <w:rsid w:val="00FC03B6"/>
    <w:rsid w:val="00FC0431"/>
    <w:rsid w:val="00FC04D2"/>
    <w:rsid w:val="00FC056B"/>
    <w:rsid w:val="00FC0575"/>
    <w:rsid w:val="00FC07BC"/>
    <w:rsid w:val="00FC0BCD"/>
    <w:rsid w:val="00FC0C83"/>
    <w:rsid w:val="00FC0FE0"/>
    <w:rsid w:val="00FC1184"/>
    <w:rsid w:val="00FC1185"/>
    <w:rsid w:val="00FC1248"/>
    <w:rsid w:val="00FC1532"/>
    <w:rsid w:val="00FC15C1"/>
    <w:rsid w:val="00FC15DC"/>
    <w:rsid w:val="00FC1621"/>
    <w:rsid w:val="00FC162B"/>
    <w:rsid w:val="00FC16D2"/>
    <w:rsid w:val="00FC171C"/>
    <w:rsid w:val="00FC1781"/>
    <w:rsid w:val="00FC17F8"/>
    <w:rsid w:val="00FC18AF"/>
    <w:rsid w:val="00FC190C"/>
    <w:rsid w:val="00FC192D"/>
    <w:rsid w:val="00FC1A29"/>
    <w:rsid w:val="00FC1BE6"/>
    <w:rsid w:val="00FC1CBA"/>
    <w:rsid w:val="00FC1D31"/>
    <w:rsid w:val="00FC1FA4"/>
    <w:rsid w:val="00FC2323"/>
    <w:rsid w:val="00FC2341"/>
    <w:rsid w:val="00FC26E9"/>
    <w:rsid w:val="00FC2733"/>
    <w:rsid w:val="00FC273A"/>
    <w:rsid w:val="00FC29A0"/>
    <w:rsid w:val="00FC2ACA"/>
    <w:rsid w:val="00FC2BDB"/>
    <w:rsid w:val="00FC2F58"/>
    <w:rsid w:val="00FC2F9A"/>
    <w:rsid w:val="00FC31D5"/>
    <w:rsid w:val="00FC32D4"/>
    <w:rsid w:val="00FC3444"/>
    <w:rsid w:val="00FC34F4"/>
    <w:rsid w:val="00FC3575"/>
    <w:rsid w:val="00FC35D8"/>
    <w:rsid w:val="00FC3620"/>
    <w:rsid w:val="00FC3AD7"/>
    <w:rsid w:val="00FC3F8F"/>
    <w:rsid w:val="00FC4552"/>
    <w:rsid w:val="00FC4598"/>
    <w:rsid w:val="00FC4631"/>
    <w:rsid w:val="00FC469B"/>
    <w:rsid w:val="00FC46D9"/>
    <w:rsid w:val="00FC4A51"/>
    <w:rsid w:val="00FC4BF6"/>
    <w:rsid w:val="00FC4C11"/>
    <w:rsid w:val="00FC4C4D"/>
    <w:rsid w:val="00FC4DEB"/>
    <w:rsid w:val="00FC4E42"/>
    <w:rsid w:val="00FC5234"/>
    <w:rsid w:val="00FC53E8"/>
    <w:rsid w:val="00FC54E6"/>
    <w:rsid w:val="00FC5510"/>
    <w:rsid w:val="00FC5589"/>
    <w:rsid w:val="00FC55D6"/>
    <w:rsid w:val="00FC573B"/>
    <w:rsid w:val="00FC5758"/>
    <w:rsid w:val="00FC5796"/>
    <w:rsid w:val="00FC5879"/>
    <w:rsid w:val="00FC5B03"/>
    <w:rsid w:val="00FC5B29"/>
    <w:rsid w:val="00FC5BB2"/>
    <w:rsid w:val="00FC5BCC"/>
    <w:rsid w:val="00FC5CB2"/>
    <w:rsid w:val="00FC5CCD"/>
    <w:rsid w:val="00FC5E45"/>
    <w:rsid w:val="00FC5EAB"/>
    <w:rsid w:val="00FC5F3E"/>
    <w:rsid w:val="00FC602E"/>
    <w:rsid w:val="00FC6076"/>
    <w:rsid w:val="00FC64C9"/>
    <w:rsid w:val="00FC6659"/>
    <w:rsid w:val="00FC6726"/>
    <w:rsid w:val="00FC687C"/>
    <w:rsid w:val="00FC68F2"/>
    <w:rsid w:val="00FC6A58"/>
    <w:rsid w:val="00FC6B1B"/>
    <w:rsid w:val="00FC6BEA"/>
    <w:rsid w:val="00FC6D21"/>
    <w:rsid w:val="00FC6DC2"/>
    <w:rsid w:val="00FC6DE0"/>
    <w:rsid w:val="00FC6DEF"/>
    <w:rsid w:val="00FC6FB5"/>
    <w:rsid w:val="00FC73E9"/>
    <w:rsid w:val="00FC74BC"/>
    <w:rsid w:val="00FC74EE"/>
    <w:rsid w:val="00FC7791"/>
    <w:rsid w:val="00FC77A5"/>
    <w:rsid w:val="00FC7899"/>
    <w:rsid w:val="00FC796E"/>
    <w:rsid w:val="00FC7C87"/>
    <w:rsid w:val="00FC7CB8"/>
    <w:rsid w:val="00FC7CCC"/>
    <w:rsid w:val="00FC7D62"/>
    <w:rsid w:val="00FC7DB7"/>
    <w:rsid w:val="00FC7E5F"/>
    <w:rsid w:val="00FD009A"/>
    <w:rsid w:val="00FD053B"/>
    <w:rsid w:val="00FD0671"/>
    <w:rsid w:val="00FD06FE"/>
    <w:rsid w:val="00FD074D"/>
    <w:rsid w:val="00FD0ABC"/>
    <w:rsid w:val="00FD0E8E"/>
    <w:rsid w:val="00FD1432"/>
    <w:rsid w:val="00FD152E"/>
    <w:rsid w:val="00FD1568"/>
    <w:rsid w:val="00FD156F"/>
    <w:rsid w:val="00FD1947"/>
    <w:rsid w:val="00FD19AA"/>
    <w:rsid w:val="00FD1B60"/>
    <w:rsid w:val="00FD1CE1"/>
    <w:rsid w:val="00FD1CE6"/>
    <w:rsid w:val="00FD1D57"/>
    <w:rsid w:val="00FD1DF7"/>
    <w:rsid w:val="00FD1FD0"/>
    <w:rsid w:val="00FD20CA"/>
    <w:rsid w:val="00FD252C"/>
    <w:rsid w:val="00FD2624"/>
    <w:rsid w:val="00FD280B"/>
    <w:rsid w:val="00FD2BE1"/>
    <w:rsid w:val="00FD2D97"/>
    <w:rsid w:val="00FD2DB1"/>
    <w:rsid w:val="00FD31D3"/>
    <w:rsid w:val="00FD3235"/>
    <w:rsid w:val="00FD3297"/>
    <w:rsid w:val="00FD370D"/>
    <w:rsid w:val="00FD386B"/>
    <w:rsid w:val="00FD3992"/>
    <w:rsid w:val="00FD3EB7"/>
    <w:rsid w:val="00FD411D"/>
    <w:rsid w:val="00FD430C"/>
    <w:rsid w:val="00FD43B7"/>
    <w:rsid w:val="00FD43D4"/>
    <w:rsid w:val="00FD46BB"/>
    <w:rsid w:val="00FD49AE"/>
    <w:rsid w:val="00FD4BB6"/>
    <w:rsid w:val="00FD4CEA"/>
    <w:rsid w:val="00FD4D42"/>
    <w:rsid w:val="00FD4D6D"/>
    <w:rsid w:val="00FD4F0D"/>
    <w:rsid w:val="00FD5182"/>
    <w:rsid w:val="00FD52CE"/>
    <w:rsid w:val="00FD5577"/>
    <w:rsid w:val="00FD557F"/>
    <w:rsid w:val="00FD5769"/>
    <w:rsid w:val="00FD580B"/>
    <w:rsid w:val="00FD5859"/>
    <w:rsid w:val="00FD5955"/>
    <w:rsid w:val="00FD5AFA"/>
    <w:rsid w:val="00FD5E43"/>
    <w:rsid w:val="00FD6137"/>
    <w:rsid w:val="00FD61F3"/>
    <w:rsid w:val="00FD62E3"/>
    <w:rsid w:val="00FD648D"/>
    <w:rsid w:val="00FD671E"/>
    <w:rsid w:val="00FD6744"/>
    <w:rsid w:val="00FD6807"/>
    <w:rsid w:val="00FD6A02"/>
    <w:rsid w:val="00FD6E11"/>
    <w:rsid w:val="00FD6F40"/>
    <w:rsid w:val="00FD7131"/>
    <w:rsid w:val="00FD726C"/>
    <w:rsid w:val="00FD7312"/>
    <w:rsid w:val="00FD7348"/>
    <w:rsid w:val="00FD734E"/>
    <w:rsid w:val="00FD73B2"/>
    <w:rsid w:val="00FD7415"/>
    <w:rsid w:val="00FD77A4"/>
    <w:rsid w:val="00FD77F4"/>
    <w:rsid w:val="00FD78AD"/>
    <w:rsid w:val="00FD7BC4"/>
    <w:rsid w:val="00FD7DD8"/>
    <w:rsid w:val="00FD7E4F"/>
    <w:rsid w:val="00FE0033"/>
    <w:rsid w:val="00FE0088"/>
    <w:rsid w:val="00FE0435"/>
    <w:rsid w:val="00FE069D"/>
    <w:rsid w:val="00FE06E9"/>
    <w:rsid w:val="00FE0740"/>
    <w:rsid w:val="00FE0976"/>
    <w:rsid w:val="00FE0B2C"/>
    <w:rsid w:val="00FE0EEC"/>
    <w:rsid w:val="00FE101B"/>
    <w:rsid w:val="00FE1031"/>
    <w:rsid w:val="00FE1117"/>
    <w:rsid w:val="00FE1142"/>
    <w:rsid w:val="00FE11CB"/>
    <w:rsid w:val="00FE11FD"/>
    <w:rsid w:val="00FE1325"/>
    <w:rsid w:val="00FE13CD"/>
    <w:rsid w:val="00FE159D"/>
    <w:rsid w:val="00FE191A"/>
    <w:rsid w:val="00FE1ABE"/>
    <w:rsid w:val="00FE1B7E"/>
    <w:rsid w:val="00FE1B8E"/>
    <w:rsid w:val="00FE1BD0"/>
    <w:rsid w:val="00FE1D42"/>
    <w:rsid w:val="00FE1D9D"/>
    <w:rsid w:val="00FE1DDC"/>
    <w:rsid w:val="00FE2157"/>
    <w:rsid w:val="00FE2166"/>
    <w:rsid w:val="00FE2183"/>
    <w:rsid w:val="00FE227E"/>
    <w:rsid w:val="00FE22EC"/>
    <w:rsid w:val="00FE2493"/>
    <w:rsid w:val="00FE2698"/>
    <w:rsid w:val="00FE28AE"/>
    <w:rsid w:val="00FE28DF"/>
    <w:rsid w:val="00FE2921"/>
    <w:rsid w:val="00FE2B40"/>
    <w:rsid w:val="00FE2CA4"/>
    <w:rsid w:val="00FE2DCD"/>
    <w:rsid w:val="00FE2E2F"/>
    <w:rsid w:val="00FE2E7D"/>
    <w:rsid w:val="00FE2F5F"/>
    <w:rsid w:val="00FE318B"/>
    <w:rsid w:val="00FE33DA"/>
    <w:rsid w:val="00FE3512"/>
    <w:rsid w:val="00FE356A"/>
    <w:rsid w:val="00FE356D"/>
    <w:rsid w:val="00FE3660"/>
    <w:rsid w:val="00FE36BD"/>
    <w:rsid w:val="00FE379A"/>
    <w:rsid w:val="00FE3A61"/>
    <w:rsid w:val="00FE3C17"/>
    <w:rsid w:val="00FE3F46"/>
    <w:rsid w:val="00FE4298"/>
    <w:rsid w:val="00FE4536"/>
    <w:rsid w:val="00FE45B0"/>
    <w:rsid w:val="00FE4752"/>
    <w:rsid w:val="00FE4871"/>
    <w:rsid w:val="00FE4903"/>
    <w:rsid w:val="00FE4A7B"/>
    <w:rsid w:val="00FE4AD2"/>
    <w:rsid w:val="00FE4C58"/>
    <w:rsid w:val="00FE4CF1"/>
    <w:rsid w:val="00FE50B8"/>
    <w:rsid w:val="00FE55FD"/>
    <w:rsid w:val="00FE5668"/>
    <w:rsid w:val="00FE584A"/>
    <w:rsid w:val="00FE586E"/>
    <w:rsid w:val="00FE59B9"/>
    <w:rsid w:val="00FE59DB"/>
    <w:rsid w:val="00FE5B77"/>
    <w:rsid w:val="00FE5C44"/>
    <w:rsid w:val="00FE5D13"/>
    <w:rsid w:val="00FE5EDE"/>
    <w:rsid w:val="00FE5FF8"/>
    <w:rsid w:val="00FE63CE"/>
    <w:rsid w:val="00FE6465"/>
    <w:rsid w:val="00FE6487"/>
    <w:rsid w:val="00FE670D"/>
    <w:rsid w:val="00FE6814"/>
    <w:rsid w:val="00FE6AAB"/>
    <w:rsid w:val="00FE6E33"/>
    <w:rsid w:val="00FE6E78"/>
    <w:rsid w:val="00FE6F22"/>
    <w:rsid w:val="00FE7167"/>
    <w:rsid w:val="00FE719E"/>
    <w:rsid w:val="00FE7398"/>
    <w:rsid w:val="00FE747F"/>
    <w:rsid w:val="00FE76CC"/>
    <w:rsid w:val="00FE7964"/>
    <w:rsid w:val="00FE7969"/>
    <w:rsid w:val="00FE79CD"/>
    <w:rsid w:val="00FE79D6"/>
    <w:rsid w:val="00FE7BD3"/>
    <w:rsid w:val="00FE7CFC"/>
    <w:rsid w:val="00FE7F29"/>
    <w:rsid w:val="00FF001C"/>
    <w:rsid w:val="00FF0208"/>
    <w:rsid w:val="00FF027F"/>
    <w:rsid w:val="00FF02DE"/>
    <w:rsid w:val="00FF0361"/>
    <w:rsid w:val="00FF0470"/>
    <w:rsid w:val="00FF0579"/>
    <w:rsid w:val="00FF061F"/>
    <w:rsid w:val="00FF06D4"/>
    <w:rsid w:val="00FF081E"/>
    <w:rsid w:val="00FF0945"/>
    <w:rsid w:val="00FF09EE"/>
    <w:rsid w:val="00FF0B33"/>
    <w:rsid w:val="00FF0B75"/>
    <w:rsid w:val="00FF0BC7"/>
    <w:rsid w:val="00FF0C1C"/>
    <w:rsid w:val="00FF0C9D"/>
    <w:rsid w:val="00FF0E4B"/>
    <w:rsid w:val="00FF0EFA"/>
    <w:rsid w:val="00FF0F99"/>
    <w:rsid w:val="00FF0FA4"/>
    <w:rsid w:val="00FF0FB9"/>
    <w:rsid w:val="00FF0FED"/>
    <w:rsid w:val="00FF103A"/>
    <w:rsid w:val="00FF10F7"/>
    <w:rsid w:val="00FF1562"/>
    <w:rsid w:val="00FF15CE"/>
    <w:rsid w:val="00FF163C"/>
    <w:rsid w:val="00FF165B"/>
    <w:rsid w:val="00FF16E4"/>
    <w:rsid w:val="00FF1774"/>
    <w:rsid w:val="00FF18AB"/>
    <w:rsid w:val="00FF1917"/>
    <w:rsid w:val="00FF192A"/>
    <w:rsid w:val="00FF1BAD"/>
    <w:rsid w:val="00FF1C72"/>
    <w:rsid w:val="00FF1E9D"/>
    <w:rsid w:val="00FF1F2F"/>
    <w:rsid w:val="00FF1F7B"/>
    <w:rsid w:val="00FF21A3"/>
    <w:rsid w:val="00FF24E9"/>
    <w:rsid w:val="00FF278F"/>
    <w:rsid w:val="00FF27DC"/>
    <w:rsid w:val="00FF2EB7"/>
    <w:rsid w:val="00FF3088"/>
    <w:rsid w:val="00FF3341"/>
    <w:rsid w:val="00FF3366"/>
    <w:rsid w:val="00FF33A8"/>
    <w:rsid w:val="00FF33AC"/>
    <w:rsid w:val="00FF34F9"/>
    <w:rsid w:val="00FF353B"/>
    <w:rsid w:val="00FF35B2"/>
    <w:rsid w:val="00FF362D"/>
    <w:rsid w:val="00FF379D"/>
    <w:rsid w:val="00FF37AB"/>
    <w:rsid w:val="00FF3BA3"/>
    <w:rsid w:val="00FF3C26"/>
    <w:rsid w:val="00FF3CF5"/>
    <w:rsid w:val="00FF3ED6"/>
    <w:rsid w:val="00FF3F44"/>
    <w:rsid w:val="00FF3F85"/>
    <w:rsid w:val="00FF3FD5"/>
    <w:rsid w:val="00FF3FF1"/>
    <w:rsid w:val="00FF40DB"/>
    <w:rsid w:val="00FF42D3"/>
    <w:rsid w:val="00FF4460"/>
    <w:rsid w:val="00FF4A43"/>
    <w:rsid w:val="00FF4E6E"/>
    <w:rsid w:val="00FF4FC5"/>
    <w:rsid w:val="00FF514D"/>
    <w:rsid w:val="00FF5495"/>
    <w:rsid w:val="00FF55BF"/>
    <w:rsid w:val="00FF5725"/>
    <w:rsid w:val="00FF57BA"/>
    <w:rsid w:val="00FF57E5"/>
    <w:rsid w:val="00FF57FA"/>
    <w:rsid w:val="00FF587A"/>
    <w:rsid w:val="00FF5928"/>
    <w:rsid w:val="00FF5A90"/>
    <w:rsid w:val="00FF5AA7"/>
    <w:rsid w:val="00FF5DB1"/>
    <w:rsid w:val="00FF607F"/>
    <w:rsid w:val="00FF6343"/>
    <w:rsid w:val="00FF6586"/>
    <w:rsid w:val="00FF676C"/>
    <w:rsid w:val="00FF6A2E"/>
    <w:rsid w:val="00FF6A41"/>
    <w:rsid w:val="00FF6B51"/>
    <w:rsid w:val="00FF6F00"/>
    <w:rsid w:val="00FF70E9"/>
    <w:rsid w:val="00FF757E"/>
    <w:rsid w:val="00FF772B"/>
    <w:rsid w:val="00FF77FB"/>
    <w:rsid w:val="00FF79B2"/>
    <w:rsid w:val="00FF7A74"/>
    <w:rsid w:val="00FF7DC7"/>
    <w:rsid w:val="00FF7EE6"/>
    <w:rsid w:val="00FF7FF3"/>
    <w:rsid w:val="010D92E9"/>
    <w:rsid w:val="0113805B"/>
    <w:rsid w:val="01145FFE"/>
    <w:rsid w:val="01220060"/>
    <w:rsid w:val="0139B5A0"/>
    <w:rsid w:val="0143C7F3"/>
    <w:rsid w:val="01513CF8"/>
    <w:rsid w:val="0154B0E9"/>
    <w:rsid w:val="016156AF"/>
    <w:rsid w:val="016DCC92"/>
    <w:rsid w:val="017A067A"/>
    <w:rsid w:val="01869D9F"/>
    <w:rsid w:val="01996C05"/>
    <w:rsid w:val="01C375DC"/>
    <w:rsid w:val="01C77980"/>
    <w:rsid w:val="01DBEA0F"/>
    <w:rsid w:val="01EA311D"/>
    <w:rsid w:val="01F2F3E8"/>
    <w:rsid w:val="0232D2F6"/>
    <w:rsid w:val="0246CCA2"/>
    <w:rsid w:val="0267F94E"/>
    <w:rsid w:val="026F894D"/>
    <w:rsid w:val="0291F28F"/>
    <w:rsid w:val="02989864"/>
    <w:rsid w:val="02A1D8B8"/>
    <w:rsid w:val="02B0B8A6"/>
    <w:rsid w:val="02E519F9"/>
    <w:rsid w:val="02E80984"/>
    <w:rsid w:val="02F973A1"/>
    <w:rsid w:val="0308BAA4"/>
    <w:rsid w:val="030E484A"/>
    <w:rsid w:val="0342045F"/>
    <w:rsid w:val="03455064"/>
    <w:rsid w:val="034B7D41"/>
    <w:rsid w:val="034BD6CF"/>
    <w:rsid w:val="0351D7C2"/>
    <w:rsid w:val="0354CD63"/>
    <w:rsid w:val="03614B72"/>
    <w:rsid w:val="03A01E75"/>
    <w:rsid w:val="03A7C10B"/>
    <w:rsid w:val="03C1848E"/>
    <w:rsid w:val="03DE2332"/>
    <w:rsid w:val="03FE9320"/>
    <w:rsid w:val="0403E715"/>
    <w:rsid w:val="0411A4FB"/>
    <w:rsid w:val="041BE5DF"/>
    <w:rsid w:val="04280209"/>
    <w:rsid w:val="0458C2D5"/>
    <w:rsid w:val="045F6BDD"/>
    <w:rsid w:val="045FA1E8"/>
    <w:rsid w:val="046771DC"/>
    <w:rsid w:val="04A07C29"/>
    <w:rsid w:val="04B88CC7"/>
    <w:rsid w:val="0518378F"/>
    <w:rsid w:val="0529F8CA"/>
    <w:rsid w:val="052F9800"/>
    <w:rsid w:val="053198CA"/>
    <w:rsid w:val="05413E23"/>
    <w:rsid w:val="0590FD15"/>
    <w:rsid w:val="059C2709"/>
    <w:rsid w:val="05D2405D"/>
    <w:rsid w:val="05DCC72A"/>
    <w:rsid w:val="05E6023F"/>
    <w:rsid w:val="05EB1569"/>
    <w:rsid w:val="06258E19"/>
    <w:rsid w:val="062AFB0F"/>
    <w:rsid w:val="064BE613"/>
    <w:rsid w:val="064F9BC9"/>
    <w:rsid w:val="067E9D6B"/>
    <w:rsid w:val="068C9913"/>
    <w:rsid w:val="06ADA0EB"/>
    <w:rsid w:val="06C6B3CB"/>
    <w:rsid w:val="06DBCFAE"/>
    <w:rsid w:val="06DE8989"/>
    <w:rsid w:val="06E07A61"/>
    <w:rsid w:val="06ED7706"/>
    <w:rsid w:val="06F7A26B"/>
    <w:rsid w:val="06FEFDFE"/>
    <w:rsid w:val="07125250"/>
    <w:rsid w:val="0718F233"/>
    <w:rsid w:val="0726AB0C"/>
    <w:rsid w:val="07311E6D"/>
    <w:rsid w:val="073B6924"/>
    <w:rsid w:val="07509E87"/>
    <w:rsid w:val="076674C5"/>
    <w:rsid w:val="076D3349"/>
    <w:rsid w:val="078259E4"/>
    <w:rsid w:val="0789A0A5"/>
    <w:rsid w:val="078B3BD3"/>
    <w:rsid w:val="0799EFF2"/>
    <w:rsid w:val="079F79FE"/>
    <w:rsid w:val="07A7AB18"/>
    <w:rsid w:val="07E08764"/>
    <w:rsid w:val="07E7A7EB"/>
    <w:rsid w:val="0804A7B5"/>
    <w:rsid w:val="081CC19A"/>
    <w:rsid w:val="08236B1F"/>
    <w:rsid w:val="0844176F"/>
    <w:rsid w:val="0849E65C"/>
    <w:rsid w:val="0894BFF0"/>
    <w:rsid w:val="08966BFB"/>
    <w:rsid w:val="08A9EB32"/>
    <w:rsid w:val="08AB72DD"/>
    <w:rsid w:val="08D67002"/>
    <w:rsid w:val="09056258"/>
    <w:rsid w:val="0911F46C"/>
    <w:rsid w:val="0928B24F"/>
    <w:rsid w:val="092B9525"/>
    <w:rsid w:val="092E7E71"/>
    <w:rsid w:val="094DF9E8"/>
    <w:rsid w:val="09720502"/>
    <w:rsid w:val="09750887"/>
    <w:rsid w:val="0976B69B"/>
    <w:rsid w:val="09932C22"/>
    <w:rsid w:val="0994BF66"/>
    <w:rsid w:val="099B00AA"/>
    <w:rsid w:val="09A6D9C2"/>
    <w:rsid w:val="09BD334D"/>
    <w:rsid w:val="09BF5DC9"/>
    <w:rsid w:val="09CBE550"/>
    <w:rsid w:val="09D7D096"/>
    <w:rsid w:val="09D9AFA3"/>
    <w:rsid w:val="09DA7867"/>
    <w:rsid w:val="09DE0BA3"/>
    <w:rsid w:val="09EF3B4B"/>
    <w:rsid w:val="09F6D704"/>
    <w:rsid w:val="0A0AAA9B"/>
    <w:rsid w:val="0A414FFC"/>
    <w:rsid w:val="0A46DABD"/>
    <w:rsid w:val="0A5666EE"/>
    <w:rsid w:val="0A6F85E0"/>
    <w:rsid w:val="0A712F64"/>
    <w:rsid w:val="0A713B28"/>
    <w:rsid w:val="0A73572A"/>
    <w:rsid w:val="0A75CCD6"/>
    <w:rsid w:val="0A776ED9"/>
    <w:rsid w:val="0A834388"/>
    <w:rsid w:val="0A919AB1"/>
    <w:rsid w:val="0AA11CE4"/>
    <w:rsid w:val="0AB8CCC7"/>
    <w:rsid w:val="0AD02C3C"/>
    <w:rsid w:val="0AED2F3A"/>
    <w:rsid w:val="0B0007BD"/>
    <w:rsid w:val="0B18014E"/>
    <w:rsid w:val="0B23A0C8"/>
    <w:rsid w:val="0B2A57AF"/>
    <w:rsid w:val="0B39A0D2"/>
    <w:rsid w:val="0B7C8D88"/>
    <w:rsid w:val="0B86AA18"/>
    <w:rsid w:val="0B86D5C5"/>
    <w:rsid w:val="0BACCA79"/>
    <w:rsid w:val="0BBA0BCA"/>
    <w:rsid w:val="0BCCB9A0"/>
    <w:rsid w:val="0BE19103"/>
    <w:rsid w:val="0BEB98F5"/>
    <w:rsid w:val="0BFB2A8D"/>
    <w:rsid w:val="0BFC1851"/>
    <w:rsid w:val="0C0AE9F0"/>
    <w:rsid w:val="0C2D4951"/>
    <w:rsid w:val="0C4C615B"/>
    <w:rsid w:val="0C676A92"/>
    <w:rsid w:val="0C74AC80"/>
    <w:rsid w:val="0CA566A0"/>
    <w:rsid w:val="0CB76806"/>
    <w:rsid w:val="0CC0D06F"/>
    <w:rsid w:val="0CC2FD8B"/>
    <w:rsid w:val="0CC880D3"/>
    <w:rsid w:val="0CD0F259"/>
    <w:rsid w:val="0CD89C24"/>
    <w:rsid w:val="0CE299E3"/>
    <w:rsid w:val="0D0A93EB"/>
    <w:rsid w:val="0D164DEC"/>
    <w:rsid w:val="0D2F8CE6"/>
    <w:rsid w:val="0D3CB953"/>
    <w:rsid w:val="0D3CF0B3"/>
    <w:rsid w:val="0D5FFA95"/>
    <w:rsid w:val="0D7F8EE2"/>
    <w:rsid w:val="0D8B7BA3"/>
    <w:rsid w:val="0D8CBBCD"/>
    <w:rsid w:val="0D916850"/>
    <w:rsid w:val="0D94792C"/>
    <w:rsid w:val="0D94C0DC"/>
    <w:rsid w:val="0D98E2D8"/>
    <w:rsid w:val="0DC1749C"/>
    <w:rsid w:val="0DC86C85"/>
    <w:rsid w:val="0DEAD83B"/>
    <w:rsid w:val="0DEDFBE1"/>
    <w:rsid w:val="0E04193E"/>
    <w:rsid w:val="0E486D00"/>
    <w:rsid w:val="0E812120"/>
    <w:rsid w:val="0E957F1A"/>
    <w:rsid w:val="0E993CD4"/>
    <w:rsid w:val="0EA40FBB"/>
    <w:rsid w:val="0EA5356E"/>
    <w:rsid w:val="0EA5D7AE"/>
    <w:rsid w:val="0EAB0A32"/>
    <w:rsid w:val="0EC4C05E"/>
    <w:rsid w:val="0ECB7132"/>
    <w:rsid w:val="0ECFDF74"/>
    <w:rsid w:val="0EDFAF0B"/>
    <w:rsid w:val="0EE340D3"/>
    <w:rsid w:val="0EE9D9A4"/>
    <w:rsid w:val="0EECDF59"/>
    <w:rsid w:val="0EEF7A71"/>
    <w:rsid w:val="0EF096A2"/>
    <w:rsid w:val="0F096756"/>
    <w:rsid w:val="0F1CF974"/>
    <w:rsid w:val="0F637E2E"/>
    <w:rsid w:val="0F6EA27C"/>
    <w:rsid w:val="0F76E3D2"/>
    <w:rsid w:val="0F99EABC"/>
    <w:rsid w:val="0F9CB3B1"/>
    <w:rsid w:val="0F9F1FFA"/>
    <w:rsid w:val="0FE4E358"/>
    <w:rsid w:val="0FED2DAB"/>
    <w:rsid w:val="100F19AA"/>
    <w:rsid w:val="101C1BA4"/>
    <w:rsid w:val="1030A651"/>
    <w:rsid w:val="104AD63D"/>
    <w:rsid w:val="1063C437"/>
    <w:rsid w:val="10744DE1"/>
    <w:rsid w:val="107E4F9A"/>
    <w:rsid w:val="108C2F28"/>
    <w:rsid w:val="109838ED"/>
    <w:rsid w:val="109D22F0"/>
    <w:rsid w:val="10C27462"/>
    <w:rsid w:val="10CC0EC8"/>
    <w:rsid w:val="10F319EE"/>
    <w:rsid w:val="110BA304"/>
    <w:rsid w:val="111440CF"/>
    <w:rsid w:val="11195088"/>
    <w:rsid w:val="112C20C5"/>
    <w:rsid w:val="114C85D7"/>
    <w:rsid w:val="1153A12A"/>
    <w:rsid w:val="11712ECB"/>
    <w:rsid w:val="11742A0A"/>
    <w:rsid w:val="117E1D91"/>
    <w:rsid w:val="1191F0A5"/>
    <w:rsid w:val="11A7FB0D"/>
    <w:rsid w:val="11D0C8A2"/>
    <w:rsid w:val="11E14953"/>
    <w:rsid w:val="11F0CD33"/>
    <w:rsid w:val="12016CDA"/>
    <w:rsid w:val="121D12B0"/>
    <w:rsid w:val="12268F7F"/>
    <w:rsid w:val="123902F0"/>
    <w:rsid w:val="123B3596"/>
    <w:rsid w:val="12480466"/>
    <w:rsid w:val="126FB9F6"/>
    <w:rsid w:val="1287235C"/>
    <w:rsid w:val="12D82E62"/>
    <w:rsid w:val="131DAB2E"/>
    <w:rsid w:val="132CB1D3"/>
    <w:rsid w:val="1332DF9E"/>
    <w:rsid w:val="133AE40B"/>
    <w:rsid w:val="134EAFB2"/>
    <w:rsid w:val="134F08CC"/>
    <w:rsid w:val="134F6692"/>
    <w:rsid w:val="135DB471"/>
    <w:rsid w:val="135DB827"/>
    <w:rsid w:val="135F12EE"/>
    <w:rsid w:val="1375C256"/>
    <w:rsid w:val="1376C514"/>
    <w:rsid w:val="139F11D2"/>
    <w:rsid w:val="13A3BEAA"/>
    <w:rsid w:val="13ABBC64"/>
    <w:rsid w:val="13D4CBBD"/>
    <w:rsid w:val="14015FDE"/>
    <w:rsid w:val="140E3C6C"/>
    <w:rsid w:val="143365A5"/>
    <w:rsid w:val="1438CDCC"/>
    <w:rsid w:val="145246D6"/>
    <w:rsid w:val="14640B57"/>
    <w:rsid w:val="146798B7"/>
    <w:rsid w:val="146D876F"/>
    <w:rsid w:val="147128A0"/>
    <w:rsid w:val="149FA3C9"/>
    <w:rsid w:val="14B6083E"/>
    <w:rsid w:val="14CE84F0"/>
    <w:rsid w:val="14CF306E"/>
    <w:rsid w:val="14D03707"/>
    <w:rsid w:val="14D84B31"/>
    <w:rsid w:val="14DD0073"/>
    <w:rsid w:val="14E7EC87"/>
    <w:rsid w:val="1503494D"/>
    <w:rsid w:val="150DB6E2"/>
    <w:rsid w:val="154D7F2A"/>
    <w:rsid w:val="155969AC"/>
    <w:rsid w:val="1580B51D"/>
    <w:rsid w:val="15955725"/>
    <w:rsid w:val="159AF71B"/>
    <w:rsid w:val="15AC8BA9"/>
    <w:rsid w:val="15B988B9"/>
    <w:rsid w:val="15CE2B55"/>
    <w:rsid w:val="15D8D8A7"/>
    <w:rsid w:val="15DB78C9"/>
    <w:rsid w:val="15E224E0"/>
    <w:rsid w:val="15E80A25"/>
    <w:rsid w:val="15E83707"/>
    <w:rsid w:val="15EC994F"/>
    <w:rsid w:val="15EED6BD"/>
    <w:rsid w:val="16157453"/>
    <w:rsid w:val="161C40B0"/>
    <w:rsid w:val="16288776"/>
    <w:rsid w:val="1629CDAE"/>
    <w:rsid w:val="1631086B"/>
    <w:rsid w:val="1638311A"/>
    <w:rsid w:val="163E99AF"/>
    <w:rsid w:val="163EDDA6"/>
    <w:rsid w:val="164391CD"/>
    <w:rsid w:val="165B5934"/>
    <w:rsid w:val="165E5469"/>
    <w:rsid w:val="165E65B4"/>
    <w:rsid w:val="16A659F8"/>
    <w:rsid w:val="16AC8E10"/>
    <w:rsid w:val="16B0B308"/>
    <w:rsid w:val="16B36E98"/>
    <w:rsid w:val="16C35CF1"/>
    <w:rsid w:val="16DEBA05"/>
    <w:rsid w:val="16E52151"/>
    <w:rsid w:val="16F8B7CA"/>
    <w:rsid w:val="170A45AA"/>
    <w:rsid w:val="1725BF4C"/>
    <w:rsid w:val="17491ABC"/>
    <w:rsid w:val="17513DAF"/>
    <w:rsid w:val="1759E156"/>
    <w:rsid w:val="1763C8CE"/>
    <w:rsid w:val="178F45F7"/>
    <w:rsid w:val="17AE7E6C"/>
    <w:rsid w:val="17C6D27A"/>
    <w:rsid w:val="18027A01"/>
    <w:rsid w:val="18150D2A"/>
    <w:rsid w:val="181C952E"/>
    <w:rsid w:val="18434B36"/>
    <w:rsid w:val="18434DE5"/>
    <w:rsid w:val="1857DEDE"/>
    <w:rsid w:val="1864945E"/>
    <w:rsid w:val="1894B60C"/>
    <w:rsid w:val="18B37CFF"/>
    <w:rsid w:val="18BB0C0F"/>
    <w:rsid w:val="18BB0EC9"/>
    <w:rsid w:val="18DB23FF"/>
    <w:rsid w:val="19006295"/>
    <w:rsid w:val="1904C005"/>
    <w:rsid w:val="190BCB07"/>
    <w:rsid w:val="193222FF"/>
    <w:rsid w:val="195142F1"/>
    <w:rsid w:val="19535870"/>
    <w:rsid w:val="19643040"/>
    <w:rsid w:val="198242AB"/>
    <w:rsid w:val="19942DD7"/>
    <w:rsid w:val="19B736D5"/>
    <w:rsid w:val="19C24A83"/>
    <w:rsid w:val="19D15E28"/>
    <w:rsid w:val="19F9A87C"/>
    <w:rsid w:val="1A00C8E5"/>
    <w:rsid w:val="1A1B6076"/>
    <w:rsid w:val="1A30E761"/>
    <w:rsid w:val="1A32610B"/>
    <w:rsid w:val="1A44955A"/>
    <w:rsid w:val="1A484413"/>
    <w:rsid w:val="1A5B5FC5"/>
    <w:rsid w:val="1A62B803"/>
    <w:rsid w:val="1A7B23F5"/>
    <w:rsid w:val="1A8FFD27"/>
    <w:rsid w:val="1A9F5824"/>
    <w:rsid w:val="1AD1A67F"/>
    <w:rsid w:val="1AE5E0A8"/>
    <w:rsid w:val="1AE86992"/>
    <w:rsid w:val="1B5A4B3B"/>
    <w:rsid w:val="1B82B6F5"/>
    <w:rsid w:val="1B911345"/>
    <w:rsid w:val="1B98522C"/>
    <w:rsid w:val="1B9BD964"/>
    <w:rsid w:val="1BA2650B"/>
    <w:rsid w:val="1BCB5ED2"/>
    <w:rsid w:val="1BEB839E"/>
    <w:rsid w:val="1BECCE73"/>
    <w:rsid w:val="1C0D8CCD"/>
    <w:rsid w:val="1C1B259F"/>
    <w:rsid w:val="1C26A1E3"/>
    <w:rsid w:val="1C26CABC"/>
    <w:rsid w:val="1C88DBFE"/>
    <w:rsid w:val="1C958916"/>
    <w:rsid w:val="1CCBED43"/>
    <w:rsid w:val="1CCF1A11"/>
    <w:rsid w:val="1CD70BA0"/>
    <w:rsid w:val="1CE17F4E"/>
    <w:rsid w:val="1CE55C93"/>
    <w:rsid w:val="1CF5039D"/>
    <w:rsid w:val="1D1393D4"/>
    <w:rsid w:val="1D1C1D22"/>
    <w:rsid w:val="1D1FBCE9"/>
    <w:rsid w:val="1D27BAD6"/>
    <w:rsid w:val="1D6030D9"/>
    <w:rsid w:val="1D648CE3"/>
    <w:rsid w:val="1D6B1240"/>
    <w:rsid w:val="1D6C48A5"/>
    <w:rsid w:val="1D73FD56"/>
    <w:rsid w:val="1DCC2C35"/>
    <w:rsid w:val="1DDB7B66"/>
    <w:rsid w:val="1DDFFBC6"/>
    <w:rsid w:val="1E219520"/>
    <w:rsid w:val="1E2DCC10"/>
    <w:rsid w:val="1E3BF2E6"/>
    <w:rsid w:val="1E504DEC"/>
    <w:rsid w:val="1E7A4B86"/>
    <w:rsid w:val="1E82B23D"/>
    <w:rsid w:val="1E99D1E3"/>
    <w:rsid w:val="1E9F01F8"/>
    <w:rsid w:val="1EA385AB"/>
    <w:rsid w:val="1ED77FD7"/>
    <w:rsid w:val="1EE7A179"/>
    <w:rsid w:val="1EF00173"/>
    <w:rsid w:val="1F198193"/>
    <w:rsid w:val="1F1CFEE3"/>
    <w:rsid w:val="1F32F1B5"/>
    <w:rsid w:val="1F6D3EAE"/>
    <w:rsid w:val="1F872968"/>
    <w:rsid w:val="1F9D0718"/>
    <w:rsid w:val="1FBA9318"/>
    <w:rsid w:val="1FD0C65F"/>
    <w:rsid w:val="1FD8A725"/>
    <w:rsid w:val="1FE9F7EE"/>
    <w:rsid w:val="1FF179C0"/>
    <w:rsid w:val="2005440B"/>
    <w:rsid w:val="20151B34"/>
    <w:rsid w:val="2042B2E7"/>
    <w:rsid w:val="2087E3D8"/>
    <w:rsid w:val="20A5C375"/>
    <w:rsid w:val="20A9A870"/>
    <w:rsid w:val="20AF6A87"/>
    <w:rsid w:val="20D0568F"/>
    <w:rsid w:val="20EB0FBF"/>
    <w:rsid w:val="210FDFAA"/>
    <w:rsid w:val="211FFEC0"/>
    <w:rsid w:val="2127F137"/>
    <w:rsid w:val="212E818F"/>
    <w:rsid w:val="212F10EE"/>
    <w:rsid w:val="21422D9F"/>
    <w:rsid w:val="215346D6"/>
    <w:rsid w:val="215A99E6"/>
    <w:rsid w:val="215F5587"/>
    <w:rsid w:val="216B4C97"/>
    <w:rsid w:val="2172C457"/>
    <w:rsid w:val="21A21D1B"/>
    <w:rsid w:val="21A8395E"/>
    <w:rsid w:val="21ADC9A9"/>
    <w:rsid w:val="21B17C92"/>
    <w:rsid w:val="21BBFCF5"/>
    <w:rsid w:val="22043E4E"/>
    <w:rsid w:val="220597D2"/>
    <w:rsid w:val="22073507"/>
    <w:rsid w:val="2215F2AC"/>
    <w:rsid w:val="222E174D"/>
    <w:rsid w:val="22426778"/>
    <w:rsid w:val="22581244"/>
    <w:rsid w:val="22714FC7"/>
    <w:rsid w:val="2278F550"/>
    <w:rsid w:val="2293B485"/>
    <w:rsid w:val="229B109B"/>
    <w:rsid w:val="22A1F134"/>
    <w:rsid w:val="22ACB4C9"/>
    <w:rsid w:val="22BF6600"/>
    <w:rsid w:val="22D37F06"/>
    <w:rsid w:val="22DDF226"/>
    <w:rsid w:val="22EA6177"/>
    <w:rsid w:val="22FFE403"/>
    <w:rsid w:val="22FFF4B0"/>
    <w:rsid w:val="2308B1D9"/>
    <w:rsid w:val="231A8781"/>
    <w:rsid w:val="2337831E"/>
    <w:rsid w:val="2366F681"/>
    <w:rsid w:val="2366FCD1"/>
    <w:rsid w:val="23697406"/>
    <w:rsid w:val="237F8839"/>
    <w:rsid w:val="2390574F"/>
    <w:rsid w:val="2393CAA4"/>
    <w:rsid w:val="23A940C2"/>
    <w:rsid w:val="23AA5602"/>
    <w:rsid w:val="23B01DD1"/>
    <w:rsid w:val="23B55886"/>
    <w:rsid w:val="23BE3379"/>
    <w:rsid w:val="23D092C9"/>
    <w:rsid w:val="240C9EC8"/>
    <w:rsid w:val="240E7271"/>
    <w:rsid w:val="2431B69D"/>
    <w:rsid w:val="24408F97"/>
    <w:rsid w:val="2442742A"/>
    <w:rsid w:val="249C1809"/>
    <w:rsid w:val="24B1F867"/>
    <w:rsid w:val="24B30489"/>
    <w:rsid w:val="24B30F5A"/>
    <w:rsid w:val="24B5C3CF"/>
    <w:rsid w:val="24CE9232"/>
    <w:rsid w:val="24EC6057"/>
    <w:rsid w:val="24FFD1E9"/>
    <w:rsid w:val="2522D72E"/>
    <w:rsid w:val="2556F79D"/>
    <w:rsid w:val="255D2976"/>
    <w:rsid w:val="2565B2F9"/>
    <w:rsid w:val="257767C8"/>
    <w:rsid w:val="258BE7B3"/>
    <w:rsid w:val="259586D2"/>
    <w:rsid w:val="25B74483"/>
    <w:rsid w:val="25C04688"/>
    <w:rsid w:val="25C462F2"/>
    <w:rsid w:val="25CB599F"/>
    <w:rsid w:val="25D62A6B"/>
    <w:rsid w:val="25DDF615"/>
    <w:rsid w:val="25E4322B"/>
    <w:rsid w:val="25E9AAF8"/>
    <w:rsid w:val="25ED246A"/>
    <w:rsid w:val="25EE4560"/>
    <w:rsid w:val="25F0E4C2"/>
    <w:rsid w:val="2617BD29"/>
    <w:rsid w:val="26233CB0"/>
    <w:rsid w:val="263BAB6B"/>
    <w:rsid w:val="267068E5"/>
    <w:rsid w:val="26798779"/>
    <w:rsid w:val="267F6C66"/>
    <w:rsid w:val="2684EC82"/>
    <w:rsid w:val="269AA0CF"/>
    <w:rsid w:val="26A32CCB"/>
    <w:rsid w:val="26A8C618"/>
    <w:rsid w:val="26E3BC1F"/>
    <w:rsid w:val="26E5F996"/>
    <w:rsid w:val="26EBC15B"/>
    <w:rsid w:val="26F217B0"/>
    <w:rsid w:val="26F5FFC1"/>
    <w:rsid w:val="26F9E918"/>
    <w:rsid w:val="26FEE3DE"/>
    <w:rsid w:val="2709BE92"/>
    <w:rsid w:val="27178C9E"/>
    <w:rsid w:val="271907FF"/>
    <w:rsid w:val="27194D2A"/>
    <w:rsid w:val="271DDADA"/>
    <w:rsid w:val="2725595C"/>
    <w:rsid w:val="272837D2"/>
    <w:rsid w:val="27596C75"/>
    <w:rsid w:val="2772C4ED"/>
    <w:rsid w:val="27950ED8"/>
    <w:rsid w:val="2797F2E5"/>
    <w:rsid w:val="27A26CE8"/>
    <w:rsid w:val="27AF3BF8"/>
    <w:rsid w:val="27B21BC9"/>
    <w:rsid w:val="27ED83B9"/>
    <w:rsid w:val="27F52472"/>
    <w:rsid w:val="280BF8BF"/>
    <w:rsid w:val="280C8C24"/>
    <w:rsid w:val="2814B8D6"/>
    <w:rsid w:val="2819DC0C"/>
    <w:rsid w:val="281C4B91"/>
    <w:rsid w:val="284EDC87"/>
    <w:rsid w:val="28768D17"/>
    <w:rsid w:val="28AEA96A"/>
    <w:rsid w:val="28BAFE34"/>
    <w:rsid w:val="28C2B40E"/>
    <w:rsid w:val="28CD1CE8"/>
    <w:rsid w:val="28E98A74"/>
    <w:rsid w:val="28ECA0B1"/>
    <w:rsid w:val="28F76781"/>
    <w:rsid w:val="28F82C05"/>
    <w:rsid w:val="28FC0E16"/>
    <w:rsid w:val="28FFBFB3"/>
    <w:rsid w:val="29102639"/>
    <w:rsid w:val="29180600"/>
    <w:rsid w:val="291AA274"/>
    <w:rsid w:val="29246998"/>
    <w:rsid w:val="2929E0B3"/>
    <w:rsid w:val="293A8205"/>
    <w:rsid w:val="293EBC84"/>
    <w:rsid w:val="295364E9"/>
    <w:rsid w:val="295741DA"/>
    <w:rsid w:val="295E9619"/>
    <w:rsid w:val="29868F9E"/>
    <w:rsid w:val="29AE8775"/>
    <w:rsid w:val="29B9A701"/>
    <w:rsid w:val="29C4EC1A"/>
    <w:rsid w:val="29C7F55E"/>
    <w:rsid w:val="29F361FF"/>
    <w:rsid w:val="2A0711DD"/>
    <w:rsid w:val="2A095391"/>
    <w:rsid w:val="2A0EB344"/>
    <w:rsid w:val="2A172A39"/>
    <w:rsid w:val="2A28648B"/>
    <w:rsid w:val="2A3D4FFD"/>
    <w:rsid w:val="2A4420A8"/>
    <w:rsid w:val="2A4F5265"/>
    <w:rsid w:val="2A5B8A88"/>
    <w:rsid w:val="2A60DAF4"/>
    <w:rsid w:val="2A6365FF"/>
    <w:rsid w:val="2A7E910A"/>
    <w:rsid w:val="2AAB6A3F"/>
    <w:rsid w:val="2AC1D731"/>
    <w:rsid w:val="2AD7FD31"/>
    <w:rsid w:val="2AD977BF"/>
    <w:rsid w:val="2AE39CFD"/>
    <w:rsid w:val="2AF4D26E"/>
    <w:rsid w:val="2B272957"/>
    <w:rsid w:val="2B374E75"/>
    <w:rsid w:val="2B53CEE2"/>
    <w:rsid w:val="2B6A6D79"/>
    <w:rsid w:val="2B7A6BA9"/>
    <w:rsid w:val="2B9D7A65"/>
    <w:rsid w:val="2BA0B5FD"/>
    <w:rsid w:val="2BA14236"/>
    <w:rsid w:val="2BBEDD7A"/>
    <w:rsid w:val="2BCAFEE0"/>
    <w:rsid w:val="2BCF7D24"/>
    <w:rsid w:val="2BD3ACAB"/>
    <w:rsid w:val="2BE73BB5"/>
    <w:rsid w:val="2BEFBF72"/>
    <w:rsid w:val="2C03423F"/>
    <w:rsid w:val="2C074CA6"/>
    <w:rsid w:val="2C155AFE"/>
    <w:rsid w:val="2C28B740"/>
    <w:rsid w:val="2C2BA3AF"/>
    <w:rsid w:val="2C30A497"/>
    <w:rsid w:val="2C310692"/>
    <w:rsid w:val="2C36F95F"/>
    <w:rsid w:val="2C3D2A51"/>
    <w:rsid w:val="2C50AC63"/>
    <w:rsid w:val="2C625FCC"/>
    <w:rsid w:val="2C8897DE"/>
    <w:rsid w:val="2C996083"/>
    <w:rsid w:val="2CB56A7D"/>
    <w:rsid w:val="2CBC3494"/>
    <w:rsid w:val="2CBFA23A"/>
    <w:rsid w:val="2CC1C27E"/>
    <w:rsid w:val="2CE1BC01"/>
    <w:rsid w:val="2D171BA5"/>
    <w:rsid w:val="2D1AE2A8"/>
    <w:rsid w:val="2D1C7E6D"/>
    <w:rsid w:val="2D22A772"/>
    <w:rsid w:val="2D22F601"/>
    <w:rsid w:val="2D2A8228"/>
    <w:rsid w:val="2D2F381B"/>
    <w:rsid w:val="2D3C4D36"/>
    <w:rsid w:val="2D52CE89"/>
    <w:rsid w:val="2D875AD9"/>
    <w:rsid w:val="2D92A35C"/>
    <w:rsid w:val="2D9ADE71"/>
    <w:rsid w:val="2DA93EBB"/>
    <w:rsid w:val="2DB6FEEC"/>
    <w:rsid w:val="2DB8C76D"/>
    <w:rsid w:val="2DC49E42"/>
    <w:rsid w:val="2DC4AB8C"/>
    <w:rsid w:val="2DC67556"/>
    <w:rsid w:val="2DCD52E9"/>
    <w:rsid w:val="2DE23772"/>
    <w:rsid w:val="2DF2240A"/>
    <w:rsid w:val="2E0062A4"/>
    <w:rsid w:val="2E2FA899"/>
    <w:rsid w:val="2E429496"/>
    <w:rsid w:val="2E6FF2D3"/>
    <w:rsid w:val="2EABD49F"/>
    <w:rsid w:val="2EB3C20D"/>
    <w:rsid w:val="2EB9B6A2"/>
    <w:rsid w:val="2ED33983"/>
    <w:rsid w:val="2ED9274B"/>
    <w:rsid w:val="2EE464F7"/>
    <w:rsid w:val="2EE5DA21"/>
    <w:rsid w:val="2EEB0C2A"/>
    <w:rsid w:val="2F016485"/>
    <w:rsid w:val="2F19D737"/>
    <w:rsid w:val="2F1B8D67"/>
    <w:rsid w:val="2F262986"/>
    <w:rsid w:val="2F59C1AF"/>
    <w:rsid w:val="2F5DC99F"/>
    <w:rsid w:val="2F619DAD"/>
    <w:rsid w:val="2F8145B5"/>
    <w:rsid w:val="2F9D505F"/>
    <w:rsid w:val="2FDF9013"/>
    <w:rsid w:val="2FEBA504"/>
    <w:rsid w:val="2FEF591D"/>
    <w:rsid w:val="2FFADA48"/>
    <w:rsid w:val="2FFD7DB1"/>
    <w:rsid w:val="2FFF3C77"/>
    <w:rsid w:val="30031317"/>
    <w:rsid w:val="300C0E3C"/>
    <w:rsid w:val="30169B4C"/>
    <w:rsid w:val="302BE4B8"/>
    <w:rsid w:val="3039486A"/>
    <w:rsid w:val="303B3922"/>
    <w:rsid w:val="303DF38F"/>
    <w:rsid w:val="3046C7EE"/>
    <w:rsid w:val="304E9FB7"/>
    <w:rsid w:val="30620EBD"/>
    <w:rsid w:val="306DFDCF"/>
    <w:rsid w:val="30AD4E71"/>
    <w:rsid w:val="30AEA972"/>
    <w:rsid w:val="30EB0040"/>
    <w:rsid w:val="30F9C2FA"/>
    <w:rsid w:val="3111D8A8"/>
    <w:rsid w:val="3111FD83"/>
    <w:rsid w:val="31176C45"/>
    <w:rsid w:val="311FB195"/>
    <w:rsid w:val="31206DD9"/>
    <w:rsid w:val="31215B46"/>
    <w:rsid w:val="31222970"/>
    <w:rsid w:val="312DA84E"/>
    <w:rsid w:val="3145B92D"/>
    <w:rsid w:val="315A00CF"/>
    <w:rsid w:val="315BBDB5"/>
    <w:rsid w:val="316E91B8"/>
    <w:rsid w:val="31775B71"/>
    <w:rsid w:val="31783627"/>
    <w:rsid w:val="318B338C"/>
    <w:rsid w:val="319B096D"/>
    <w:rsid w:val="31AA84C4"/>
    <w:rsid w:val="31AE0B18"/>
    <w:rsid w:val="32104957"/>
    <w:rsid w:val="3211A060"/>
    <w:rsid w:val="321225FD"/>
    <w:rsid w:val="32160031"/>
    <w:rsid w:val="32355324"/>
    <w:rsid w:val="3247FF55"/>
    <w:rsid w:val="324EFD55"/>
    <w:rsid w:val="325D8199"/>
    <w:rsid w:val="32824308"/>
    <w:rsid w:val="328DA454"/>
    <w:rsid w:val="329369E3"/>
    <w:rsid w:val="3299E611"/>
    <w:rsid w:val="32A4458A"/>
    <w:rsid w:val="32AE1EE9"/>
    <w:rsid w:val="32D59ED2"/>
    <w:rsid w:val="32EBC9F1"/>
    <w:rsid w:val="3300BAC5"/>
    <w:rsid w:val="331349CF"/>
    <w:rsid w:val="33171207"/>
    <w:rsid w:val="332545BC"/>
    <w:rsid w:val="3326793B"/>
    <w:rsid w:val="332768D8"/>
    <w:rsid w:val="335267EF"/>
    <w:rsid w:val="335AEE40"/>
    <w:rsid w:val="3380E463"/>
    <w:rsid w:val="338E0FC5"/>
    <w:rsid w:val="33934A8C"/>
    <w:rsid w:val="33A84264"/>
    <w:rsid w:val="33AB0759"/>
    <w:rsid w:val="33B52914"/>
    <w:rsid w:val="33BB16AE"/>
    <w:rsid w:val="33BD14EB"/>
    <w:rsid w:val="33C30385"/>
    <w:rsid w:val="33D371D7"/>
    <w:rsid w:val="33F7A9ED"/>
    <w:rsid w:val="3403DB48"/>
    <w:rsid w:val="344D5C46"/>
    <w:rsid w:val="3451C5E2"/>
    <w:rsid w:val="3451D2B3"/>
    <w:rsid w:val="3452BCCA"/>
    <w:rsid w:val="345CB1EF"/>
    <w:rsid w:val="346D2537"/>
    <w:rsid w:val="349A1937"/>
    <w:rsid w:val="34A53371"/>
    <w:rsid w:val="34AB89A5"/>
    <w:rsid w:val="34AD98DE"/>
    <w:rsid w:val="34B592B9"/>
    <w:rsid w:val="34BF77A5"/>
    <w:rsid w:val="34FFDA73"/>
    <w:rsid w:val="350414A3"/>
    <w:rsid w:val="35108ADF"/>
    <w:rsid w:val="3520F6E0"/>
    <w:rsid w:val="35580235"/>
    <w:rsid w:val="35688D20"/>
    <w:rsid w:val="3568BEBE"/>
    <w:rsid w:val="358E03CD"/>
    <w:rsid w:val="35903B0C"/>
    <w:rsid w:val="359845FF"/>
    <w:rsid w:val="35CB4935"/>
    <w:rsid w:val="35EA1193"/>
    <w:rsid w:val="35EE7052"/>
    <w:rsid w:val="362972AD"/>
    <w:rsid w:val="363E046B"/>
    <w:rsid w:val="364DAC36"/>
    <w:rsid w:val="3675B3E5"/>
    <w:rsid w:val="36764B2A"/>
    <w:rsid w:val="368A24EA"/>
    <w:rsid w:val="36A1C495"/>
    <w:rsid w:val="36C475F6"/>
    <w:rsid w:val="36C93EAA"/>
    <w:rsid w:val="36CB6B6B"/>
    <w:rsid w:val="36D8CF9F"/>
    <w:rsid w:val="37325C5B"/>
    <w:rsid w:val="3746800E"/>
    <w:rsid w:val="37479B5C"/>
    <w:rsid w:val="374C297A"/>
    <w:rsid w:val="3764146A"/>
    <w:rsid w:val="37738044"/>
    <w:rsid w:val="37E176B5"/>
    <w:rsid w:val="37F534E0"/>
    <w:rsid w:val="381A08A3"/>
    <w:rsid w:val="381A11EA"/>
    <w:rsid w:val="381D24E2"/>
    <w:rsid w:val="384B5BB7"/>
    <w:rsid w:val="38545619"/>
    <w:rsid w:val="3854D2EE"/>
    <w:rsid w:val="3866D635"/>
    <w:rsid w:val="3869F994"/>
    <w:rsid w:val="386AC688"/>
    <w:rsid w:val="387971E0"/>
    <w:rsid w:val="38986E76"/>
    <w:rsid w:val="389EAE70"/>
    <w:rsid w:val="38A1CCA9"/>
    <w:rsid w:val="38C102D9"/>
    <w:rsid w:val="38D408B1"/>
    <w:rsid w:val="38E72932"/>
    <w:rsid w:val="38E96202"/>
    <w:rsid w:val="38F5C2F1"/>
    <w:rsid w:val="3909F5CE"/>
    <w:rsid w:val="39238F00"/>
    <w:rsid w:val="394043DD"/>
    <w:rsid w:val="3941245A"/>
    <w:rsid w:val="396C8F52"/>
    <w:rsid w:val="3970547B"/>
    <w:rsid w:val="397BD50D"/>
    <w:rsid w:val="397EBDF0"/>
    <w:rsid w:val="399F76E7"/>
    <w:rsid w:val="39B35A09"/>
    <w:rsid w:val="39C79016"/>
    <w:rsid w:val="39EF780B"/>
    <w:rsid w:val="39FD628C"/>
    <w:rsid w:val="39FD91BE"/>
    <w:rsid w:val="3A0777FB"/>
    <w:rsid w:val="3A10964B"/>
    <w:rsid w:val="3A173305"/>
    <w:rsid w:val="3A1F8D30"/>
    <w:rsid w:val="3A2162B3"/>
    <w:rsid w:val="3A2C9C6A"/>
    <w:rsid w:val="3A2F741F"/>
    <w:rsid w:val="3A30282F"/>
    <w:rsid w:val="3A39D661"/>
    <w:rsid w:val="3A4C8725"/>
    <w:rsid w:val="3A4E5456"/>
    <w:rsid w:val="3A5F9E7D"/>
    <w:rsid w:val="3A7ACF72"/>
    <w:rsid w:val="3A8279CC"/>
    <w:rsid w:val="3A8B51D2"/>
    <w:rsid w:val="3A972E45"/>
    <w:rsid w:val="3A977B1D"/>
    <w:rsid w:val="3AA88C97"/>
    <w:rsid w:val="3ACD4745"/>
    <w:rsid w:val="3AD46B61"/>
    <w:rsid w:val="3AE20AF1"/>
    <w:rsid w:val="3AF2B08B"/>
    <w:rsid w:val="3B03000A"/>
    <w:rsid w:val="3B0D9528"/>
    <w:rsid w:val="3B0F341D"/>
    <w:rsid w:val="3B1505EA"/>
    <w:rsid w:val="3B24F45E"/>
    <w:rsid w:val="3B3315CC"/>
    <w:rsid w:val="3B3C824B"/>
    <w:rsid w:val="3B5B0B32"/>
    <w:rsid w:val="3B68043B"/>
    <w:rsid w:val="3B7FC575"/>
    <w:rsid w:val="3B9957AF"/>
    <w:rsid w:val="3BAA1758"/>
    <w:rsid w:val="3BACF426"/>
    <w:rsid w:val="3BD90B8D"/>
    <w:rsid w:val="3BF2E337"/>
    <w:rsid w:val="3BFF0237"/>
    <w:rsid w:val="3C13B45B"/>
    <w:rsid w:val="3C15E162"/>
    <w:rsid w:val="3C169AFC"/>
    <w:rsid w:val="3C1EAE86"/>
    <w:rsid w:val="3C362EFF"/>
    <w:rsid w:val="3C3B5C9C"/>
    <w:rsid w:val="3C538EDF"/>
    <w:rsid w:val="3C66DC11"/>
    <w:rsid w:val="3C7A7951"/>
    <w:rsid w:val="3C7A91D4"/>
    <w:rsid w:val="3C81821A"/>
    <w:rsid w:val="3C99FEBB"/>
    <w:rsid w:val="3C9C4ABB"/>
    <w:rsid w:val="3C9E9105"/>
    <w:rsid w:val="3CB0EB9C"/>
    <w:rsid w:val="3CC45289"/>
    <w:rsid w:val="3CDDFC0D"/>
    <w:rsid w:val="3CF3D8B9"/>
    <w:rsid w:val="3D0B41A9"/>
    <w:rsid w:val="3D53A54C"/>
    <w:rsid w:val="3D65CF77"/>
    <w:rsid w:val="3D7CCDE5"/>
    <w:rsid w:val="3D955368"/>
    <w:rsid w:val="3D9A44CA"/>
    <w:rsid w:val="3DA50787"/>
    <w:rsid w:val="3DD0E021"/>
    <w:rsid w:val="3DE1D2C2"/>
    <w:rsid w:val="3DE712D7"/>
    <w:rsid w:val="3DF0E293"/>
    <w:rsid w:val="3DF3EEAB"/>
    <w:rsid w:val="3DFB60BC"/>
    <w:rsid w:val="3E111371"/>
    <w:rsid w:val="3E24B4FF"/>
    <w:rsid w:val="3E732775"/>
    <w:rsid w:val="3E8217A6"/>
    <w:rsid w:val="3E860C2B"/>
    <w:rsid w:val="3E8BE0CB"/>
    <w:rsid w:val="3EEB46C0"/>
    <w:rsid w:val="3EEF707B"/>
    <w:rsid w:val="3EFC756C"/>
    <w:rsid w:val="3EFF1A67"/>
    <w:rsid w:val="3F05CD8F"/>
    <w:rsid w:val="3F06A3ED"/>
    <w:rsid w:val="3F1A934F"/>
    <w:rsid w:val="3F2B2C7A"/>
    <w:rsid w:val="3F2E0B9A"/>
    <w:rsid w:val="3F45F466"/>
    <w:rsid w:val="3F622886"/>
    <w:rsid w:val="3F62424B"/>
    <w:rsid w:val="3F68B420"/>
    <w:rsid w:val="3F8F6E9B"/>
    <w:rsid w:val="3F9B02AF"/>
    <w:rsid w:val="3FA718A4"/>
    <w:rsid w:val="3FBDE4CA"/>
    <w:rsid w:val="3FC94164"/>
    <w:rsid w:val="3FE55A07"/>
    <w:rsid w:val="3FEB63C4"/>
    <w:rsid w:val="3FF15902"/>
    <w:rsid w:val="3FFC0778"/>
    <w:rsid w:val="3FFC587B"/>
    <w:rsid w:val="400CFFD8"/>
    <w:rsid w:val="40197F12"/>
    <w:rsid w:val="403031B7"/>
    <w:rsid w:val="403230EC"/>
    <w:rsid w:val="40381900"/>
    <w:rsid w:val="403889AF"/>
    <w:rsid w:val="405390AB"/>
    <w:rsid w:val="406AEC54"/>
    <w:rsid w:val="40862FFC"/>
    <w:rsid w:val="4096E069"/>
    <w:rsid w:val="40A3BF34"/>
    <w:rsid w:val="40AEF783"/>
    <w:rsid w:val="40B99C48"/>
    <w:rsid w:val="40B9A5AD"/>
    <w:rsid w:val="40F11340"/>
    <w:rsid w:val="4102B0BE"/>
    <w:rsid w:val="4119CFF9"/>
    <w:rsid w:val="413035EA"/>
    <w:rsid w:val="4144BF9C"/>
    <w:rsid w:val="415D168F"/>
    <w:rsid w:val="4177EB6A"/>
    <w:rsid w:val="419130C0"/>
    <w:rsid w:val="4191B661"/>
    <w:rsid w:val="41A2E3A9"/>
    <w:rsid w:val="41AFAF53"/>
    <w:rsid w:val="41B23DB4"/>
    <w:rsid w:val="41B4C75E"/>
    <w:rsid w:val="41D01262"/>
    <w:rsid w:val="41E596D0"/>
    <w:rsid w:val="41FF1B52"/>
    <w:rsid w:val="422320E0"/>
    <w:rsid w:val="423FB428"/>
    <w:rsid w:val="42401C1E"/>
    <w:rsid w:val="424F01D8"/>
    <w:rsid w:val="4254EDE8"/>
    <w:rsid w:val="42800ACA"/>
    <w:rsid w:val="428148F3"/>
    <w:rsid w:val="42A02F6E"/>
    <w:rsid w:val="42A2FC86"/>
    <w:rsid w:val="42C40D11"/>
    <w:rsid w:val="42C9DEC3"/>
    <w:rsid w:val="42CEB7B5"/>
    <w:rsid w:val="42CF4DC7"/>
    <w:rsid w:val="42D7DD5F"/>
    <w:rsid w:val="42DE2BB4"/>
    <w:rsid w:val="42E05F8A"/>
    <w:rsid w:val="42E7D288"/>
    <w:rsid w:val="42EB9D72"/>
    <w:rsid w:val="42F30FB6"/>
    <w:rsid w:val="43190055"/>
    <w:rsid w:val="4320DD0B"/>
    <w:rsid w:val="435970A1"/>
    <w:rsid w:val="435A1E2E"/>
    <w:rsid w:val="435F3C6B"/>
    <w:rsid w:val="4360C488"/>
    <w:rsid w:val="4361F293"/>
    <w:rsid w:val="43655C3A"/>
    <w:rsid w:val="43829304"/>
    <w:rsid w:val="43B311F2"/>
    <w:rsid w:val="43D160CE"/>
    <w:rsid w:val="43F86909"/>
    <w:rsid w:val="43FD6E14"/>
    <w:rsid w:val="442023FE"/>
    <w:rsid w:val="4422B032"/>
    <w:rsid w:val="4424A2B4"/>
    <w:rsid w:val="44307F36"/>
    <w:rsid w:val="444F1CB9"/>
    <w:rsid w:val="445DF046"/>
    <w:rsid w:val="447A6A45"/>
    <w:rsid w:val="4488B220"/>
    <w:rsid w:val="448D2C0A"/>
    <w:rsid w:val="449CB805"/>
    <w:rsid w:val="449FB7E6"/>
    <w:rsid w:val="44AAFFA0"/>
    <w:rsid w:val="44ACCB71"/>
    <w:rsid w:val="44AE8605"/>
    <w:rsid w:val="44DAFCB9"/>
    <w:rsid w:val="44E2D439"/>
    <w:rsid w:val="44E69CAC"/>
    <w:rsid w:val="45152C9A"/>
    <w:rsid w:val="4527AEFD"/>
    <w:rsid w:val="452CFEA0"/>
    <w:rsid w:val="4541DA7A"/>
    <w:rsid w:val="454A9B68"/>
    <w:rsid w:val="455928F8"/>
    <w:rsid w:val="455A4E88"/>
    <w:rsid w:val="459AA95D"/>
    <w:rsid w:val="45A4F0A2"/>
    <w:rsid w:val="45FCCA5A"/>
    <w:rsid w:val="4600374E"/>
    <w:rsid w:val="461D6C44"/>
    <w:rsid w:val="4634CFBB"/>
    <w:rsid w:val="464955B4"/>
    <w:rsid w:val="4649C6E6"/>
    <w:rsid w:val="464AD547"/>
    <w:rsid w:val="464C4450"/>
    <w:rsid w:val="464ECA49"/>
    <w:rsid w:val="46637C87"/>
    <w:rsid w:val="467DD047"/>
    <w:rsid w:val="469F919E"/>
    <w:rsid w:val="46A7BE12"/>
    <w:rsid w:val="46D6BF89"/>
    <w:rsid w:val="46E40280"/>
    <w:rsid w:val="46F3A21C"/>
    <w:rsid w:val="46F3A2AF"/>
    <w:rsid w:val="470B119D"/>
    <w:rsid w:val="472B1D94"/>
    <w:rsid w:val="4747DF15"/>
    <w:rsid w:val="4751502D"/>
    <w:rsid w:val="475BD17B"/>
    <w:rsid w:val="47632B77"/>
    <w:rsid w:val="47733E92"/>
    <w:rsid w:val="478BC8A4"/>
    <w:rsid w:val="478F6243"/>
    <w:rsid w:val="479248DC"/>
    <w:rsid w:val="47AFBC2B"/>
    <w:rsid w:val="47AFCF2C"/>
    <w:rsid w:val="47BB093F"/>
    <w:rsid w:val="47E00649"/>
    <w:rsid w:val="47F52776"/>
    <w:rsid w:val="47FFB543"/>
    <w:rsid w:val="48114A3C"/>
    <w:rsid w:val="4812FD8B"/>
    <w:rsid w:val="4842EB51"/>
    <w:rsid w:val="4848A209"/>
    <w:rsid w:val="48498AFC"/>
    <w:rsid w:val="484C6488"/>
    <w:rsid w:val="48571824"/>
    <w:rsid w:val="485FC104"/>
    <w:rsid w:val="486ED7C3"/>
    <w:rsid w:val="4883E019"/>
    <w:rsid w:val="488E08E6"/>
    <w:rsid w:val="4899A56B"/>
    <w:rsid w:val="48AD499E"/>
    <w:rsid w:val="48B02D6B"/>
    <w:rsid w:val="48D1FA8E"/>
    <w:rsid w:val="48D334A4"/>
    <w:rsid w:val="48D94533"/>
    <w:rsid w:val="48E9852A"/>
    <w:rsid w:val="48F12A3A"/>
    <w:rsid w:val="490597D0"/>
    <w:rsid w:val="49079711"/>
    <w:rsid w:val="49189753"/>
    <w:rsid w:val="492BB947"/>
    <w:rsid w:val="492CE16E"/>
    <w:rsid w:val="49671DB2"/>
    <w:rsid w:val="4968C94E"/>
    <w:rsid w:val="4992F360"/>
    <w:rsid w:val="49A9A2ED"/>
    <w:rsid w:val="49AB1776"/>
    <w:rsid w:val="49B54906"/>
    <w:rsid w:val="49D42255"/>
    <w:rsid w:val="49DADF66"/>
    <w:rsid w:val="49E2E1FB"/>
    <w:rsid w:val="49E3C380"/>
    <w:rsid w:val="49FCF9C2"/>
    <w:rsid w:val="4A1BA655"/>
    <w:rsid w:val="4A232203"/>
    <w:rsid w:val="4A2CFC1D"/>
    <w:rsid w:val="4A4EABE5"/>
    <w:rsid w:val="4A802F1B"/>
    <w:rsid w:val="4AA20D6F"/>
    <w:rsid w:val="4AA2601E"/>
    <w:rsid w:val="4AB16E5A"/>
    <w:rsid w:val="4AE7F49A"/>
    <w:rsid w:val="4AFF0B67"/>
    <w:rsid w:val="4B1AA42F"/>
    <w:rsid w:val="4B1F7EAA"/>
    <w:rsid w:val="4B36FDD3"/>
    <w:rsid w:val="4B6BC25E"/>
    <w:rsid w:val="4B835824"/>
    <w:rsid w:val="4B8F11D3"/>
    <w:rsid w:val="4B8F2FB7"/>
    <w:rsid w:val="4B927064"/>
    <w:rsid w:val="4B9CF8A5"/>
    <w:rsid w:val="4BB4057B"/>
    <w:rsid w:val="4BB46123"/>
    <w:rsid w:val="4BD8ED3E"/>
    <w:rsid w:val="4BEED511"/>
    <w:rsid w:val="4C301C9B"/>
    <w:rsid w:val="4C380D97"/>
    <w:rsid w:val="4C485690"/>
    <w:rsid w:val="4C4870D2"/>
    <w:rsid w:val="4C55A7CE"/>
    <w:rsid w:val="4C58C21B"/>
    <w:rsid w:val="4C59445C"/>
    <w:rsid w:val="4C5C0CB9"/>
    <w:rsid w:val="4C629B3B"/>
    <w:rsid w:val="4C77138F"/>
    <w:rsid w:val="4C85A841"/>
    <w:rsid w:val="4C8CABBD"/>
    <w:rsid w:val="4C9147D5"/>
    <w:rsid w:val="4C9B8661"/>
    <w:rsid w:val="4C9EFCAA"/>
    <w:rsid w:val="4CA5D0B1"/>
    <w:rsid w:val="4CA76FFD"/>
    <w:rsid w:val="4CBA0FE8"/>
    <w:rsid w:val="4CCDFCA5"/>
    <w:rsid w:val="4CE7C85F"/>
    <w:rsid w:val="4CEB6C40"/>
    <w:rsid w:val="4CEE158D"/>
    <w:rsid w:val="4D0DE232"/>
    <w:rsid w:val="4D0F31B8"/>
    <w:rsid w:val="4D38C992"/>
    <w:rsid w:val="4D416FE7"/>
    <w:rsid w:val="4D5E48B7"/>
    <w:rsid w:val="4D773BAB"/>
    <w:rsid w:val="4D808A34"/>
    <w:rsid w:val="4D9455D7"/>
    <w:rsid w:val="4D984AD4"/>
    <w:rsid w:val="4DA1999C"/>
    <w:rsid w:val="4DB0DCB6"/>
    <w:rsid w:val="4DB9B55B"/>
    <w:rsid w:val="4DBAAD03"/>
    <w:rsid w:val="4DC33AE7"/>
    <w:rsid w:val="4DCB4959"/>
    <w:rsid w:val="4DEE7625"/>
    <w:rsid w:val="4DF5597E"/>
    <w:rsid w:val="4DF635F8"/>
    <w:rsid w:val="4E047003"/>
    <w:rsid w:val="4E28A600"/>
    <w:rsid w:val="4E60B27F"/>
    <w:rsid w:val="4E7030D9"/>
    <w:rsid w:val="4E77EE49"/>
    <w:rsid w:val="4E8520CD"/>
    <w:rsid w:val="4EB488EC"/>
    <w:rsid w:val="4EC9A435"/>
    <w:rsid w:val="4F2A0E21"/>
    <w:rsid w:val="4F2B3584"/>
    <w:rsid w:val="4F2D2530"/>
    <w:rsid w:val="4F5E9248"/>
    <w:rsid w:val="4F600930"/>
    <w:rsid w:val="4F690EE3"/>
    <w:rsid w:val="4F82AFBF"/>
    <w:rsid w:val="4F90F2D7"/>
    <w:rsid w:val="4F9B0B47"/>
    <w:rsid w:val="4F9E55EC"/>
    <w:rsid w:val="4FA92669"/>
    <w:rsid w:val="4FBB9D94"/>
    <w:rsid w:val="4FCF4EEE"/>
    <w:rsid w:val="4FE7DD9F"/>
    <w:rsid w:val="4FFA1168"/>
    <w:rsid w:val="500F1F35"/>
    <w:rsid w:val="502368A1"/>
    <w:rsid w:val="506460AE"/>
    <w:rsid w:val="506D9485"/>
    <w:rsid w:val="5091A0E0"/>
    <w:rsid w:val="50974393"/>
    <w:rsid w:val="50B10DDD"/>
    <w:rsid w:val="50B27FE9"/>
    <w:rsid w:val="50B68F2D"/>
    <w:rsid w:val="50BE33AC"/>
    <w:rsid w:val="50C817BF"/>
    <w:rsid w:val="50C9DAE3"/>
    <w:rsid w:val="50F11A96"/>
    <w:rsid w:val="510305BA"/>
    <w:rsid w:val="510A28A5"/>
    <w:rsid w:val="510C6181"/>
    <w:rsid w:val="51145692"/>
    <w:rsid w:val="511904A7"/>
    <w:rsid w:val="512EF383"/>
    <w:rsid w:val="512F4A45"/>
    <w:rsid w:val="51315F05"/>
    <w:rsid w:val="5132DD8A"/>
    <w:rsid w:val="51395F23"/>
    <w:rsid w:val="514E2796"/>
    <w:rsid w:val="51594DC1"/>
    <w:rsid w:val="51643B16"/>
    <w:rsid w:val="517E3F7A"/>
    <w:rsid w:val="5184DF7A"/>
    <w:rsid w:val="51B74D58"/>
    <w:rsid w:val="51BB3857"/>
    <w:rsid w:val="51BDB13C"/>
    <w:rsid w:val="51F6C3BB"/>
    <w:rsid w:val="51FA01A7"/>
    <w:rsid w:val="520780D7"/>
    <w:rsid w:val="521B21B7"/>
    <w:rsid w:val="521B9D11"/>
    <w:rsid w:val="521BA60E"/>
    <w:rsid w:val="524ADAF3"/>
    <w:rsid w:val="525B1628"/>
    <w:rsid w:val="525F6114"/>
    <w:rsid w:val="526DDF41"/>
    <w:rsid w:val="527D5D16"/>
    <w:rsid w:val="52816695"/>
    <w:rsid w:val="5288EEEE"/>
    <w:rsid w:val="528BC2ED"/>
    <w:rsid w:val="5294EC03"/>
    <w:rsid w:val="52A8385A"/>
    <w:rsid w:val="52B95E23"/>
    <w:rsid w:val="52CF0889"/>
    <w:rsid w:val="52D10639"/>
    <w:rsid w:val="52EEABD4"/>
    <w:rsid w:val="52F521CC"/>
    <w:rsid w:val="52F6A1E6"/>
    <w:rsid w:val="5305877B"/>
    <w:rsid w:val="532728A5"/>
    <w:rsid w:val="5345205A"/>
    <w:rsid w:val="534AF215"/>
    <w:rsid w:val="53821F1C"/>
    <w:rsid w:val="538E367A"/>
    <w:rsid w:val="53B28D50"/>
    <w:rsid w:val="53B3052D"/>
    <w:rsid w:val="53D2F77D"/>
    <w:rsid w:val="53DBAA8A"/>
    <w:rsid w:val="53E797C2"/>
    <w:rsid w:val="5400AFA4"/>
    <w:rsid w:val="5404C0E3"/>
    <w:rsid w:val="5417543A"/>
    <w:rsid w:val="5429C36C"/>
    <w:rsid w:val="542EF60E"/>
    <w:rsid w:val="54375D38"/>
    <w:rsid w:val="5464A2AD"/>
    <w:rsid w:val="547EF77D"/>
    <w:rsid w:val="5482B4FC"/>
    <w:rsid w:val="54BD34EE"/>
    <w:rsid w:val="54CB8CFE"/>
    <w:rsid w:val="54D1D677"/>
    <w:rsid w:val="54DF6F24"/>
    <w:rsid w:val="54EDF9B5"/>
    <w:rsid w:val="54EE5387"/>
    <w:rsid w:val="54F98691"/>
    <w:rsid w:val="55010F0C"/>
    <w:rsid w:val="5520119F"/>
    <w:rsid w:val="55355EDC"/>
    <w:rsid w:val="553D3DF4"/>
    <w:rsid w:val="554364FF"/>
    <w:rsid w:val="554E1587"/>
    <w:rsid w:val="55519C49"/>
    <w:rsid w:val="5556CEDC"/>
    <w:rsid w:val="556CDB5A"/>
    <w:rsid w:val="55750D61"/>
    <w:rsid w:val="557616D6"/>
    <w:rsid w:val="559AE35A"/>
    <w:rsid w:val="55A6B490"/>
    <w:rsid w:val="55AE510D"/>
    <w:rsid w:val="55C95014"/>
    <w:rsid w:val="55D88275"/>
    <w:rsid w:val="55DCD378"/>
    <w:rsid w:val="56020B20"/>
    <w:rsid w:val="5616A70D"/>
    <w:rsid w:val="563BEC3E"/>
    <w:rsid w:val="564D0F1A"/>
    <w:rsid w:val="5650E6CC"/>
    <w:rsid w:val="568012E5"/>
    <w:rsid w:val="569BC10A"/>
    <w:rsid w:val="56B284FA"/>
    <w:rsid w:val="56F11787"/>
    <w:rsid w:val="56F427FF"/>
    <w:rsid w:val="5710C0A0"/>
    <w:rsid w:val="5712B492"/>
    <w:rsid w:val="5725E959"/>
    <w:rsid w:val="5728D11B"/>
    <w:rsid w:val="57322C65"/>
    <w:rsid w:val="5739AB3A"/>
    <w:rsid w:val="574365BF"/>
    <w:rsid w:val="5768C6E2"/>
    <w:rsid w:val="578D06EA"/>
    <w:rsid w:val="5795E588"/>
    <w:rsid w:val="57A38A6B"/>
    <w:rsid w:val="57C4E89D"/>
    <w:rsid w:val="57F4F756"/>
    <w:rsid w:val="5810C02C"/>
    <w:rsid w:val="58137130"/>
    <w:rsid w:val="5817F752"/>
    <w:rsid w:val="583B539F"/>
    <w:rsid w:val="584AB268"/>
    <w:rsid w:val="58566F15"/>
    <w:rsid w:val="58ADBB4E"/>
    <w:rsid w:val="58BE372D"/>
    <w:rsid w:val="58D1202C"/>
    <w:rsid w:val="58D3E821"/>
    <w:rsid w:val="58DAF3DD"/>
    <w:rsid w:val="58DFD32A"/>
    <w:rsid w:val="58EBAEC6"/>
    <w:rsid w:val="58ED4F55"/>
    <w:rsid w:val="58F1ACCB"/>
    <w:rsid w:val="5911E176"/>
    <w:rsid w:val="591F5F42"/>
    <w:rsid w:val="595291F1"/>
    <w:rsid w:val="5958DC23"/>
    <w:rsid w:val="595A8AA6"/>
    <w:rsid w:val="596E93B5"/>
    <w:rsid w:val="596FD98F"/>
    <w:rsid w:val="5981CE92"/>
    <w:rsid w:val="599161A7"/>
    <w:rsid w:val="599C1690"/>
    <w:rsid w:val="59AD5EEA"/>
    <w:rsid w:val="59AF8674"/>
    <w:rsid w:val="59C61303"/>
    <w:rsid w:val="59CBD117"/>
    <w:rsid w:val="59E40A5B"/>
    <w:rsid w:val="59F1A258"/>
    <w:rsid w:val="5A1AB0B3"/>
    <w:rsid w:val="5A582189"/>
    <w:rsid w:val="5A6304E1"/>
    <w:rsid w:val="5A7202CF"/>
    <w:rsid w:val="5A7D3E1E"/>
    <w:rsid w:val="5A7D5BF0"/>
    <w:rsid w:val="5A7DF009"/>
    <w:rsid w:val="5A84D347"/>
    <w:rsid w:val="5AC394D6"/>
    <w:rsid w:val="5ACAA6E0"/>
    <w:rsid w:val="5B3E4299"/>
    <w:rsid w:val="5B535ABE"/>
    <w:rsid w:val="5B569ACB"/>
    <w:rsid w:val="5B689126"/>
    <w:rsid w:val="5B94CCF9"/>
    <w:rsid w:val="5B993F6E"/>
    <w:rsid w:val="5B9E5567"/>
    <w:rsid w:val="5BA9DCA5"/>
    <w:rsid w:val="5BABC3A7"/>
    <w:rsid w:val="5BB2E3CC"/>
    <w:rsid w:val="5BB48EFC"/>
    <w:rsid w:val="5C1DE2EF"/>
    <w:rsid w:val="5C1FC54F"/>
    <w:rsid w:val="5C2784D0"/>
    <w:rsid w:val="5C2D3EDF"/>
    <w:rsid w:val="5C4D338A"/>
    <w:rsid w:val="5C50A383"/>
    <w:rsid w:val="5C547DD4"/>
    <w:rsid w:val="5C5863C7"/>
    <w:rsid w:val="5C67B3FA"/>
    <w:rsid w:val="5C711F62"/>
    <w:rsid w:val="5C7DC4C2"/>
    <w:rsid w:val="5C9A126B"/>
    <w:rsid w:val="5CABEBCD"/>
    <w:rsid w:val="5CB5928B"/>
    <w:rsid w:val="5CD8AD5F"/>
    <w:rsid w:val="5CF74D52"/>
    <w:rsid w:val="5D06AB21"/>
    <w:rsid w:val="5D1EBBAE"/>
    <w:rsid w:val="5D3DE34A"/>
    <w:rsid w:val="5D5D1B4E"/>
    <w:rsid w:val="5DC4204E"/>
    <w:rsid w:val="5DE013E0"/>
    <w:rsid w:val="5DE8493B"/>
    <w:rsid w:val="5E00AD92"/>
    <w:rsid w:val="5E26E819"/>
    <w:rsid w:val="5E3ACA44"/>
    <w:rsid w:val="5E4A5135"/>
    <w:rsid w:val="5E6D156E"/>
    <w:rsid w:val="5E6EFE30"/>
    <w:rsid w:val="5E76C894"/>
    <w:rsid w:val="5E7F4635"/>
    <w:rsid w:val="5E9103D2"/>
    <w:rsid w:val="5E98D37F"/>
    <w:rsid w:val="5EBC4314"/>
    <w:rsid w:val="5ECA1FD2"/>
    <w:rsid w:val="5EEB2CAB"/>
    <w:rsid w:val="5EEF3001"/>
    <w:rsid w:val="5EEF714B"/>
    <w:rsid w:val="5EF2D320"/>
    <w:rsid w:val="5EFD49FA"/>
    <w:rsid w:val="5F01B95B"/>
    <w:rsid w:val="5F2A0384"/>
    <w:rsid w:val="5F45D636"/>
    <w:rsid w:val="5F64B660"/>
    <w:rsid w:val="5F6BE6CB"/>
    <w:rsid w:val="5FCB2B8E"/>
    <w:rsid w:val="6001456E"/>
    <w:rsid w:val="60049E1C"/>
    <w:rsid w:val="6037CF37"/>
    <w:rsid w:val="6040B205"/>
    <w:rsid w:val="60459E64"/>
    <w:rsid w:val="60649107"/>
    <w:rsid w:val="606928DC"/>
    <w:rsid w:val="606B8058"/>
    <w:rsid w:val="60863861"/>
    <w:rsid w:val="6087AC49"/>
    <w:rsid w:val="60A30A8B"/>
    <w:rsid w:val="60ACA3C9"/>
    <w:rsid w:val="60AE8406"/>
    <w:rsid w:val="60B9753A"/>
    <w:rsid w:val="60C2700D"/>
    <w:rsid w:val="60D5D357"/>
    <w:rsid w:val="60F44C8F"/>
    <w:rsid w:val="610CC9A5"/>
    <w:rsid w:val="61174043"/>
    <w:rsid w:val="611D0329"/>
    <w:rsid w:val="614816F7"/>
    <w:rsid w:val="61965B54"/>
    <w:rsid w:val="619C561B"/>
    <w:rsid w:val="61C3B112"/>
    <w:rsid w:val="61C498AD"/>
    <w:rsid w:val="61D7CE20"/>
    <w:rsid w:val="61E541B8"/>
    <w:rsid w:val="6201931C"/>
    <w:rsid w:val="621B7E7C"/>
    <w:rsid w:val="6228BA04"/>
    <w:rsid w:val="6242F9C5"/>
    <w:rsid w:val="624BD96F"/>
    <w:rsid w:val="627481DD"/>
    <w:rsid w:val="628CA457"/>
    <w:rsid w:val="629379F2"/>
    <w:rsid w:val="62A1A66F"/>
    <w:rsid w:val="62C2A59C"/>
    <w:rsid w:val="62D1AF43"/>
    <w:rsid w:val="62DED80D"/>
    <w:rsid w:val="62FDF2AA"/>
    <w:rsid w:val="62FF02F9"/>
    <w:rsid w:val="63110264"/>
    <w:rsid w:val="63223BC7"/>
    <w:rsid w:val="6328BE83"/>
    <w:rsid w:val="63386740"/>
    <w:rsid w:val="63406387"/>
    <w:rsid w:val="6377B917"/>
    <w:rsid w:val="63B916CF"/>
    <w:rsid w:val="64044DF9"/>
    <w:rsid w:val="64260BB8"/>
    <w:rsid w:val="643E2267"/>
    <w:rsid w:val="6441007B"/>
    <w:rsid w:val="645466C4"/>
    <w:rsid w:val="646233DB"/>
    <w:rsid w:val="6474ABF8"/>
    <w:rsid w:val="648CE717"/>
    <w:rsid w:val="64BC4D7C"/>
    <w:rsid w:val="64EF0138"/>
    <w:rsid w:val="650F2370"/>
    <w:rsid w:val="6511E0C1"/>
    <w:rsid w:val="65335D1C"/>
    <w:rsid w:val="6564CA28"/>
    <w:rsid w:val="6572654F"/>
    <w:rsid w:val="6575BB41"/>
    <w:rsid w:val="6581B2D5"/>
    <w:rsid w:val="658C548A"/>
    <w:rsid w:val="65AFB291"/>
    <w:rsid w:val="65DE89B1"/>
    <w:rsid w:val="65F066F6"/>
    <w:rsid w:val="65F96A8B"/>
    <w:rsid w:val="661AFFD4"/>
    <w:rsid w:val="66289F9E"/>
    <w:rsid w:val="662EFE17"/>
    <w:rsid w:val="663C382D"/>
    <w:rsid w:val="665546BF"/>
    <w:rsid w:val="6658106E"/>
    <w:rsid w:val="665EF740"/>
    <w:rsid w:val="665F0681"/>
    <w:rsid w:val="6666F86C"/>
    <w:rsid w:val="667C58FF"/>
    <w:rsid w:val="66836940"/>
    <w:rsid w:val="66A27F19"/>
    <w:rsid w:val="66A3312C"/>
    <w:rsid w:val="66B815C8"/>
    <w:rsid w:val="66D677C7"/>
    <w:rsid w:val="66E43C17"/>
    <w:rsid w:val="66F47FF0"/>
    <w:rsid w:val="6703F2B9"/>
    <w:rsid w:val="671E0809"/>
    <w:rsid w:val="672AE3ED"/>
    <w:rsid w:val="67337C61"/>
    <w:rsid w:val="676A5CC2"/>
    <w:rsid w:val="677B64EF"/>
    <w:rsid w:val="6795F48C"/>
    <w:rsid w:val="67A1B3F2"/>
    <w:rsid w:val="67A5D4A2"/>
    <w:rsid w:val="67A7BD45"/>
    <w:rsid w:val="67B056BD"/>
    <w:rsid w:val="67C37BD7"/>
    <w:rsid w:val="67D3C6C4"/>
    <w:rsid w:val="67DD703B"/>
    <w:rsid w:val="67DEF843"/>
    <w:rsid w:val="67E8ADAB"/>
    <w:rsid w:val="67FEE8C6"/>
    <w:rsid w:val="6813E88A"/>
    <w:rsid w:val="6818F0F6"/>
    <w:rsid w:val="681A67F7"/>
    <w:rsid w:val="68232B00"/>
    <w:rsid w:val="68278AF8"/>
    <w:rsid w:val="682AA94E"/>
    <w:rsid w:val="68324396"/>
    <w:rsid w:val="6857202C"/>
    <w:rsid w:val="68742817"/>
    <w:rsid w:val="6874E899"/>
    <w:rsid w:val="68834A0C"/>
    <w:rsid w:val="68916D48"/>
    <w:rsid w:val="68935E33"/>
    <w:rsid w:val="6894F958"/>
    <w:rsid w:val="68A6BA3B"/>
    <w:rsid w:val="68C82198"/>
    <w:rsid w:val="68F2E097"/>
    <w:rsid w:val="68FD91C8"/>
    <w:rsid w:val="69048CDC"/>
    <w:rsid w:val="6920B1BA"/>
    <w:rsid w:val="693901B7"/>
    <w:rsid w:val="693945F7"/>
    <w:rsid w:val="693BD38C"/>
    <w:rsid w:val="694AF758"/>
    <w:rsid w:val="69795B53"/>
    <w:rsid w:val="698054B2"/>
    <w:rsid w:val="69815D26"/>
    <w:rsid w:val="699A4412"/>
    <w:rsid w:val="69EAA723"/>
    <w:rsid w:val="69F53DAD"/>
    <w:rsid w:val="6A088842"/>
    <w:rsid w:val="6A0DA701"/>
    <w:rsid w:val="6A1C9875"/>
    <w:rsid w:val="6A2DEF7A"/>
    <w:rsid w:val="6A415748"/>
    <w:rsid w:val="6A49778A"/>
    <w:rsid w:val="6A501EE6"/>
    <w:rsid w:val="6A712D14"/>
    <w:rsid w:val="6A76EA05"/>
    <w:rsid w:val="6AA583D5"/>
    <w:rsid w:val="6AB6329B"/>
    <w:rsid w:val="6ACFAF7C"/>
    <w:rsid w:val="6AD38463"/>
    <w:rsid w:val="6AD43EE9"/>
    <w:rsid w:val="6AF63A32"/>
    <w:rsid w:val="6B06B9B1"/>
    <w:rsid w:val="6B16C9DA"/>
    <w:rsid w:val="6B38900B"/>
    <w:rsid w:val="6B4EF4DE"/>
    <w:rsid w:val="6B5BA617"/>
    <w:rsid w:val="6B66F192"/>
    <w:rsid w:val="6B702435"/>
    <w:rsid w:val="6B786D77"/>
    <w:rsid w:val="6B7886B5"/>
    <w:rsid w:val="6B804AD7"/>
    <w:rsid w:val="6B9CF21A"/>
    <w:rsid w:val="6BA3A443"/>
    <w:rsid w:val="6BBD8A4A"/>
    <w:rsid w:val="6BDCFCBA"/>
    <w:rsid w:val="6BEBA142"/>
    <w:rsid w:val="6BEF1E02"/>
    <w:rsid w:val="6C19EAD1"/>
    <w:rsid w:val="6C26F5FF"/>
    <w:rsid w:val="6C30A2B1"/>
    <w:rsid w:val="6C5A02BB"/>
    <w:rsid w:val="6C662D62"/>
    <w:rsid w:val="6C784EAA"/>
    <w:rsid w:val="6C7DF763"/>
    <w:rsid w:val="6C89B91B"/>
    <w:rsid w:val="6CB6D395"/>
    <w:rsid w:val="6CC35D15"/>
    <w:rsid w:val="6CF423E6"/>
    <w:rsid w:val="6CFACFCC"/>
    <w:rsid w:val="6D0BEC85"/>
    <w:rsid w:val="6D5ED394"/>
    <w:rsid w:val="6D77384C"/>
    <w:rsid w:val="6D7CF243"/>
    <w:rsid w:val="6D8EED8F"/>
    <w:rsid w:val="6D9F0BFC"/>
    <w:rsid w:val="6DA9A07D"/>
    <w:rsid w:val="6DB91E48"/>
    <w:rsid w:val="6DE3D6D8"/>
    <w:rsid w:val="6DEDBD05"/>
    <w:rsid w:val="6DF4CDD1"/>
    <w:rsid w:val="6E007945"/>
    <w:rsid w:val="6E100A1E"/>
    <w:rsid w:val="6E16BB39"/>
    <w:rsid w:val="6E271856"/>
    <w:rsid w:val="6E2D8981"/>
    <w:rsid w:val="6E386D1F"/>
    <w:rsid w:val="6E489E81"/>
    <w:rsid w:val="6E68BAE0"/>
    <w:rsid w:val="6E85121D"/>
    <w:rsid w:val="6EAF4208"/>
    <w:rsid w:val="6EC27939"/>
    <w:rsid w:val="6ED34E5B"/>
    <w:rsid w:val="6EE0B193"/>
    <w:rsid w:val="6EE28DBD"/>
    <w:rsid w:val="6EE3494C"/>
    <w:rsid w:val="6EE6757F"/>
    <w:rsid w:val="6F00C39B"/>
    <w:rsid w:val="6F10099A"/>
    <w:rsid w:val="6F13D85E"/>
    <w:rsid w:val="6F3D8AA9"/>
    <w:rsid w:val="6F48D972"/>
    <w:rsid w:val="6F51127D"/>
    <w:rsid w:val="6F53F652"/>
    <w:rsid w:val="6F5C5C0E"/>
    <w:rsid w:val="6F622947"/>
    <w:rsid w:val="6F65D78D"/>
    <w:rsid w:val="6F9069D2"/>
    <w:rsid w:val="6FA9E245"/>
    <w:rsid w:val="6FD49ACE"/>
    <w:rsid w:val="6FD6A422"/>
    <w:rsid w:val="6FE2AC5B"/>
    <w:rsid w:val="6FE3DE21"/>
    <w:rsid w:val="70062380"/>
    <w:rsid w:val="70118756"/>
    <w:rsid w:val="701303D9"/>
    <w:rsid w:val="701A0B57"/>
    <w:rsid w:val="70259DB6"/>
    <w:rsid w:val="702E9488"/>
    <w:rsid w:val="7039F3A4"/>
    <w:rsid w:val="703A1AD3"/>
    <w:rsid w:val="7045D563"/>
    <w:rsid w:val="705AE23B"/>
    <w:rsid w:val="706B61DF"/>
    <w:rsid w:val="70739CDC"/>
    <w:rsid w:val="708476DB"/>
    <w:rsid w:val="70851D89"/>
    <w:rsid w:val="70B169F1"/>
    <w:rsid w:val="70BC0B3A"/>
    <w:rsid w:val="70D7113B"/>
    <w:rsid w:val="710E0705"/>
    <w:rsid w:val="713B0290"/>
    <w:rsid w:val="71414681"/>
    <w:rsid w:val="7182D2EE"/>
    <w:rsid w:val="718D9640"/>
    <w:rsid w:val="719DF8B2"/>
    <w:rsid w:val="719E64EB"/>
    <w:rsid w:val="71A6DB91"/>
    <w:rsid w:val="71C843C8"/>
    <w:rsid w:val="71CCE952"/>
    <w:rsid w:val="71D2EA42"/>
    <w:rsid w:val="71D5B170"/>
    <w:rsid w:val="71EAF6CF"/>
    <w:rsid w:val="7214CFF3"/>
    <w:rsid w:val="72171711"/>
    <w:rsid w:val="722B8182"/>
    <w:rsid w:val="722FA580"/>
    <w:rsid w:val="725D65C3"/>
    <w:rsid w:val="726138E4"/>
    <w:rsid w:val="72A7E300"/>
    <w:rsid w:val="72D86A4D"/>
    <w:rsid w:val="72E8CAAD"/>
    <w:rsid w:val="72EEDFBB"/>
    <w:rsid w:val="73014918"/>
    <w:rsid w:val="7307C56B"/>
    <w:rsid w:val="731B3BAC"/>
    <w:rsid w:val="7337C24D"/>
    <w:rsid w:val="73492FFA"/>
    <w:rsid w:val="735EAE60"/>
    <w:rsid w:val="735FFBB9"/>
    <w:rsid w:val="738E10E1"/>
    <w:rsid w:val="73C8EDCB"/>
    <w:rsid w:val="73DDB1EB"/>
    <w:rsid w:val="73FEE65E"/>
    <w:rsid w:val="7408C401"/>
    <w:rsid w:val="7424CCC9"/>
    <w:rsid w:val="7434146C"/>
    <w:rsid w:val="743B7F62"/>
    <w:rsid w:val="744A6C7F"/>
    <w:rsid w:val="74516CE7"/>
    <w:rsid w:val="747EBEFE"/>
    <w:rsid w:val="748052EF"/>
    <w:rsid w:val="74817BB0"/>
    <w:rsid w:val="74A1F292"/>
    <w:rsid w:val="74A36A19"/>
    <w:rsid w:val="74AE401B"/>
    <w:rsid w:val="74B4B9A9"/>
    <w:rsid w:val="74BBBF97"/>
    <w:rsid w:val="75041D2B"/>
    <w:rsid w:val="7552A8D4"/>
    <w:rsid w:val="756BBCFF"/>
    <w:rsid w:val="757A21CB"/>
    <w:rsid w:val="757B817E"/>
    <w:rsid w:val="75841B17"/>
    <w:rsid w:val="759122CA"/>
    <w:rsid w:val="75C7A4B8"/>
    <w:rsid w:val="75CB93C8"/>
    <w:rsid w:val="75D11E32"/>
    <w:rsid w:val="75E0EA75"/>
    <w:rsid w:val="76175CB8"/>
    <w:rsid w:val="7620E4D5"/>
    <w:rsid w:val="76220CCD"/>
    <w:rsid w:val="76317B2B"/>
    <w:rsid w:val="764C1C2A"/>
    <w:rsid w:val="76711B4C"/>
    <w:rsid w:val="767E0D6E"/>
    <w:rsid w:val="76849283"/>
    <w:rsid w:val="76887FDC"/>
    <w:rsid w:val="769529CD"/>
    <w:rsid w:val="76C97788"/>
    <w:rsid w:val="76CE94A8"/>
    <w:rsid w:val="76FA1325"/>
    <w:rsid w:val="771B7A3B"/>
    <w:rsid w:val="773C7B3B"/>
    <w:rsid w:val="773F4545"/>
    <w:rsid w:val="7741754F"/>
    <w:rsid w:val="7742C4D4"/>
    <w:rsid w:val="77710F51"/>
    <w:rsid w:val="77A68EB1"/>
    <w:rsid w:val="77AA7912"/>
    <w:rsid w:val="77ABEB37"/>
    <w:rsid w:val="77AC7E3D"/>
    <w:rsid w:val="77C4FEC3"/>
    <w:rsid w:val="77CEA6D9"/>
    <w:rsid w:val="77D6EB67"/>
    <w:rsid w:val="7808ED8D"/>
    <w:rsid w:val="780F7339"/>
    <w:rsid w:val="7814A019"/>
    <w:rsid w:val="78259B50"/>
    <w:rsid w:val="7829B08F"/>
    <w:rsid w:val="782D6E85"/>
    <w:rsid w:val="7858B8EA"/>
    <w:rsid w:val="785E4781"/>
    <w:rsid w:val="78619564"/>
    <w:rsid w:val="786F096A"/>
    <w:rsid w:val="78A47DAB"/>
    <w:rsid w:val="78B099D8"/>
    <w:rsid w:val="78E61E46"/>
    <w:rsid w:val="78E95940"/>
    <w:rsid w:val="78F18B4A"/>
    <w:rsid w:val="78F5DD8A"/>
    <w:rsid w:val="79385DBB"/>
    <w:rsid w:val="793FBD27"/>
    <w:rsid w:val="79414ED9"/>
    <w:rsid w:val="79482550"/>
    <w:rsid w:val="7972CCF2"/>
    <w:rsid w:val="7977C92D"/>
    <w:rsid w:val="7979D6A7"/>
    <w:rsid w:val="79988D43"/>
    <w:rsid w:val="79B4A205"/>
    <w:rsid w:val="79B58DBB"/>
    <w:rsid w:val="79BCE1AD"/>
    <w:rsid w:val="79C806F8"/>
    <w:rsid w:val="79CBBCBE"/>
    <w:rsid w:val="79F88092"/>
    <w:rsid w:val="7A0E85AF"/>
    <w:rsid w:val="7A0EC430"/>
    <w:rsid w:val="7A4A1B0E"/>
    <w:rsid w:val="7A55C05C"/>
    <w:rsid w:val="7A6DC609"/>
    <w:rsid w:val="7A744FC2"/>
    <w:rsid w:val="7A8395CE"/>
    <w:rsid w:val="7A8548C1"/>
    <w:rsid w:val="7A9C471B"/>
    <w:rsid w:val="7AC90E40"/>
    <w:rsid w:val="7ADE7CA5"/>
    <w:rsid w:val="7AEC35BE"/>
    <w:rsid w:val="7AF536C0"/>
    <w:rsid w:val="7B086BFA"/>
    <w:rsid w:val="7B158DD3"/>
    <w:rsid w:val="7B25717D"/>
    <w:rsid w:val="7B484CF9"/>
    <w:rsid w:val="7B66F1DD"/>
    <w:rsid w:val="7B845626"/>
    <w:rsid w:val="7B8D6FCC"/>
    <w:rsid w:val="7BA8D1EC"/>
    <w:rsid w:val="7BA993F2"/>
    <w:rsid w:val="7BCB6498"/>
    <w:rsid w:val="7BD8198C"/>
    <w:rsid w:val="7BDF443C"/>
    <w:rsid w:val="7BF8DF5C"/>
    <w:rsid w:val="7C156154"/>
    <w:rsid w:val="7C1B2096"/>
    <w:rsid w:val="7C34074E"/>
    <w:rsid w:val="7C387443"/>
    <w:rsid w:val="7C42496C"/>
    <w:rsid w:val="7C4753CE"/>
    <w:rsid w:val="7C4E46E3"/>
    <w:rsid w:val="7C4E4755"/>
    <w:rsid w:val="7C675400"/>
    <w:rsid w:val="7C78D432"/>
    <w:rsid w:val="7C8FBB93"/>
    <w:rsid w:val="7C99E249"/>
    <w:rsid w:val="7C9ADBE5"/>
    <w:rsid w:val="7CC3295B"/>
    <w:rsid w:val="7CCD62F4"/>
    <w:rsid w:val="7CE5C2E3"/>
    <w:rsid w:val="7CE5CD39"/>
    <w:rsid w:val="7CEFD31F"/>
    <w:rsid w:val="7CF1CC1B"/>
    <w:rsid w:val="7CF7D290"/>
    <w:rsid w:val="7D06C120"/>
    <w:rsid w:val="7D06C7C9"/>
    <w:rsid w:val="7D0AC734"/>
    <w:rsid w:val="7D0FA9EB"/>
    <w:rsid w:val="7D1BF62C"/>
    <w:rsid w:val="7D2B600E"/>
    <w:rsid w:val="7D337565"/>
    <w:rsid w:val="7D43C7FC"/>
    <w:rsid w:val="7D5EB969"/>
    <w:rsid w:val="7D65152C"/>
    <w:rsid w:val="7D72C1A0"/>
    <w:rsid w:val="7D974095"/>
    <w:rsid w:val="7D988873"/>
    <w:rsid w:val="7D99F23B"/>
    <w:rsid w:val="7DC5359B"/>
    <w:rsid w:val="7DD1FCD1"/>
    <w:rsid w:val="7DD51114"/>
    <w:rsid w:val="7DD9A4B5"/>
    <w:rsid w:val="7DE0D998"/>
    <w:rsid w:val="7DEE99FF"/>
    <w:rsid w:val="7DEFA363"/>
    <w:rsid w:val="7DF32E63"/>
    <w:rsid w:val="7E073783"/>
    <w:rsid w:val="7E0E4B8C"/>
    <w:rsid w:val="7E13FFE9"/>
    <w:rsid w:val="7E1DC849"/>
    <w:rsid w:val="7E201E12"/>
    <w:rsid w:val="7E28C9D2"/>
    <w:rsid w:val="7E5AFC24"/>
    <w:rsid w:val="7E5BCA82"/>
    <w:rsid w:val="7E641A5F"/>
    <w:rsid w:val="7E647419"/>
    <w:rsid w:val="7E71662F"/>
    <w:rsid w:val="7E78FCB5"/>
    <w:rsid w:val="7E812430"/>
    <w:rsid w:val="7E8C63AA"/>
    <w:rsid w:val="7EA4773A"/>
    <w:rsid w:val="7EB03322"/>
    <w:rsid w:val="7EB7E91B"/>
    <w:rsid w:val="7EDF1961"/>
    <w:rsid w:val="7EE57DC3"/>
    <w:rsid w:val="7F162EA6"/>
    <w:rsid w:val="7F177570"/>
    <w:rsid w:val="7F1B7F2B"/>
    <w:rsid w:val="7F1BFC3E"/>
    <w:rsid w:val="7F1E8BF8"/>
    <w:rsid w:val="7F1FBA64"/>
    <w:rsid w:val="7F37FDA7"/>
    <w:rsid w:val="7F387734"/>
    <w:rsid w:val="7F463FEF"/>
    <w:rsid w:val="7F4924E7"/>
    <w:rsid w:val="7F62C77C"/>
    <w:rsid w:val="7F6A259D"/>
    <w:rsid w:val="7F7E30BA"/>
    <w:rsid w:val="7F9A65B4"/>
    <w:rsid w:val="7FA10296"/>
    <w:rsid w:val="7FB14E6C"/>
    <w:rsid w:val="7FBBE017"/>
    <w:rsid w:val="7FC30E77"/>
    <w:rsid w:val="7FC9BC95"/>
    <w:rsid w:val="7FD157F2"/>
    <w:rsid w:val="7FD1C707"/>
    <w:rsid w:val="7FEECCC2"/>
    <w:rsid w:val="7FFE968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D6EC6"/>
  <w15:docId w15:val="{95F6460D-6BDB-48F6-993B-91E425B6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5556"/>
    <w:pPr>
      <w:jc w:val="both"/>
    </w:pPr>
    <w:rPr>
      <w:rFonts w:ascii="Lato" w:hAnsi="Lato"/>
      <w:sz w:val="20"/>
    </w:rPr>
  </w:style>
  <w:style w:type="paragraph" w:styleId="Nagwek1">
    <w:name w:val="heading 1"/>
    <w:basedOn w:val="Normalny"/>
    <w:next w:val="Normalny"/>
    <w:link w:val="Nagwek1Znak"/>
    <w:uiPriority w:val="9"/>
    <w:qFormat/>
    <w:rsid w:val="008057F6"/>
    <w:pPr>
      <w:keepNext/>
      <w:keepLines/>
      <w:numPr>
        <w:numId w:val="172"/>
      </w:numPr>
      <w:spacing w:before="240" w:after="360"/>
      <w:jc w:val="left"/>
      <w:outlineLvl w:val="0"/>
    </w:pPr>
    <w:rPr>
      <w:rFonts w:ascii="Bahnschrift" w:eastAsiaTheme="majorEastAsia" w:hAnsi="Bahnschrift" w:cstheme="majorBidi"/>
      <w:b/>
      <w:sz w:val="48"/>
      <w:szCs w:val="32"/>
    </w:rPr>
  </w:style>
  <w:style w:type="paragraph" w:styleId="Nagwek2">
    <w:name w:val="heading 2"/>
    <w:basedOn w:val="Normalny"/>
    <w:next w:val="Normalny"/>
    <w:link w:val="Nagwek2Znak"/>
    <w:uiPriority w:val="9"/>
    <w:unhideWhenUsed/>
    <w:qFormat/>
    <w:rsid w:val="00FF5725"/>
    <w:pPr>
      <w:keepNext/>
      <w:keepLines/>
      <w:numPr>
        <w:ilvl w:val="1"/>
        <w:numId w:val="172"/>
      </w:numPr>
      <w:spacing w:before="240" w:after="360"/>
      <w:jc w:val="left"/>
      <w:outlineLvl w:val="1"/>
    </w:pPr>
    <w:rPr>
      <w:rFonts w:ascii="Bahnschrift" w:eastAsiaTheme="majorEastAsia" w:hAnsi="Bahnschrift" w:cstheme="majorBidi"/>
      <w:b/>
      <w:sz w:val="44"/>
      <w:szCs w:val="26"/>
    </w:rPr>
  </w:style>
  <w:style w:type="paragraph" w:styleId="Nagwek3">
    <w:name w:val="heading 3"/>
    <w:basedOn w:val="Normalny"/>
    <w:next w:val="Normalny"/>
    <w:link w:val="Nagwek3Znak"/>
    <w:uiPriority w:val="9"/>
    <w:unhideWhenUsed/>
    <w:qFormat/>
    <w:rsid w:val="005B0F98"/>
    <w:pPr>
      <w:keepNext/>
      <w:keepLines/>
      <w:numPr>
        <w:ilvl w:val="2"/>
        <w:numId w:val="172"/>
      </w:numPr>
      <w:spacing w:before="600" w:after="240"/>
      <w:ind w:left="2126" w:hanging="2126"/>
      <w:jc w:val="left"/>
      <w:outlineLvl w:val="2"/>
    </w:pPr>
    <w:rPr>
      <w:rFonts w:ascii="Bahnschrift" w:eastAsiaTheme="majorEastAsia" w:hAnsi="Bahnschrift" w:cstheme="majorBidi"/>
      <w:b/>
      <w:sz w:val="40"/>
      <w:szCs w:val="24"/>
    </w:rPr>
  </w:style>
  <w:style w:type="paragraph" w:styleId="Nagwek4">
    <w:name w:val="heading 4"/>
    <w:basedOn w:val="Normalny"/>
    <w:next w:val="Normalny"/>
    <w:link w:val="Nagwek4Znak"/>
    <w:uiPriority w:val="9"/>
    <w:unhideWhenUsed/>
    <w:qFormat/>
    <w:rsid w:val="00A415F0"/>
    <w:pPr>
      <w:keepNext/>
      <w:keepLines/>
      <w:numPr>
        <w:ilvl w:val="3"/>
        <w:numId w:val="172"/>
      </w:numPr>
      <w:spacing w:before="600" w:after="240"/>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unhideWhenUsed/>
    <w:qFormat/>
    <w:rsid w:val="002E51CE"/>
    <w:pPr>
      <w:keepNext/>
      <w:keepLines/>
      <w:numPr>
        <w:ilvl w:val="4"/>
        <w:numId w:val="172"/>
      </w:numPr>
      <w:spacing w:before="480"/>
      <w:outlineLvl w:val="4"/>
    </w:pPr>
    <w:rPr>
      <w:rFonts w:ascii="Bahnschrift" w:eastAsiaTheme="majorEastAsia" w:hAnsi="Bahnschrift" w:cstheme="majorBidi"/>
      <w:b/>
      <w:color w:val="000000" w:themeColor="text1"/>
      <w:sz w:val="24"/>
    </w:rPr>
  </w:style>
  <w:style w:type="paragraph" w:styleId="Nagwek6">
    <w:name w:val="heading 6"/>
    <w:aliases w:val="Nagłówek 6_Działania"/>
    <w:basedOn w:val="Normalny"/>
    <w:next w:val="Normalny"/>
    <w:link w:val="Nagwek6Znak"/>
    <w:uiPriority w:val="9"/>
    <w:unhideWhenUsed/>
    <w:qFormat/>
    <w:rsid w:val="00AC7661"/>
    <w:pPr>
      <w:keepNext/>
      <w:keepLines/>
      <w:spacing w:before="480" w:after="120"/>
      <w:jc w:val="left"/>
      <w:outlineLvl w:val="5"/>
    </w:pPr>
    <w:rPr>
      <w:rFonts w:ascii="Bahnschrift" w:eastAsiaTheme="majorEastAsia" w:hAnsi="Bahnschrift" w:cstheme="majorBidi"/>
      <w:b/>
      <w:color w:val="000000" w:themeColor="text1"/>
      <w:sz w:val="22"/>
    </w:rPr>
  </w:style>
  <w:style w:type="paragraph" w:styleId="Nagwek7">
    <w:name w:val="heading 7"/>
    <w:basedOn w:val="Normalny"/>
    <w:next w:val="Normalny"/>
    <w:link w:val="Nagwek7Znak"/>
    <w:uiPriority w:val="9"/>
    <w:semiHidden/>
    <w:unhideWhenUsed/>
    <w:qFormat/>
    <w:rsid w:val="00D05B5D"/>
    <w:pPr>
      <w:keepNext/>
      <w:keepLines/>
      <w:numPr>
        <w:ilvl w:val="6"/>
        <w:numId w:val="17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17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17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57F6"/>
    <w:rPr>
      <w:rFonts w:ascii="Bahnschrift" w:eastAsiaTheme="majorEastAsia" w:hAnsi="Bahnschrift" w:cstheme="majorBidi"/>
      <w:b/>
      <w:sz w:val="48"/>
      <w:szCs w:val="32"/>
    </w:rPr>
  </w:style>
  <w:style w:type="character" w:customStyle="1" w:styleId="Nagwek2Znak">
    <w:name w:val="Nagłówek 2 Znak"/>
    <w:basedOn w:val="Domylnaczcionkaakapitu"/>
    <w:link w:val="Nagwek2"/>
    <w:uiPriority w:val="9"/>
    <w:rsid w:val="00FF5725"/>
    <w:rPr>
      <w:rFonts w:ascii="Bahnschrift" w:eastAsiaTheme="majorEastAsia" w:hAnsi="Bahnschrift" w:cstheme="majorBidi"/>
      <w:b/>
      <w:sz w:val="44"/>
      <w:szCs w:val="26"/>
    </w:rPr>
  </w:style>
  <w:style w:type="character" w:customStyle="1" w:styleId="Nagwek3Znak">
    <w:name w:val="Nagłówek 3 Znak"/>
    <w:basedOn w:val="Domylnaczcionkaakapitu"/>
    <w:link w:val="Nagwek3"/>
    <w:uiPriority w:val="9"/>
    <w:rsid w:val="005B0F98"/>
    <w:rPr>
      <w:rFonts w:ascii="Bahnschrift" w:eastAsiaTheme="majorEastAsia" w:hAnsi="Bahnschrift" w:cstheme="majorBidi"/>
      <w:b/>
      <w:sz w:val="40"/>
      <w:szCs w:val="24"/>
    </w:rPr>
  </w:style>
  <w:style w:type="character" w:customStyle="1" w:styleId="Nagwek4Znak">
    <w:name w:val="Nagłówek 4 Znak"/>
    <w:basedOn w:val="Domylnaczcionkaakapitu"/>
    <w:link w:val="Nagwek4"/>
    <w:uiPriority w:val="9"/>
    <w:rsid w:val="00A415F0"/>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9E2381"/>
    <w:pPr>
      <w:tabs>
        <w:tab w:val="left" w:pos="284"/>
        <w:tab w:val="right" w:leader="dot" w:pos="9062"/>
      </w:tabs>
      <w:spacing w:after="100"/>
    </w:pPr>
    <w:rPr>
      <w:rFonts w:ascii="Bahnschrift" w:hAnsi="Bahnschrift"/>
      <w:sz w:val="22"/>
    </w:rPr>
  </w:style>
  <w:style w:type="character" w:styleId="Odwoaniedokomentarza">
    <w:name w:val="annotation reference"/>
    <w:basedOn w:val="Domylnaczcionkaakapitu"/>
    <w:uiPriority w:val="99"/>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x20181999">
    <w:name w:val="x2018/1999"/>
    <w:basedOn w:val="Normalny"/>
    <w:link w:val="x20181999Znak"/>
    <w:rsid w:val="002B5CFB"/>
    <w:pPr>
      <w:shd w:val="clear" w:color="auto" w:fill="BDD6EE" w:themeFill="accent5" w:themeFillTint="66"/>
    </w:pPr>
    <w:rPr>
      <w:color w:val="595959" w:themeColor="text1" w:themeTint="A6"/>
    </w:rPr>
  </w:style>
  <w:style w:type="character" w:customStyle="1" w:styleId="x20181999Znak">
    <w:name w:val="x2018/1999 Znak"/>
    <w:basedOn w:val="Domylnaczcionkaakapitu"/>
    <w:link w:val="x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rsid w:val="00BA46AC"/>
    <w:pPr>
      <w:spacing w:after="0"/>
      <w:outlineLvl w:val="9"/>
    </w:pPr>
    <w:rPr>
      <w:rFonts w:asciiTheme="majorHAnsi" w:hAnsiTheme="majorHAnsi"/>
      <w:b w:val="0"/>
      <w:kern w:val="0"/>
      <w:sz w:val="32"/>
      <w:lang w:eastAsia="pl-PL"/>
    </w:rPr>
  </w:style>
  <w:style w:type="paragraph" w:styleId="Spistreci3">
    <w:name w:val="toc 3"/>
    <w:basedOn w:val="Normalny"/>
    <w:next w:val="Normalny"/>
    <w:autoRedefine/>
    <w:uiPriority w:val="39"/>
    <w:unhideWhenUsed/>
    <w:rsid w:val="006322D4"/>
    <w:pPr>
      <w:tabs>
        <w:tab w:val="right" w:leader="dot" w:pos="9062"/>
      </w:tabs>
      <w:spacing w:after="100"/>
      <w:ind w:left="1701" w:hanging="1134"/>
      <w:jc w:val="left"/>
    </w:pPr>
    <w:rPr>
      <w:rFonts w:ascii="Bahnschrift" w:hAnsi="Bahnschrift"/>
    </w:rPr>
  </w:style>
  <w:style w:type="paragraph" w:styleId="Spistreci2">
    <w:name w:val="toc 2"/>
    <w:basedOn w:val="Normalny"/>
    <w:next w:val="Normalny"/>
    <w:autoRedefine/>
    <w:uiPriority w:val="39"/>
    <w:unhideWhenUsed/>
    <w:rsid w:val="00473117"/>
    <w:pPr>
      <w:tabs>
        <w:tab w:val="right" w:leader="dot" w:pos="9062"/>
      </w:tabs>
      <w:spacing w:after="100"/>
      <w:ind w:left="454"/>
      <w:jc w:val="left"/>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DE2816"/>
    <w:pPr>
      <w:shd w:val="clear" w:color="auto" w:fill="FFF2CC" w:themeFill="accent4" w:themeFillTint="33"/>
      <w:spacing w:after="0"/>
    </w:pPr>
    <w:rPr>
      <w:color w:val="660033"/>
    </w:rPr>
  </w:style>
  <w:style w:type="character" w:customStyle="1" w:styleId="tekstroboczyZnak">
    <w:name w:val="tekst roboczy Znak"/>
    <w:basedOn w:val="Domylnaczcionkaakapitu"/>
    <w:link w:val="tekstroboczy"/>
    <w:rsid w:val="00DE2816"/>
    <w:rPr>
      <w:rFonts w:ascii="Lato" w:hAnsi="Lato"/>
      <w:color w:val="660033"/>
      <w:sz w:val="20"/>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ußnotentextf,Footnote text,fn,Schriftart: 9 pt,Schriftart: 10 pt,Schriftart: 8 pt,WB-Fußnotentext,Podrozdział,Schriftart: 8 p,Char,Tekst przypisu,WB-Fuﬂnotentext,Voetnoottekst Char,Voetnoottekst Char1,Reference,Fußnote,Fußn,f,ft"/>
    <w:basedOn w:val="Normalny"/>
    <w:link w:val="TekstprzypisudolnegoZnak"/>
    <w:uiPriority w:val="99"/>
    <w:unhideWhenUsed/>
    <w:qFormat/>
    <w:rsid w:val="00C94DB9"/>
    <w:pPr>
      <w:spacing w:after="0" w:line="240" w:lineRule="auto"/>
    </w:pPr>
    <w:rPr>
      <w:sz w:val="18"/>
      <w:szCs w:val="20"/>
    </w:rPr>
  </w:style>
  <w:style w:type="character" w:customStyle="1" w:styleId="TekstprzypisudolnegoZnak">
    <w:name w:val="Tekst przypisu dolnego Znak"/>
    <w:aliases w:val="Fußnotentextf Znak,Footnote text Znak,fn Znak,Schriftart: 9 pt Znak,Schriftart: 10 pt Znak,Schriftart: 8 pt Znak,WB-Fußnotentext Znak,Podrozdział Znak,Schriftart: 8 p Znak,Char Znak,Tekst przypisu Znak,WB-Fuﬂnotentext Znak"/>
    <w:basedOn w:val="Domylnaczcionkaakapitu"/>
    <w:link w:val="Tekstprzypisudolnego"/>
    <w:uiPriority w:val="99"/>
    <w:qFormat/>
    <w:rsid w:val="00F775EA"/>
    <w:rPr>
      <w:rFonts w:ascii="Lato" w:hAnsi="Lato"/>
      <w:sz w:val="18"/>
      <w:szCs w:val="20"/>
    </w:rPr>
  </w:style>
  <w:style w:type="character" w:styleId="Odwoanieprzypisudolnego">
    <w:name w:val="footnote reference"/>
    <w:aliases w:val="Footnote symbol,IT Fußnotenzeichen,Footnote symboFußnotenzeichen,Footnote sign,-E Fußnotenzeichen,ESPON Footnote No,Footnote call,Footnote Reference Superscript,Footnote reference number,Times 10 Point,Exposant 3 Point,Ref"/>
    <w:basedOn w:val="Domylnaczcionkaakapitu"/>
    <w:link w:val="FootnotesymbolCarZchn"/>
    <w:uiPriority w:val="99"/>
    <w:unhideWhenUsed/>
    <w:qFormat/>
    <w:rsid w:val="00F775EA"/>
    <w:rPr>
      <w:vertAlign w:val="superscript"/>
    </w:rPr>
  </w:style>
  <w:style w:type="paragraph" w:styleId="Tekstpodstawowy">
    <w:name w:val="Body Text"/>
    <w:basedOn w:val="Normalny"/>
    <w:link w:val="TekstpodstawowyZnak"/>
    <w:uiPriority w:val="99"/>
    <w:semiHidden/>
    <w:unhideWhenUsed/>
    <w:rsid w:val="00136584"/>
    <w:pPr>
      <w:spacing w:after="120"/>
    </w:pPr>
  </w:style>
  <w:style w:type="paragraph" w:customStyle="1" w:styleId="odesaniedoza">
    <w:name w:val="odesłanie do zał"/>
    <w:basedOn w:val="Normalny"/>
    <w:link w:val="odesaniedozaZnak"/>
    <w:qFormat/>
    <w:rsid w:val="00C07BDA"/>
    <w:pPr>
      <w:spacing w:before="120"/>
    </w:pPr>
    <w:rPr>
      <w:i/>
      <w:color w:val="808080" w:themeColor="background1" w:themeShade="80"/>
    </w:rPr>
  </w:style>
  <w:style w:type="character" w:customStyle="1" w:styleId="odesaniedozaZnak">
    <w:name w:val="odesłanie do zał Znak"/>
    <w:basedOn w:val="Domylnaczcionkaakapitu"/>
    <w:link w:val="odesaniedoza"/>
    <w:rsid w:val="00EA2BB8"/>
    <w:rPr>
      <w:rFonts w:ascii="Lato" w:hAnsi="Lato"/>
      <w:i/>
      <w:color w:val="808080" w:themeColor="background1" w:themeShade="80"/>
      <w:sz w:val="20"/>
    </w:rPr>
  </w:style>
  <w:style w:type="paragraph" w:customStyle="1" w:styleId="Przypisy">
    <w:name w:val="Przypisy"/>
    <w:basedOn w:val="Bezodstpw"/>
    <w:link w:val="PrzypisyZnak"/>
    <w:autoRedefine/>
    <w:qFormat/>
    <w:rsid w:val="00B70702"/>
    <w:pPr>
      <w:spacing w:before="80" w:after="20"/>
      <w:ind w:left="45"/>
      <w:jc w:val="both"/>
    </w:pPr>
    <w:rPr>
      <w:rFonts w:eastAsia="Calibri" w:cs="Times New Roman"/>
    </w:rPr>
  </w:style>
  <w:style w:type="character" w:customStyle="1" w:styleId="PrzypisyZnak">
    <w:name w:val="Przypisy Znak"/>
    <w:basedOn w:val="Domylnaczcionkaakapitu"/>
    <w:link w:val="Przypisy"/>
    <w:rsid w:val="00B70702"/>
    <w:rPr>
      <w:rFonts w:ascii="Lato" w:eastAsia="Calibri" w:hAnsi="Lato" w:cs="Times New Roman"/>
      <w:kern w:val="0"/>
      <w:sz w:val="18"/>
    </w:rPr>
  </w:style>
  <w:style w:type="paragraph" w:styleId="Bezodstpw">
    <w:name w:val="No Spacing"/>
    <w:link w:val="BezodstpwZnak"/>
    <w:autoRedefine/>
    <w:uiPriority w:val="1"/>
    <w:qFormat/>
    <w:rsid w:val="00CA6554"/>
    <w:pPr>
      <w:spacing w:after="0"/>
      <w:jc w:val="center"/>
    </w:pPr>
    <w:rPr>
      <w:rFonts w:ascii="Lato" w:hAnsi="Lato" w:cs="Calibri"/>
      <w:kern w:val="0"/>
      <w:sz w:val="18"/>
      <w:szCs w:val="18"/>
    </w:rPr>
  </w:style>
  <w:style w:type="character" w:customStyle="1" w:styleId="BezodstpwZnak">
    <w:name w:val="Bez odstępów Znak"/>
    <w:basedOn w:val="Domylnaczcionkaakapitu"/>
    <w:link w:val="Bezodstpw"/>
    <w:uiPriority w:val="1"/>
    <w:rsid w:val="00CA6554"/>
    <w:rPr>
      <w:rFonts w:ascii="Lato" w:hAnsi="Lato" w:cs="Calibri"/>
      <w:kern w:val="0"/>
      <w:sz w:val="18"/>
      <w:szCs w:val="18"/>
    </w:rPr>
  </w:style>
  <w:style w:type="paragraph" w:styleId="Nagwek">
    <w:name w:val="header"/>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449"/>
    <w:rPr>
      <w:rFonts w:ascii="Lato" w:hAnsi="Lato"/>
    </w:rPr>
  </w:style>
  <w:style w:type="paragraph" w:styleId="Stopka">
    <w:name w:val="footer"/>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rsid w:val="002E51CE"/>
    <w:rPr>
      <w:rFonts w:ascii="Bahnschrift" w:eastAsiaTheme="majorEastAsia" w:hAnsi="Bahnschrift" w:cstheme="majorBidi"/>
      <w:b/>
      <w:color w:val="000000" w:themeColor="text1"/>
      <w:sz w:val="24"/>
    </w:rPr>
  </w:style>
  <w:style w:type="character" w:customStyle="1" w:styleId="Nagwek6Znak">
    <w:name w:val="Nagłówek 6 Znak"/>
    <w:aliases w:val="Nagłówek 6_Działania Znak"/>
    <w:basedOn w:val="Domylnaczcionkaakapitu"/>
    <w:link w:val="Nagwek6"/>
    <w:uiPriority w:val="9"/>
    <w:rsid w:val="00D523F3"/>
    <w:rPr>
      <w:rFonts w:ascii="Bahnschrift" w:eastAsiaTheme="majorEastAsia" w:hAnsi="Bahnschrift" w:cstheme="majorBidi"/>
      <w:b/>
      <w:color w:val="000000" w:themeColor="text1"/>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FC0FE0"/>
    <w:pPr>
      <w:pBdr>
        <w:top w:val="single" w:sz="24" w:space="2" w:color="D9D9D9" w:themeColor="background1" w:themeShade="D9"/>
        <w:left w:val="single" w:sz="24" w:space="4" w:color="D9D9D9" w:themeColor="background1" w:themeShade="D9"/>
        <w:bottom w:val="single" w:sz="24" w:space="2" w:color="D9D9D9" w:themeColor="background1" w:themeShade="D9"/>
        <w:right w:val="single" w:sz="24" w:space="4" w:color="D9D9D9" w:themeColor="background1" w:themeShade="D9"/>
      </w:pBdr>
      <w:shd w:val="clear" w:color="auto" w:fill="D9D9D9" w:themeFill="background1" w:themeFillShade="D9"/>
      <w:spacing w:before="160" w:after="360"/>
      <w:jc w:val="center"/>
    </w:pPr>
    <w:rPr>
      <w:rFonts w:cs="Calibri"/>
      <w:sz w:val="24"/>
    </w:rPr>
  </w:style>
  <w:style w:type="character" w:customStyle="1" w:styleId="CeleZnak">
    <w:name w:val="Cele Znak"/>
    <w:basedOn w:val="Domylnaczcionkaakapitu"/>
    <w:link w:val="Cele"/>
    <w:rsid w:val="00FC0FE0"/>
    <w:rPr>
      <w:rFonts w:ascii="Lato" w:hAnsi="Lato" w:cs="Calibri"/>
      <w:sz w:val="24"/>
      <w:shd w:val="clear" w:color="auto" w:fill="D9D9D9" w:themeFill="background1" w:themeFillShade="D9"/>
    </w:rPr>
  </w:style>
  <w:style w:type="paragraph" w:styleId="Poprawka">
    <w:name w:val="Revision"/>
    <w:hidden/>
    <w:uiPriority w:val="99"/>
    <w:semiHidden/>
    <w:rsid w:val="00AC61D8"/>
    <w:pPr>
      <w:spacing w:after="0" w:line="240" w:lineRule="auto"/>
    </w:pPr>
    <w:rPr>
      <w:rFonts w:ascii="Lato" w:hAnsi="Lato"/>
    </w:rPr>
  </w:style>
  <w:style w:type="paragraph" w:customStyle="1" w:styleId="PaMs">
    <w:name w:val="PaMs"/>
    <w:basedOn w:val="Normalny"/>
    <w:link w:val="PaMsZnak"/>
    <w:qFormat/>
    <w:rsid w:val="00F6387B"/>
    <w:pPr>
      <w:keepNext/>
      <w:spacing w:before="400" w:after="80"/>
    </w:pPr>
    <w:rPr>
      <w:rFonts w:ascii="Bahnschrift" w:hAnsi="Bahnschrift"/>
      <w:b/>
      <w:bCs/>
      <w:sz w:val="32"/>
      <w:szCs w:val="32"/>
    </w:rPr>
  </w:style>
  <w:style w:type="character" w:customStyle="1" w:styleId="PaMsZnak">
    <w:name w:val="PaMs Znak"/>
    <w:basedOn w:val="Domylnaczcionkaakapitu"/>
    <w:link w:val="PaMs"/>
    <w:rsid w:val="00F6387B"/>
    <w:rPr>
      <w:rFonts w:ascii="Bahnschrift" w:hAnsi="Bahnschrift"/>
      <w:b/>
      <w:bCs/>
      <w:sz w:val="32"/>
      <w:szCs w:val="32"/>
    </w:rPr>
  </w:style>
  <w:style w:type="character" w:customStyle="1" w:styleId="Nierozpoznanawzmianka1">
    <w:name w:val="Nierozpoznana wzmianka1"/>
    <w:basedOn w:val="Domylnaczcionkaakapitu"/>
    <w:uiPriority w:val="99"/>
    <w:semiHidden/>
    <w:unhideWhenUsed/>
    <w:rsid w:val="00AB47C0"/>
    <w:rPr>
      <w:color w:val="605E5C"/>
      <w:shd w:val="clear" w:color="auto" w:fill="E1DFDD"/>
    </w:rPr>
  </w:style>
  <w:style w:type="character" w:customStyle="1" w:styleId="TekstpodstawowyZnak">
    <w:name w:val="Tekst podstawowy Znak"/>
    <w:basedOn w:val="Domylnaczcionkaakapitu"/>
    <w:link w:val="Tekstpodstawowy"/>
    <w:uiPriority w:val="99"/>
    <w:semiHidden/>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styleId="Legenda">
    <w:name w:val="caption"/>
    <w:basedOn w:val="Normalny"/>
    <w:next w:val="Normalny"/>
    <w:link w:val="LegendaZnak"/>
    <w:uiPriority w:val="35"/>
    <w:unhideWhenUsed/>
    <w:qFormat/>
    <w:rsid w:val="00EE5BA6"/>
    <w:pPr>
      <w:spacing w:before="60" w:after="120" w:line="240" w:lineRule="auto"/>
    </w:pPr>
    <w:rPr>
      <w:i/>
      <w:iCs/>
      <w:color w:val="44546A" w:themeColor="text2"/>
      <w:szCs w:val="18"/>
    </w:rPr>
  </w:style>
  <w:style w:type="paragraph" w:styleId="Tytu">
    <w:name w:val="Title"/>
    <w:aliases w:val="spisy"/>
    <w:basedOn w:val="Normalny"/>
    <w:next w:val="Normalny"/>
    <w:link w:val="TytuZnak"/>
    <w:uiPriority w:val="10"/>
    <w:qFormat/>
    <w:rsid w:val="00A905F3"/>
    <w:pPr>
      <w:spacing w:after="0" w:line="240" w:lineRule="auto"/>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aliases w:val="spisy Znak"/>
    <w:basedOn w:val="Domylnaczcionkaakapitu"/>
    <w:link w:val="Tytu"/>
    <w:uiPriority w:val="10"/>
    <w:rsid w:val="00A905F3"/>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Kolorowa lista — akcent 11 Znak,Akapit z listą1 Znak,Numerowanie Znak,1 Akapit z listą Znak,목록 단락 Znak,Akapit z listą11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9E2381"/>
    <w:pPr>
      <w:tabs>
        <w:tab w:val="left" w:pos="1843"/>
        <w:tab w:val="right" w:leader="dot" w:pos="9062"/>
      </w:tabs>
      <w:spacing w:after="100"/>
      <w:ind w:left="1701" w:hanging="851"/>
      <w:jc w:val="left"/>
    </w:pPr>
    <w:rPr>
      <w:rFonts w:ascii="Bahnschrift" w:hAnsi="Bahnschrift"/>
      <w:sz w:val="18"/>
    </w:rPr>
  </w:style>
  <w:style w:type="paragraph" w:styleId="Spistreci5">
    <w:name w:val="toc 5"/>
    <w:basedOn w:val="Normalny"/>
    <w:next w:val="Normalny"/>
    <w:autoRedefine/>
    <w:uiPriority w:val="39"/>
    <w:unhideWhenUsed/>
    <w:rsid w:val="001D4BA5"/>
    <w:pPr>
      <w:spacing w:after="100"/>
      <w:ind w:left="880"/>
      <w:jc w:val="left"/>
    </w:pPr>
    <w:rPr>
      <w:rFonts w:ascii="Bahnschrift" w:eastAsiaTheme="minorEastAsia" w:hAnsi="Bahnschrift"/>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1D4BA5"/>
    <w:pPr>
      <w:spacing w:after="100"/>
      <w:ind w:left="1320"/>
      <w:jc w:val="left"/>
    </w:pPr>
    <w:rPr>
      <w:rFonts w:ascii="Bahnschrift" w:eastAsiaTheme="minorEastAsia" w:hAnsi="Bahnschrift"/>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ui-provider">
    <w:name w:val="ui-provider"/>
    <w:basedOn w:val="Domylnaczcionkaakapitu"/>
    <w:rsid w:val="001F1F27"/>
  </w:style>
  <w:style w:type="character" w:styleId="UyteHipercze">
    <w:name w:val="FollowedHyperlink"/>
    <w:basedOn w:val="Domylnaczcionkaakapitu"/>
    <w:uiPriority w:val="99"/>
    <w:semiHidden/>
    <w:unhideWhenUsed/>
    <w:rsid w:val="00665822"/>
    <w:rPr>
      <w:color w:val="954F72" w:themeColor="followedHyperlink"/>
      <w:u w:val="single"/>
    </w:rPr>
  </w:style>
  <w:style w:type="paragraph" w:customStyle="1" w:styleId="Dziaanie">
    <w:name w:val="Działanie"/>
    <w:basedOn w:val="Normalny"/>
    <w:link w:val="DziaanieZnak"/>
    <w:rsid w:val="0043213A"/>
    <w:pPr>
      <w:spacing w:before="480"/>
    </w:pPr>
    <w:rPr>
      <w:rFonts w:ascii="Bahnschrift" w:hAnsi="Bahnschrift"/>
      <w:b/>
      <w:bCs/>
      <w:sz w:val="22"/>
    </w:rPr>
  </w:style>
  <w:style w:type="character" w:customStyle="1" w:styleId="DziaanieZnak">
    <w:name w:val="Działanie Znak"/>
    <w:basedOn w:val="Domylnaczcionkaakapitu"/>
    <w:link w:val="Dziaanie"/>
    <w:rsid w:val="0043213A"/>
    <w:rPr>
      <w:rFonts w:ascii="Bahnschrift" w:hAnsi="Bahnschrift"/>
      <w:b/>
      <w:bCs/>
    </w:rPr>
  </w:style>
  <w:style w:type="paragraph" w:customStyle="1" w:styleId="Nag-dziaania">
    <w:name w:val="Nagł-działania"/>
    <w:basedOn w:val="Bezodstpw"/>
    <w:rsid w:val="009F667D"/>
    <w:pPr>
      <w:shd w:val="clear" w:color="auto" w:fill="FFFFFF" w:themeFill="background1"/>
      <w:jc w:val="right"/>
    </w:pPr>
    <w:rPr>
      <w:rFonts w:ascii="Bahnschrift" w:eastAsia="MS Gothic" w:hAnsi="Bahnschrift"/>
      <w:b/>
      <w:color w:val="000000" w:themeColor="text1"/>
      <w:sz w:val="20"/>
    </w:rPr>
  </w:style>
  <w:style w:type="character" w:customStyle="1" w:styleId="rynqvb">
    <w:name w:val="rynqvb"/>
    <w:basedOn w:val="Domylnaczcionkaakapitu"/>
    <w:rsid w:val="003142A0"/>
  </w:style>
  <w:style w:type="character" w:customStyle="1" w:styleId="LegendaZnak">
    <w:name w:val="Legenda Znak"/>
    <w:basedOn w:val="Domylnaczcionkaakapitu"/>
    <w:link w:val="Legenda"/>
    <w:uiPriority w:val="35"/>
    <w:locked/>
    <w:rsid w:val="008B3F1F"/>
    <w:rPr>
      <w:rFonts w:ascii="Lato" w:hAnsi="Lato"/>
      <w:i/>
      <w:iCs/>
      <w:color w:val="44546A" w:themeColor="text2"/>
      <w:sz w:val="20"/>
      <w:szCs w:val="18"/>
    </w:rPr>
  </w:style>
  <w:style w:type="paragraph" w:customStyle="1" w:styleId="Tekstprzypisudolnego1">
    <w:name w:val="Tekst przypisu dolnego1"/>
    <w:basedOn w:val="Normalny"/>
    <w:next w:val="Tekstprzypisudolnego"/>
    <w:uiPriority w:val="99"/>
    <w:semiHidden/>
    <w:unhideWhenUsed/>
    <w:rsid w:val="00A868D5"/>
    <w:pPr>
      <w:spacing w:after="0" w:line="240" w:lineRule="auto"/>
      <w:jc w:val="left"/>
    </w:pPr>
    <w:rPr>
      <w:rFonts w:asciiTheme="minorHAnsi" w:hAnsiTheme="minorHAnsi"/>
      <w:kern w:val="0"/>
      <w:szCs w:val="20"/>
      <w14:ligatures w14:val="none"/>
    </w:rPr>
  </w:style>
  <w:style w:type="paragraph" w:styleId="NormalnyWeb">
    <w:name w:val="Normal (Web)"/>
    <w:basedOn w:val="Normalny"/>
    <w:uiPriority w:val="99"/>
    <w:unhideWhenUsed/>
    <w:rsid w:val="00992F1C"/>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992F1C"/>
  </w:style>
  <w:style w:type="paragraph" w:customStyle="1" w:styleId="tyturys">
    <w:name w:val="tytuł rys"/>
    <w:basedOn w:val="Normalny"/>
    <w:link w:val="tyturysZnak"/>
    <w:qFormat/>
    <w:rsid w:val="00274DA3"/>
    <w:pPr>
      <w:keepNext/>
      <w:spacing w:after="0" w:line="257" w:lineRule="auto"/>
      <w:jc w:val="center"/>
    </w:pPr>
    <w:rPr>
      <w:b/>
      <w:bCs/>
      <w:color w:val="323E4F" w:themeColor="text2" w:themeShade="BF"/>
      <w:sz w:val="28"/>
      <w:szCs w:val="32"/>
    </w:rPr>
  </w:style>
  <w:style w:type="character" w:customStyle="1" w:styleId="tyturysZnak">
    <w:name w:val="tytuł rys Znak"/>
    <w:basedOn w:val="Domylnaczcionkaakapitu"/>
    <w:link w:val="tyturys"/>
    <w:rsid w:val="00274DA3"/>
    <w:rPr>
      <w:rFonts w:ascii="Lato" w:hAnsi="Lato"/>
      <w:b/>
      <w:bCs/>
      <w:color w:val="323E4F" w:themeColor="text2" w:themeShade="BF"/>
      <w:sz w:val="28"/>
      <w:szCs w:val="32"/>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7051E8"/>
    <w:pPr>
      <w:spacing w:line="240" w:lineRule="exact"/>
      <w:jc w:val="left"/>
    </w:pPr>
    <w:rPr>
      <w:rFonts w:asciiTheme="minorHAnsi" w:hAnsiTheme="minorHAnsi"/>
      <w:sz w:val="22"/>
      <w:vertAlign w:val="superscript"/>
    </w:rPr>
  </w:style>
  <w:style w:type="paragraph" w:customStyle="1" w:styleId="nawigator">
    <w:name w:val="nawigator"/>
    <w:basedOn w:val="Normalny"/>
    <w:link w:val="nawigatorZnak"/>
    <w:qFormat/>
    <w:rsid w:val="00D32EE4"/>
    <w:pPr>
      <w:spacing w:after="0" w:line="228" w:lineRule="auto"/>
      <w:jc w:val="left"/>
    </w:pPr>
    <w:rPr>
      <w:rFonts w:ascii="Bahnschrift" w:hAnsi="Bahnschrift" w:cs="Times New Roman"/>
      <w:b/>
      <w:kern w:val="0"/>
      <w:szCs w:val="20"/>
      <w14:ligatures w14:val="none"/>
    </w:rPr>
  </w:style>
  <w:style w:type="character" w:customStyle="1" w:styleId="nawigatorZnak">
    <w:name w:val="nawigator Znak"/>
    <w:basedOn w:val="Domylnaczcionkaakapitu"/>
    <w:link w:val="nawigator"/>
    <w:rsid w:val="00D32EE4"/>
    <w:rPr>
      <w:rFonts w:ascii="Bahnschrift" w:hAnsi="Bahnschrift" w:cs="Times New Roman"/>
      <w:b/>
      <w:kern w:val="0"/>
      <w:sz w:val="20"/>
      <w:szCs w:val="20"/>
      <w14:ligatures w14:val="none"/>
    </w:rPr>
  </w:style>
  <w:style w:type="paragraph" w:customStyle="1" w:styleId="Streszcz">
    <w:name w:val="Streszcz"/>
    <w:basedOn w:val="Bezodstpw"/>
    <w:link w:val="StreszczZnak"/>
    <w:qFormat/>
    <w:rsid w:val="00483BCD"/>
    <w:pPr>
      <w:spacing w:before="80" w:after="80"/>
    </w:pPr>
    <w:rPr>
      <w:sz w:val="20"/>
    </w:rPr>
  </w:style>
  <w:style w:type="character" w:customStyle="1" w:styleId="StreszczZnak">
    <w:name w:val="Streszcz Znak"/>
    <w:basedOn w:val="BezodstpwZnak"/>
    <w:link w:val="Streszcz"/>
    <w:rsid w:val="00483BCD"/>
    <w:rPr>
      <w:rFonts w:ascii="Lato" w:hAnsi="Lato" w:cs="Calibri"/>
      <w:kern w:val="0"/>
      <w:sz w:val="20"/>
      <w:szCs w:val="18"/>
    </w:rPr>
  </w:style>
  <w:style w:type="table" w:styleId="Tabelasiatki1jasnaakcent6">
    <w:name w:val="Grid Table 1 Light Accent 6"/>
    <w:basedOn w:val="Standardowy"/>
    <w:uiPriority w:val="46"/>
    <w:rsid w:val="00744FA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B19A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4akcent3">
    <w:name w:val="Grid Table 4 Accent 3"/>
    <w:basedOn w:val="Standardowy"/>
    <w:uiPriority w:val="49"/>
    <w:rsid w:val="00686A6A"/>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Zwykatabela2">
    <w:name w:val="Plain Table 2"/>
    <w:basedOn w:val="Standardowy"/>
    <w:uiPriority w:val="42"/>
    <w:rsid w:val="00313B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atkatabelijasna">
    <w:name w:val="Grid Table Light"/>
    <w:basedOn w:val="Standardowy"/>
    <w:uiPriority w:val="40"/>
    <w:rsid w:val="009267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zmianka1">
    <w:name w:val="Wzmianka1"/>
    <w:basedOn w:val="Domylnaczcionkaakapitu"/>
    <w:uiPriority w:val="99"/>
    <w:unhideWhenUsed/>
    <w:rsid w:val="00526B9B"/>
    <w:rPr>
      <w:color w:val="2B579A"/>
      <w:shd w:val="clear" w:color="auto" w:fill="E1DFDD"/>
    </w:rPr>
  </w:style>
  <w:style w:type="paragraph" w:styleId="Spisilustracji">
    <w:name w:val="table of figures"/>
    <w:basedOn w:val="Normalny"/>
    <w:next w:val="Normalny"/>
    <w:uiPriority w:val="99"/>
    <w:unhideWhenUsed/>
    <w:rsid w:val="00473117"/>
    <w:pPr>
      <w:spacing w:before="120" w:after="120"/>
      <w:ind w:left="992" w:hanging="992"/>
      <w:jc w:val="left"/>
    </w:pPr>
  </w:style>
  <w:style w:type="paragraph" w:customStyle="1" w:styleId="paragraph">
    <w:name w:val="paragraph"/>
    <w:basedOn w:val="Normalny"/>
    <w:rsid w:val="00287B67"/>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paragraph" w:customStyle="1" w:styleId="ftrefCharCharCharCharCharCharCharCharChar">
    <w:name w:val="ftref Char Char Char Char Char Char Char Char Char"/>
    <w:basedOn w:val="Normalny"/>
    <w:next w:val="Normalny"/>
    <w:uiPriority w:val="99"/>
    <w:rsid w:val="00287B67"/>
    <w:pPr>
      <w:spacing w:line="240" w:lineRule="exact"/>
      <w:jc w:val="left"/>
    </w:pPr>
    <w:rPr>
      <w:rFonts w:asciiTheme="minorHAnsi" w:hAnsiTheme="minorHAnsi"/>
      <w:kern w:val="0"/>
      <w:sz w:val="22"/>
      <w:vertAlign w:val="superscript"/>
      <w14:ligatures w14:val="none"/>
    </w:rPr>
  </w:style>
  <w:style w:type="character" w:customStyle="1" w:styleId="normaltextrun">
    <w:name w:val="normaltextrun"/>
    <w:basedOn w:val="Domylnaczcionkaakapitu"/>
    <w:rsid w:val="00287B67"/>
  </w:style>
  <w:style w:type="character" w:customStyle="1" w:styleId="eop">
    <w:name w:val="eop"/>
    <w:basedOn w:val="Domylnaczcionkaakapitu"/>
    <w:rsid w:val="00287B67"/>
  </w:style>
  <w:style w:type="paragraph" w:styleId="Cytat">
    <w:name w:val="Quote"/>
    <w:basedOn w:val="Normalny"/>
    <w:next w:val="Normalny"/>
    <w:link w:val="CytatZnak"/>
    <w:uiPriority w:val="29"/>
    <w:qFormat/>
    <w:rsid w:val="007B07E0"/>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7B07E0"/>
    <w:rPr>
      <w:rFonts w:ascii="Lato" w:hAnsi="Lato"/>
      <w:i/>
      <w:iCs/>
      <w:color w:val="404040" w:themeColor="text1" w:themeTint="BF"/>
      <w:sz w:val="20"/>
    </w:rPr>
  </w:style>
  <w:style w:type="character" w:styleId="Pogrubienie">
    <w:name w:val="Strong"/>
    <w:basedOn w:val="Domylnaczcionkaakapitu"/>
    <w:uiPriority w:val="22"/>
    <w:qFormat/>
    <w:rsid w:val="00DE1952"/>
    <w:rPr>
      <w:b/>
      <w:bCs/>
    </w:rPr>
  </w:style>
  <w:style w:type="paragraph" w:styleId="Tekstdymka">
    <w:name w:val="Balloon Text"/>
    <w:basedOn w:val="Normalny"/>
    <w:link w:val="TekstdymkaZnak"/>
    <w:uiPriority w:val="99"/>
    <w:semiHidden/>
    <w:unhideWhenUsed/>
    <w:rsid w:val="009740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4007"/>
    <w:rPr>
      <w:rFonts w:ascii="Segoe UI" w:hAnsi="Segoe UI" w:cs="Segoe UI"/>
      <w:sz w:val="18"/>
      <w:szCs w:val="18"/>
    </w:rPr>
  </w:style>
  <w:style w:type="character" w:styleId="Nierozpoznanawzmianka">
    <w:name w:val="Unresolved Mention"/>
    <w:basedOn w:val="Domylnaczcionkaakapitu"/>
    <w:uiPriority w:val="99"/>
    <w:semiHidden/>
    <w:unhideWhenUsed/>
    <w:rsid w:val="00257B3E"/>
    <w:rPr>
      <w:color w:val="605E5C"/>
      <w:shd w:val="clear" w:color="auto" w:fill="E1DFDD"/>
    </w:rPr>
  </w:style>
  <w:style w:type="character" w:styleId="Wzmianka">
    <w:name w:val="Mention"/>
    <w:basedOn w:val="Domylnaczcionkaakapitu"/>
    <w:uiPriority w:val="99"/>
    <w:unhideWhenUsed/>
    <w:rsid w:val="00257B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185">
      <w:bodyDiv w:val="1"/>
      <w:marLeft w:val="0"/>
      <w:marRight w:val="0"/>
      <w:marTop w:val="0"/>
      <w:marBottom w:val="0"/>
      <w:divBdr>
        <w:top w:val="none" w:sz="0" w:space="0" w:color="auto"/>
        <w:left w:val="none" w:sz="0" w:space="0" w:color="auto"/>
        <w:bottom w:val="none" w:sz="0" w:space="0" w:color="auto"/>
        <w:right w:val="none" w:sz="0" w:space="0" w:color="auto"/>
      </w:divBdr>
      <w:divsChild>
        <w:div w:id="1222716095">
          <w:marLeft w:val="0"/>
          <w:marRight w:val="0"/>
          <w:marTop w:val="0"/>
          <w:marBottom w:val="0"/>
          <w:divBdr>
            <w:top w:val="none" w:sz="0" w:space="0" w:color="auto"/>
            <w:left w:val="none" w:sz="0" w:space="0" w:color="auto"/>
            <w:bottom w:val="none" w:sz="0" w:space="0" w:color="auto"/>
            <w:right w:val="none" w:sz="0" w:space="0" w:color="auto"/>
          </w:divBdr>
        </w:div>
      </w:divsChild>
    </w:div>
    <w:div w:id="13846809">
      <w:bodyDiv w:val="1"/>
      <w:marLeft w:val="0"/>
      <w:marRight w:val="0"/>
      <w:marTop w:val="0"/>
      <w:marBottom w:val="0"/>
      <w:divBdr>
        <w:top w:val="none" w:sz="0" w:space="0" w:color="auto"/>
        <w:left w:val="none" w:sz="0" w:space="0" w:color="auto"/>
        <w:bottom w:val="none" w:sz="0" w:space="0" w:color="auto"/>
        <w:right w:val="none" w:sz="0" w:space="0" w:color="auto"/>
      </w:divBdr>
    </w:div>
    <w:div w:id="20011949">
      <w:bodyDiv w:val="1"/>
      <w:marLeft w:val="0"/>
      <w:marRight w:val="0"/>
      <w:marTop w:val="0"/>
      <w:marBottom w:val="0"/>
      <w:divBdr>
        <w:top w:val="none" w:sz="0" w:space="0" w:color="auto"/>
        <w:left w:val="none" w:sz="0" w:space="0" w:color="auto"/>
        <w:bottom w:val="none" w:sz="0" w:space="0" w:color="auto"/>
        <w:right w:val="none" w:sz="0" w:space="0" w:color="auto"/>
      </w:divBdr>
    </w:div>
    <w:div w:id="31083018">
      <w:bodyDiv w:val="1"/>
      <w:marLeft w:val="0"/>
      <w:marRight w:val="0"/>
      <w:marTop w:val="0"/>
      <w:marBottom w:val="0"/>
      <w:divBdr>
        <w:top w:val="none" w:sz="0" w:space="0" w:color="auto"/>
        <w:left w:val="none" w:sz="0" w:space="0" w:color="auto"/>
        <w:bottom w:val="none" w:sz="0" w:space="0" w:color="auto"/>
        <w:right w:val="none" w:sz="0" w:space="0" w:color="auto"/>
      </w:divBdr>
      <w:divsChild>
        <w:div w:id="1899894118">
          <w:marLeft w:val="0"/>
          <w:marRight w:val="0"/>
          <w:marTop w:val="0"/>
          <w:marBottom w:val="0"/>
          <w:divBdr>
            <w:top w:val="none" w:sz="0" w:space="0" w:color="auto"/>
            <w:left w:val="none" w:sz="0" w:space="0" w:color="auto"/>
            <w:bottom w:val="none" w:sz="0" w:space="0" w:color="auto"/>
            <w:right w:val="none" w:sz="0" w:space="0" w:color="auto"/>
          </w:divBdr>
        </w:div>
      </w:divsChild>
    </w:div>
    <w:div w:id="34165160">
      <w:bodyDiv w:val="1"/>
      <w:marLeft w:val="0"/>
      <w:marRight w:val="0"/>
      <w:marTop w:val="0"/>
      <w:marBottom w:val="0"/>
      <w:divBdr>
        <w:top w:val="none" w:sz="0" w:space="0" w:color="auto"/>
        <w:left w:val="none" w:sz="0" w:space="0" w:color="auto"/>
        <w:bottom w:val="none" w:sz="0" w:space="0" w:color="auto"/>
        <w:right w:val="none" w:sz="0" w:space="0" w:color="auto"/>
      </w:divBdr>
    </w:div>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73356089">
      <w:bodyDiv w:val="1"/>
      <w:marLeft w:val="0"/>
      <w:marRight w:val="0"/>
      <w:marTop w:val="0"/>
      <w:marBottom w:val="0"/>
      <w:divBdr>
        <w:top w:val="none" w:sz="0" w:space="0" w:color="auto"/>
        <w:left w:val="none" w:sz="0" w:space="0" w:color="auto"/>
        <w:bottom w:val="none" w:sz="0" w:space="0" w:color="auto"/>
        <w:right w:val="none" w:sz="0" w:space="0" w:color="auto"/>
      </w:divBdr>
    </w:div>
    <w:div w:id="81411973">
      <w:bodyDiv w:val="1"/>
      <w:marLeft w:val="0"/>
      <w:marRight w:val="0"/>
      <w:marTop w:val="0"/>
      <w:marBottom w:val="0"/>
      <w:divBdr>
        <w:top w:val="none" w:sz="0" w:space="0" w:color="auto"/>
        <w:left w:val="none" w:sz="0" w:space="0" w:color="auto"/>
        <w:bottom w:val="none" w:sz="0" w:space="0" w:color="auto"/>
        <w:right w:val="none" w:sz="0" w:space="0" w:color="auto"/>
      </w:divBdr>
    </w:div>
    <w:div w:id="84615360">
      <w:bodyDiv w:val="1"/>
      <w:marLeft w:val="0"/>
      <w:marRight w:val="0"/>
      <w:marTop w:val="0"/>
      <w:marBottom w:val="0"/>
      <w:divBdr>
        <w:top w:val="none" w:sz="0" w:space="0" w:color="auto"/>
        <w:left w:val="none" w:sz="0" w:space="0" w:color="auto"/>
        <w:bottom w:val="none" w:sz="0" w:space="0" w:color="auto"/>
        <w:right w:val="none" w:sz="0" w:space="0" w:color="auto"/>
      </w:divBdr>
    </w:div>
    <w:div w:id="97145285">
      <w:bodyDiv w:val="1"/>
      <w:marLeft w:val="0"/>
      <w:marRight w:val="0"/>
      <w:marTop w:val="0"/>
      <w:marBottom w:val="0"/>
      <w:divBdr>
        <w:top w:val="none" w:sz="0" w:space="0" w:color="auto"/>
        <w:left w:val="none" w:sz="0" w:space="0" w:color="auto"/>
        <w:bottom w:val="none" w:sz="0" w:space="0" w:color="auto"/>
        <w:right w:val="none" w:sz="0" w:space="0" w:color="auto"/>
      </w:divBdr>
    </w:div>
    <w:div w:id="100495413">
      <w:bodyDiv w:val="1"/>
      <w:marLeft w:val="0"/>
      <w:marRight w:val="0"/>
      <w:marTop w:val="0"/>
      <w:marBottom w:val="0"/>
      <w:divBdr>
        <w:top w:val="none" w:sz="0" w:space="0" w:color="auto"/>
        <w:left w:val="none" w:sz="0" w:space="0" w:color="auto"/>
        <w:bottom w:val="none" w:sz="0" w:space="0" w:color="auto"/>
        <w:right w:val="none" w:sz="0" w:space="0" w:color="auto"/>
      </w:divBdr>
    </w:div>
    <w:div w:id="114367780">
      <w:bodyDiv w:val="1"/>
      <w:marLeft w:val="0"/>
      <w:marRight w:val="0"/>
      <w:marTop w:val="0"/>
      <w:marBottom w:val="0"/>
      <w:divBdr>
        <w:top w:val="none" w:sz="0" w:space="0" w:color="auto"/>
        <w:left w:val="none" w:sz="0" w:space="0" w:color="auto"/>
        <w:bottom w:val="none" w:sz="0" w:space="0" w:color="auto"/>
        <w:right w:val="none" w:sz="0" w:space="0" w:color="auto"/>
      </w:divBdr>
    </w:div>
    <w:div w:id="11968529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60629679">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0629137">
      <w:bodyDiv w:val="1"/>
      <w:marLeft w:val="0"/>
      <w:marRight w:val="0"/>
      <w:marTop w:val="0"/>
      <w:marBottom w:val="0"/>
      <w:divBdr>
        <w:top w:val="none" w:sz="0" w:space="0" w:color="auto"/>
        <w:left w:val="none" w:sz="0" w:space="0" w:color="auto"/>
        <w:bottom w:val="none" w:sz="0" w:space="0" w:color="auto"/>
        <w:right w:val="none" w:sz="0" w:space="0" w:color="auto"/>
      </w:divBdr>
    </w:div>
    <w:div w:id="200749429">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10502754">
      <w:bodyDiv w:val="1"/>
      <w:marLeft w:val="0"/>
      <w:marRight w:val="0"/>
      <w:marTop w:val="0"/>
      <w:marBottom w:val="0"/>
      <w:divBdr>
        <w:top w:val="none" w:sz="0" w:space="0" w:color="auto"/>
        <w:left w:val="none" w:sz="0" w:space="0" w:color="auto"/>
        <w:bottom w:val="none" w:sz="0" w:space="0" w:color="auto"/>
        <w:right w:val="none" w:sz="0" w:space="0" w:color="auto"/>
      </w:divBdr>
    </w:div>
    <w:div w:id="218708117">
      <w:bodyDiv w:val="1"/>
      <w:marLeft w:val="0"/>
      <w:marRight w:val="0"/>
      <w:marTop w:val="0"/>
      <w:marBottom w:val="0"/>
      <w:divBdr>
        <w:top w:val="none" w:sz="0" w:space="0" w:color="auto"/>
        <w:left w:val="none" w:sz="0" w:space="0" w:color="auto"/>
        <w:bottom w:val="none" w:sz="0" w:space="0" w:color="auto"/>
        <w:right w:val="none" w:sz="0" w:space="0" w:color="auto"/>
      </w:divBdr>
    </w:div>
    <w:div w:id="219481054">
      <w:bodyDiv w:val="1"/>
      <w:marLeft w:val="0"/>
      <w:marRight w:val="0"/>
      <w:marTop w:val="0"/>
      <w:marBottom w:val="0"/>
      <w:divBdr>
        <w:top w:val="none" w:sz="0" w:space="0" w:color="auto"/>
        <w:left w:val="none" w:sz="0" w:space="0" w:color="auto"/>
        <w:bottom w:val="none" w:sz="0" w:space="0" w:color="auto"/>
        <w:right w:val="none" w:sz="0" w:space="0" w:color="auto"/>
      </w:divBdr>
    </w:div>
    <w:div w:id="225187850">
      <w:bodyDiv w:val="1"/>
      <w:marLeft w:val="0"/>
      <w:marRight w:val="0"/>
      <w:marTop w:val="0"/>
      <w:marBottom w:val="0"/>
      <w:divBdr>
        <w:top w:val="none" w:sz="0" w:space="0" w:color="auto"/>
        <w:left w:val="none" w:sz="0" w:space="0" w:color="auto"/>
        <w:bottom w:val="none" w:sz="0" w:space="0" w:color="auto"/>
        <w:right w:val="none" w:sz="0" w:space="0" w:color="auto"/>
      </w:divBdr>
    </w:div>
    <w:div w:id="233663856">
      <w:bodyDiv w:val="1"/>
      <w:marLeft w:val="0"/>
      <w:marRight w:val="0"/>
      <w:marTop w:val="0"/>
      <w:marBottom w:val="0"/>
      <w:divBdr>
        <w:top w:val="none" w:sz="0" w:space="0" w:color="auto"/>
        <w:left w:val="none" w:sz="0" w:space="0" w:color="auto"/>
        <w:bottom w:val="none" w:sz="0" w:space="0" w:color="auto"/>
        <w:right w:val="none" w:sz="0" w:space="0" w:color="auto"/>
      </w:divBdr>
      <w:divsChild>
        <w:div w:id="751197231">
          <w:marLeft w:val="0"/>
          <w:marRight w:val="0"/>
          <w:marTop w:val="0"/>
          <w:marBottom w:val="0"/>
          <w:divBdr>
            <w:top w:val="none" w:sz="0" w:space="0" w:color="auto"/>
            <w:left w:val="none" w:sz="0" w:space="0" w:color="auto"/>
            <w:bottom w:val="none" w:sz="0" w:space="0" w:color="auto"/>
            <w:right w:val="none" w:sz="0" w:space="0" w:color="auto"/>
          </w:divBdr>
        </w:div>
      </w:divsChild>
    </w:div>
    <w:div w:id="235095812">
      <w:bodyDiv w:val="1"/>
      <w:marLeft w:val="0"/>
      <w:marRight w:val="0"/>
      <w:marTop w:val="0"/>
      <w:marBottom w:val="0"/>
      <w:divBdr>
        <w:top w:val="none" w:sz="0" w:space="0" w:color="auto"/>
        <w:left w:val="none" w:sz="0" w:space="0" w:color="auto"/>
        <w:bottom w:val="none" w:sz="0" w:space="0" w:color="auto"/>
        <w:right w:val="none" w:sz="0" w:space="0" w:color="auto"/>
      </w:divBdr>
    </w:div>
    <w:div w:id="237710407">
      <w:bodyDiv w:val="1"/>
      <w:marLeft w:val="0"/>
      <w:marRight w:val="0"/>
      <w:marTop w:val="0"/>
      <w:marBottom w:val="0"/>
      <w:divBdr>
        <w:top w:val="none" w:sz="0" w:space="0" w:color="auto"/>
        <w:left w:val="none" w:sz="0" w:space="0" w:color="auto"/>
        <w:bottom w:val="none" w:sz="0" w:space="0" w:color="auto"/>
        <w:right w:val="none" w:sz="0" w:space="0" w:color="auto"/>
      </w:divBdr>
    </w:div>
    <w:div w:id="264113211">
      <w:bodyDiv w:val="1"/>
      <w:marLeft w:val="0"/>
      <w:marRight w:val="0"/>
      <w:marTop w:val="0"/>
      <w:marBottom w:val="0"/>
      <w:divBdr>
        <w:top w:val="none" w:sz="0" w:space="0" w:color="auto"/>
        <w:left w:val="none" w:sz="0" w:space="0" w:color="auto"/>
        <w:bottom w:val="none" w:sz="0" w:space="0" w:color="auto"/>
        <w:right w:val="none" w:sz="0" w:space="0" w:color="auto"/>
      </w:divBdr>
      <w:divsChild>
        <w:div w:id="733358528">
          <w:marLeft w:val="0"/>
          <w:marRight w:val="0"/>
          <w:marTop w:val="0"/>
          <w:marBottom w:val="0"/>
          <w:divBdr>
            <w:top w:val="none" w:sz="0" w:space="0" w:color="auto"/>
            <w:left w:val="none" w:sz="0" w:space="0" w:color="auto"/>
            <w:bottom w:val="none" w:sz="0" w:space="0" w:color="auto"/>
            <w:right w:val="none" w:sz="0" w:space="0" w:color="auto"/>
          </w:divBdr>
        </w:div>
        <w:div w:id="935871247">
          <w:marLeft w:val="0"/>
          <w:marRight w:val="0"/>
          <w:marTop w:val="0"/>
          <w:marBottom w:val="0"/>
          <w:divBdr>
            <w:top w:val="none" w:sz="0" w:space="0" w:color="auto"/>
            <w:left w:val="none" w:sz="0" w:space="0" w:color="auto"/>
            <w:bottom w:val="none" w:sz="0" w:space="0" w:color="auto"/>
            <w:right w:val="none" w:sz="0" w:space="0" w:color="auto"/>
          </w:divBdr>
        </w:div>
        <w:div w:id="1359038186">
          <w:marLeft w:val="0"/>
          <w:marRight w:val="0"/>
          <w:marTop w:val="0"/>
          <w:marBottom w:val="0"/>
          <w:divBdr>
            <w:top w:val="none" w:sz="0" w:space="0" w:color="auto"/>
            <w:left w:val="none" w:sz="0" w:space="0" w:color="auto"/>
            <w:bottom w:val="none" w:sz="0" w:space="0" w:color="auto"/>
            <w:right w:val="none" w:sz="0" w:space="0" w:color="auto"/>
          </w:divBdr>
        </w:div>
      </w:divsChild>
    </w:div>
    <w:div w:id="270206400">
      <w:bodyDiv w:val="1"/>
      <w:marLeft w:val="0"/>
      <w:marRight w:val="0"/>
      <w:marTop w:val="0"/>
      <w:marBottom w:val="0"/>
      <w:divBdr>
        <w:top w:val="none" w:sz="0" w:space="0" w:color="auto"/>
        <w:left w:val="none" w:sz="0" w:space="0" w:color="auto"/>
        <w:bottom w:val="none" w:sz="0" w:space="0" w:color="auto"/>
        <w:right w:val="none" w:sz="0" w:space="0" w:color="auto"/>
      </w:divBdr>
    </w:div>
    <w:div w:id="290862955">
      <w:bodyDiv w:val="1"/>
      <w:marLeft w:val="0"/>
      <w:marRight w:val="0"/>
      <w:marTop w:val="0"/>
      <w:marBottom w:val="0"/>
      <w:divBdr>
        <w:top w:val="none" w:sz="0" w:space="0" w:color="auto"/>
        <w:left w:val="none" w:sz="0" w:space="0" w:color="auto"/>
        <w:bottom w:val="none" w:sz="0" w:space="0" w:color="auto"/>
        <w:right w:val="none" w:sz="0" w:space="0" w:color="auto"/>
      </w:divBdr>
    </w:div>
    <w:div w:id="300161765">
      <w:bodyDiv w:val="1"/>
      <w:marLeft w:val="0"/>
      <w:marRight w:val="0"/>
      <w:marTop w:val="0"/>
      <w:marBottom w:val="0"/>
      <w:divBdr>
        <w:top w:val="none" w:sz="0" w:space="0" w:color="auto"/>
        <w:left w:val="none" w:sz="0" w:space="0" w:color="auto"/>
        <w:bottom w:val="none" w:sz="0" w:space="0" w:color="auto"/>
        <w:right w:val="none" w:sz="0" w:space="0" w:color="auto"/>
      </w:divBdr>
    </w:div>
    <w:div w:id="302658093">
      <w:bodyDiv w:val="1"/>
      <w:marLeft w:val="0"/>
      <w:marRight w:val="0"/>
      <w:marTop w:val="0"/>
      <w:marBottom w:val="0"/>
      <w:divBdr>
        <w:top w:val="none" w:sz="0" w:space="0" w:color="auto"/>
        <w:left w:val="none" w:sz="0" w:space="0" w:color="auto"/>
        <w:bottom w:val="none" w:sz="0" w:space="0" w:color="auto"/>
        <w:right w:val="none" w:sz="0" w:space="0" w:color="auto"/>
      </w:divBdr>
    </w:div>
    <w:div w:id="307906984">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49141079">
      <w:bodyDiv w:val="1"/>
      <w:marLeft w:val="0"/>
      <w:marRight w:val="0"/>
      <w:marTop w:val="0"/>
      <w:marBottom w:val="0"/>
      <w:divBdr>
        <w:top w:val="none" w:sz="0" w:space="0" w:color="auto"/>
        <w:left w:val="none" w:sz="0" w:space="0" w:color="auto"/>
        <w:bottom w:val="none" w:sz="0" w:space="0" w:color="auto"/>
        <w:right w:val="none" w:sz="0" w:space="0" w:color="auto"/>
      </w:divBdr>
    </w:div>
    <w:div w:id="353967927">
      <w:bodyDiv w:val="1"/>
      <w:marLeft w:val="0"/>
      <w:marRight w:val="0"/>
      <w:marTop w:val="0"/>
      <w:marBottom w:val="0"/>
      <w:divBdr>
        <w:top w:val="none" w:sz="0" w:space="0" w:color="auto"/>
        <w:left w:val="none" w:sz="0" w:space="0" w:color="auto"/>
        <w:bottom w:val="none" w:sz="0" w:space="0" w:color="auto"/>
        <w:right w:val="none" w:sz="0" w:space="0" w:color="auto"/>
      </w:divBdr>
    </w:div>
    <w:div w:id="363483037">
      <w:bodyDiv w:val="1"/>
      <w:marLeft w:val="0"/>
      <w:marRight w:val="0"/>
      <w:marTop w:val="0"/>
      <w:marBottom w:val="0"/>
      <w:divBdr>
        <w:top w:val="none" w:sz="0" w:space="0" w:color="auto"/>
        <w:left w:val="none" w:sz="0" w:space="0" w:color="auto"/>
        <w:bottom w:val="none" w:sz="0" w:space="0" w:color="auto"/>
        <w:right w:val="none" w:sz="0" w:space="0" w:color="auto"/>
      </w:divBdr>
      <w:divsChild>
        <w:div w:id="697244895">
          <w:marLeft w:val="0"/>
          <w:marRight w:val="0"/>
          <w:marTop w:val="0"/>
          <w:marBottom w:val="0"/>
          <w:divBdr>
            <w:top w:val="none" w:sz="0" w:space="0" w:color="auto"/>
            <w:left w:val="none" w:sz="0" w:space="0" w:color="auto"/>
            <w:bottom w:val="none" w:sz="0" w:space="0" w:color="auto"/>
            <w:right w:val="none" w:sz="0" w:space="0" w:color="auto"/>
          </w:divBdr>
        </w:div>
      </w:divsChild>
    </w:div>
    <w:div w:id="365910615">
      <w:bodyDiv w:val="1"/>
      <w:marLeft w:val="0"/>
      <w:marRight w:val="0"/>
      <w:marTop w:val="0"/>
      <w:marBottom w:val="0"/>
      <w:divBdr>
        <w:top w:val="none" w:sz="0" w:space="0" w:color="auto"/>
        <w:left w:val="none" w:sz="0" w:space="0" w:color="auto"/>
        <w:bottom w:val="none" w:sz="0" w:space="0" w:color="auto"/>
        <w:right w:val="none" w:sz="0" w:space="0" w:color="auto"/>
      </w:divBdr>
    </w:div>
    <w:div w:id="390346839">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403066968">
      <w:bodyDiv w:val="1"/>
      <w:marLeft w:val="0"/>
      <w:marRight w:val="0"/>
      <w:marTop w:val="0"/>
      <w:marBottom w:val="0"/>
      <w:divBdr>
        <w:top w:val="none" w:sz="0" w:space="0" w:color="auto"/>
        <w:left w:val="none" w:sz="0" w:space="0" w:color="auto"/>
        <w:bottom w:val="none" w:sz="0" w:space="0" w:color="auto"/>
        <w:right w:val="none" w:sz="0" w:space="0" w:color="auto"/>
      </w:divBdr>
    </w:div>
    <w:div w:id="413088574">
      <w:bodyDiv w:val="1"/>
      <w:marLeft w:val="0"/>
      <w:marRight w:val="0"/>
      <w:marTop w:val="0"/>
      <w:marBottom w:val="0"/>
      <w:divBdr>
        <w:top w:val="none" w:sz="0" w:space="0" w:color="auto"/>
        <w:left w:val="none" w:sz="0" w:space="0" w:color="auto"/>
        <w:bottom w:val="none" w:sz="0" w:space="0" w:color="auto"/>
        <w:right w:val="none" w:sz="0" w:space="0" w:color="auto"/>
      </w:divBdr>
    </w:div>
    <w:div w:id="414013901">
      <w:bodyDiv w:val="1"/>
      <w:marLeft w:val="0"/>
      <w:marRight w:val="0"/>
      <w:marTop w:val="0"/>
      <w:marBottom w:val="0"/>
      <w:divBdr>
        <w:top w:val="none" w:sz="0" w:space="0" w:color="auto"/>
        <w:left w:val="none" w:sz="0" w:space="0" w:color="auto"/>
        <w:bottom w:val="none" w:sz="0" w:space="0" w:color="auto"/>
        <w:right w:val="none" w:sz="0" w:space="0" w:color="auto"/>
      </w:divBdr>
    </w:div>
    <w:div w:id="416755715">
      <w:bodyDiv w:val="1"/>
      <w:marLeft w:val="0"/>
      <w:marRight w:val="0"/>
      <w:marTop w:val="0"/>
      <w:marBottom w:val="0"/>
      <w:divBdr>
        <w:top w:val="none" w:sz="0" w:space="0" w:color="auto"/>
        <w:left w:val="none" w:sz="0" w:space="0" w:color="auto"/>
        <w:bottom w:val="none" w:sz="0" w:space="0" w:color="auto"/>
        <w:right w:val="none" w:sz="0" w:space="0" w:color="auto"/>
      </w:divBdr>
    </w:div>
    <w:div w:id="444495747">
      <w:bodyDiv w:val="1"/>
      <w:marLeft w:val="0"/>
      <w:marRight w:val="0"/>
      <w:marTop w:val="0"/>
      <w:marBottom w:val="0"/>
      <w:divBdr>
        <w:top w:val="none" w:sz="0" w:space="0" w:color="auto"/>
        <w:left w:val="none" w:sz="0" w:space="0" w:color="auto"/>
        <w:bottom w:val="none" w:sz="0" w:space="0" w:color="auto"/>
        <w:right w:val="none" w:sz="0" w:space="0" w:color="auto"/>
      </w:divBdr>
    </w:div>
    <w:div w:id="470556313">
      <w:bodyDiv w:val="1"/>
      <w:marLeft w:val="0"/>
      <w:marRight w:val="0"/>
      <w:marTop w:val="0"/>
      <w:marBottom w:val="0"/>
      <w:divBdr>
        <w:top w:val="none" w:sz="0" w:space="0" w:color="auto"/>
        <w:left w:val="none" w:sz="0" w:space="0" w:color="auto"/>
        <w:bottom w:val="none" w:sz="0" w:space="0" w:color="auto"/>
        <w:right w:val="none" w:sz="0" w:space="0" w:color="auto"/>
      </w:divBdr>
    </w:div>
    <w:div w:id="499077234">
      <w:bodyDiv w:val="1"/>
      <w:marLeft w:val="0"/>
      <w:marRight w:val="0"/>
      <w:marTop w:val="0"/>
      <w:marBottom w:val="0"/>
      <w:divBdr>
        <w:top w:val="none" w:sz="0" w:space="0" w:color="auto"/>
        <w:left w:val="none" w:sz="0" w:space="0" w:color="auto"/>
        <w:bottom w:val="none" w:sz="0" w:space="0" w:color="auto"/>
        <w:right w:val="none" w:sz="0" w:space="0" w:color="auto"/>
      </w:divBdr>
    </w:div>
    <w:div w:id="503594193">
      <w:bodyDiv w:val="1"/>
      <w:marLeft w:val="0"/>
      <w:marRight w:val="0"/>
      <w:marTop w:val="0"/>
      <w:marBottom w:val="0"/>
      <w:divBdr>
        <w:top w:val="none" w:sz="0" w:space="0" w:color="auto"/>
        <w:left w:val="none" w:sz="0" w:space="0" w:color="auto"/>
        <w:bottom w:val="none" w:sz="0" w:space="0" w:color="auto"/>
        <w:right w:val="none" w:sz="0" w:space="0" w:color="auto"/>
      </w:divBdr>
    </w:div>
    <w:div w:id="538586831">
      <w:bodyDiv w:val="1"/>
      <w:marLeft w:val="0"/>
      <w:marRight w:val="0"/>
      <w:marTop w:val="0"/>
      <w:marBottom w:val="0"/>
      <w:divBdr>
        <w:top w:val="none" w:sz="0" w:space="0" w:color="auto"/>
        <w:left w:val="none" w:sz="0" w:space="0" w:color="auto"/>
        <w:bottom w:val="none" w:sz="0" w:space="0" w:color="auto"/>
        <w:right w:val="none" w:sz="0" w:space="0" w:color="auto"/>
      </w:divBdr>
      <w:divsChild>
        <w:div w:id="966856446">
          <w:marLeft w:val="0"/>
          <w:marRight w:val="0"/>
          <w:marTop w:val="0"/>
          <w:marBottom w:val="0"/>
          <w:divBdr>
            <w:top w:val="none" w:sz="0" w:space="0" w:color="auto"/>
            <w:left w:val="none" w:sz="0" w:space="0" w:color="auto"/>
            <w:bottom w:val="none" w:sz="0" w:space="0" w:color="auto"/>
            <w:right w:val="none" w:sz="0" w:space="0" w:color="auto"/>
          </w:divBdr>
          <w:divsChild>
            <w:div w:id="2006856058">
              <w:marLeft w:val="0"/>
              <w:marRight w:val="0"/>
              <w:marTop w:val="0"/>
              <w:marBottom w:val="0"/>
              <w:divBdr>
                <w:top w:val="none" w:sz="0" w:space="0" w:color="auto"/>
                <w:left w:val="none" w:sz="0" w:space="0" w:color="auto"/>
                <w:bottom w:val="none" w:sz="0" w:space="0" w:color="auto"/>
                <w:right w:val="none" w:sz="0" w:space="0" w:color="auto"/>
              </w:divBdr>
              <w:divsChild>
                <w:div w:id="997269970">
                  <w:marLeft w:val="0"/>
                  <w:marRight w:val="0"/>
                  <w:marTop w:val="0"/>
                  <w:marBottom w:val="0"/>
                  <w:divBdr>
                    <w:top w:val="none" w:sz="0" w:space="0" w:color="auto"/>
                    <w:left w:val="none" w:sz="0" w:space="0" w:color="auto"/>
                    <w:bottom w:val="none" w:sz="0" w:space="0" w:color="auto"/>
                    <w:right w:val="none" w:sz="0" w:space="0" w:color="auto"/>
                  </w:divBdr>
                  <w:divsChild>
                    <w:div w:id="646126385">
                      <w:marLeft w:val="0"/>
                      <w:marRight w:val="0"/>
                      <w:marTop w:val="0"/>
                      <w:marBottom w:val="0"/>
                      <w:divBdr>
                        <w:top w:val="none" w:sz="0" w:space="0" w:color="auto"/>
                        <w:left w:val="none" w:sz="0" w:space="0" w:color="auto"/>
                        <w:bottom w:val="none" w:sz="0" w:space="0" w:color="auto"/>
                        <w:right w:val="none" w:sz="0" w:space="0" w:color="auto"/>
                      </w:divBdr>
                      <w:divsChild>
                        <w:div w:id="1465073926">
                          <w:marLeft w:val="0"/>
                          <w:marRight w:val="0"/>
                          <w:marTop w:val="0"/>
                          <w:marBottom w:val="0"/>
                          <w:divBdr>
                            <w:top w:val="none" w:sz="0" w:space="0" w:color="auto"/>
                            <w:left w:val="none" w:sz="0" w:space="0" w:color="auto"/>
                            <w:bottom w:val="none" w:sz="0" w:space="0" w:color="auto"/>
                            <w:right w:val="none" w:sz="0" w:space="0" w:color="auto"/>
                          </w:divBdr>
                        </w:div>
                        <w:div w:id="1471947370">
                          <w:marLeft w:val="0"/>
                          <w:marRight w:val="0"/>
                          <w:marTop w:val="0"/>
                          <w:marBottom w:val="0"/>
                          <w:divBdr>
                            <w:top w:val="none" w:sz="0" w:space="0" w:color="auto"/>
                            <w:left w:val="none" w:sz="0" w:space="0" w:color="auto"/>
                            <w:bottom w:val="none" w:sz="0" w:space="0" w:color="auto"/>
                            <w:right w:val="none" w:sz="0" w:space="0" w:color="auto"/>
                          </w:divBdr>
                        </w:div>
                        <w:div w:id="1899896569">
                          <w:marLeft w:val="0"/>
                          <w:marRight w:val="0"/>
                          <w:marTop w:val="0"/>
                          <w:marBottom w:val="0"/>
                          <w:divBdr>
                            <w:top w:val="none" w:sz="0" w:space="0" w:color="auto"/>
                            <w:left w:val="none" w:sz="0" w:space="0" w:color="auto"/>
                            <w:bottom w:val="none" w:sz="0" w:space="0" w:color="auto"/>
                            <w:right w:val="none" w:sz="0" w:space="0" w:color="auto"/>
                          </w:divBdr>
                        </w:div>
                      </w:divsChild>
                    </w:div>
                    <w:div w:id="1139617861">
                      <w:marLeft w:val="0"/>
                      <w:marRight w:val="0"/>
                      <w:marTop w:val="0"/>
                      <w:marBottom w:val="0"/>
                      <w:divBdr>
                        <w:top w:val="none" w:sz="0" w:space="0" w:color="auto"/>
                        <w:left w:val="none" w:sz="0" w:space="0" w:color="auto"/>
                        <w:bottom w:val="none" w:sz="0" w:space="0" w:color="auto"/>
                        <w:right w:val="none" w:sz="0" w:space="0" w:color="auto"/>
                      </w:divBdr>
                      <w:divsChild>
                        <w:div w:id="1368601398">
                          <w:marLeft w:val="0"/>
                          <w:marRight w:val="0"/>
                          <w:marTop w:val="0"/>
                          <w:marBottom w:val="0"/>
                          <w:divBdr>
                            <w:top w:val="none" w:sz="0" w:space="0" w:color="auto"/>
                            <w:left w:val="none" w:sz="0" w:space="0" w:color="auto"/>
                            <w:bottom w:val="none" w:sz="0" w:space="0" w:color="auto"/>
                            <w:right w:val="none" w:sz="0" w:space="0" w:color="auto"/>
                          </w:divBdr>
                        </w:div>
                      </w:divsChild>
                    </w:div>
                    <w:div w:id="1582563929">
                      <w:marLeft w:val="0"/>
                      <w:marRight w:val="0"/>
                      <w:marTop w:val="0"/>
                      <w:marBottom w:val="0"/>
                      <w:divBdr>
                        <w:top w:val="none" w:sz="0" w:space="0" w:color="auto"/>
                        <w:left w:val="none" w:sz="0" w:space="0" w:color="auto"/>
                        <w:bottom w:val="none" w:sz="0" w:space="0" w:color="auto"/>
                        <w:right w:val="none" w:sz="0" w:space="0" w:color="auto"/>
                      </w:divBdr>
                      <w:divsChild>
                        <w:div w:id="1601795249">
                          <w:marLeft w:val="0"/>
                          <w:marRight w:val="0"/>
                          <w:marTop w:val="0"/>
                          <w:marBottom w:val="0"/>
                          <w:divBdr>
                            <w:top w:val="none" w:sz="0" w:space="0" w:color="auto"/>
                            <w:left w:val="none" w:sz="0" w:space="0" w:color="auto"/>
                            <w:bottom w:val="none" w:sz="0" w:space="0" w:color="auto"/>
                            <w:right w:val="none" w:sz="0" w:space="0" w:color="auto"/>
                          </w:divBdr>
                        </w:div>
                      </w:divsChild>
                    </w:div>
                    <w:div w:id="1760832967">
                      <w:marLeft w:val="0"/>
                      <w:marRight w:val="0"/>
                      <w:marTop w:val="0"/>
                      <w:marBottom w:val="0"/>
                      <w:divBdr>
                        <w:top w:val="none" w:sz="0" w:space="0" w:color="auto"/>
                        <w:left w:val="none" w:sz="0" w:space="0" w:color="auto"/>
                        <w:bottom w:val="none" w:sz="0" w:space="0" w:color="auto"/>
                        <w:right w:val="none" w:sz="0" w:space="0" w:color="auto"/>
                      </w:divBdr>
                      <w:divsChild>
                        <w:div w:id="679157965">
                          <w:marLeft w:val="0"/>
                          <w:marRight w:val="0"/>
                          <w:marTop w:val="0"/>
                          <w:marBottom w:val="0"/>
                          <w:divBdr>
                            <w:top w:val="none" w:sz="0" w:space="0" w:color="auto"/>
                            <w:left w:val="none" w:sz="0" w:space="0" w:color="auto"/>
                            <w:bottom w:val="none" w:sz="0" w:space="0" w:color="auto"/>
                            <w:right w:val="none" w:sz="0" w:space="0" w:color="auto"/>
                          </w:divBdr>
                        </w:div>
                      </w:divsChild>
                    </w:div>
                    <w:div w:id="2091348129">
                      <w:marLeft w:val="0"/>
                      <w:marRight w:val="0"/>
                      <w:marTop w:val="0"/>
                      <w:marBottom w:val="0"/>
                      <w:divBdr>
                        <w:top w:val="none" w:sz="0" w:space="0" w:color="auto"/>
                        <w:left w:val="none" w:sz="0" w:space="0" w:color="auto"/>
                        <w:bottom w:val="none" w:sz="0" w:space="0" w:color="auto"/>
                        <w:right w:val="none" w:sz="0" w:space="0" w:color="auto"/>
                      </w:divBdr>
                      <w:divsChild>
                        <w:div w:id="15072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3085">
              <w:marLeft w:val="0"/>
              <w:marRight w:val="0"/>
              <w:marTop w:val="0"/>
              <w:marBottom w:val="0"/>
              <w:divBdr>
                <w:top w:val="none" w:sz="0" w:space="0" w:color="auto"/>
                <w:left w:val="none" w:sz="0" w:space="0" w:color="auto"/>
                <w:bottom w:val="none" w:sz="0" w:space="0" w:color="auto"/>
                <w:right w:val="none" w:sz="0" w:space="0" w:color="auto"/>
              </w:divBdr>
              <w:divsChild>
                <w:div w:id="234706643">
                  <w:marLeft w:val="0"/>
                  <w:marRight w:val="0"/>
                  <w:marTop w:val="0"/>
                  <w:marBottom w:val="0"/>
                  <w:divBdr>
                    <w:top w:val="none" w:sz="0" w:space="0" w:color="auto"/>
                    <w:left w:val="none" w:sz="0" w:space="0" w:color="auto"/>
                    <w:bottom w:val="none" w:sz="0" w:space="0" w:color="auto"/>
                    <w:right w:val="none" w:sz="0" w:space="0" w:color="auto"/>
                  </w:divBdr>
                </w:div>
                <w:div w:id="789320656">
                  <w:marLeft w:val="0"/>
                  <w:marRight w:val="0"/>
                  <w:marTop w:val="0"/>
                  <w:marBottom w:val="0"/>
                  <w:divBdr>
                    <w:top w:val="none" w:sz="0" w:space="0" w:color="auto"/>
                    <w:left w:val="none" w:sz="0" w:space="0" w:color="auto"/>
                    <w:bottom w:val="none" w:sz="0" w:space="0" w:color="auto"/>
                    <w:right w:val="none" w:sz="0" w:space="0" w:color="auto"/>
                  </w:divBdr>
                </w:div>
                <w:div w:id="1560358790">
                  <w:marLeft w:val="0"/>
                  <w:marRight w:val="0"/>
                  <w:marTop w:val="0"/>
                  <w:marBottom w:val="0"/>
                  <w:divBdr>
                    <w:top w:val="none" w:sz="0" w:space="0" w:color="auto"/>
                    <w:left w:val="none" w:sz="0" w:space="0" w:color="auto"/>
                    <w:bottom w:val="none" w:sz="0" w:space="0" w:color="auto"/>
                    <w:right w:val="none" w:sz="0" w:space="0" w:color="auto"/>
                  </w:divBdr>
                </w:div>
                <w:div w:id="1604151201">
                  <w:marLeft w:val="0"/>
                  <w:marRight w:val="0"/>
                  <w:marTop w:val="0"/>
                  <w:marBottom w:val="0"/>
                  <w:divBdr>
                    <w:top w:val="none" w:sz="0" w:space="0" w:color="auto"/>
                    <w:left w:val="none" w:sz="0" w:space="0" w:color="auto"/>
                    <w:bottom w:val="none" w:sz="0" w:space="0" w:color="auto"/>
                    <w:right w:val="none" w:sz="0" w:space="0" w:color="auto"/>
                  </w:divBdr>
                </w:div>
                <w:div w:id="1867988662">
                  <w:marLeft w:val="0"/>
                  <w:marRight w:val="0"/>
                  <w:marTop w:val="0"/>
                  <w:marBottom w:val="0"/>
                  <w:divBdr>
                    <w:top w:val="none" w:sz="0" w:space="0" w:color="auto"/>
                    <w:left w:val="none" w:sz="0" w:space="0" w:color="auto"/>
                    <w:bottom w:val="none" w:sz="0" w:space="0" w:color="auto"/>
                    <w:right w:val="none" w:sz="0" w:space="0" w:color="auto"/>
                  </w:divBdr>
                </w:div>
                <w:div w:id="1894804057">
                  <w:marLeft w:val="0"/>
                  <w:marRight w:val="0"/>
                  <w:marTop w:val="0"/>
                  <w:marBottom w:val="0"/>
                  <w:divBdr>
                    <w:top w:val="none" w:sz="0" w:space="0" w:color="auto"/>
                    <w:left w:val="none" w:sz="0" w:space="0" w:color="auto"/>
                    <w:bottom w:val="none" w:sz="0" w:space="0" w:color="auto"/>
                    <w:right w:val="none" w:sz="0" w:space="0" w:color="auto"/>
                  </w:divBdr>
                </w:div>
                <w:div w:id="19727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5961">
      <w:bodyDiv w:val="1"/>
      <w:marLeft w:val="0"/>
      <w:marRight w:val="0"/>
      <w:marTop w:val="0"/>
      <w:marBottom w:val="0"/>
      <w:divBdr>
        <w:top w:val="none" w:sz="0" w:space="0" w:color="auto"/>
        <w:left w:val="none" w:sz="0" w:space="0" w:color="auto"/>
        <w:bottom w:val="none" w:sz="0" w:space="0" w:color="auto"/>
        <w:right w:val="none" w:sz="0" w:space="0" w:color="auto"/>
      </w:divBdr>
    </w:div>
    <w:div w:id="576480662">
      <w:bodyDiv w:val="1"/>
      <w:marLeft w:val="0"/>
      <w:marRight w:val="0"/>
      <w:marTop w:val="0"/>
      <w:marBottom w:val="0"/>
      <w:divBdr>
        <w:top w:val="none" w:sz="0" w:space="0" w:color="auto"/>
        <w:left w:val="none" w:sz="0" w:space="0" w:color="auto"/>
        <w:bottom w:val="none" w:sz="0" w:space="0" w:color="auto"/>
        <w:right w:val="none" w:sz="0" w:space="0" w:color="auto"/>
      </w:divBdr>
    </w:div>
    <w:div w:id="578294539">
      <w:bodyDiv w:val="1"/>
      <w:marLeft w:val="0"/>
      <w:marRight w:val="0"/>
      <w:marTop w:val="0"/>
      <w:marBottom w:val="0"/>
      <w:divBdr>
        <w:top w:val="none" w:sz="0" w:space="0" w:color="auto"/>
        <w:left w:val="none" w:sz="0" w:space="0" w:color="auto"/>
        <w:bottom w:val="none" w:sz="0" w:space="0" w:color="auto"/>
        <w:right w:val="none" w:sz="0" w:space="0" w:color="auto"/>
      </w:divBdr>
    </w:div>
    <w:div w:id="586041228">
      <w:bodyDiv w:val="1"/>
      <w:marLeft w:val="0"/>
      <w:marRight w:val="0"/>
      <w:marTop w:val="0"/>
      <w:marBottom w:val="0"/>
      <w:divBdr>
        <w:top w:val="none" w:sz="0" w:space="0" w:color="auto"/>
        <w:left w:val="none" w:sz="0" w:space="0" w:color="auto"/>
        <w:bottom w:val="none" w:sz="0" w:space="0" w:color="auto"/>
        <w:right w:val="none" w:sz="0" w:space="0" w:color="auto"/>
      </w:divBdr>
    </w:div>
    <w:div w:id="606473177">
      <w:bodyDiv w:val="1"/>
      <w:marLeft w:val="0"/>
      <w:marRight w:val="0"/>
      <w:marTop w:val="0"/>
      <w:marBottom w:val="0"/>
      <w:divBdr>
        <w:top w:val="none" w:sz="0" w:space="0" w:color="auto"/>
        <w:left w:val="none" w:sz="0" w:space="0" w:color="auto"/>
        <w:bottom w:val="none" w:sz="0" w:space="0" w:color="auto"/>
        <w:right w:val="none" w:sz="0" w:space="0" w:color="auto"/>
      </w:divBdr>
      <w:divsChild>
        <w:div w:id="393554254">
          <w:marLeft w:val="0"/>
          <w:marRight w:val="0"/>
          <w:marTop w:val="0"/>
          <w:marBottom w:val="0"/>
          <w:divBdr>
            <w:top w:val="none" w:sz="0" w:space="0" w:color="auto"/>
            <w:left w:val="none" w:sz="0" w:space="0" w:color="auto"/>
            <w:bottom w:val="none" w:sz="0" w:space="0" w:color="auto"/>
            <w:right w:val="none" w:sz="0" w:space="0" w:color="auto"/>
          </w:divBdr>
        </w:div>
      </w:divsChild>
    </w:div>
    <w:div w:id="617569058">
      <w:bodyDiv w:val="1"/>
      <w:marLeft w:val="0"/>
      <w:marRight w:val="0"/>
      <w:marTop w:val="0"/>
      <w:marBottom w:val="0"/>
      <w:divBdr>
        <w:top w:val="none" w:sz="0" w:space="0" w:color="auto"/>
        <w:left w:val="none" w:sz="0" w:space="0" w:color="auto"/>
        <w:bottom w:val="none" w:sz="0" w:space="0" w:color="auto"/>
        <w:right w:val="none" w:sz="0" w:space="0" w:color="auto"/>
      </w:divBdr>
    </w:div>
    <w:div w:id="620459414">
      <w:bodyDiv w:val="1"/>
      <w:marLeft w:val="0"/>
      <w:marRight w:val="0"/>
      <w:marTop w:val="0"/>
      <w:marBottom w:val="0"/>
      <w:divBdr>
        <w:top w:val="none" w:sz="0" w:space="0" w:color="auto"/>
        <w:left w:val="none" w:sz="0" w:space="0" w:color="auto"/>
        <w:bottom w:val="none" w:sz="0" w:space="0" w:color="auto"/>
        <w:right w:val="none" w:sz="0" w:space="0" w:color="auto"/>
      </w:divBdr>
    </w:div>
    <w:div w:id="634257705">
      <w:bodyDiv w:val="1"/>
      <w:marLeft w:val="0"/>
      <w:marRight w:val="0"/>
      <w:marTop w:val="0"/>
      <w:marBottom w:val="0"/>
      <w:divBdr>
        <w:top w:val="none" w:sz="0" w:space="0" w:color="auto"/>
        <w:left w:val="none" w:sz="0" w:space="0" w:color="auto"/>
        <w:bottom w:val="none" w:sz="0" w:space="0" w:color="auto"/>
        <w:right w:val="none" w:sz="0" w:space="0" w:color="auto"/>
      </w:divBdr>
    </w:div>
    <w:div w:id="641158020">
      <w:bodyDiv w:val="1"/>
      <w:marLeft w:val="0"/>
      <w:marRight w:val="0"/>
      <w:marTop w:val="0"/>
      <w:marBottom w:val="0"/>
      <w:divBdr>
        <w:top w:val="none" w:sz="0" w:space="0" w:color="auto"/>
        <w:left w:val="none" w:sz="0" w:space="0" w:color="auto"/>
        <w:bottom w:val="none" w:sz="0" w:space="0" w:color="auto"/>
        <w:right w:val="none" w:sz="0" w:space="0" w:color="auto"/>
      </w:divBdr>
    </w:div>
    <w:div w:id="654992651">
      <w:bodyDiv w:val="1"/>
      <w:marLeft w:val="0"/>
      <w:marRight w:val="0"/>
      <w:marTop w:val="0"/>
      <w:marBottom w:val="0"/>
      <w:divBdr>
        <w:top w:val="none" w:sz="0" w:space="0" w:color="auto"/>
        <w:left w:val="none" w:sz="0" w:space="0" w:color="auto"/>
        <w:bottom w:val="none" w:sz="0" w:space="0" w:color="auto"/>
        <w:right w:val="none" w:sz="0" w:space="0" w:color="auto"/>
      </w:divBdr>
    </w:div>
    <w:div w:id="667097637">
      <w:bodyDiv w:val="1"/>
      <w:marLeft w:val="0"/>
      <w:marRight w:val="0"/>
      <w:marTop w:val="0"/>
      <w:marBottom w:val="0"/>
      <w:divBdr>
        <w:top w:val="none" w:sz="0" w:space="0" w:color="auto"/>
        <w:left w:val="none" w:sz="0" w:space="0" w:color="auto"/>
        <w:bottom w:val="none" w:sz="0" w:space="0" w:color="auto"/>
        <w:right w:val="none" w:sz="0" w:space="0" w:color="auto"/>
      </w:divBdr>
    </w:div>
    <w:div w:id="667828842">
      <w:bodyDiv w:val="1"/>
      <w:marLeft w:val="0"/>
      <w:marRight w:val="0"/>
      <w:marTop w:val="0"/>
      <w:marBottom w:val="0"/>
      <w:divBdr>
        <w:top w:val="none" w:sz="0" w:space="0" w:color="auto"/>
        <w:left w:val="none" w:sz="0" w:space="0" w:color="auto"/>
        <w:bottom w:val="none" w:sz="0" w:space="0" w:color="auto"/>
        <w:right w:val="none" w:sz="0" w:space="0" w:color="auto"/>
      </w:divBdr>
      <w:divsChild>
        <w:div w:id="700521315">
          <w:marLeft w:val="0"/>
          <w:marRight w:val="0"/>
          <w:marTop w:val="0"/>
          <w:marBottom w:val="0"/>
          <w:divBdr>
            <w:top w:val="none" w:sz="0" w:space="0" w:color="auto"/>
            <w:left w:val="none" w:sz="0" w:space="0" w:color="auto"/>
            <w:bottom w:val="none" w:sz="0" w:space="0" w:color="auto"/>
            <w:right w:val="none" w:sz="0" w:space="0" w:color="auto"/>
          </w:divBdr>
          <w:divsChild>
            <w:div w:id="1929390244">
              <w:marLeft w:val="0"/>
              <w:marRight w:val="0"/>
              <w:marTop w:val="0"/>
              <w:marBottom w:val="0"/>
              <w:divBdr>
                <w:top w:val="none" w:sz="0" w:space="0" w:color="auto"/>
                <w:left w:val="none" w:sz="0" w:space="0" w:color="auto"/>
                <w:bottom w:val="none" w:sz="0" w:space="0" w:color="auto"/>
                <w:right w:val="none" w:sz="0" w:space="0" w:color="auto"/>
              </w:divBdr>
              <w:divsChild>
                <w:div w:id="868225288">
                  <w:marLeft w:val="0"/>
                  <w:marRight w:val="0"/>
                  <w:marTop w:val="0"/>
                  <w:marBottom w:val="0"/>
                  <w:divBdr>
                    <w:top w:val="none" w:sz="0" w:space="0" w:color="auto"/>
                    <w:left w:val="none" w:sz="0" w:space="0" w:color="auto"/>
                    <w:bottom w:val="none" w:sz="0" w:space="0" w:color="auto"/>
                    <w:right w:val="none" w:sz="0" w:space="0" w:color="auto"/>
                  </w:divBdr>
                  <w:divsChild>
                    <w:div w:id="1955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099969">
      <w:bodyDiv w:val="1"/>
      <w:marLeft w:val="0"/>
      <w:marRight w:val="0"/>
      <w:marTop w:val="0"/>
      <w:marBottom w:val="0"/>
      <w:divBdr>
        <w:top w:val="none" w:sz="0" w:space="0" w:color="auto"/>
        <w:left w:val="none" w:sz="0" w:space="0" w:color="auto"/>
        <w:bottom w:val="none" w:sz="0" w:space="0" w:color="auto"/>
        <w:right w:val="none" w:sz="0" w:space="0" w:color="auto"/>
      </w:divBdr>
      <w:divsChild>
        <w:div w:id="1791390048">
          <w:marLeft w:val="0"/>
          <w:marRight w:val="0"/>
          <w:marTop w:val="0"/>
          <w:marBottom w:val="0"/>
          <w:divBdr>
            <w:top w:val="none" w:sz="0" w:space="0" w:color="auto"/>
            <w:left w:val="none" w:sz="0" w:space="0" w:color="auto"/>
            <w:bottom w:val="none" w:sz="0" w:space="0" w:color="auto"/>
            <w:right w:val="none" w:sz="0" w:space="0" w:color="auto"/>
          </w:divBdr>
          <w:divsChild>
            <w:div w:id="541330913">
              <w:marLeft w:val="0"/>
              <w:marRight w:val="0"/>
              <w:marTop w:val="0"/>
              <w:marBottom w:val="0"/>
              <w:divBdr>
                <w:top w:val="none" w:sz="0" w:space="0" w:color="auto"/>
                <w:left w:val="none" w:sz="0" w:space="0" w:color="auto"/>
                <w:bottom w:val="none" w:sz="0" w:space="0" w:color="auto"/>
                <w:right w:val="none" w:sz="0" w:space="0" w:color="auto"/>
              </w:divBdr>
              <w:divsChild>
                <w:div w:id="260188921">
                  <w:marLeft w:val="0"/>
                  <w:marRight w:val="0"/>
                  <w:marTop w:val="0"/>
                  <w:marBottom w:val="0"/>
                  <w:divBdr>
                    <w:top w:val="none" w:sz="0" w:space="0" w:color="auto"/>
                    <w:left w:val="none" w:sz="0" w:space="0" w:color="auto"/>
                    <w:bottom w:val="none" w:sz="0" w:space="0" w:color="auto"/>
                    <w:right w:val="none" w:sz="0" w:space="0" w:color="auto"/>
                  </w:divBdr>
                </w:div>
                <w:div w:id="538326616">
                  <w:marLeft w:val="0"/>
                  <w:marRight w:val="0"/>
                  <w:marTop w:val="0"/>
                  <w:marBottom w:val="0"/>
                  <w:divBdr>
                    <w:top w:val="none" w:sz="0" w:space="0" w:color="auto"/>
                    <w:left w:val="none" w:sz="0" w:space="0" w:color="auto"/>
                    <w:bottom w:val="none" w:sz="0" w:space="0" w:color="auto"/>
                    <w:right w:val="none" w:sz="0" w:space="0" w:color="auto"/>
                  </w:divBdr>
                </w:div>
                <w:div w:id="666592445">
                  <w:marLeft w:val="0"/>
                  <w:marRight w:val="0"/>
                  <w:marTop w:val="0"/>
                  <w:marBottom w:val="0"/>
                  <w:divBdr>
                    <w:top w:val="none" w:sz="0" w:space="0" w:color="auto"/>
                    <w:left w:val="none" w:sz="0" w:space="0" w:color="auto"/>
                    <w:bottom w:val="none" w:sz="0" w:space="0" w:color="auto"/>
                    <w:right w:val="none" w:sz="0" w:space="0" w:color="auto"/>
                  </w:divBdr>
                </w:div>
                <w:div w:id="688918536">
                  <w:marLeft w:val="0"/>
                  <w:marRight w:val="0"/>
                  <w:marTop w:val="0"/>
                  <w:marBottom w:val="0"/>
                  <w:divBdr>
                    <w:top w:val="none" w:sz="0" w:space="0" w:color="auto"/>
                    <w:left w:val="none" w:sz="0" w:space="0" w:color="auto"/>
                    <w:bottom w:val="none" w:sz="0" w:space="0" w:color="auto"/>
                    <w:right w:val="none" w:sz="0" w:space="0" w:color="auto"/>
                  </w:divBdr>
                </w:div>
                <w:div w:id="698507881">
                  <w:marLeft w:val="0"/>
                  <w:marRight w:val="0"/>
                  <w:marTop w:val="0"/>
                  <w:marBottom w:val="0"/>
                  <w:divBdr>
                    <w:top w:val="none" w:sz="0" w:space="0" w:color="auto"/>
                    <w:left w:val="none" w:sz="0" w:space="0" w:color="auto"/>
                    <w:bottom w:val="none" w:sz="0" w:space="0" w:color="auto"/>
                    <w:right w:val="none" w:sz="0" w:space="0" w:color="auto"/>
                  </w:divBdr>
                </w:div>
                <w:div w:id="1028291843">
                  <w:marLeft w:val="0"/>
                  <w:marRight w:val="0"/>
                  <w:marTop w:val="0"/>
                  <w:marBottom w:val="0"/>
                  <w:divBdr>
                    <w:top w:val="none" w:sz="0" w:space="0" w:color="auto"/>
                    <w:left w:val="none" w:sz="0" w:space="0" w:color="auto"/>
                    <w:bottom w:val="none" w:sz="0" w:space="0" w:color="auto"/>
                    <w:right w:val="none" w:sz="0" w:space="0" w:color="auto"/>
                  </w:divBdr>
                </w:div>
                <w:div w:id="1214654284">
                  <w:marLeft w:val="0"/>
                  <w:marRight w:val="0"/>
                  <w:marTop w:val="0"/>
                  <w:marBottom w:val="0"/>
                  <w:divBdr>
                    <w:top w:val="none" w:sz="0" w:space="0" w:color="auto"/>
                    <w:left w:val="none" w:sz="0" w:space="0" w:color="auto"/>
                    <w:bottom w:val="none" w:sz="0" w:space="0" w:color="auto"/>
                    <w:right w:val="none" w:sz="0" w:space="0" w:color="auto"/>
                  </w:divBdr>
                </w:div>
                <w:div w:id="1250041966">
                  <w:marLeft w:val="0"/>
                  <w:marRight w:val="0"/>
                  <w:marTop w:val="0"/>
                  <w:marBottom w:val="0"/>
                  <w:divBdr>
                    <w:top w:val="none" w:sz="0" w:space="0" w:color="auto"/>
                    <w:left w:val="none" w:sz="0" w:space="0" w:color="auto"/>
                    <w:bottom w:val="none" w:sz="0" w:space="0" w:color="auto"/>
                    <w:right w:val="none" w:sz="0" w:space="0" w:color="auto"/>
                  </w:divBdr>
                </w:div>
                <w:div w:id="1279415252">
                  <w:marLeft w:val="0"/>
                  <w:marRight w:val="0"/>
                  <w:marTop w:val="0"/>
                  <w:marBottom w:val="0"/>
                  <w:divBdr>
                    <w:top w:val="none" w:sz="0" w:space="0" w:color="auto"/>
                    <w:left w:val="none" w:sz="0" w:space="0" w:color="auto"/>
                    <w:bottom w:val="none" w:sz="0" w:space="0" w:color="auto"/>
                    <w:right w:val="none" w:sz="0" w:space="0" w:color="auto"/>
                  </w:divBdr>
                </w:div>
                <w:div w:id="1408452817">
                  <w:marLeft w:val="0"/>
                  <w:marRight w:val="0"/>
                  <w:marTop w:val="0"/>
                  <w:marBottom w:val="0"/>
                  <w:divBdr>
                    <w:top w:val="none" w:sz="0" w:space="0" w:color="auto"/>
                    <w:left w:val="none" w:sz="0" w:space="0" w:color="auto"/>
                    <w:bottom w:val="none" w:sz="0" w:space="0" w:color="auto"/>
                    <w:right w:val="none" w:sz="0" w:space="0" w:color="auto"/>
                  </w:divBdr>
                </w:div>
                <w:div w:id="1626082013">
                  <w:marLeft w:val="0"/>
                  <w:marRight w:val="0"/>
                  <w:marTop w:val="0"/>
                  <w:marBottom w:val="0"/>
                  <w:divBdr>
                    <w:top w:val="none" w:sz="0" w:space="0" w:color="auto"/>
                    <w:left w:val="none" w:sz="0" w:space="0" w:color="auto"/>
                    <w:bottom w:val="none" w:sz="0" w:space="0" w:color="auto"/>
                    <w:right w:val="none" w:sz="0" w:space="0" w:color="auto"/>
                  </w:divBdr>
                </w:div>
                <w:div w:id="1775399299">
                  <w:marLeft w:val="0"/>
                  <w:marRight w:val="0"/>
                  <w:marTop w:val="0"/>
                  <w:marBottom w:val="0"/>
                  <w:divBdr>
                    <w:top w:val="none" w:sz="0" w:space="0" w:color="auto"/>
                    <w:left w:val="none" w:sz="0" w:space="0" w:color="auto"/>
                    <w:bottom w:val="none" w:sz="0" w:space="0" w:color="auto"/>
                    <w:right w:val="none" w:sz="0" w:space="0" w:color="auto"/>
                  </w:divBdr>
                </w:div>
                <w:div w:id="1807122314">
                  <w:marLeft w:val="0"/>
                  <w:marRight w:val="0"/>
                  <w:marTop w:val="0"/>
                  <w:marBottom w:val="0"/>
                  <w:divBdr>
                    <w:top w:val="none" w:sz="0" w:space="0" w:color="auto"/>
                    <w:left w:val="none" w:sz="0" w:space="0" w:color="auto"/>
                    <w:bottom w:val="none" w:sz="0" w:space="0" w:color="auto"/>
                    <w:right w:val="none" w:sz="0" w:space="0" w:color="auto"/>
                  </w:divBdr>
                </w:div>
                <w:div w:id="1882859249">
                  <w:marLeft w:val="0"/>
                  <w:marRight w:val="0"/>
                  <w:marTop w:val="0"/>
                  <w:marBottom w:val="0"/>
                  <w:divBdr>
                    <w:top w:val="none" w:sz="0" w:space="0" w:color="auto"/>
                    <w:left w:val="none" w:sz="0" w:space="0" w:color="auto"/>
                    <w:bottom w:val="none" w:sz="0" w:space="0" w:color="auto"/>
                    <w:right w:val="none" w:sz="0" w:space="0" w:color="auto"/>
                  </w:divBdr>
                </w:div>
                <w:div w:id="19481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92901">
      <w:bodyDiv w:val="1"/>
      <w:marLeft w:val="0"/>
      <w:marRight w:val="0"/>
      <w:marTop w:val="0"/>
      <w:marBottom w:val="0"/>
      <w:divBdr>
        <w:top w:val="none" w:sz="0" w:space="0" w:color="auto"/>
        <w:left w:val="none" w:sz="0" w:space="0" w:color="auto"/>
        <w:bottom w:val="none" w:sz="0" w:space="0" w:color="auto"/>
        <w:right w:val="none" w:sz="0" w:space="0" w:color="auto"/>
      </w:divBdr>
    </w:div>
    <w:div w:id="708921852">
      <w:bodyDiv w:val="1"/>
      <w:marLeft w:val="0"/>
      <w:marRight w:val="0"/>
      <w:marTop w:val="0"/>
      <w:marBottom w:val="0"/>
      <w:divBdr>
        <w:top w:val="none" w:sz="0" w:space="0" w:color="auto"/>
        <w:left w:val="none" w:sz="0" w:space="0" w:color="auto"/>
        <w:bottom w:val="none" w:sz="0" w:space="0" w:color="auto"/>
        <w:right w:val="none" w:sz="0" w:space="0" w:color="auto"/>
      </w:divBdr>
    </w:div>
    <w:div w:id="709233712">
      <w:bodyDiv w:val="1"/>
      <w:marLeft w:val="0"/>
      <w:marRight w:val="0"/>
      <w:marTop w:val="0"/>
      <w:marBottom w:val="0"/>
      <w:divBdr>
        <w:top w:val="none" w:sz="0" w:space="0" w:color="auto"/>
        <w:left w:val="none" w:sz="0" w:space="0" w:color="auto"/>
        <w:bottom w:val="none" w:sz="0" w:space="0" w:color="auto"/>
        <w:right w:val="none" w:sz="0" w:space="0" w:color="auto"/>
      </w:divBdr>
      <w:divsChild>
        <w:div w:id="2078821179">
          <w:marLeft w:val="0"/>
          <w:marRight w:val="0"/>
          <w:marTop w:val="0"/>
          <w:marBottom w:val="0"/>
          <w:divBdr>
            <w:top w:val="none" w:sz="0" w:space="0" w:color="auto"/>
            <w:left w:val="none" w:sz="0" w:space="0" w:color="auto"/>
            <w:bottom w:val="none" w:sz="0" w:space="0" w:color="auto"/>
            <w:right w:val="none" w:sz="0" w:space="0" w:color="auto"/>
          </w:divBdr>
          <w:divsChild>
            <w:div w:id="1927035301">
              <w:marLeft w:val="0"/>
              <w:marRight w:val="0"/>
              <w:marTop w:val="0"/>
              <w:marBottom w:val="0"/>
              <w:divBdr>
                <w:top w:val="none" w:sz="0" w:space="0" w:color="auto"/>
                <w:left w:val="none" w:sz="0" w:space="0" w:color="auto"/>
                <w:bottom w:val="none" w:sz="0" w:space="0" w:color="auto"/>
                <w:right w:val="none" w:sz="0" w:space="0" w:color="auto"/>
              </w:divBdr>
              <w:divsChild>
                <w:div w:id="608582229">
                  <w:marLeft w:val="0"/>
                  <w:marRight w:val="0"/>
                  <w:marTop w:val="0"/>
                  <w:marBottom w:val="0"/>
                  <w:divBdr>
                    <w:top w:val="none" w:sz="0" w:space="0" w:color="auto"/>
                    <w:left w:val="none" w:sz="0" w:space="0" w:color="auto"/>
                    <w:bottom w:val="none" w:sz="0" w:space="0" w:color="auto"/>
                    <w:right w:val="none" w:sz="0" w:space="0" w:color="auto"/>
                  </w:divBdr>
                </w:div>
                <w:div w:id="782579670">
                  <w:marLeft w:val="0"/>
                  <w:marRight w:val="0"/>
                  <w:marTop w:val="0"/>
                  <w:marBottom w:val="0"/>
                  <w:divBdr>
                    <w:top w:val="none" w:sz="0" w:space="0" w:color="auto"/>
                    <w:left w:val="none" w:sz="0" w:space="0" w:color="auto"/>
                    <w:bottom w:val="none" w:sz="0" w:space="0" w:color="auto"/>
                    <w:right w:val="none" w:sz="0" w:space="0" w:color="auto"/>
                  </w:divBdr>
                </w:div>
                <w:div w:id="807629887">
                  <w:marLeft w:val="0"/>
                  <w:marRight w:val="0"/>
                  <w:marTop w:val="0"/>
                  <w:marBottom w:val="0"/>
                  <w:divBdr>
                    <w:top w:val="none" w:sz="0" w:space="0" w:color="auto"/>
                    <w:left w:val="none" w:sz="0" w:space="0" w:color="auto"/>
                    <w:bottom w:val="none" w:sz="0" w:space="0" w:color="auto"/>
                    <w:right w:val="none" w:sz="0" w:space="0" w:color="auto"/>
                  </w:divBdr>
                </w:div>
                <w:div w:id="1183469507">
                  <w:marLeft w:val="0"/>
                  <w:marRight w:val="0"/>
                  <w:marTop w:val="0"/>
                  <w:marBottom w:val="0"/>
                  <w:divBdr>
                    <w:top w:val="none" w:sz="0" w:space="0" w:color="auto"/>
                    <w:left w:val="none" w:sz="0" w:space="0" w:color="auto"/>
                    <w:bottom w:val="none" w:sz="0" w:space="0" w:color="auto"/>
                    <w:right w:val="none" w:sz="0" w:space="0" w:color="auto"/>
                  </w:divBdr>
                </w:div>
                <w:div w:id="1253009518">
                  <w:marLeft w:val="0"/>
                  <w:marRight w:val="0"/>
                  <w:marTop w:val="0"/>
                  <w:marBottom w:val="0"/>
                  <w:divBdr>
                    <w:top w:val="none" w:sz="0" w:space="0" w:color="auto"/>
                    <w:left w:val="none" w:sz="0" w:space="0" w:color="auto"/>
                    <w:bottom w:val="none" w:sz="0" w:space="0" w:color="auto"/>
                    <w:right w:val="none" w:sz="0" w:space="0" w:color="auto"/>
                  </w:divBdr>
                </w:div>
                <w:div w:id="16413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1154">
      <w:bodyDiv w:val="1"/>
      <w:marLeft w:val="0"/>
      <w:marRight w:val="0"/>
      <w:marTop w:val="0"/>
      <w:marBottom w:val="0"/>
      <w:divBdr>
        <w:top w:val="none" w:sz="0" w:space="0" w:color="auto"/>
        <w:left w:val="none" w:sz="0" w:space="0" w:color="auto"/>
        <w:bottom w:val="none" w:sz="0" w:space="0" w:color="auto"/>
        <w:right w:val="none" w:sz="0" w:space="0" w:color="auto"/>
      </w:divBdr>
    </w:div>
    <w:div w:id="754860671">
      <w:bodyDiv w:val="1"/>
      <w:marLeft w:val="0"/>
      <w:marRight w:val="0"/>
      <w:marTop w:val="0"/>
      <w:marBottom w:val="0"/>
      <w:divBdr>
        <w:top w:val="none" w:sz="0" w:space="0" w:color="auto"/>
        <w:left w:val="none" w:sz="0" w:space="0" w:color="auto"/>
        <w:bottom w:val="none" w:sz="0" w:space="0" w:color="auto"/>
        <w:right w:val="none" w:sz="0" w:space="0" w:color="auto"/>
      </w:divBdr>
    </w:div>
    <w:div w:id="758479763">
      <w:bodyDiv w:val="1"/>
      <w:marLeft w:val="0"/>
      <w:marRight w:val="0"/>
      <w:marTop w:val="0"/>
      <w:marBottom w:val="0"/>
      <w:divBdr>
        <w:top w:val="none" w:sz="0" w:space="0" w:color="auto"/>
        <w:left w:val="none" w:sz="0" w:space="0" w:color="auto"/>
        <w:bottom w:val="none" w:sz="0" w:space="0" w:color="auto"/>
        <w:right w:val="none" w:sz="0" w:space="0" w:color="auto"/>
      </w:divBdr>
    </w:div>
    <w:div w:id="761805889">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77918114">
      <w:bodyDiv w:val="1"/>
      <w:marLeft w:val="0"/>
      <w:marRight w:val="0"/>
      <w:marTop w:val="0"/>
      <w:marBottom w:val="0"/>
      <w:divBdr>
        <w:top w:val="none" w:sz="0" w:space="0" w:color="auto"/>
        <w:left w:val="none" w:sz="0" w:space="0" w:color="auto"/>
        <w:bottom w:val="none" w:sz="0" w:space="0" w:color="auto"/>
        <w:right w:val="none" w:sz="0" w:space="0" w:color="auto"/>
      </w:divBdr>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16193387">
      <w:bodyDiv w:val="1"/>
      <w:marLeft w:val="0"/>
      <w:marRight w:val="0"/>
      <w:marTop w:val="0"/>
      <w:marBottom w:val="0"/>
      <w:divBdr>
        <w:top w:val="none" w:sz="0" w:space="0" w:color="auto"/>
        <w:left w:val="none" w:sz="0" w:space="0" w:color="auto"/>
        <w:bottom w:val="none" w:sz="0" w:space="0" w:color="auto"/>
        <w:right w:val="none" w:sz="0" w:space="0" w:color="auto"/>
      </w:divBdr>
    </w:div>
    <w:div w:id="835144350">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47326613">
      <w:bodyDiv w:val="1"/>
      <w:marLeft w:val="0"/>
      <w:marRight w:val="0"/>
      <w:marTop w:val="0"/>
      <w:marBottom w:val="0"/>
      <w:divBdr>
        <w:top w:val="none" w:sz="0" w:space="0" w:color="auto"/>
        <w:left w:val="none" w:sz="0" w:space="0" w:color="auto"/>
        <w:bottom w:val="none" w:sz="0" w:space="0" w:color="auto"/>
        <w:right w:val="none" w:sz="0" w:space="0" w:color="auto"/>
      </w:divBdr>
    </w:div>
    <w:div w:id="861208686">
      <w:bodyDiv w:val="1"/>
      <w:marLeft w:val="0"/>
      <w:marRight w:val="0"/>
      <w:marTop w:val="0"/>
      <w:marBottom w:val="0"/>
      <w:divBdr>
        <w:top w:val="none" w:sz="0" w:space="0" w:color="auto"/>
        <w:left w:val="none" w:sz="0" w:space="0" w:color="auto"/>
        <w:bottom w:val="none" w:sz="0" w:space="0" w:color="auto"/>
        <w:right w:val="none" w:sz="0" w:space="0" w:color="auto"/>
      </w:divBdr>
      <w:divsChild>
        <w:div w:id="1357081045">
          <w:marLeft w:val="0"/>
          <w:marRight w:val="0"/>
          <w:marTop w:val="0"/>
          <w:marBottom w:val="0"/>
          <w:divBdr>
            <w:top w:val="none" w:sz="0" w:space="0" w:color="auto"/>
            <w:left w:val="none" w:sz="0" w:space="0" w:color="auto"/>
            <w:bottom w:val="none" w:sz="0" w:space="0" w:color="auto"/>
            <w:right w:val="none" w:sz="0" w:space="0" w:color="auto"/>
          </w:divBdr>
          <w:divsChild>
            <w:div w:id="1377854783">
              <w:marLeft w:val="0"/>
              <w:marRight w:val="0"/>
              <w:marTop w:val="0"/>
              <w:marBottom w:val="0"/>
              <w:divBdr>
                <w:top w:val="none" w:sz="0" w:space="0" w:color="auto"/>
                <w:left w:val="none" w:sz="0" w:space="0" w:color="auto"/>
                <w:bottom w:val="none" w:sz="0" w:space="0" w:color="auto"/>
                <w:right w:val="none" w:sz="0" w:space="0" w:color="auto"/>
              </w:divBdr>
              <w:divsChild>
                <w:div w:id="1516113513">
                  <w:marLeft w:val="0"/>
                  <w:marRight w:val="0"/>
                  <w:marTop w:val="0"/>
                  <w:marBottom w:val="0"/>
                  <w:divBdr>
                    <w:top w:val="none" w:sz="0" w:space="0" w:color="auto"/>
                    <w:left w:val="none" w:sz="0" w:space="0" w:color="auto"/>
                    <w:bottom w:val="none" w:sz="0" w:space="0" w:color="auto"/>
                    <w:right w:val="none" w:sz="0" w:space="0" w:color="auto"/>
                  </w:divBdr>
                  <w:divsChild>
                    <w:div w:id="164281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898639328">
      <w:bodyDiv w:val="1"/>
      <w:marLeft w:val="0"/>
      <w:marRight w:val="0"/>
      <w:marTop w:val="0"/>
      <w:marBottom w:val="0"/>
      <w:divBdr>
        <w:top w:val="none" w:sz="0" w:space="0" w:color="auto"/>
        <w:left w:val="none" w:sz="0" w:space="0" w:color="auto"/>
        <w:bottom w:val="none" w:sz="0" w:space="0" w:color="auto"/>
        <w:right w:val="none" w:sz="0" w:space="0" w:color="auto"/>
      </w:divBdr>
    </w:div>
    <w:div w:id="916669022">
      <w:bodyDiv w:val="1"/>
      <w:marLeft w:val="0"/>
      <w:marRight w:val="0"/>
      <w:marTop w:val="0"/>
      <w:marBottom w:val="0"/>
      <w:divBdr>
        <w:top w:val="none" w:sz="0" w:space="0" w:color="auto"/>
        <w:left w:val="none" w:sz="0" w:space="0" w:color="auto"/>
        <w:bottom w:val="none" w:sz="0" w:space="0" w:color="auto"/>
        <w:right w:val="none" w:sz="0" w:space="0" w:color="auto"/>
      </w:divBdr>
    </w:div>
    <w:div w:id="917791412">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28736769">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64655998">
      <w:bodyDiv w:val="1"/>
      <w:marLeft w:val="0"/>
      <w:marRight w:val="0"/>
      <w:marTop w:val="0"/>
      <w:marBottom w:val="0"/>
      <w:divBdr>
        <w:top w:val="none" w:sz="0" w:space="0" w:color="auto"/>
        <w:left w:val="none" w:sz="0" w:space="0" w:color="auto"/>
        <w:bottom w:val="none" w:sz="0" w:space="0" w:color="auto"/>
        <w:right w:val="none" w:sz="0" w:space="0" w:color="auto"/>
      </w:divBdr>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0576556">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989678347">
      <w:bodyDiv w:val="1"/>
      <w:marLeft w:val="0"/>
      <w:marRight w:val="0"/>
      <w:marTop w:val="0"/>
      <w:marBottom w:val="0"/>
      <w:divBdr>
        <w:top w:val="none" w:sz="0" w:space="0" w:color="auto"/>
        <w:left w:val="none" w:sz="0" w:space="0" w:color="auto"/>
        <w:bottom w:val="none" w:sz="0" w:space="0" w:color="auto"/>
        <w:right w:val="none" w:sz="0" w:space="0" w:color="auto"/>
      </w:divBdr>
    </w:div>
    <w:div w:id="1007825928">
      <w:bodyDiv w:val="1"/>
      <w:marLeft w:val="0"/>
      <w:marRight w:val="0"/>
      <w:marTop w:val="0"/>
      <w:marBottom w:val="0"/>
      <w:divBdr>
        <w:top w:val="none" w:sz="0" w:space="0" w:color="auto"/>
        <w:left w:val="none" w:sz="0" w:space="0" w:color="auto"/>
        <w:bottom w:val="none" w:sz="0" w:space="0" w:color="auto"/>
        <w:right w:val="none" w:sz="0" w:space="0" w:color="auto"/>
      </w:divBdr>
    </w:div>
    <w:div w:id="1013457428">
      <w:bodyDiv w:val="1"/>
      <w:marLeft w:val="0"/>
      <w:marRight w:val="0"/>
      <w:marTop w:val="0"/>
      <w:marBottom w:val="0"/>
      <w:divBdr>
        <w:top w:val="none" w:sz="0" w:space="0" w:color="auto"/>
        <w:left w:val="none" w:sz="0" w:space="0" w:color="auto"/>
        <w:bottom w:val="none" w:sz="0" w:space="0" w:color="auto"/>
        <w:right w:val="none" w:sz="0" w:space="0" w:color="auto"/>
      </w:divBdr>
    </w:div>
    <w:div w:id="1013992662">
      <w:bodyDiv w:val="1"/>
      <w:marLeft w:val="0"/>
      <w:marRight w:val="0"/>
      <w:marTop w:val="0"/>
      <w:marBottom w:val="0"/>
      <w:divBdr>
        <w:top w:val="none" w:sz="0" w:space="0" w:color="auto"/>
        <w:left w:val="none" w:sz="0" w:space="0" w:color="auto"/>
        <w:bottom w:val="none" w:sz="0" w:space="0" w:color="auto"/>
        <w:right w:val="none" w:sz="0" w:space="0" w:color="auto"/>
      </w:divBdr>
    </w:div>
    <w:div w:id="1017805493">
      <w:bodyDiv w:val="1"/>
      <w:marLeft w:val="0"/>
      <w:marRight w:val="0"/>
      <w:marTop w:val="0"/>
      <w:marBottom w:val="0"/>
      <w:divBdr>
        <w:top w:val="none" w:sz="0" w:space="0" w:color="auto"/>
        <w:left w:val="none" w:sz="0" w:space="0" w:color="auto"/>
        <w:bottom w:val="none" w:sz="0" w:space="0" w:color="auto"/>
        <w:right w:val="none" w:sz="0" w:space="0" w:color="auto"/>
      </w:divBdr>
    </w:div>
    <w:div w:id="1020819334">
      <w:bodyDiv w:val="1"/>
      <w:marLeft w:val="0"/>
      <w:marRight w:val="0"/>
      <w:marTop w:val="0"/>
      <w:marBottom w:val="0"/>
      <w:divBdr>
        <w:top w:val="none" w:sz="0" w:space="0" w:color="auto"/>
        <w:left w:val="none" w:sz="0" w:space="0" w:color="auto"/>
        <w:bottom w:val="none" w:sz="0" w:space="0" w:color="auto"/>
        <w:right w:val="none" w:sz="0" w:space="0" w:color="auto"/>
      </w:divBdr>
      <w:divsChild>
        <w:div w:id="283274037">
          <w:marLeft w:val="0"/>
          <w:marRight w:val="0"/>
          <w:marTop w:val="0"/>
          <w:marBottom w:val="0"/>
          <w:divBdr>
            <w:top w:val="none" w:sz="0" w:space="0" w:color="auto"/>
            <w:left w:val="none" w:sz="0" w:space="0" w:color="auto"/>
            <w:bottom w:val="none" w:sz="0" w:space="0" w:color="auto"/>
            <w:right w:val="none" w:sz="0" w:space="0" w:color="auto"/>
          </w:divBdr>
        </w:div>
        <w:div w:id="379323253">
          <w:marLeft w:val="0"/>
          <w:marRight w:val="0"/>
          <w:marTop w:val="0"/>
          <w:marBottom w:val="0"/>
          <w:divBdr>
            <w:top w:val="none" w:sz="0" w:space="0" w:color="auto"/>
            <w:left w:val="none" w:sz="0" w:space="0" w:color="auto"/>
            <w:bottom w:val="none" w:sz="0" w:space="0" w:color="auto"/>
            <w:right w:val="none" w:sz="0" w:space="0" w:color="auto"/>
          </w:divBdr>
        </w:div>
        <w:div w:id="659235862">
          <w:marLeft w:val="0"/>
          <w:marRight w:val="0"/>
          <w:marTop w:val="0"/>
          <w:marBottom w:val="0"/>
          <w:divBdr>
            <w:top w:val="none" w:sz="0" w:space="0" w:color="auto"/>
            <w:left w:val="none" w:sz="0" w:space="0" w:color="auto"/>
            <w:bottom w:val="none" w:sz="0" w:space="0" w:color="auto"/>
            <w:right w:val="none" w:sz="0" w:space="0" w:color="auto"/>
          </w:divBdr>
        </w:div>
        <w:div w:id="715857497">
          <w:marLeft w:val="0"/>
          <w:marRight w:val="0"/>
          <w:marTop w:val="0"/>
          <w:marBottom w:val="0"/>
          <w:divBdr>
            <w:top w:val="none" w:sz="0" w:space="0" w:color="auto"/>
            <w:left w:val="none" w:sz="0" w:space="0" w:color="auto"/>
            <w:bottom w:val="none" w:sz="0" w:space="0" w:color="auto"/>
            <w:right w:val="none" w:sz="0" w:space="0" w:color="auto"/>
          </w:divBdr>
        </w:div>
        <w:div w:id="876434642">
          <w:marLeft w:val="0"/>
          <w:marRight w:val="0"/>
          <w:marTop w:val="0"/>
          <w:marBottom w:val="0"/>
          <w:divBdr>
            <w:top w:val="none" w:sz="0" w:space="0" w:color="auto"/>
            <w:left w:val="none" w:sz="0" w:space="0" w:color="auto"/>
            <w:bottom w:val="none" w:sz="0" w:space="0" w:color="auto"/>
            <w:right w:val="none" w:sz="0" w:space="0" w:color="auto"/>
          </w:divBdr>
        </w:div>
        <w:div w:id="933635056">
          <w:marLeft w:val="0"/>
          <w:marRight w:val="0"/>
          <w:marTop w:val="0"/>
          <w:marBottom w:val="0"/>
          <w:divBdr>
            <w:top w:val="none" w:sz="0" w:space="0" w:color="auto"/>
            <w:left w:val="none" w:sz="0" w:space="0" w:color="auto"/>
            <w:bottom w:val="none" w:sz="0" w:space="0" w:color="auto"/>
            <w:right w:val="none" w:sz="0" w:space="0" w:color="auto"/>
          </w:divBdr>
        </w:div>
        <w:div w:id="1311640584">
          <w:marLeft w:val="0"/>
          <w:marRight w:val="0"/>
          <w:marTop w:val="0"/>
          <w:marBottom w:val="0"/>
          <w:divBdr>
            <w:top w:val="none" w:sz="0" w:space="0" w:color="auto"/>
            <w:left w:val="none" w:sz="0" w:space="0" w:color="auto"/>
            <w:bottom w:val="none" w:sz="0" w:space="0" w:color="auto"/>
            <w:right w:val="none" w:sz="0" w:space="0" w:color="auto"/>
          </w:divBdr>
        </w:div>
        <w:div w:id="1694191549">
          <w:marLeft w:val="0"/>
          <w:marRight w:val="0"/>
          <w:marTop w:val="0"/>
          <w:marBottom w:val="0"/>
          <w:divBdr>
            <w:top w:val="none" w:sz="0" w:space="0" w:color="auto"/>
            <w:left w:val="none" w:sz="0" w:space="0" w:color="auto"/>
            <w:bottom w:val="none" w:sz="0" w:space="0" w:color="auto"/>
            <w:right w:val="none" w:sz="0" w:space="0" w:color="auto"/>
          </w:divBdr>
        </w:div>
        <w:div w:id="1914000964">
          <w:marLeft w:val="0"/>
          <w:marRight w:val="0"/>
          <w:marTop w:val="0"/>
          <w:marBottom w:val="0"/>
          <w:divBdr>
            <w:top w:val="none" w:sz="0" w:space="0" w:color="auto"/>
            <w:left w:val="none" w:sz="0" w:space="0" w:color="auto"/>
            <w:bottom w:val="none" w:sz="0" w:space="0" w:color="auto"/>
            <w:right w:val="none" w:sz="0" w:space="0" w:color="auto"/>
          </w:divBdr>
        </w:div>
        <w:div w:id="2058239089">
          <w:marLeft w:val="0"/>
          <w:marRight w:val="0"/>
          <w:marTop w:val="0"/>
          <w:marBottom w:val="0"/>
          <w:divBdr>
            <w:top w:val="none" w:sz="0" w:space="0" w:color="auto"/>
            <w:left w:val="none" w:sz="0" w:space="0" w:color="auto"/>
            <w:bottom w:val="none" w:sz="0" w:space="0" w:color="auto"/>
            <w:right w:val="none" w:sz="0" w:space="0" w:color="auto"/>
          </w:divBdr>
        </w:div>
      </w:divsChild>
    </w:div>
    <w:div w:id="1041899702">
      <w:bodyDiv w:val="1"/>
      <w:marLeft w:val="0"/>
      <w:marRight w:val="0"/>
      <w:marTop w:val="0"/>
      <w:marBottom w:val="0"/>
      <w:divBdr>
        <w:top w:val="none" w:sz="0" w:space="0" w:color="auto"/>
        <w:left w:val="none" w:sz="0" w:space="0" w:color="auto"/>
        <w:bottom w:val="none" w:sz="0" w:space="0" w:color="auto"/>
        <w:right w:val="none" w:sz="0" w:space="0" w:color="auto"/>
      </w:divBdr>
    </w:div>
    <w:div w:id="1059523443">
      <w:bodyDiv w:val="1"/>
      <w:marLeft w:val="0"/>
      <w:marRight w:val="0"/>
      <w:marTop w:val="0"/>
      <w:marBottom w:val="0"/>
      <w:divBdr>
        <w:top w:val="none" w:sz="0" w:space="0" w:color="auto"/>
        <w:left w:val="none" w:sz="0" w:space="0" w:color="auto"/>
        <w:bottom w:val="none" w:sz="0" w:space="0" w:color="auto"/>
        <w:right w:val="none" w:sz="0" w:space="0" w:color="auto"/>
      </w:divBdr>
    </w:div>
    <w:div w:id="1066342351">
      <w:bodyDiv w:val="1"/>
      <w:marLeft w:val="0"/>
      <w:marRight w:val="0"/>
      <w:marTop w:val="0"/>
      <w:marBottom w:val="0"/>
      <w:divBdr>
        <w:top w:val="none" w:sz="0" w:space="0" w:color="auto"/>
        <w:left w:val="none" w:sz="0" w:space="0" w:color="auto"/>
        <w:bottom w:val="none" w:sz="0" w:space="0" w:color="auto"/>
        <w:right w:val="none" w:sz="0" w:space="0" w:color="auto"/>
      </w:divBdr>
    </w:div>
    <w:div w:id="1073815359">
      <w:bodyDiv w:val="1"/>
      <w:marLeft w:val="0"/>
      <w:marRight w:val="0"/>
      <w:marTop w:val="0"/>
      <w:marBottom w:val="0"/>
      <w:divBdr>
        <w:top w:val="none" w:sz="0" w:space="0" w:color="auto"/>
        <w:left w:val="none" w:sz="0" w:space="0" w:color="auto"/>
        <w:bottom w:val="none" w:sz="0" w:space="0" w:color="auto"/>
        <w:right w:val="none" w:sz="0" w:space="0" w:color="auto"/>
      </w:divBdr>
    </w:div>
    <w:div w:id="1101418335">
      <w:bodyDiv w:val="1"/>
      <w:marLeft w:val="0"/>
      <w:marRight w:val="0"/>
      <w:marTop w:val="0"/>
      <w:marBottom w:val="0"/>
      <w:divBdr>
        <w:top w:val="none" w:sz="0" w:space="0" w:color="auto"/>
        <w:left w:val="none" w:sz="0" w:space="0" w:color="auto"/>
        <w:bottom w:val="none" w:sz="0" w:space="0" w:color="auto"/>
        <w:right w:val="none" w:sz="0" w:space="0" w:color="auto"/>
      </w:divBdr>
      <w:divsChild>
        <w:div w:id="1753044881">
          <w:marLeft w:val="0"/>
          <w:marRight w:val="0"/>
          <w:marTop w:val="0"/>
          <w:marBottom w:val="0"/>
          <w:divBdr>
            <w:top w:val="none" w:sz="0" w:space="0" w:color="auto"/>
            <w:left w:val="none" w:sz="0" w:space="0" w:color="auto"/>
            <w:bottom w:val="none" w:sz="0" w:space="0" w:color="auto"/>
            <w:right w:val="none" w:sz="0" w:space="0" w:color="auto"/>
          </w:divBdr>
        </w:div>
        <w:div w:id="1983852175">
          <w:marLeft w:val="0"/>
          <w:marRight w:val="0"/>
          <w:marTop w:val="0"/>
          <w:marBottom w:val="0"/>
          <w:divBdr>
            <w:top w:val="none" w:sz="0" w:space="0" w:color="auto"/>
            <w:left w:val="none" w:sz="0" w:space="0" w:color="auto"/>
            <w:bottom w:val="none" w:sz="0" w:space="0" w:color="auto"/>
            <w:right w:val="none" w:sz="0" w:space="0" w:color="auto"/>
          </w:divBdr>
        </w:div>
      </w:divsChild>
    </w:div>
    <w:div w:id="1103456662">
      <w:bodyDiv w:val="1"/>
      <w:marLeft w:val="0"/>
      <w:marRight w:val="0"/>
      <w:marTop w:val="0"/>
      <w:marBottom w:val="0"/>
      <w:divBdr>
        <w:top w:val="none" w:sz="0" w:space="0" w:color="auto"/>
        <w:left w:val="none" w:sz="0" w:space="0" w:color="auto"/>
        <w:bottom w:val="none" w:sz="0" w:space="0" w:color="auto"/>
        <w:right w:val="none" w:sz="0" w:space="0" w:color="auto"/>
      </w:divBdr>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6341024">
      <w:bodyDiv w:val="1"/>
      <w:marLeft w:val="0"/>
      <w:marRight w:val="0"/>
      <w:marTop w:val="0"/>
      <w:marBottom w:val="0"/>
      <w:divBdr>
        <w:top w:val="none" w:sz="0" w:space="0" w:color="auto"/>
        <w:left w:val="none" w:sz="0" w:space="0" w:color="auto"/>
        <w:bottom w:val="none" w:sz="0" w:space="0" w:color="auto"/>
        <w:right w:val="none" w:sz="0" w:space="0" w:color="auto"/>
      </w:divBdr>
    </w:div>
    <w:div w:id="1150748908">
      <w:bodyDiv w:val="1"/>
      <w:marLeft w:val="0"/>
      <w:marRight w:val="0"/>
      <w:marTop w:val="0"/>
      <w:marBottom w:val="0"/>
      <w:divBdr>
        <w:top w:val="none" w:sz="0" w:space="0" w:color="auto"/>
        <w:left w:val="none" w:sz="0" w:space="0" w:color="auto"/>
        <w:bottom w:val="none" w:sz="0" w:space="0" w:color="auto"/>
        <w:right w:val="none" w:sz="0" w:space="0" w:color="auto"/>
      </w:divBdr>
    </w:div>
    <w:div w:id="1152647625">
      <w:bodyDiv w:val="1"/>
      <w:marLeft w:val="0"/>
      <w:marRight w:val="0"/>
      <w:marTop w:val="0"/>
      <w:marBottom w:val="0"/>
      <w:divBdr>
        <w:top w:val="none" w:sz="0" w:space="0" w:color="auto"/>
        <w:left w:val="none" w:sz="0" w:space="0" w:color="auto"/>
        <w:bottom w:val="none" w:sz="0" w:space="0" w:color="auto"/>
        <w:right w:val="none" w:sz="0" w:space="0" w:color="auto"/>
      </w:divBdr>
    </w:div>
    <w:div w:id="1162232015">
      <w:bodyDiv w:val="1"/>
      <w:marLeft w:val="0"/>
      <w:marRight w:val="0"/>
      <w:marTop w:val="0"/>
      <w:marBottom w:val="0"/>
      <w:divBdr>
        <w:top w:val="none" w:sz="0" w:space="0" w:color="auto"/>
        <w:left w:val="none" w:sz="0" w:space="0" w:color="auto"/>
        <w:bottom w:val="none" w:sz="0" w:space="0" w:color="auto"/>
        <w:right w:val="none" w:sz="0" w:space="0" w:color="auto"/>
      </w:divBdr>
    </w:div>
    <w:div w:id="1171486665">
      <w:bodyDiv w:val="1"/>
      <w:marLeft w:val="0"/>
      <w:marRight w:val="0"/>
      <w:marTop w:val="0"/>
      <w:marBottom w:val="0"/>
      <w:divBdr>
        <w:top w:val="none" w:sz="0" w:space="0" w:color="auto"/>
        <w:left w:val="none" w:sz="0" w:space="0" w:color="auto"/>
        <w:bottom w:val="none" w:sz="0" w:space="0" w:color="auto"/>
        <w:right w:val="none" w:sz="0" w:space="0" w:color="auto"/>
      </w:divBdr>
    </w:div>
    <w:div w:id="1179851638">
      <w:bodyDiv w:val="1"/>
      <w:marLeft w:val="0"/>
      <w:marRight w:val="0"/>
      <w:marTop w:val="0"/>
      <w:marBottom w:val="0"/>
      <w:divBdr>
        <w:top w:val="none" w:sz="0" w:space="0" w:color="auto"/>
        <w:left w:val="none" w:sz="0" w:space="0" w:color="auto"/>
        <w:bottom w:val="none" w:sz="0" w:space="0" w:color="auto"/>
        <w:right w:val="none" w:sz="0" w:space="0" w:color="auto"/>
      </w:divBdr>
      <w:divsChild>
        <w:div w:id="543374322">
          <w:marLeft w:val="0"/>
          <w:marRight w:val="0"/>
          <w:marTop w:val="0"/>
          <w:marBottom w:val="0"/>
          <w:divBdr>
            <w:top w:val="none" w:sz="0" w:space="0" w:color="auto"/>
            <w:left w:val="none" w:sz="0" w:space="0" w:color="auto"/>
            <w:bottom w:val="none" w:sz="0" w:space="0" w:color="auto"/>
            <w:right w:val="none" w:sz="0" w:space="0" w:color="auto"/>
          </w:divBdr>
          <w:divsChild>
            <w:div w:id="1792554912">
              <w:marLeft w:val="0"/>
              <w:marRight w:val="0"/>
              <w:marTop w:val="0"/>
              <w:marBottom w:val="0"/>
              <w:divBdr>
                <w:top w:val="none" w:sz="0" w:space="0" w:color="auto"/>
                <w:left w:val="none" w:sz="0" w:space="0" w:color="auto"/>
                <w:bottom w:val="none" w:sz="0" w:space="0" w:color="auto"/>
                <w:right w:val="none" w:sz="0" w:space="0" w:color="auto"/>
              </w:divBdr>
              <w:divsChild>
                <w:div w:id="240722132">
                  <w:marLeft w:val="0"/>
                  <w:marRight w:val="0"/>
                  <w:marTop w:val="0"/>
                  <w:marBottom w:val="0"/>
                  <w:divBdr>
                    <w:top w:val="none" w:sz="0" w:space="0" w:color="auto"/>
                    <w:left w:val="none" w:sz="0" w:space="0" w:color="auto"/>
                    <w:bottom w:val="none" w:sz="0" w:space="0" w:color="auto"/>
                    <w:right w:val="none" w:sz="0" w:space="0" w:color="auto"/>
                  </w:divBdr>
                </w:div>
                <w:div w:id="288782873">
                  <w:marLeft w:val="0"/>
                  <w:marRight w:val="0"/>
                  <w:marTop w:val="0"/>
                  <w:marBottom w:val="0"/>
                  <w:divBdr>
                    <w:top w:val="none" w:sz="0" w:space="0" w:color="auto"/>
                    <w:left w:val="none" w:sz="0" w:space="0" w:color="auto"/>
                    <w:bottom w:val="none" w:sz="0" w:space="0" w:color="auto"/>
                    <w:right w:val="none" w:sz="0" w:space="0" w:color="auto"/>
                  </w:divBdr>
                </w:div>
                <w:div w:id="392698147">
                  <w:marLeft w:val="0"/>
                  <w:marRight w:val="0"/>
                  <w:marTop w:val="0"/>
                  <w:marBottom w:val="0"/>
                  <w:divBdr>
                    <w:top w:val="none" w:sz="0" w:space="0" w:color="auto"/>
                    <w:left w:val="none" w:sz="0" w:space="0" w:color="auto"/>
                    <w:bottom w:val="none" w:sz="0" w:space="0" w:color="auto"/>
                    <w:right w:val="none" w:sz="0" w:space="0" w:color="auto"/>
                  </w:divBdr>
                </w:div>
                <w:div w:id="451900039">
                  <w:marLeft w:val="0"/>
                  <w:marRight w:val="0"/>
                  <w:marTop w:val="0"/>
                  <w:marBottom w:val="0"/>
                  <w:divBdr>
                    <w:top w:val="none" w:sz="0" w:space="0" w:color="auto"/>
                    <w:left w:val="none" w:sz="0" w:space="0" w:color="auto"/>
                    <w:bottom w:val="none" w:sz="0" w:space="0" w:color="auto"/>
                    <w:right w:val="none" w:sz="0" w:space="0" w:color="auto"/>
                  </w:divBdr>
                </w:div>
                <w:div w:id="516848609">
                  <w:marLeft w:val="0"/>
                  <w:marRight w:val="0"/>
                  <w:marTop w:val="0"/>
                  <w:marBottom w:val="0"/>
                  <w:divBdr>
                    <w:top w:val="none" w:sz="0" w:space="0" w:color="auto"/>
                    <w:left w:val="none" w:sz="0" w:space="0" w:color="auto"/>
                    <w:bottom w:val="none" w:sz="0" w:space="0" w:color="auto"/>
                    <w:right w:val="none" w:sz="0" w:space="0" w:color="auto"/>
                  </w:divBdr>
                </w:div>
                <w:div w:id="644704447">
                  <w:marLeft w:val="0"/>
                  <w:marRight w:val="0"/>
                  <w:marTop w:val="0"/>
                  <w:marBottom w:val="0"/>
                  <w:divBdr>
                    <w:top w:val="none" w:sz="0" w:space="0" w:color="auto"/>
                    <w:left w:val="none" w:sz="0" w:space="0" w:color="auto"/>
                    <w:bottom w:val="none" w:sz="0" w:space="0" w:color="auto"/>
                    <w:right w:val="none" w:sz="0" w:space="0" w:color="auto"/>
                  </w:divBdr>
                </w:div>
                <w:div w:id="776365891">
                  <w:marLeft w:val="0"/>
                  <w:marRight w:val="0"/>
                  <w:marTop w:val="0"/>
                  <w:marBottom w:val="0"/>
                  <w:divBdr>
                    <w:top w:val="none" w:sz="0" w:space="0" w:color="auto"/>
                    <w:left w:val="none" w:sz="0" w:space="0" w:color="auto"/>
                    <w:bottom w:val="none" w:sz="0" w:space="0" w:color="auto"/>
                    <w:right w:val="none" w:sz="0" w:space="0" w:color="auto"/>
                  </w:divBdr>
                </w:div>
                <w:div w:id="1057700277">
                  <w:marLeft w:val="0"/>
                  <w:marRight w:val="0"/>
                  <w:marTop w:val="0"/>
                  <w:marBottom w:val="0"/>
                  <w:divBdr>
                    <w:top w:val="none" w:sz="0" w:space="0" w:color="auto"/>
                    <w:left w:val="none" w:sz="0" w:space="0" w:color="auto"/>
                    <w:bottom w:val="none" w:sz="0" w:space="0" w:color="auto"/>
                    <w:right w:val="none" w:sz="0" w:space="0" w:color="auto"/>
                  </w:divBdr>
                </w:div>
                <w:div w:id="1642536244">
                  <w:marLeft w:val="0"/>
                  <w:marRight w:val="0"/>
                  <w:marTop w:val="0"/>
                  <w:marBottom w:val="0"/>
                  <w:divBdr>
                    <w:top w:val="none" w:sz="0" w:space="0" w:color="auto"/>
                    <w:left w:val="none" w:sz="0" w:space="0" w:color="auto"/>
                    <w:bottom w:val="none" w:sz="0" w:space="0" w:color="auto"/>
                    <w:right w:val="none" w:sz="0" w:space="0" w:color="auto"/>
                  </w:divBdr>
                </w:div>
                <w:div w:id="1702049750">
                  <w:marLeft w:val="0"/>
                  <w:marRight w:val="0"/>
                  <w:marTop w:val="0"/>
                  <w:marBottom w:val="0"/>
                  <w:divBdr>
                    <w:top w:val="none" w:sz="0" w:space="0" w:color="auto"/>
                    <w:left w:val="none" w:sz="0" w:space="0" w:color="auto"/>
                    <w:bottom w:val="none" w:sz="0" w:space="0" w:color="auto"/>
                    <w:right w:val="none" w:sz="0" w:space="0" w:color="auto"/>
                  </w:divBdr>
                </w:div>
                <w:div w:id="1841919576">
                  <w:marLeft w:val="0"/>
                  <w:marRight w:val="0"/>
                  <w:marTop w:val="0"/>
                  <w:marBottom w:val="0"/>
                  <w:divBdr>
                    <w:top w:val="none" w:sz="0" w:space="0" w:color="auto"/>
                    <w:left w:val="none" w:sz="0" w:space="0" w:color="auto"/>
                    <w:bottom w:val="none" w:sz="0" w:space="0" w:color="auto"/>
                    <w:right w:val="none" w:sz="0" w:space="0" w:color="auto"/>
                  </w:divBdr>
                </w:div>
                <w:div w:id="1952930747">
                  <w:marLeft w:val="0"/>
                  <w:marRight w:val="0"/>
                  <w:marTop w:val="0"/>
                  <w:marBottom w:val="0"/>
                  <w:divBdr>
                    <w:top w:val="none" w:sz="0" w:space="0" w:color="auto"/>
                    <w:left w:val="none" w:sz="0" w:space="0" w:color="auto"/>
                    <w:bottom w:val="none" w:sz="0" w:space="0" w:color="auto"/>
                    <w:right w:val="none" w:sz="0" w:space="0" w:color="auto"/>
                  </w:divBdr>
                </w:div>
                <w:div w:id="1996453550">
                  <w:marLeft w:val="0"/>
                  <w:marRight w:val="0"/>
                  <w:marTop w:val="0"/>
                  <w:marBottom w:val="0"/>
                  <w:divBdr>
                    <w:top w:val="none" w:sz="0" w:space="0" w:color="auto"/>
                    <w:left w:val="none" w:sz="0" w:space="0" w:color="auto"/>
                    <w:bottom w:val="none" w:sz="0" w:space="0" w:color="auto"/>
                    <w:right w:val="none" w:sz="0" w:space="0" w:color="auto"/>
                  </w:divBdr>
                </w:div>
                <w:div w:id="2095009098">
                  <w:marLeft w:val="0"/>
                  <w:marRight w:val="0"/>
                  <w:marTop w:val="0"/>
                  <w:marBottom w:val="0"/>
                  <w:divBdr>
                    <w:top w:val="none" w:sz="0" w:space="0" w:color="auto"/>
                    <w:left w:val="none" w:sz="0" w:space="0" w:color="auto"/>
                    <w:bottom w:val="none" w:sz="0" w:space="0" w:color="auto"/>
                    <w:right w:val="none" w:sz="0" w:space="0" w:color="auto"/>
                  </w:divBdr>
                </w:div>
                <w:div w:id="21176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32738">
      <w:bodyDiv w:val="1"/>
      <w:marLeft w:val="0"/>
      <w:marRight w:val="0"/>
      <w:marTop w:val="0"/>
      <w:marBottom w:val="0"/>
      <w:divBdr>
        <w:top w:val="none" w:sz="0" w:space="0" w:color="auto"/>
        <w:left w:val="none" w:sz="0" w:space="0" w:color="auto"/>
        <w:bottom w:val="none" w:sz="0" w:space="0" w:color="auto"/>
        <w:right w:val="none" w:sz="0" w:space="0" w:color="auto"/>
      </w:divBdr>
    </w:div>
    <w:div w:id="1213494228">
      <w:bodyDiv w:val="1"/>
      <w:marLeft w:val="0"/>
      <w:marRight w:val="0"/>
      <w:marTop w:val="0"/>
      <w:marBottom w:val="0"/>
      <w:divBdr>
        <w:top w:val="none" w:sz="0" w:space="0" w:color="auto"/>
        <w:left w:val="none" w:sz="0" w:space="0" w:color="auto"/>
        <w:bottom w:val="none" w:sz="0" w:space="0" w:color="auto"/>
        <w:right w:val="none" w:sz="0" w:space="0" w:color="auto"/>
      </w:divBdr>
    </w:div>
    <w:div w:id="1221093666">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239051424">
      <w:bodyDiv w:val="1"/>
      <w:marLeft w:val="0"/>
      <w:marRight w:val="0"/>
      <w:marTop w:val="0"/>
      <w:marBottom w:val="0"/>
      <w:divBdr>
        <w:top w:val="none" w:sz="0" w:space="0" w:color="auto"/>
        <w:left w:val="none" w:sz="0" w:space="0" w:color="auto"/>
        <w:bottom w:val="none" w:sz="0" w:space="0" w:color="auto"/>
        <w:right w:val="none" w:sz="0" w:space="0" w:color="auto"/>
      </w:divBdr>
      <w:divsChild>
        <w:div w:id="140119604">
          <w:marLeft w:val="0"/>
          <w:marRight w:val="0"/>
          <w:marTop w:val="0"/>
          <w:marBottom w:val="0"/>
          <w:divBdr>
            <w:top w:val="none" w:sz="0" w:space="0" w:color="auto"/>
            <w:left w:val="none" w:sz="0" w:space="0" w:color="auto"/>
            <w:bottom w:val="none" w:sz="0" w:space="0" w:color="auto"/>
            <w:right w:val="none" w:sz="0" w:space="0" w:color="auto"/>
          </w:divBdr>
        </w:div>
        <w:div w:id="413402574">
          <w:marLeft w:val="0"/>
          <w:marRight w:val="0"/>
          <w:marTop w:val="0"/>
          <w:marBottom w:val="0"/>
          <w:divBdr>
            <w:top w:val="none" w:sz="0" w:space="0" w:color="auto"/>
            <w:left w:val="none" w:sz="0" w:space="0" w:color="auto"/>
            <w:bottom w:val="none" w:sz="0" w:space="0" w:color="auto"/>
            <w:right w:val="none" w:sz="0" w:space="0" w:color="auto"/>
          </w:divBdr>
        </w:div>
        <w:div w:id="989286122">
          <w:marLeft w:val="0"/>
          <w:marRight w:val="0"/>
          <w:marTop w:val="0"/>
          <w:marBottom w:val="0"/>
          <w:divBdr>
            <w:top w:val="none" w:sz="0" w:space="0" w:color="auto"/>
            <w:left w:val="none" w:sz="0" w:space="0" w:color="auto"/>
            <w:bottom w:val="none" w:sz="0" w:space="0" w:color="auto"/>
            <w:right w:val="none" w:sz="0" w:space="0" w:color="auto"/>
          </w:divBdr>
        </w:div>
        <w:div w:id="1468086962">
          <w:marLeft w:val="0"/>
          <w:marRight w:val="0"/>
          <w:marTop w:val="0"/>
          <w:marBottom w:val="0"/>
          <w:divBdr>
            <w:top w:val="none" w:sz="0" w:space="0" w:color="auto"/>
            <w:left w:val="none" w:sz="0" w:space="0" w:color="auto"/>
            <w:bottom w:val="none" w:sz="0" w:space="0" w:color="auto"/>
            <w:right w:val="none" w:sz="0" w:space="0" w:color="auto"/>
          </w:divBdr>
        </w:div>
        <w:div w:id="1537810923">
          <w:marLeft w:val="0"/>
          <w:marRight w:val="0"/>
          <w:marTop w:val="0"/>
          <w:marBottom w:val="0"/>
          <w:divBdr>
            <w:top w:val="none" w:sz="0" w:space="0" w:color="auto"/>
            <w:left w:val="none" w:sz="0" w:space="0" w:color="auto"/>
            <w:bottom w:val="none" w:sz="0" w:space="0" w:color="auto"/>
            <w:right w:val="none" w:sz="0" w:space="0" w:color="auto"/>
          </w:divBdr>
        </w:div>
        <w:div w:id="1680885384">
          <w:marLeft w:val="0"/>
          <w:marRight w:val="0"/>
          <w:marTop w:val="0"/>
          <w:marBottom w:val="0"/>
          <w:divBdr>
            <w:top w:val="none" w:sz="0" w:space="0" w:color="auto"/>
            <w:left w:val="none" w:sz="0" w:space="0" w:color="auto"/>
            <w:bottom w:val="none" w:sz="0" w:space="0" w:color="auto"/>
            <w:right w:val="none" w:sz="0" w:space="0" w:color="auto"/>
          </w:divBdr>
        </w:div>
        <w:div w:id="1686395047">
          <w:marLeft w:val="0"/>
          <w:marRight w:val="0"/>
          <w:marTop w:val="0"/>
          <w:marBottom w:val="0"/>
          <w:divBdr>
            <w:top w:val="none" w:sz="0" w:space="0" w:color="auto"/>
            <w:left w:val="none" w:sz="0" w:space="0" w:color="auto"/>
            <w:bottom w:val="none" w:sz="0" w:space="0" w:color="auto"/>
            <w:right w:val="none" w:sz="0" w:space="0" w:color="auto"/>
          </w:divBdr>
        </w:div>
        <w:div w:id="1977879091">
          <w:marLeft w:val="0"/>
          <w:marRight w:val="0"/>
          <w:marTop w:val="0"/>
          <w:marBottom w:val="0"/>
          <w:divBdr>
            <w:top w:val="none" w:sz="0" w:space="0" w:color="auto"/>
            <w:left w:val="none" w:sz="0" w:space="0" w:color="auto"/>
            <w:bottom w:val="none" w:sz="0" w:space="0" w:color="auto"/>
            <w:right w:val="none" w:sz="0" w:space="0" w:color="auto"/>
          </w:divBdr>
        </w:div>
        <w:div w:id="2004695284">
          <w:marLeft w:val="0"/>
          <w:marRight w:val="0"/>
          <w:marTop w:val="0"/>
          <w:marBottom w:val="0"/>
          <w:divBdr>
            <w:top w:val="none" w:sz="0" w:space="0" w:color="auto"/>
            <w:left w:val="none" w:sz="0" w:space="0" w:color="auto"/>
            <w:bottom w:val="none" w:sz="0" w:space="0" w:color="auto"/>
            <w:right w:val="none" w:sz="0" w:space="0" w:color="auto"/>
          </w:divBdr>
        </w:div>
        <w:div w:id="2029672003">
          <w:marLeft w:val="0"/>
          <w:marRight w:val="0"/>
          <w:marTop w:val="0"/>
          <w:marBottom w:val="0"/>
          <w:divBdr>
            <w:top w:val="none" w:sz="0" w:space="0" w:color="auto"/>
            <w:left w:val="none" w:sz="0" w:space="0" w:color="auto"/>
            <w:bottom w:val="none" w:sz="0" w:space="0" w:color="auto"/>
            <w:right w:val="none" w:sz="0" w:space="0" w:color="auto"/>
          </w:divBdr>
        </w:div>
      </w:divsChild>
    </w:div>
    <w:div w:id="1280916797">
      <w:bodyDiv w:val="1"/>
      <w:marLeft w:val="0"/>
      <w:marRight w:val="0"/>
      <w:marTop w:val="0"/>
      <w:marBottom w:val="0"/>
      <w:divBdr>
        <w:top w:val="none" w:sz="0" w:space="0" w:color="auto"/>
        <w:left w:val="none" w:sz="0" w:space="0" w:color="auto"/>
        <w:bottom w:val="none" w:sz="0" w:space="0" w:color="auto"/>
        <w:right w:val="none" w:sz="0" w:space="0" w:color="auto"/>
      </w:divBdr>
    </w:div>
    <w:div w:id="1285621074">
      <w:bodyDiv w:val="1"/>
      <w:marLeft w:val="0"/>
      <w:marRight w:val="0"/>
      <w:marTop w:val="0"/>
      <w:marBottom w:val="0"/>
      <w:divBdr>
        <w:top w:val="none" w:sz="0" w:space="0" w:color="auto"/>
        <w:left w:val="none" w:sz="0" w:space="0" w:color="auto"/>
        <w:bottom w:val="none" w:sz="0" w:space="0" w:color="auto"/>
        <w:right w:val="none" w:sz="0" w:space="0" w:color="auto"/>
      </w:divBdr>
      <w:divsChild>
        <w:div w:id="1759866860">
          <w:marLeft w:val="0"/>
          <w:marRight w:val="0"/>
          <w:marTop w:val="0"/>
          <w:marBottom w:val="0"/>
          <w:divBdr>
            <w:top w:val="none" w:sz="0" w:space="0" w:color="auto"/>
            <w:left w:val="none" w:sz="0" w:space="0" w:color="auto"/>
            <w:bottom w:val="none" w:sz="0" w:space="0" w:color="auto"/>
            <w:right w:val="none" w:sz="0" w:space="0" w:color="auto"/>
          </w:divBdr>
          <w:divsChild>
            <w:div w:id="1432971808">
              <w:marLeft w:val="0"/>
              <w:marRight w:val="0"/>
              <w:marTop w:val="0"/>
              <w:marBottom w:val="0"/>
              <w:divBdr>
                <w:top w:val="none" w:sz="0" w:space="0" w:color="auto"/>
                <w:left w:val="none" w:sz="0" w:space="0" w:color="auto"/>
                <w:bottom w:val="none" w:sz="0" w:space="0" w:color="auto"/>
                <w:right w:val="none" w:sz="0" w:space="0" w:color="auto"/>
              </w:divBdr>
              <w:divsChild>
                <w:div w:id="558517897">
                  <w:marLeft w:val="0"/>
                  <w:marRight w:val="0"/>
                  <w:marTop w:val="0"/>
                  <w:marBottom w:val="0"/>
                  <w:divBdr>
                    <w:top w:val="none" w:sz="0" w:space="0" w:color="auto"/>
                    <w:left w:val="none" w:sz="0" w:space="0" w:color="auto"/>
                    <w:bottom w:val="none" w:sz="0" w:space="0" w:color="auto"/>
                    <w:right w:val="none" w:sz="0" w:space="0" w:color="auto"/>
                  </w:divBdr>
                </w:div>
                <w:div w:id="603340091">
                  <w:marLeft w:val="0"/>
                  <w:marRight w:val="0"/>
                  <w:marTop w:val="0"/>
                  <w:marBottom w:val="0"/>
                  <w:divBdr>
                    <w:top w:val="none" w:sz="0" w:space="0" w:color="auto"/>
                    <w:left w:val="none" w:sz="0" w:space="0" w:color="auto"/>
                    <w:bottom w:val="none" w:sz="0" w:space="0" w:color="auto"/>
                    <w:right w:val="none" w:sz="0" w:space="0" w:color="auto"/>
                  </w:divBdr>
                </w:div>
                <w:div w:id="823862328">
                  <w:marLeft w:val="0"/>
                  <w:marRight w:val="0"/>
                  <w:marTop w:val="0"/>
                  <w:marBottom w:val="0"/>
                  <w:divBdr>
                    <w:top w:val="none" w:sz="0" w:space="0" w:color="auto"/>
                    <w:left w:val="none" w:sz="0" w:space="0" w:color="auto"/>
                    <w:bottom w:val="none" w:sz="0" w:space="0" w:color="auto"/>
                    <w:right w:val="none" w:sz="0" w:space="0" w:color="auto"/>
                  </w:divBdr>
                </w:div>
                <w:div w:id="1159692189">
                  <w:marLeft w:val="0"/>
                  <w:marRight w:val="0"/>
                  <w:marTop w:val="0"/>
                  <w:marBottom w:val="0"/>
                  <w:divBdr>
                    <w:top w:val="none" w:sz="0" w:space="0" w:color="auto"/>
                    <w:left w:val="none" w:sz="0" w:space="0" w:color="auto"/>
                    <w:bottom w:val="none" w:sz="0" w:space="0" w:color="auto"/>
                    <w:right w:val="none" w:sz="0" w:space="0" w:color="auto"/>
                  </w:divBdr>
                </w:div>
                <w:div w:id="1357346814">
                  <w:marLeft w:val="0"/>
                  <w:marRight w:val="0"/>
                  <w:marTop w:val="0"/>
                  <w:marBottom w:val="0"/>
                  <w:divBdr>
                    <w:top w:val="none" w:sz="0" w:space="0" w:color="auto"/>
                    <w:left w:val="none" w:sz="0" w:space="0" w:color="auto"/>
                    <w:bottom w:val="none" w:sz="0" w:space="0" w:color="auto"/>
                    <w:right w:val="none" w:sz="0" w:space="0" w:color="auto"/>
                  </w:divBdr>
                </w:div>
                <w:div w:id="13602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26593">
      <w:bodyDiv w:val="1"/>
      <w:marLeft w:val="0"/>
      <w:marRight w:val="0"/>
      <w:marTop w:val="0"/>
      <w:marBottom w:val="0"/>
      <w:divBdr>
        <w:top w:val="none" w:sz="0" w:space="0" w:color="auto"/>
        <w:left w:val="none" w:sz="0" w:space="0" w:color="auto"/>
        <w:bottom w:val="none" w:sz="0" w:space="0" w:color="auto"/>
        <w:right w:val="none" w:sz="0" w:space="0" w:color="auto"/>
      </w:divBdr>
      <w:divsChild>
        <w:div w:id="13385976">
          <w:marLeft w:val="274"/>
          <w:marRight w:val="0"/>
          <w:marTop w:val="0"/>
          <w:marBottom w:val="0"/>
          <w:divBdr>
            <w:top w:val="none" w:sz="0" w:space="0" w:color="auto"/>
            <w:left w:val="none" w:sz="0" w:space="0" w:color="auto"/>
            <w:bottom w:val="none" w:sz="0" w:space="0" w:color="auto"/>
            <w:right w:val="none" w:sz="0" w:space="0" w:color="auto"/>
          </w:divBdr>
        </w:div>
        <w:div w:id="208958568">
          <w:marLeft w:val="274"/>
          <w:marRight w:val="0"/>
          <w:marTop w:val="0"/>
          <w:marBottom w:val="0"/>
          <w:divBdr>
            <w:top w:val="none" w:sz="0" w:space="0" w:color="auto"/>
            <w:left w:val="none" w:sz="0" w:space="0" w:color="auto"/>
            <w:bottom w:val="none" w:sz="0" w:space="0" w:color="auto"/>
            <w:right w:val="none" w:sz="0" w:space="0" w:color="auto"/>
          </w:divBdr>
        </w:div>
        <w:div w:id="236594845">
          <w:marLeft w:val="274"/>
          <w:marRight w:val="0"/>
          <w:marTop w:val="0"/>
          <w:marBottom w:val="0"/>
          <w:divBdr>
            <w:top w:val="none" w:sz="0" w:space="0" w:color="auto"/>
            <w:left w:val="none" w:sz="0" w:space="0" w:color="auto"/>
            <w:bottom w:val="none" w:sz="0" w:space="0" w:color="auto"/>
            <w:right w:val="none" w:sz="0" w:space="0" w:color="auto"/>
          </w:divBdr>
        </w:div>
        <w:div w:id="315035937">
          <w:marLeft w:val="274"/>
          <w:marRight w:val="0"/>
          <w:marTop w:val="0"/>
          <w:marBottom w:val="0"/>
          <w:divBdr>
            <w:top w:val="none" w:sz="0" w:space="0" w:color="auto"/>
            <w:left w:val="none" w:sz="0" w:space="0" w:color="auto"/>
            <w:bottom w:val="none" w:sz="0" w:space="0" w:color="auto"/>
            <w:right w:val="none" w:sz="0" w:space="0" w:color="auto"/>
          </w:divBdr>
        </w:div>
        <w:div w:id="359086279">
          <w:marLeft w:val="274"/>
          <w:marRight w:val="0"/>
          <w:marTop w:val="0"/>
          <w:marBottom w:val="0"/>
          <w:divBdr>
            <w:top w:val="none" w:sz="0" w:space="0" w:color="auto"/>
            <w:left w:val="none" w:sz="0" w:space="0" w:color="auto"/>
            <w:bottom w:val="none" w:sz="0" w:space="0" w:color="auto"/>
            <w:right w:val="none" w:sz="0" w:space="0" w:color="auto"/>
          </w:divBdr>
        </w:div>
        <w:div w:id="499783023">
          <w:marLeft w:val="274"/>
          <w:marRight w:val="0"/>
          <w:marTop w:val="0"/>
          <w:marBottom w:val="0"/>
          <w:divBdr>
            <w:top w:val="none" w:sz="0" w:space="0" w:color="auto"/>
            <w:left w:val="none" w:sz="0" w:space="0" w:color="auto"/>
            <w:bottom w:val="none" w:sz="0" w:space="0" w:color="auto"/>
            <w:right w:val="none" w:sz="0" w:space="0" w:color="auto"/>
          </w:divBdr>
        </w:div>
        <w:div w:id="586965239">
          <w:marLeft w:val="274"/>
          <w:marRight w:val="0"/>
          <w:marTop w:val="0"/>
          <w:marBottom w:val="0"/>
          <w:divBdr>
            <w:top w:val="none" w:sz="0" w:space="0" w:color="auto"/>
            <w:left w:val="none" w:sz="0" w:space="0" w:color="auto"/>
            <w:bottom w:val="none" w:sz="0" w:space="0" w:color="auto"/>
            <w:right w:val="none" w:sz="0" w:space="0" w:color="auto"/>
          </w:divBdr>
        </w:div>
        <w:div w:id="878981338">
          <w:marLeft w:val="274"/>
          <w:marRight w:val="0"/>
          <w:marTop w:val="0"/>
          <w:marBottom w:val="0"/>
          <w:divBdr>
            <w:top w:val="none" w:sz="0" w:space="0" w:color="auto"/>
            <w:left w:val="none" w:sz="0" w:space="0" w:color="auto"/>
            <w:bottom w:val="none" w:sz="0" w:space="0" w:color="auto"/>
            <w:right w:val="none" w:sz="0" w:space="0" w:color="auto"/>
          </w:divBdr>
        </w:div>
        <w:div w:id="1042361611">
          <w:marLeft w:val="274"/>
          <w:marRight w:val="0"/>
          <w:marTop w:val="0"/>
          <w:marBottom w:val="0"/>
          <w:divBdr>
            <w:top w:val="none" w:sz="0" w:space="0" w:color="auto"/>
            <w:left w:val="none" w:sz="0" w:space="0" w:color="auto"/>
            <w:bottom w:val="none" w:sz="0" w:space="0" w:color="auto"/>
            <w:right w:val="none" w:sz="0" w:space="0" w:color="auto"/>
          </w:divBdr>
        </w:div>
        <w:div w:id="1050106125">
          <w:marLeft w:val="274"/>
          <w:marRight w:val="0"/>
          <w:marTop w:val="0"/>
          <w:marBottom w:val="0"/>
          <w:divBdr>
            <w:top w:val="none" w:sz="0" w:space="0" w:color="auto"/>
            <w:left w:val="none" w:sz="0" w:space="0" w:color="auto"/>
            <w:bottom w:val="none" w:sz="0" w:space="0" w:color="auto"/>
            <w:right w:val="none" w:sz="0" w:space="0" w:color="auto"/>
          </w:divBdr>
        </w:div>
        <w:div w:id="1219627118">
          <w:marLeft w:val="274"/>
          <w:marRight w:val="0"/>
          <w:marTop w:val="0"/>
          <w:marBottom w:val="0"/>
          <w:divBdr>
            <w:top w:val="none" w:sz="0" w:space="0" w:color="auto"/>
            <w:left w:val="none" w:sz="0" w:space="0" w:color="auto"/>
            <w:bottom w:val="none" w:sz="0" w:space="0" w:color="auto"/>
            <w:right w:val="none" w:sz="0" w:space="0" w:color="auto"/>
          </w:divBdr>
        </w:div>
        <w:div w:id="1390346377">
          <w:marLeft w:val="274"/>
          <w:marRight w:val="0"/>
          <w:marTop w:val="0"/>
          <w:marBottom w:val="0"/>
          <w:divBdr>
            <w:top w:val="none" w:sz="0" w:space="0" w:color="auto"/>
            <w:left w:val="none" w:sz="0" w:space="0" w:color="auto"/>
            <w:bottom w:val="none" w:sz="0" w:space="0" w:color="auto"/>
            <w:right w:val="none" w:sz="0" w:space="0" w:color="auto"/>
          </w:divBdr>
        </w:div>
        <w:div w:id="1447654110">
          <w:marLeft w:val="274"/>
          <w:marRight w:val="0"/>
          <w:marTop w:val="0"/>
          <w:marBottom w:val="0"/>
          <w:divBdr>
            <w:top w:val="none" w:sz="0" w:space="0" w:color="auto"/>
            <w:left w:val="none" w:sz="0" w:space="0" w:color="auto"/>
            <w:bottom w:val="none" w:sz="0" w:space="0" w:color="auto"/>
            <w:right w:val="none" w:sz="0" w:space="0" w:color="auto"/>
          </w:divBdr>
        </w:div>
        <w:div w:id="1470198015">
          <w:marLeft w:val="274"/>
          <w:marRight w:val="0"/>
          <w:marTop w:val="0"/>
          <w:marBottom w:val="0"/>
          <w:divBdr>
            <w:top w:val="none" w:sz="0" w:space="0" w:color="auto"/>
            <w:left w:val="none" w:sz="0" w:space="0" w:color="auto"/>
            <w:bottom w:val="none" w:sz="0" w:space="0" w:color="auto"/>
            <w:right w:val="none" w:sz="0" w:space="0" w:color="auto"/>
          </w:divBdr>
        </w:div>
        <w:div w:id="1522552911">
          <w:marLeft w:val="274"/>
          <w:marRight w:val="0"/>
          <w:marTop w:val="0"/>
          <w:marBottom w:val="0"/>
          <w:divBdr>
            <w:top w:val="none" w:sz="0" w:space="0" w:color="auto"/>
            <w:left w:val="none" w:sz="0" w:space="0" w:color="auto"/>
            <w:bottom w:val="none" w:sz="0" w:space="0" w:color="auto"/>
            <w:right w:val="none" w:sz="0" w:space="0" w:color="auto"/>
          </w:divBdr>
        </w:div>
        <w:div w:id="1801603610">
          <w:marLeft w:val="274"/>
          <w:marRight w:val="0"/>
          <w:marTop w:val="0"/>
          <w:marBottom w:val="0"/>
          <w:divBdr>
            <w:top w:val="none" w:sz="0" w:space="0" w:color="auto"/>
            <w:left w:val="none" w:sz="0" w:space="0" w:color="auto"/>
            <w:bottom w:val="none" w:sz="0" w:space="0" w:color="auto"/>
            <w:right w:val="none" w:sz="0" w:space="0" w:color="auto"/>
          </w:divBdr>
        </w:div>
        <w:div w:id="1947275746">
          <w:marLeft w:val="274"/>
          <w:marRight w:val="0"/>
          <w:marTop w:val="0"/>
          <w:marBottom w:val="0"/>
          <w:divBdr>
            <w:top w:val="none" w:sz="0" w:space="0" w:color="auto"/>
            <w:left w:val="none" w:sz="0" w:space="0" w:color="auto"/>
            <w:bottom w:val="none" w:sz="0" w:space="0" w:color="auto"/>
            <w:right w:val="none" w:sz="0" w:space="0" w:color="auto"/>
          </w:divBdr>
        </w:div>
        <w:div w:id="1989817831">
          <w:marLeft w:val="274"/>
          <w:marRight w:val="0"/>
          <w:marTop w:val="0"/>
          <w:marBottom w:val="0"/>
          <w:divBdr>
            <w:top w:val="none" w:sz="0" w:space="0" w:color="auto"/>
            <w:left w:val="none" w:sz="0" w:space="0" w:color="auto"/>
            <w:bottom w:val="none" w:sz="0" w:space="0" w:color="auto"/>
            <w:right w:val="none" w:sz="0" w:space="0" w:color="auto"/>
          </w:divBdr>
        </w:div>
        <w:div w:id="2002003823">
          <w:marLeft w:val="274"/>
          <w:marRight w:val="0"/>
          <w:marTop w:val="0"/>
          <w:marBottom w:val="0"/>
          <w:divBdr>
            <w:top w:val="none" w:sz="0" w:space="0" w:color="auto"/>
            <w:left w:val="none" w:sz="0" w:space="0" w:color="auto"/>
            <w:bottom w:val="none" w:sz="0" w:space="0" w:color="auto"/>
            <w:right w:val="none" w:sz="0" w:space="0" w:color="auto"/>
          </w:divBdr>
        </w:div>
        <w:div w:id="2016494806">
          <w:marLeft w:val="274"/>
          <w:marRight w:val="0"/>
          <w:marTop w:val="0"/>
          <w:marBottom w:val="0"/>
          <w:divBdr>
            <w:top w:val="none" w:sz="0" w:space="0" w:color="auto"/>
            <w:left w:val="none" w:sz="0" w:space="0" w:color="auto"/>
            <w:bottom w:val="none" w:sz="0" w:space="0" w:color="auto"/>
            <w:right w:val="none" w:sz="0" w:space="0" w:color="auto"/>
          </w:divBdr>
        </w:div>
        <w:div w:id="2058819685">
          <w:marLeft w:val="274"/>
          <w:marRight w:val="0"/>
          <w:marTop w:val="0"/>
          <w:marBottom w:val="0"/>
          <w:divBdr>
            <w:top w:val="none" w:sz="0" w:space="0" w:color="auto"/>
            <w:left w:val="none" w:sz="0" w:space="0" w:color="auto"/>
            <w:bottom w:val="none" w:sz="0" w:space="0" w:color="auto"/>
            <w:right w:val="none" w:sz="0" w:space="0" w:color="auto"/>
          </w:divBdr>
        </w:div>
      </w:divsChild>
    </w:div>
    <w:div w:id="1300113537">
      <w:bodyDiv w:val="1"/>
      <w:marLeft w:val="0"/>
      <w:marRight w:val="0"/>
      <w:marTop w:val="0"/>
      <w:marBottom w:val="0"/>
      <w:divBdr>
        <w:top w:val="none" w:sz="0" w:space="0" w:color="auto"/>
        <w:left w:val="none" w:sz="0" w:space="0" w:color="auto"/>
        <w:bottom w:val="none" w:sz="0" w:space="0" w:color="auto"/>
        <w:right w:val="none" w:sz="0" w:space="0" w:color="auto"/>
      </w:divBdr>
    </w:div>
    <w:div w:id="1303465463">
      <w:bodyDiv w:val="1"/>
      <w:marLeft w:val="0"/>
      <w:marRight w:val="0"/>
      <w:marTop w:val="0"/>
      <w:marBottom w:val="0"/>
      <w:divBdr>
        <w:top w:val="none" w:sz="0" w:space="0" w:color="auto"/>
        <w:left w:val="none" w:sz="0" w:space="0" w:color="auto"/>
        <w:bottom w:val="none" w:sz="0" w:space="0" w:color="auto"/>
        <w:right w:val="none" w:sz="0" w:space="0" w:color="auto"/>
      </w:divBdr>
    </w:div>
    <w:div w:id="1318260941">
      <w:bodyDiv w:val="1"/>
      <w:marLeft w:val="0"/>
      <w:marRight w:val="0"/>
      <w:marTop w:val="0"/>
      <w:marBottom w:val="0"/>
      <w:divBdr>
        <w:top w:val="none" w:sz="0" w:space="0" w:color="auto"/>
        <w:left w:val="none" w:sz="0" w:space="0" w:color="auto"/>
        <w:bottom w:val="none" w:sz="0" w:space="0" w:color="auto"/>
        <w:right w:val="none" w:sz="0" w:space="0" w:color="auto"/>
      </w:divBdr>
    </w:div>
    <w:div w:id="1320159103">
      <w:bodyDiv w:val="1"/>
      <w:marLeft w:val="0"/>
      <w:marRight w:val="0"/>
      <w:marTop w:val="0"/>
      <w:marBottom w:val="0"/>
      <w:divBdr>
        <w:top w:val="none" w:sz="0" w:space="0" w:color="auto"/>
        <w:left w:val="none" w:sz="0" w:space="0" w:color="auto"/>
        <w:bottom w:val="none" w:sz="0" w:space="0" w:color="auto"/>
        <w:right w:val="none" w:sz="0" w:space="0" w:color="auto"/>
      </w:divBdr>
    </w:div>
    <w:div w:id="1333100333">
      <w:bodyDiv w:val="1"/>
      <w:marLeft w:val="0"/>
      <w:marRight w:val="0"/>
      <w:marTop w:val="0"/>
      <w:marBottom w:val="0"/>
      <w:divBdr>
        <w:top w:val="none" w:sz="0" w:space="0" w:color="auto"/>
        <w:left w:val="none" w:sz="0" w:space="0" w:color="auto"/>
        <w:bottom w:val="none" w:sz="0" w:space="0" w:color="auto"/>
        <w:right w:val="none" w:sz="0" w:space="0" w:color="auto"/>
      </w:divBdr>
    </w:div>
    <w:div w:id="1334797760">
      <w:bodyDiv w:val="1"/>
      <w:marLeft w:val="0"/>
      <w:marRight w:val="0"/>
      <w:marTop w:val="0"/>
      <w:marBottom w:val="0"/>
      <w:divBdr>
        <w:top w:val="none" w:sz="0" w:space="0" w:color="auto"/>
        <w:left w:val="none" w:sz="0" w:space="0" w:color="auto"/>
        <w:bottom w:val="none" w:sz="0" w:space="0" w:color="auto"/>
        <w:right w:val="none" w:sz="0" w:space="0" w:color="auto"/>
      </w:divBdr>
    </w:div>
    <w:div w:id="1338117863">
      <w:bodyDiv w:val="1"/>
      <w:marLeft w:val="0"/>
      <w:marRight w:val="0"/>
      <w:marTop w:val="0"/>
      <w:marBottom w:val="0"/>
      <w:divBdr>
        <w:top w:val="none" w:sz="0" w:space="0" w:color="auto"/>
        <w:left w:val="none" w:sz="0" w:space="0" w:color="auto"/>
        <w:bottom w:val="none" w:sz="0" w:space="0" w:color="auto"/>
        <w:right w:val="none" w:sz="0" w:space="0" w:color="auto"/>
      </w:divBdr>
    </w:div>
    <w:div w:id="1340541225">
      <w:bodyDiv w:val="1"/>
      <w:marLeft w:val="0"/>
      <w:marRight w:val="0"/>
      <w:marTop w:val="0"/>
      <w:marBottom w:val="0"/>
      <w:divBdr>
        <w:top w:val="none" w:sz="0" w:space="0" w:color="auto"/>
        <w:left w:val="none" w:sz="0" w:space="0" w:color="auto"/>
        <w:bottom w:val="none" w:sz="0" w:space="0" w:color="auto"/>
        <w:right w:val="none" w:sz="0" w:space="0" w:color="auto"/>
      </w:divBdr>
    </w:div>
    <w:div w:id="1342925939">
      <w:bodyDiv w:val="1"/>
      <w:marLeft w:val="0"/>
      <w:marRight w:val="0"/>
      <w:marTop w:val="0"/>
      <w:marBottom w:val="0"/>
      <w:divBdr>
        <w:top w:val="none" w:sz="0" w:space="0" w:color="auto"/>
        <w:left w:val="none" w:sz="0" w:space="0" w:color="auto"/>
        <w:bottom w:val="none" w:sz="0" w:space="0" w:color="auto"/>
        <w:right w:val="none" w:sz="0" w:space="0" w:color="auto"/>
      </w:divBdr>
    </w:div>
    <w:div w:id="1344942653">
      <w:bodyDiv w:val="1"/>
      <w:marLeft w:val="0"/>
      <w:marRight w:val="0"/>
      <w:marTop w:val="0"/>
      <w:marBottom w:val="0"/>
      <w:divBdr>
        <w:top w:val="none" w:sz="0" w:space="0" w:color="auto"/>
        <w:left w:val="none" w:sz="0" w:space="0" w:color="auto"/>
        <w:bottom w:val="none" w:sz="0" w:space="0" w:color="auto"/>
        <w:right w:val="none" w:sz="0" w:space="0" w:color="auto"/>
      </w:divBdr>
    </w:div>
    <w:div w:id="1361275105">
      <w:bodyDiv w:val="1"/>
      <w:marLeft w:val="0"/>
      <w:marRight w:val="0"/>
      <w:marTop w:val="0"/>
      <w:marBottom w:val="0"/>
      <w:divBdr>
        <w:top w:val="none" w:sz="0" w:space="0" w:color="auto"/>
        <w:left w:val="none" w:sz="0" w:space="0" w:color="auto"/>
        <w:bottom w:val="none" w:sz="0" w:space="0" w:color="auto"/>
        <w:right w:val="none" w:sz="0" w:space="0" w:color="auto"/>
      </w:divBdr>
    </w:div>
    <w:div w:id="1367557305">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85831667">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413507083">
      <w:bodyDiv w:val="1"/>
      <w:marLeft w:val="0"/>
      <w:marRight w:val="0"/>
      <w:marTop w:val="0"/>
      <w:marBottom w:val="0"/>
      <w:divBdr>
        <w:top w:val="none" w:sz="0" w:space="0" w:color="auto"/>
        <w:left w:val="none" w:sz="0" w:space="0" w:color="auto"/>
        <w:bottom w:val="none" w:sz="0" w:space="0" w:color="auto"/>
        <w:right w:val="none" w:sz="0" w:space="0" w:color="auto"/>
      </w:divBdr>
      <w:divsChild>
        <w:div w:id="899750839">
          <w:marLeft w:val="0"/>
          <w:marRight w:val="0"/>
          <w:marTop w:val="0"/>
          <w:marBottom w:val="0"/>
          <w:divBdr>
            <w:top w:val="none" w:sz="0" w:space="0" w:color="auto"/>
            <w:left w:val="none" w:sz="0" w:space="0" w:color="auto"/>
            <w:bottom w:val="none" w:sz="0" w:space="0" w:color="auto"/>
            <w:right w:val="none" w:sz="0" w:space="0" w:color="auto"/>
          </w:divBdr>
        </w:div>
      </w:divsChild>
    </w:div>
    <w:div w:id="1414929570">
      <w:bodyDiv w:val="1"/>
      <w:marLeft w:val="0"/>
      <w:marRight w:val="0"/>
      <w:marTop w:val="0"/>
      <w:marBottom w:val="0"/>
      <w:divBdr>
        <w:top w:val="none" w:sz="0" w:space="0" w:color="auto"/>
        <w:left w:val="none" w:sz="0" w:space="0" w:color="auto"/>
        <w:bottom w:val="none" w:sz="0" w:space="0" w:color="auto"/>
        <w:right w:val="none" w:sz="0" w:space="0" w:color="auto"/>
      </w:divBdr>
    </w:div>
    <w:div w:id="1416904562">
      <w:bodyDiv w:val="1"/>
      <w:marLeft w:val="0"/>
      <w:marRight w:val="0"/>
      <w:marTop w:val="0"/>
      <w:marBottom w:val="0"/>
      <w:divBdr>
        <w:top w:val="none" w:sz="0" w:space="0" w:color="auto"/>
        <w:left w:val="none" w:sz="0" w:space="0" w:color="auto"/>
        <w:bottom w:val="none" w:sz="0" w:space="0" w:color="auto"/>
        <w:right w:val="none" w:sz="0" w:space="0" w:color="auto"/>
      </w:divBdr>
    </w:div>
    <w:div w:id="1440639106">
      <w:bodyDiv w:val="1"/>
      <w:marLeft w:val="0"/>
      <w:marRight w:val="0"/>
      <w:marTop w:val="0"/>
      <w:marBottom w:val="0"/>
      <w:divBdr>
        <w:top w:val="none" w:sz="0" w:space="0" w:color="auto"/>
        <w:left w:val="none" w:sz="0" w:space="0" w:color="auto"/>
        <w:bottom w:val="none" w:sz="0" w:space="0" w:color="auto"/>
        <w:right w:val="none" w:sz="0" w:space="0" w:color="auto"/>
      </w:divBdr>
      <w:divsChild>
        <w:div w:id="375084824">
          <w:marLeft w:val="0"/>
          <w:marRight w:val="0"/>
          <w:marTop w:val="0"/>
          <w:marBottom w:val="0"/>
          <w:divBdr>
            <w:top w:val="none" w:sz="0" w:space="0" w:color="auto"/>
            <w:left w:val="none" w:sz="0" w:space="0" w:color="auto"/>
            <w:bottom w:val="none" w:sz="0" w:space="0" w:color="auto"/>
            <w:right w:val="none" w:sz="0" w:space="0" w:color="auto"/>
          </w:divBdr>
        </w:div>
      </w:divsChild>
    </w:div>
    <w:div w:id="1442066011">
      <w:bodyDiv w:val="1"/>
      <w:marLeft w:val="0"/>
      <w:marRight w:val="0"/>
      <w:marTop w:val="0"/>
      <w:marBottom w:val="0"/>
      <w:divBdr>
        <w:top w:val="none" w:sz="0" w:space="0" w:color="auto"/>
        <w:left w:val="none" w:sz="0" w:space="0" w:color="auto"/>
        <w:bottom w:val="none" w:sz="0" w:space="0" w:color="auto"/>
        <w:right w:val="none" w:sz="0" w:space="0" w:color="auto"/>
      </w:divBdr>
    </w:div>
    <w:div w:id="1451588764">
      <w:bodyDiv w:val="1"/>
      <w:marLeft w:val="0"/>
      <w:marRight w:val="0"/>
      <w:marTop w:val="0"/>
      <w:marBottom w:val="0"/>
      <w:divBdr>
        <w:top w:val="none" w:sz="0" w:space="0" w:color="auto"/>
        <w:left w:val="none" w:sz="0" w:space="0" w:color="auto"/>
        <w:bottom w:val="none" w:sz="0" w:space="0" w:color="auto"/>
        <w:right w:val="none" w:sz="0" w:space="0" w:color="auto"/>
      </w:divBdr>
      <w:divsChild>
        <w:div w:id="1301617608">
          <w:marLeft w:val="0"/>
          <w:marRight w:val="0"/>
          <w:marTop w:val="0"/>
          <w:marBottom w:val="0"/>
          <w:divBdr>
            <w:top w:val="none" w:sz="0" w:space="0" w:color="auto"/>
            <w:left w:val="none" w:sz="0" w:space="0" w:color="auto"/>
            <w:bottom w:val="none" w:sz="0" w:space="0" w:color="auto"/>
            <w:right w:val="none" w:sz="0" w:space="0" w:color="auto"/>
          </w:divBdr>
        </w:div>
      </w:divsChild>
    </w:div>
    <w:div w:id="1476488321">
      <w:bodyDiv w:val="1"/>
      <w:marLeft w:val="0"/>
      <w:marRight w:val="0"/>
      <w:marTop w:val="0"/>
      <w:marBottom w:val="0"/>
      <w:divBdr>
        <w:top w:val="none" w:sz="0" w:space="0" w:color="auto"/>
        <w:left w:val="none" w:sz="0" w:space="0" w:color="auto"/>
        <w:bottom w:val="none" w:sz="0" w:space="0" w:color="auto"/>
        <w:right w:val="none" w:sz="0" w:space="0" w:color="auto"/>
      </w:divBdr>
    </w:div>
    <w:div w:id="1478231128">
      <w:bodyDiv w:val="1"/>
      <w:marLeft w:val="0"/>
      <w:marRight w:val="0"/>
      <w:marTop w:val="0"/>
      <w:marBottom w:val="0"/>
      <w:divBdr>
        <w:top w:val="none" w:sz="0" w:space="0" w:color="auto"/>
        <w:left w:val="none" w:sz="0" w:space="0" w:color="auto"/>
        <w:bottom w:val="none" w:sz="0" w:space="0" w:color="auto"/>
        <w:right w:val="none" w:sz="0" w:space="0" w:color="auto"/>
      </w:divBdr>
    </w:div>
    <w:div w:id="1488550717">
      <w:bodyDiv w:val="1"/>
      <w:marLeft w:val="0"/>
      <w:marRight w:val="0"/>
      <w:marTop w:val="0"/>
      <w:marBottom w:val="0"/>
      <w:divBdr>
        <w:top w:val="none" w:sz="0" w:space="0" w:color="auto"/>
        <w:left w:val="none" w:sz="0" w:space="0" w:color="auto"/>
        <w:bottom w:val="none" w:sz="0" w:space="0" w:color="auto"/>
        <w:right w:val="none" w:sz="0" w:space="0" w:color="auto"/>
      </w:divBdr>
    </w:div>
    <w:div w:id="1501892937">
      <w:bodyDiv w:val="1"/>
      <w:marLeft w:val="0"/>
      <w:marRight w:val="0"/>
      <w:marTop w:val="0"/>
      <w:marBottom w:val="0"/>
      <w:divBdr>
        <w:top w:val="none" w:sz="0" w:space="0" w:color="auto"/>
        <w:left w:val="none" w:sz="0" w:space="0" w:color="auto"/>
        <w:bottom w:val="none" w:sz="0" w:space="0" w:color="auto"/>
        <w:right w:val="none" w:sz="0" w:space="0" w:color="auto"/>
      </w:divBdr>
      <w:divsChild>
        <w:div w:id="156305247">
          <w:marLeft w:val="0"/>
          <w:marRight w:val="0"/>
          <w:marTop w:val="0"/>
          <w:marBottom w:val="0"/>
          <w:divBdr>
            <w:top w:val="none" w:sz="0" w:space="0" w:color="auto"/>
            <w:left w:val="none" w:sz="0" w:space="0" w:color="auto"/>
            <w:bottom w:val="none" w:sz="0" w:space="0" w:color="auto"/>
            <w:right w:val="none" w:sz="0" w:space="0" w:color="auto"/>
          </w:divBdr>
          <w:divsChild>
            <w:div w:id="115803627">
              <w:marLeft w:val="0"/>
              <w:marRight w:val="0"/>
              <w:marTop w:val="0"/>
              <w:marBottom w:val="0"/>
              <w:divBdr>
                <w:top w:val="none" w:sz="0" w:space="0" w:color="auto"/>
                <w:left w:val="none" w:sz="0" w:space="0" w:color="auto"/>
                <w:bottom w:val="none" w:sz="0" w:space="0" w:color="auto"/>
                <w:right w:val="none" w:sz="0" w:space="0" w:color="auto"/>
              </w:divBdr>
              <w:divsChild>
                <w:div w:id="1832334750">
                  <w:marLeft w:val="0"/>
                  <w:marRight w:val="0"/>
                  <w:marTop w:val="0"/>
                  <w:marBottom w:val="0"/>
                  <w:divBdr>
                    <w:top w:val="none" w:sz="0" w:space="0" w:color="auto"/>
                    <w:left w:val="none" w:sz="0" w:space="0" w:color="auto"/>
                    <w:bottom w:val="none" w:sz="0" w:space="0" w:color="auto"/>
                    <w:right w:val="none" w:sz="0" w:space="0" w:color="auto"/>
                  </w:divBdr>
                  <w:divsChild>
                    <w:div w:id="261688195">
                      <w:marLeft w:val="0"/>
                      <w:marRight w:val="0"/>
                      <w:marTop w:val="0"/>
                      <w:marBottom w:val="0"/>
                      <w:divBdr>
                        <w:top w:val="none" w:sz="0" w:space="0" w:color="auto"/>
                        <w:left w:val="none" w:sz="0" w:space="0" w:color="auto"/>
                        <w:bottom w:val="none" w:sz="0" w:space="0" w:color="auto"/>
                        <w:right w:val="none" w:sz="0" w:space="0" w:color="auto"/>
                      </w:divBdr>
                      <w:divsChild>
                        <w:div w:id="522791869">
                          <w:marLeft w:val="0"/>
                          <w:marRight w:val="0"/>
                          <w:marTop w:val="0"/>
                          <w:marBottom w:val="0"/>
                          <w:divBdr>
                            <w:top w:val="none" w:sz="0" w:space="0" w:color="auto"/>
                            <w:left w:val="none" w:sz="0" w:space="0" w:color="auto"/>
                            <w:bottom w:val="none" w:sz="0" w:space="0" w:color="auto"/>
                            <w:right w:val="none" w:sz="0" w:space="0" w:color="auto"/>
                          </w:divBdr>
                        </w:div>
                      </w:divsChild>
                    </w:div>
                    <w:div w:id="1133212304">
                      <w:marLeft w:val="0"/>
                      <w:marRight w:val="0"/>
                      <w:marTop w:val="0"/>
                      <w:marBottom w:val="0"/>
                      <w:divBdr>
                        <w:top w:val="none" w:sz="0" w:space="0" w:color="auto"/>
                        <w:left w:val="none" w:sz="0" w:space="0" w:color="auto"/>
                        <w:bottom w:val="none" w:sz="0" w:space="0" w:color="auto"/>
                        <w:right w:val="none" w:sz="0" w:space="0" w:color="auto"/>
                      </w:divBdr>
                      <w:divsChild>
                        <w:div w:id="1451321468">
                          <w:marLeft w:val="0"/>
                          <w:marRight w:val="0"/>
                          <w:marTop w:val="0"/>
                          <w:marBottom w:val="0"/>
                          <w:divBdr>
                            <w:top w:val="none" w:sz="0" w:space="0" w:color="auto"/>
                            <w:left w:val="none" w:sz="0" w:space="0" w:color="auto"/>
                            <w:bottom w:val="none" w:sz="0" w:space="0" w:color="auto"/>
                            <w:right w:val="none" w:sz="0" w:space="0" w:color="auto"/>
                          </w:divBdr>
                        </w:div>
                        <w:div w:id="1642926460">
                          <w:marLeft w:val="0"/>
                          <w:marRight w:val="0"/>
                          <w:marTop w:val="0"/>
                          <w:marBottom w:val="0"/>
                          <w:divBdr>
                            <w:top w:val="none" w:sz="0" w:space="0" w:color="auto"/>
                            <w:left w:val="none" w:sz="0" w:space="0" w:color="auto"/>
                            <w:bottom w:val="none" w:sz="0" w:space="0" w:color="auto"/>
                            <w:right w:val="none" w:sz="0" w:space="0" w:color="auto"/>
                          </w:divBdr>
                        </w:div>
                        <w:div w:id="2069840062">
                          <w:marLeft w:val="0"/>
                          <w:marRight w:val="0"/>
                          <w:marTop w:val="0"/>
                          <w:marBottom w:val="0"/>
                          <w:divBdr>
                            <w:top w:val="none" w:sz="0" w:space="0" w:color="auto"/>
                            <w:left w:val="none" w:sz="0" w:space="0" w:color="auto"/>
                            <w:bottom w:val="none" w:sz="0" w:space="0" w:color="auto"/>
                            <w:right w:val="none" w:sz="0" w:space="0" w:color="auto"/>
                          </w:divBdr>
                        </w:div>
                      </w:divsChild>
                    </w:div>
                    <w:div w:id="1264611283">
                      <w:marLeft w:val="0"/>
                      <w:marRight w:val="0"/>
                      <w:marTop w:val="0"/>
                      <w:marBottom w:val="0"/>
                      <w:divBdr>
                        <w:top w:val="none" w:sz="0" w:space="0" w:color="auto"/>
                        <w:left w:val="none" w:sz="0" w:space="0" w:color="auto"/>
                        <w:bottom w:val="none" w:sz="0" w:space="0" w:color="auto"/>
                        <w:right w:val="none" w:sz="0" w:space="0" w:color="auto"/>
                      </w:divBdr>
                      <w:divsChild>
                        <w:div w:id="1676375374">
                          <w:marLeft w:val="0"/>
                          <w:marRight w:val="0"/>
                          <w:marTop w:val="0"/>
                          <w:marBottom w:val="0"/>
                          <w:divBdr>
                            <w:top w:val="none" w:sz="0" w:space="0" w:color="auto"/>
                            <w:left w:val="none" w:sz="0" w:space="0" w:color="auto"/>
                            <w:bottom w:val="none" w:sz="0" w:space="0" w:color="auto"/>
                            <w:right w:val="none" w:sz="0" w:space="0" w:color="auto"/>
                          </w:divBdr>
                        </w:div>
                      </w:divsChild>
                    </w:div>
                    <w:div w:id="1440024489">
                      <w:marLeft w:val="0"/>
                      <w:marRight w:val="0"/>
                      <w:marTop w:val="0"/>
                      <w:marBottom w:val="0"/>
                      <w:divBdr>
                        <w:top w:val="none" w:sz="0" w:space="0" w:color="auto"/>
                        <w:left w:val="none" w:sz="0" w:space="0" w:color="auto"/>
                        <w:bottom w:val="none" w:sz="0" w:space="0" w:color="auto"/>
                        <w:right w:val="none" w:sz="0" w:space="0" w:color="auto"/>
                      </w:divBdr>
                      <w:divsChild>
                        <w:div w:id="1451784770">
                          <w:marLeft w:val="0"/>
                          <w:marRight w:val="0"/>
                          <w:marTop w:val="0"/>
                          <w:marBottom w:val="0"/>
                          <w:divBdr>
                            <w:top w:val="none" w:sz="0" w:space="0" w:color="auto"/>
                            <w:left w:val="none" w:sz="0" w:space="0" w:color="auto"/>
                            <w:bottom w:val="none" w:sz="0" w:space="0" w:color="auto"/>
                            <w:right w:val="none" w:sz="0" w:space="0" w:color="auto"/>
                          </w:divBdr>
                        </w:div>
                      </w:divsChild>
                    </w:div>
                    <w:div w:id="2145849534">
                      <w:marLeft w:val="0"/>
                      <w:marRight w:val="0"/>
                      <w:marTop w:val="0"/>
                      <w:marBottom w:val="0"/>
                      <w:divBdr>
                        <w:top w:val="none" w:sz="0" w:space="0" w:color="auto"/>
                        <w:left w:val="none" w:sz="0" w:space="0" w:color="auto"/>
                        <w:bottom w:val="none" w:sz="0" w:space="0" w:color="auto"/>
                        <w:right w:val="none" w:sz="0" w:space="0" w:color="auto"/>
                      </w:divBdr>
                      <w:divsChild>
                        <w:div w:id="68717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4164">
              <w:marLeft w:val="0"/>
              <w:marRight w:val="0"/>
              <w:marTop w:val="0"/>
              <w:marBottom w:val="0"/>
              <w:divBdr>
                <w:top w:val="none" w:sz="0" w:space="0" w:color="auto"/>
                <w:left w:val="none" w:sz="0" w:space="0" w:color="auto"/>
                <w:bottom w:val="none" w:sz="0" w:space="0" w:color="auto"/>
                <w:right w:val="none" w:sz="0" w:space="0" w:color="auto"/>
              </w:divBdr>
              <w:divsChild>
                <w:div w:id="162356593">
                  <w:marLeft w:val="0"/>
                  <w:marRight w:val="0"/>
                  <w:marTop w:val="0"/>
                  <w:marBottom w:val="0"/>
                  <w:divBdr>
                    <w:top w:val="none" w:sz="0" w:space="0" w:color="auto"/>
                    <w:left w:val="none" w:sz="0" w:space="0" w:color="auto"/>
                    <w:bottom w:val="none" w:sz="0" w:space="0" w:color="auto"/>
                    <w:right w:val="none" w:sz="0" w:space="0" w:color="auto"/>
                  </w:divBdr>
                </w:div>
                <w:div w:id="232744023">
                  <w:marLeft w:val="0"/>
                  <w:marRight w:val="0"/>
                  <w:marTop w:val="0"/>
                  <w:marBottom w:val="0"/>
                  <w:divBdr>
                    <w:top w:val="none" w:sz="0" w:space="0" w:color="auto"/>
                    <w:left w:val="none" w:sz="0" w:space="0" w:color="auto"/>
                    <w:bottom w:val="none" w:sz="0" w:space="0" w:color="auto"/>
                    <w:right w:val="none" w:sz="0" w:space="0" w:color="auto"/>
                  </w:divBdr>
                </w:div>
                <w:div w:id="542057180">
                  <w:marLeft w:val="0"/>
                  <w:marRight w:val="0"/>
                  <w:marTop w:val="0"/>
                  <w:marBottom w:val="0"/>
                  <w:divBdr>
                    <w:top w:val="none" w:sz="0" w:space="0" w:color="auto"/>
                    <w:left w:val="none" w:sz="0" w:space="0" w:color="auto"/>
                    <w:bottom w:val="none" w:sz="0" w:space="0" w:color="auto"/>
                    <w:right w:val="none" w:sz="0" w:space="0" w:color="auto"/>
                  </w:divBdr>
                </w:div>
                <w:div w:id="1353646891">
                  <w:marLeft w:val="0"/>
                  <w:marRight w:val="0"/>
                  <w:marTop w:val="0"/>
                  <w:marBottom w:val="0"/>
                  <w:divBdr>
                    <w:top w:val="none" w:sz="0" w:space="0" w:color="auto"/>
                    <w:left w:val="none" w:sz="0" w:space="0" w:color="auto"/>
                    <w:bottom w:val="none" w:sz="0" w:space="0" w:color="auto"/>
                    <w:right w:val="none" w:sz="0" w:space="0" w:color="auto"/>
                  </w:divBdr>
                </w:div>
                <w:div w:id="1364790363">
                  <w:marLeft w:val="0"/>
                  <w:marRight w:val="0"/>
                  <w:marTop w:val="0"/>
                  <w:marBottom w:val="0"/>
                  <w:divBdr>
                    <w:top w:val="none" w:sz="0" w:space="0" w:color="auto"/>
                    <w:left w:val="none" w:sz="0" w:space="0" w:color="auto"/>
                    <w:bottom w:val="none" w:sz="0" w:space="0" w:color="auto"/>
                    <w:right w:val="none" w:sz="0" w:space="0" w:color="auto"/>
                  </w:divBdr>
                </w:div>
                <w:div w:id="1837768907">
                  <w:marLeft w:val="0"/>
                  <w:marRight w:val="0"/>
                  <w:marTop w:val="0"/>
                  <w:marBottom w:val="0"/>
                  <w:divBdr>
                    <w:top w:val="none" w:sz="0" w:space="0" w:color="auto"/>
                    <w:left w:val="none" w:sz="0" w:space="0" w:color="auto"/>
                    <w:bottom w:val="none" w:sz="0" w:space="0" w:color="auto"/>
                    <w:right w:val="none" w:sz="0" w:space="0" w:color="auto"/>
                  </w:divBdr>
                </w:div>
                <w:div w:id="20235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11373">
      <w:bodyDiv w:val="1"/>
      <w:marLeft w:val="0"/>
      <w:marRight w:val="0"/>
      <w:marTop w:val="0"/>
      <w:marBottom w:val="0"/>
      <w:divBdr>
        <w:top w:val="none" w:sz="0" w:space="0" w:color="auto"/>
        <w:left w:val="none" w:sz="0" w:space="0" w:color="auto"/>
        <w:bottom w:val="none" w:sz="0" w:space="0" w:color="auto"/>
        <w:right w:val="none" w:sz="0" w:space="0" w:color="auto"/>
      </w:divBdr>
    </w:div>
    <w:div w:id="1533229466">
      <w:bodyDiv w:val="1"/>
      <w:marLeft w:val="0"/>
      <w:marRight w:val="0"/>
      <w:marTop w:val="0"/>
      <w:marBottom w:val="0"/>
      <w:divBdr>
        <w:top w:val="none" w:sz="0" w:space="0" w:color="auto"/>
        <w:left w:val="none" w:sz="0" w:space="0" w:color="auto"/>
        <w:bottom w:val="none" w:sz="0" w:space="0" w:color="auto"/>
        <w:right w:val="none" w:sz="0" w:space="0" w:color="auto"/>
      </w:divBdr>
    </w:div>
    <w:div w:id="1568956390">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00604171">
      <w:bodyDiv w:val="1"/>
      <w:marLeft w:val="0"/>
      <w:marRight w:val="0"/>
      <w:marTop w:val="0"/>
      <w:marBottom w:val="0"/>
      <w:divBdr>
        <w:top w:val="none" w:sz="0" w:space="0" w:color="auto"/>
        <w:left w:val="none" w:sz="0" w:space="0" w:color="auto"/>
        <w:bottom w:val="none" w:sz="0" w:space="0" w:color="auto"/>
        <w:right w:val="none" w:sz="0" w:space="0" w:color="auto"/>
      </w:divBdr>
      <w:divsChild>
        <w:div w:id="1809323562">
          <w:marLeft w:val="0"/>
          <w:marRight w:val="0"/>
          <w:marTop w:val="0"/>
          <w:marBottom w:val="0"/>
          <w:divBdr>
            <w:top w:val="none" w:sz="0" w:space="0" w:color="auto"/>
            <w:left w:val="none" w:sz="0" w:space="0" w:color="auto"/>
            <w:bottom w:val="none" w:sz="0" w:space="0" w:color="auto"/>
            <w:right w:val="none" w:sz="0" w:space="0" w:color="auto"/>
          </w:divBdr>
        </w:div>
      </w:divsChild>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37179970">
      <w:bodyDiv w:val="1"/>
      <w:marLeft w:val="0"/>
      <w:marRight w:val="0"/>
      <w:marTop w:val="0"/>
      <w:marBottom w:val="0"/>
      <w:divBdr>
        <w:top w:val="none" w:sz="0" w:space="0" w:color="auto"/>
        <w:left w:val="none" w:sz="0" w:space="0" w:color="auto"/>
        <w:bottom w:val="none" w:sz="0" w:space="0" w:color="auto"/>
        <w:right w:val="none" w:sz="0" w:space="0" w:color="auto"/>
      </w:divBdr>
      <w:divsChild>
        <w:div w:id="895287332">
          <w:marLeft w:val="0"/>
          <w:marRight w:val="0"/>
          <w:marTop w:val="0"/>
          <w:marBottom w:val="0"/>
          <w:divBdr>
            <w:top w:val="none" w:sz="0" w:space="0" w:color="auto"/>
            <w:left w:val="none" w:sz="0" w:space="0" w:color="auto"/>
            <w:bottom w:val="none" w:sz="0" w:space="0" w:color="auto"/>
            <w:right w:val="none" w:sz="0" w:space="0" w:color="auto"/>
          </w:divBdr>
          <w:divsChild>
            <w:div w:id="1866166221">
              <w:marLeft w:val="0"/>
              <w:marRight w:val="0"/>
              <w:marTop w:val="0"/>
              <w:marBottom w:val="0"/>
              <w:divBdr>
                <w:top w:val="none" w:sz="0" w:space="0" w:color="auto"/>
                <w:left w:val="none" w:sz="0" w:space="0" w:color="auto"/>
                <w:bottom w:val="none" w:sz="0" w:space="0" w:color="auto"/>
                <w:right w:val="none" w:sz="0" w:space="0" w:color="auto"/>
              </w:divBdr>
              <w:divsChild>
                <w:div w:id="180670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92147">
      <w:bodyDiv w:val="1"/>
      <w:marLeft w:val="0"/>
      <w:marRight w:val="0"/>
      <w:marTop w:val="0"/>
      <w:marBottom w:val="0"/>
      <w:divBdr>
        <w:top w:val="none" w:sz="0" w:space="0" w:color="auto"/>
        <w:left w:val="none" w:sz="0" w:space="0" w:color="auto"/>
        <w:bottom w:val="none" w:sz="0" w:space="0" w:color="auto"/>
        <w:right w:val="none" w:sz="0" w:space="0" w:color="auto"/>
      </w:divBdr>
      <w:divsChild>
        <w:div w:id="1251616633">
          <w:marLeft w:val="0"/>
          <w:marRight w:val="0"/>
          <w:marTop w:val="0"/>
          <w:marBottom w:val="0"/>
          <w:divBdr>
            <w:top w:val="none" w:sz="0" w:space="0" w:color="auto"/>
            <w:left w:val="none" w:sz="0" w:space="0" w:color="auto"/>
            <w:bottom w:val="none" w:sz="0" w:space="0" w:color="auto"/>
            <w:right w:val="none" w:sz="0" w:space="0" w:color="auto"/>
          </w:divBdr>
        </w:div>
      </w:divsChild>
    </w:div>
    <w:div w:id="1649821808">
      <w:bodyDiv w:val="1"/>
      <w:marLeft w:val="0"/>
      <w:marRight w:val="0"/>
      <w:marTop w:val="0"/>
      <w:marBottom w:val="0"/>
      <w:divBdr>
        <w:top w:val="none" w:sz="0" w:space="0" w:color="auto"/>
        <w:left w:val="none" w:sz="0" w:space="0" w:color="auto"/>
        <w:bottom w:val="none" w:sz="0" w:space="0" w:color="auto"/>
        <w:right w:val="none" w:sz="0" w:space="0" w:color="auto"/>
      </w:divBdr>
    </w:div>
    <w:div w:id="1664309115">
      <w:bodyDiv w:val="1"/>
      <w:marLeft w:val="0"/>
      <w:marRight w:val="0"/>
      <w:marTop w:val="0"/>
      <w:marBottom w:val="0"/>
      <w:divBdr>
        <w:top w:val="none" w:sz="0" w:space="0" w:color="auto"/>
        <w:left w:val="none" w:sz="0" w:space="0" w:color="auto"/>
        <w:bottom w:val="none" w:sz="0" w:space="0" w:color="auto"/>
        <w:right w:val="none" w:sz="0" w:space="0" w:color="auto"/>
      </w:divBdr>
    </w:div>
    <w:div w:id="1671369536">
      <w:bodyDiv w:val="1"/>
      <w:marLeft w:val="0"/>
      <w:marRight w:val="0"/>
      <w:marTop w:val="0"/>
      <w:marBottom w:val="0"/>
      <w:divBdr>
        <w:top w:val="none" w:sz="0" w:space="0" w:color="auto"/>
        <w:left w:val="none" w:sz="0" w:space="0" w:color="auto"/>
        <w:bottom w:val="none" w:sz="0" w:space="0" w:color="auto"/>
        <w:right w:val="none" w:sz="0" w:space="0" w:color="auto"/>
      </w:divBdr>
    </w:div>
    <w:div w:id="1675763257">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17731261">
      <w:bodyDiv w:val="1"/>
      <w:marLeft w:val="0"/>
      <w:marRight w:val="0"/>
      <w:marTop w:val="0"/>
      <w:marBottom w:val="0"/>
      <w:divBdr>
        <w:top w:val="none" w:sz="0" w:space="0" w:color="auto"/>
        <w:left w:val="none" w:sz="0" w:space="0" w:color="auto"/>
        <w:bottom w:val="none" w:sz="0" w:space="0" w:color="auto"/>
        <w:right w:val="none" w:sz="0" w:space="0" w:color="auto"/>
      </w:divBdr>
    </w:div>
    <w:div w:id="1718552035">
      <w:bodyDiv w:val="1"/>
      <w:marLeft w:val="0"/>
      <w:marRight w:val="0"/>
      <w:marTop w:val="0"/>
      <w:marBottom w:val="0"/>
      <w:divBdr>
        <w:top w:val="none" w:sz="0" w:space="0" w:color="auto"/>
        <w:left w:val="none" w:sz="0" w:space="0" w:color="auto"/>
        <w:bottom w:val="none" w:sz="0" w:space="0" w:color="auto"/>
        <w:right w:val="none" w:sz="0" w:space="0" w:color="auto"/>
      </w:divBdr>
    </w:div>
    <w:div w:id="1729920355">
      <w:bodyDiv w:val="1"/>
      <w:marLeft w:val="0"/>
      <w:marRight w:val="0"/>
      <w:marTop w:val="0"/>
      <w:marBottom w:val="0"/>
      <w:divBdr>
        <w:top w:val="none" w:sz="0" w:space="0" w:color="auto"/>
        <w:left w:val="none" w:sz="0" w:space="0" w:color="auto"/>
        <w:bottom w:val="none" w:sz="0" w:space="0" w:color="auto"/>
        <w:right w:val="none" w:sz="0" w:space="0" w:color="auto"/>
      </w:divBdr>
    </w:div>
    <w:div w:id="1740906512">
      <w:bodyDiv w:val="1"/>
      <w:marLeft w:val="0"/>
      <w:marRight w:val="0"/>
      <w:marTop w:val="0"/>
      <w:marBottom w:val="0"/>
      <w:divBdr>
        <w:top w:val="none" w:sz="0" w:space="0" w:color="auto"/>
        <w:left w:val="none" w:sz="0" w:space="0" w:color="auto"/>
        <w:bottom w:val="none" w:sz="0" w:space="0" w:color="auto"/>
        <w:right w:val="none" w:sz="0" w:space="0" w:color="auto"/>
      </w:divBdr>
    </w:div>
    <w:div w:id="1760518538">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00495180">
      <w:bodyDiv w:val="1"/>
      <w:marLeft w:val="0"/>
      <w:marRight w:val="0"/>
      <w:marTop w:val="0"/>
      <w:marBottom w:val="0"/>
      <w:divBdr>
        <w:top w:val="none" w:sz="0" w:space="0" w:color="auto"/>
        <w:left w:val="none" w:sz="0" w:space="0" w:color="auto"/>
        <w:bottom w:val="none" w:sz="0" w:space="0" w:color="auto"/>
        <w:right w:val="none" w:sz="0" w:space="0" w:color="auto"/>
      </w:divBdr>
    </w:div>
    <w:div w:id="1804731959">
      <w:bodyDiv w:val="1"/>
      <w:marLeft w:val="0"/>
      <w:marRight w:val="0"/>
      <w:marTop w:val="0"/>
      <w:marBottom w:val="0"/>
      <w:divBdr>
        <w:top w:val="none" w:sz="0" w:space="0" w:color="auto"/>
        <w:left w:val="none" w:sz="0" w:space="0" w:color="auto"/>
        <w:bottom w:val="none" w:sz="0" w:space="0" w:color="auto"/>
        <w:right w:val="none" w:sz="0" w:space="0" w:color="auto"/>
      </w:divBdr>
    </w:div>
    <w:div w:id="1805149050">
      <w:bodyDiv w:val="1"/>
      <w:marLeft w:val="0"/>
      <w:marRight w:val="0"/>
      <w:marTop w:val="0"/>
      <w:marBottom w:val="0"/>
      <w:divBdr>
        <w:top w:val="none" w:sz="0" w:space="0" w:color="auto"/>
        <w:left w:val="none" w:sz="0" w:space="0" w:color="auto"/>
        <w:bottom w:val="none" w:sz="0" w:space="0" w:color="auto"/>
        <w:right w:val="none" w:sz="0" w:space="0" w:color="auto"/>
      </w:divBdr>
    </w:div>
    <w:div w:id="1825047392">
      <w:bodyDiv w:val="1"/>
      <w:marLeft w:val="0"/>
      <w:marRight w:val="0"/>
      <w:marTop w:val="0"/>
      <w:marBottom w:val="0"/>
      <w:divBdr>
        <w:top w:val="none" w:sz="0" w:space="0" w:color="auto"/>
        <w:left w:val="none" w:sz="0" w:space="0" w:color="auto"/>
        <w:bottom w:val="none" w:sz="0" w:space="0" w:color="auto"/>
        <w:right w:val="none" w:sz="0" w:space="0" w:color="auto"/>
      </w:divBdr>
    </w:div>
    <w:div w:id="1836068720">
      <w:bodyDiv w:val="1"/>
      <w:marLeft w:val="0"/>
      <w:marRight w:val="0"/>
      <w:marTop w:val="0"/>
      <w:marBottom w:val="0"/>
      <w:divBdr>
        <w:top w:val="none" w:sz="0" w:space="0" w:color="auto"/>
        <w:left w:val="none" w:sz="0" w:space="0" w:color="auto"/>
        <w:bottom w:val="none" w:sz="0" w:space="0" w:color="auto"/>
        <w:right w:val="none" w:sz="0" w:space="0" w:color="auto"/>
      </w:divBdr>
    </w:div>
    <w:div w:id="1842964161">
      <w:bodyDiv w:val="1"/>
      <w:marLeft w:val="0"/>
      <w:marRight w:val="0"/>
      <w:marTop w:val="0"/>
      <w:marBottom w:val="0"/>
      <w:divBdr>
        <w:top w:val="none" w:sz="0" w:space="0" w:color="auto"/>
        <w:left w:val="none" w:sz="0" w:space="0" w:color="auto"/>
        <w:bottom w:val="none" w:sz="0" w:space="0" w:color="auto"/>
        <w:right w:val="none" w:sz="0" w:space="0" w:color="auto"/>
      </w:divBdr>
      <w:divsChild>
        <w:div w:id="2046248587">
          <w:marLeft w:val="0"/>
          <w:marRight w:val="0"/>
          <w:marTop w:val="0"/>
          <w:marBottom w:val="0"/>
          <w:divBdr>
            <w:top w:val="none" w:sz="0" w:space="0" w:color="auto"/>
            <w:left w:val="none" w:sz="0" w:space="0" w:color="auto"/>
            <w:bottom w:val="none" w:sz="0" w:space="0" w:color="auto"/>
            <w:right w:val="none" w:sz="0" w:space="0" w:color="auto"/>
          </w:divBdr>
        </w:div>
      </w:divsChild>
    </w:div>
    <w:div w:id="1878155986">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02864195">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5433919">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1938293599">
      <w:bodyDiv w:val="1"/>
      <w:marLeft w:val="0"/>
      <w:marRight w:val="0"/>
      <w:marTop w:val="0"/>
      <w:marBottom w:val="0"/>
      <w:divBdr>
        <w:top w:val="none" w:sz="0" w:space="0" w:color="auto"/>
        <w:left w:val="none" w:sz="0" w:space="0" w:color="auto"/>
        <w:bottom w:val="none" w:sz="0" w:space="0" w:color="auto"/>
        <w:right w:val="none" w:sz="0" w:space="0" w:color="auto"/>
      </w:divBdr>
    </w:div>
    <w:div w:id="1957323683">
      <w:bodyDiv w:val="1"/>
      <w:marLeft w:val="0"/>
      <w:marRight w:val="0"/>
      <w:marTop w:val="0"/>
      <w:marBottom w:val="0"/>
      <w:divBdr>
        <w:top w:val="none" w:sz="0" w:space="0" w:color="auto"/>
        <w:left w:val="none" w:sz="0" w:space="0" w:color="auto"/>
        <w:bottom w:val="none" w:sz="0" w:space="0" w:color="auto"/>
        <w:right w:val="none" w:sz="0" w:space="0" w:color="auto"/>
      </w:divBdr>
    </w:div>
    <w:div w:id="1960408162">
      <w:bodyDiv w:val="1"/>
      <w:marLeft w:val="0"/>
      <w:marRight w:val="0"/>
      <w:marTop w:val="0"/>
      <w:marBottom w:val="0"/>
      <w:divBdr>
        <w:top w:val="none" w:sz="0" w:space="0" w:color="auto"/>
        <w:left w:val="none" w:sz="0" w:space="0" w:color="auto"/>
        <w:bottom w:val="none" w:sz="0" w:space="0" w:color="auto"/>
        <w:right w:val="none" w:sz="0" w:space="0" w:color="auto"/>
      </w:divBdr>
    </w:div>
    <w:div w:id="1964655538">
      <w:bodyDiv w:val="1"/>
      <w:marLeft w:val="0"/>
      <w:marRight w:val="0"/>
      <w:marTop w:val="0"/>
      <w:marBottom w:val="0"/>
      <w:divBdr>
        <w:top w:val="none" w:sz="0" w:space="0" w:color="auto"/>
        <w:left w:val="none" w:sz="0" w:space="0" w:color="auto"/>
        <w:bottom w:val="none" w:sz="0" w:space="0" w:color="auto"/>
        <w:right w:val="none" w:sz="0" w:space="0" w:color="auto"/>
      </w:divBdr>
    </w:div>
    <w:div w:id="1973946430">
      <w:bodyDiv w:val="1"/>
      <w:marLeft w:val="0"/>
      <w:marRight w:val="0"/>
      <w:marTop w:val="0"/>
      <w:marBottom w:val="0"/>
      <w:divBdr>
        <w:top w:val="none" w:sz="0" w:space="0" w:color="auto"/>
        <w:left w:val="none" w:sz="0" w:space="0" w:color="auto"/>
        <w:bottom w:val="none" w:sz="0" w:space="0" w:color="auto"/>
        <w:right w:val="none" w:sz="0" w:space="0" w:color="auto"/>
      </w:divBdr>
    </w:div>
    <w:div w:id="1976326035">
      <w:bodyDiv w:val="1"/>
      <w:marLeft w:val="0"/>
      <w:marRight w:val="0"/>
      <w:marTop w:val="0"/>
      <w:marBottom w:val="0"/>
      <w:divBdr>
        <w:top w:val="none" w:sz="0" w:space="0" w:color="auto"/>
        <w:left w:val="none" w:sz="0" w:space="0" w:color="auto"/>
        <w:bottom w:val="none" w:sz="0" w:space="0" w:color="auto"/>
        <w:right w:val="none" w:sz="0" w:space="0" w:color="auto"/>
      </w:divBdr>
    </w:div>
    <w:div w:id="1987928305">
      <w:bodyDiv w:val="1"/>
      <w:marLeft w:val="0"/>
      <w:marRight w:val="0"/>
      <w:marTop w:val="0"/>
      <w:marBottom w:val="0"/>
      <w:divBdr>
        <w:top w:val="none" w:sz="0" w:space="0" w:color="auto"/>
        <w:left w:val="none" w:sz="0" w:space="0" w:color="auto"/>
        <w:bottom w:val="none" w:sz="0" w:space="0" w:color="auto"/>
        <w:right w:val="none" w:sz="0" w:space="0" w:color="auto"/>
      </w:divBdr>
    </w:div>
    <w:div w:id="2019770961">
      <w:bodyDiv w:val="1"/>
      <w:marLeft w:val="0"/>
      <w:marRight w:val="0"/>
      <w:marTop w:val="0"/>
      <w:marBottom w:val="0"/>
      <w:divBdr>
        <w:top w:val="none" w:sz="0" w:space="0" w:color="auto"/>
        <w:left w:val="none" w:sz="0" w:space="0" w:color="auto"/>
        <w:bottom w:val="none" w:sz="0" w:space="0" w:color="auto"/>
        <w:right w:val="none" w:sz="0" w:space="0" w:color="auto"/>
      </w:divBdr>
      <w:divsChild>
        <w:div w:id="1872300503">
          <w:marLeft w:val="0"/>
          <w:marRight w:val="0"/>
          <w:marTop w:val="0"/>
          <w:marBottom w:val="0"/>
          <w:divBdr>
            <w:top w:val="none" w:sz="0" w:space="0" w:color="auto"/>
            <w:left w:val="none" w:sz="0" w:space="0" w:color="auto"/>
            <w:bottom w:val="none" w:sz="0" w:space="0" w:color="auto"/>
            <w:right w:val="none" w:sz="0" w:space="0" w:color="auto"/>
          </w:divBdr>
          <w:divsChild>
            <w:div w:id="38826056">
              <w:marLeft w:val="0"/>
              <w:marRight w:val="0"/>
              <w:marTop w:val="0"/>
              <w:marBottom w:val="0"/>
              <w:divBdr>
                <w:top w:val="none" w:sz="0" w:space="0" w:color="auto"/>
                <w:left w:val="none" w:sz="0" w:space="0" w:color="auto"/>
                <w:bottom w:val="none" w:sz="0" w:space="0" w:color="auto"/>
                <w:right w:val="none" w:sz="0" w:space="0" w:color="auto"/>
              </w:divBdr>
              <w:divsChild>
                <w:div w:id="228419217">
                  <w:marLeft w:val="0"/>
                  <w:marRight w:val="0"/>
                  <w:marTop w:val="0"/>
                  <w:marBottom w:val="0"/>
                  <w:divBdr>
                    <w:top w:val="none" w:sz="0" w:space="0" w:color="auto"/>
                    <w:left w:val="none" w:sz="0" w:space="0" w:color="auto"/>
                    <w:bottom w:val="none" w:sz="0" w:space="0" w:color="auto"/>
                    <w:right w:val="none" w:sz="0" w:space="0" w:color="auto"/>
                  </w:divBdr>
                </w:div>
                <w:div w:id="274025638">
                  <w:marLeft w:val="0"/>
                  <w:marRight w:val="0"/>
                  <w:marTop w:val="0"/>
                  <w:marBottom w:val="0"/>
                  <w:divBdr>
                    <w:top w:val="none" w:sz="0" w:space="0" w:color="auto"/>
                    <w:left w:val="none" w:sz="0" w:space="0" w:color="auto"/>
                    <w:bottom w:val="none" w:sz="0" w:space="0" w:color="auto"/>
                    <w:right w:val="none" w:sz="0" w:space="0" w:color="auto"/>
                  </w:divBdr>
                </w:div>
                <w:div w:id="731345180">
                  <w:marLeft w:val="0"/>
                  <w:marRight w:val="0"/>
                  <w:marTop w:val="0"/>
                  <w:marBottom w:val="0"/>
                  <w:divBdr>
                    <w:top w:val="none" w:sz="0" w:space="0" w:color="auto"/>
                    <w:left w:val="none" w:sz="0" w:space="0" w:color="auto"/>
                    <w:bottom w:val="none" w:sz="0" w:space="0" w:color="auto"/>
                    <w:right w:val="none" w:sz="0" w:space="0" w:color="auto"/>
                  </w:divBdr>
                </w:div>
                <w:div w:id="1004015081">
                  <w:marLeft w:val="0"/>
                  <w:marRight w:val="0"/>
                  <w:marTop w:val="0"/>
                  <w:marBottom w:val="0"/>
                  <w:divBdr>
                    <w:top w:val="none" w:sz="0" w:space="0" w:color="auto"/>
                    <w:left w:val="none" w:sz="0" w:space="0" w:color="auto"/>
                    <w:bottom w:val="none" w:sz="0" w:space="0" w:color="auto"/>
                    <w:right w:val="none" w:sz="0" w:space="0" w:color="auto"/>
                  </w:divBdr>
                </w:div>
                <w:div w:id="1299071909">
                  <w:marLeft w:val="0"/>
                  <w:marRight w:val="0"/>
                  <w:marTop w:val="0"/>
                  <w:marBottom w:val="0"/>
                  <w:divBdr>
                    <w:top w:val="none" w:sz="0" w:space="0" w:color="auto"/>
                    <w:left w:val="none" w:sz="0" w:space="0" w:color="auto"/>
                    <w:bottom w:val="none" w:sz="0" w:space="0" w:color="auto"/>
                    <w:right w:val="none" w:sz="0" w:space="0" w:color="auto"/>
                  </w:divBdr>
                </w:div>
                <w:div w:id="1513953956">
                  <w:marLeft w:val="0"/>
                  <w:marRight w:val="0"/>
                  <w:marTop w:val="0"/>
                  <w:marBottom w:val="0"/>
                  <w:divBdr>
                    <w:top w:val="none" w:sz="0" w:space="0" w:color="auto"/>
                    <w:left w:val="none" w:sz="0" w:space="0" w:color="auto"/>
                    <w:bottom w:val="none" w:sz="0" w:space="0" w:color="auto"/>
                    <w:right w:val="none" w:sz="0" w:space="0" w:color="auto"/>
                  </w:divBdr>
                </w:div>
                <w:div w:id="1652371849">
                  <w:marLeft w:val="0"/>
                  <w:marRight w:val="0"/>
                  <w:marTop w:val="0"/>
                  <w:marBottom w:val="0"/>
                  <w:divBdr>
                    <w:top w:val="none" w:sz="0" w:space="0" w:color="auto"/>
                    <w:left w:val="none" w:sz="0" w:space="0" w:color="auto"/>
                    <w:bottom w:val="none" w:sz="0" w:space="0" w:color="auto"/>
                    <w:right w:val="none" w:sz="0" w:space="0" w:color="auto"/>
                  </w:divBdr>
                </w:div>
              </w:divsChild>
            </w:div>
            <w:div w:id="362943482">
              <w:marLeft w:val="0"/>
              <w:marRight w:val="0"/>
              <w:marTop w:val="0"/>
              <w:marBottom w:val="0"/>
              <w:divBdr>
                <w:top w:val="none" w:sz="0" w:space="0" w:color="auto"/>
                <w:left w:val="none" w:sz="0" w:space="0" w:color="auto"/>
                <w:bottom w:val="none" w:sz="0" w:space="0" w:color="auto"/>
                <w:right w:val="none" w:sz="0" w:space="0" w:color="auto"/>
              </w:divBdr>
              <w:divsChild>
                <w:div w:id="990477104">
                  <w:marLeft w:val="0"/>
                  <w:marRight w:val="0"/>
                  <w:marTop w:val="0"/>
                  <w:marBottom w:val="0"/>
                  <w:divBdr>
                    <w:top w:val="none" w:sz="0" w:space="0" w:color="auto"/>
                    <w:left w:val="none" w:sz="0" w:space="0" w:color="auto"/>
                    <w:bottom w:val="none" w:sz="0" w:space="0" w:color="auto"/>
                    <w:right w:val="none" w:sz="0" w:space="0" w:color="auto"/>
                  </w:divBdr>
                  <w:divsChild>
                    <w:div w:id="598489579">
                      <w:marLeft w:val="0"/>
                      <w:marRight w:val="0"/>
                      <w:marTop w:val="0"/>
                      <w:marBottom w:val="0"/>
                      <w:divBdr>
                        <w:top w:val="none" w:sz="0" w:space="0" w:color="auto"/>
                        <w:left w:val="none" w:sz="0" w:space="0" w:color="auto"/>
                        <w:bottom w:val="none" w:sz="0" w:space="0" w:color="auto"/>
                        <w:right w:val="none" w:sz="0" w:space="0" w:color="auto"/>
                      </w:divBdr>
                      <w:divsChild>
                        <w:div w:id="2049598982">
                          <w:marLeft w:val="0"/>
                          <w:marRight w:val="0"/>
                          <w:marTop w:val="0"/>
                          <w:marBottom w:val="0"/>
                          <w:divBdr>
                            <w:top w:val="none" w:sz="0" w:space="0" w:color="auto"/>
                            <w:left w:val="none" w:sz="0" w:space="0" w:color="auto"/>
                            <w:bottom w:val="none" w:sz="0" w:space="0" w:color="auto"/>
                            <w:right w:val="none" w:sz="0" w:space="0" w:color="auto"/>
                          </w:divBdr>
                        </w:div>
                      </w:divsChild>
                    </w:div>
                    <w:div w:id="693074199">
                      <w:marLeft w:val="0"/>
                      <w:marRight w:val="0"/>
                      <w:marTop w:val="0"/>
                      <w:marBottom w:val="0"/>
                      <w:divBdr>
                        <w:top w:val="none" w:sz="0" w:space="0" w:color="auto"/>
                        <w:left w:val="none" w:sz="0" w:space="0" w:color="auto"/>
                        <w:bottom w:val="none" w:sz="0" w:space="0" w:color="auto"/>
                        <w:right w:val="none" w:sz="0" w:space="0" w:color="auto"/>
                      </w:divBdr>
                      <w:divsChild>
                        <w:div w:id="85152805">
                          <w:marLeft w:val="0"/>
                          <w:marRight w:val="0"/>
                          <w:marTop w:val="0"/>
                          <w:marBottom w:val="0"/>
                          <w:divBdr>
                            <w:top w:val="none" w:sz="0" w:space="0" w:color="auto"/>
                            <w:left w:val="none" w:sz="0" w:space="0" w:color="auto"/>
                            <w:bottom w:val="none" w:sz="0" w:space="0" w:color="auto"/>
                            <w:right w:val="none" w:sz="0" w:space="0" w:color="auto"/>
                          </w:divBdr>
                        </w:div>
                        <w:div w:id="109982710">
                          <w:marLeft w:val="0"/>
                          <w:marRight w:val="0"/>
                          <w:marTop w:val="0"/>
                          <w:marBottom w:val="0"/>
                          <w:divBdr>
                            <w:top w:val="none" w:sz="0" w:space="0" w:color="auto"/>
                            <w:left w:val="none" w:sz="0" w:space="0" w:color="auto"/>
                            <w:bottom w:val="none" w:sz="0" w:space="0" w:color="auto"/>
                            <w:right w:val="none" w:sz="0" w:space="0" w:color="auto"/>
                          </w:divBdr>
                        </w:div>
                        <w:div w:id="2101951939">
                          <w:marLeft w:val="0"/>
                          <w:marRight w:val="0"/>
                          <w:marTop w:val="0"/>
                          <w:marBottom w:val="0"/>
                          <w:divBdr>
                            <w:top w:val="none" w:sz="0" w:space="0" w:color="auto"/>
                            <w:left w:val="none" w:sz="0" w:space="0" w:color="auto"/>
                            <w:bottom w:val="none" w:sz="0" w:space="0" w:color="auto"/>
                            <w:right w:val="none" w:sz="0" w:space="0" w:color="auto"/>
                          </w:divBdr>
                        </w:div>
                      </w:divsChild>
                    </w:div>
                    <w:div w:id="803422449">
                      <w:marLeft w:val="0"/>
                      <w:marRight w:val="0"/>
                      <w:marTop w:val="0"/>
                      <w:marBottom w:val="0"/>
                      <w:divBdr>
                        <w:top w:val="none" w:sz="0" w:space="0" w:color="auto"/>
                        <w:left w:val="none" w:sz="0" w:space="0" w:color="auto"/>
                        <w:bottom w:val="none" w:sz="0" w:space="0" w:color="auto"/>
                        <w:right w:val="none" w:sz="0" w:space="0" w:color="auto"/>
                      </w:divBdr>
                      <w:divsChild>
                        <w:div w:id="1241062607">
                          <w:marLeft w:val="0"/>
                          <w:marRight w:val="0"/>
                          <w:marTop w:val="0"/>
                          <w:marBottom w:val="0"/>
                          <w:divBdr>
                            <w:top w:val="none" w:sz="0" w:space="0" w:color="auto"/>
                            <w:left w:val="none" w:sz="0" w:space="0" w:color="auto"/>
                            <w:bottom w:val="none" w:sz="0" w:space="0" w:color="auto"/>
                            <w:right w:val="none" w:sz="0" w:space="0" w:color="auto"/>
                          </w:divBdr>
                        </w:div>
                      </w:divsChild>
                    </w:div>
                    <w:div w:id="1251112166">
                      <w:marLeft w:val="0"/>
                      <w:marRight w:val="0"/>
                      <w:marTop w:val="0"/>
                      <w:marBottom w:val="0"/>
                      <w:divBdr>
                        <w:top w:val="none" w:sz="0" w:space="0" w:color="auto"/>
                        <w:left w:val="none" w:sz="0" w:space="0" w:color="auto"/>
                        <w:bottom w:val="none" w:sz="0" w:space="0" w:color="auto"/>
                        <w:right w:val="none" w:sz="0" w:space="0" w:color="auto"/>
                      </w:divBdr>
                      <w:divsChild>
                        <w:div w:id="1292633013">
                          <w:marLeft w:val="0"/>
                          <w:marRight w:val="0"/>
                          <w:marTop w:val="0"/>
                          <w:marBottom w:val="0"/>
                          <w:divBdr>
                            <w:top w:val="none" w:sz="0" w:space="0" w:color="auto"/>
                            <w:left w:val="none" w:sz="0" w:space="0" w:color="auto"/>
                            <w:bottom w:val="none" w:sz="0" w:space="0" w:color="auto"/>
                            <w:right w:val="none" w:sz="0" w:space="0" w:color="auto"/>
                          </w:divBdr>
                        </w:div>
                      </w:divsChild>
                    </w:div>
                    <w:div w:id="1340499133">
                      <w:marLeft w:val="0"/>
                      <w:marRight w:val="0"/>
                      <w:marTop w:val="0"/>
                      <w:marBottom w:val="0"/>
                      <w:divBdr>
                        <w:top w:val="none" w:sz="0" w:space="0" w:color="auto"/>
                        <w:left w:val="none" w:sz="0" w:space="0" w:color="auto"/>
                        <w:bottom w:val="none" w:sz="0" w:space="0" w:color="auto"/>
                        <w:right w:val="none" w:sz="0" w:space="0" w:color="auto"/>
                      </w:divBdr>
                      <w:divsChild>
                        <w:div w:id="7336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48213353">
      <w:bodyDiv w:val="1"/>
      <w:marLeft w:val="0"/>
      <w:marRight w:val="0"/>
      <w:marTop w:val="0"/>
      <w:marBottom w:val="0"/>
      <w:divBdr>
        <w:top w:val="none" w:sz="0" w:space="0" w:color="auto"/>
        <w:left w:val="none" w:sz="0" w:space="0" w:color="auto"/>
        <w:bottom w:val="none" w:sz="0" w:space="0" w:color="auto"/>
        <w:right w:val="none" w:sz="0" w:space="0" w:color="auto"/>
      </w:divBdr>
    </w:div>
    <w:div w:id="2049721951">
      <w:bodyDiv w:val="1"/>
      <w:marLeft w:val="0"/>
      <w:marRight w:val="0"/>
      <w:marTop w:val="0"/>
      <w:marBottom w:val="0"/>
      <w:divBdr>
        <w:top w:val="none" w:sz="0" w:space="0" w:color="auto"/>
        <w:left w:val="none" w:sz="0" w:space="0" w:color="auto"/>
        <w:bottom w:val="none" w:sz="0" w:space="0" w:color="auto"/>
        <w:right w:val="none" w:sz="0" w:space="0" w:color="auto"/>
      </w:divBdr>
    </w:div>
    <w:div w:id="2055616728">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081977893">
      <w:bodyDiv w:val="1"/>
      <w:marLeft w:val="0"/>
      <w:marRight w:val="0"/>
      <w:marTop w:val="0"/>
      <w:marBottom w:val="0"/>
      <w:divBdr>
        <w:top w:val="none" w:sz="0" w:space="0" w:color="auto"/>
        <w:left w:val="none" w:sz="0" w:space="0" w:color="auto"/>
        <w:bottom w:val="none" w:sz="0" w:space="0" w:color="auto"/>
        <w:right w:val="none" w:sz="0" w:space="0" w:color="auto"/>
      </w:divBdr>
    </w:div>
    <w:div w:id="2090808207">
      <w:bodyDiv w:val="1"/>
      <w:marLeft w:val="0"/>
      <w:marRight w:val="0"/>
      <w:marTop w:val="0"/>
      <w:marBottom w:val="0"/>
      <w:divBdr>
        <w:top w:val="none" w:sz="0" w:space="0" w:color="auto"/>
        <w:left w:val="none" w:sz="0" w:space="0" w:color="auto"/>
        <w:bottom w:val="none" w:sz="0" w:space="0" w:color="auto"/>
        <w:right w:val="none" w:sz="0" w:space="0" w:color="auto"/>
      </w:divBdr>
    </w:div>
    <w:div w:id="2122912617">
      <w:bodyDiv w:val="1"/>
      <w:marLeft w:val="0"/>
      <w:marRight w:val="0"/>
      <w:marTop w:val="0"/>
      <w:marBottom w:val="0"/>
      <w:divBdr>
        <w:top w:val="none" w:sz="0" w:space="0" w:color="auto"/>
        <w:left w:val="none" w:sz="0" w:space="0" w:color="auto"/>
        <w:bottom w:val="none" w:sz="0" w:space="0" w:color="auto"/>
        <w:right w:val="none" w:sz="0" w:space="0" w:color="auto"/>
      </w:divBdr>
    </w:div>
    <w:div w:id="2124691157">
      <w:bodyDiv w:val="1"/>
      <w:marLeft w:val="0"/>
      <w:marRight w:val="0"/>
      <w:marTop w:val="0"/>
      <w:marBottom w:val="0"/>
      <w:divBdr>
        <w:top w:val="none" w:sz="0" w:space="0" w:color="auto"/>
        <w:left w:val="none" w:sz="0" w:space="0" w:color="auto"/>
        <w:bottom w:val="none" w:sz="0" w:space="0" w:color="auto"/>
        <w:right w:val="none" w:sz="0" w:space="0" w:color="auto"/>
      </w:divBdr>
    </w:div>
    <w:div w:id="2126775798">
      <w:bodyDiv w:val="1"/>
      <w:marLeft w:val="0"/>
      <w:marRight w:val="0"/>
      <w:marTop w:val="0"/>
      <w:marBottom w:val="0"/>
      <w:divBdr>
        <w:top w:val="none" w:sz="0" w:space="0" w:color="auto"/>
        <w:left w:val="none" w:sz="0" w:space="0" w:color="auto"/>
        <w:bottom w:val="none" w:sz="0" w:space="0" w:color="auto"/>
        <w:right w:val="none" w:sz="0" w:space="0" w:color="auto"/>
      </w:divBdr>
      <w:divsChild>
        <w:div w:id="751506560">
          <w:marLeft w:val="0"/>
          <w:marRight w:val="0"/>
          <w:marTop w:val="0"/>
          <w:marBottom w:val="0"/>
          <w:divBdr>
            <w:top w:val="none" w:sz="0" w:space="0" w:color="auto"/>
            <w:left w:val="none" w:sz="0" w:space="0" w:color="auto"/>
            <w:bottom w:val="none" w:sz="0" w:space="0" w:color="auto"/>
            <w:right w:val="none" w:sz="0" w:space="0" w:color="auto"/>
          </w:divBdr>
          <w:divsChild>
            <w:div w:id="1286237153">
              <w:marLeft w:val="0"/>
              <w:marRight w:val="0"/>
              <w:marTop w:val="0"/>
              <w:marBottom w:val="0"/>
              <w:divBdr>
                <w:top w:val="none" w:sz="0" w:space="0" w:color="auto"/>
                <w:left w:val="none" w:sz="0" w:space="0" w:color="auto"/>
                <w:bottom w:val="none" w:sz="0" w:space="0" w:color="auto"/>
                <w:right w:val="none" w:sz="0" w:space="0" w:color="auto"/>
              </w:divBdr>
              <w:divsChild>
                <w:div w:id="2020619860">
                  <w:marLeft w:val="0"/>
                  <w:marRight w:val="0"/>
                  <w:marTop w:val="0"/>
                  <w:marBottom w:val="0"/>
                  <w:divBdr>
                    <w:top w:val="none" w:sz="0" w:space="0" w:color="auto"/>
                    <w:left w:val="none" w:sz="0" w:space="0" w:color="auto"/>
                    <w:bottom w:val="none" w:sz="0" w:space="0" w:color="auto"/>
                    <w:right w:val="none" w:sz="0" w:space="0" w:color="auto"/>
                  </w:divBdr>
                  <w:divsChild>
                    <w:div w:id="963922534">
                      <w:marLeft w:val="0"/>
                      <w:marRight w:val="0"/>
                      <w:marTop w:val="0"/>
                      <w:marBottom w:val="0"/>
                      <w:divBdr>
                        <w:top w:val="none" w:sz="0" w:space="0" w:color="auto"/>
                        <w:left w:val="none" w:sz="0" w:space="0" w:color="auto"/>
                        <w:bottom w:val="none" w:sz="0" w:space="0" w:color="auto"/>
                        <w:right w:val="none" w:sz="0" w:space="0" w:color="auto"/>
                      </w:divBdr>
                      <w:divsChild>
                        <w:div w:id="1045524142">
                          <w:marLeft w:val="0"/>
                          <w:marRight w:val="0"/>
                          <w:marTop w:val="0"/>
                          <w:marBottom w:val="0"/>
                          <w:divBdr>
                            <w:top w:val="none" w:sz="0" w:space="0" w:color="auto"/>
                            <w:left w:val="none" w:sz="0" w:space="0" w:color="auto"/>
                            <w:bottom w:val="none" w:sz="0" w:space="0" w:color="auto"/>
                            <w:right w:val="none" w:sz="0" w:space="0" w:color="auto"/>
                          </w:divBdr>
                        </w:div>
                      </w:divsChild>
                    </w:div>
                    <w:div w:id="1017006439">
                      <w:marLeft w:val="0"/>
                      <w:marRight w:val="0"/>
                      <w:marTop w:val="0"/>
                      <w:marBottom w:val="0"/>
                      <w:divBdr>
                        <w:top w:val="none" w:sz="0" w:space="0" w:color="auto"/>
                        <w:left w:val="none" w:sz="0" w:space="0" w:color="auto"/>
                        <w:bottom w:val="none" w:sz="0" w:space="0" w:color="auto"/>
                        <w:right w:val="none" w:sz="0" w:space="0" w:color="auto"/>
                      </w:divBdr>
                      <w:divsChild>
                        <w:div w:id="57436417">
                          <w:marLeft w:val="0"/>
                          <w:marRight w:val="0"/>
                          <w:marTop w:val="0"/>
                          <w:marBottom w:val="0"/>
                          <w:divBdr>
                            <w:top w:val="none" w:sz="0" w:space="0" w:color="auto"/>
                            <w:left w:val="none" w:sz="0" w:space="0" w:color="auto"/>
                            <w:bottom w:val="none" w:sz="0" w:space="0" w:color="auto"/>
                            <w:right w:val="none" w:sz="0" w:space="0" w:color="auto"/>
                          </w:divBdr>
                        </w:div>
                        <w:div w:id="1763409547">
                          <w:marLeft w:val="0"/>
                          <w:marRight w:val="0"/>
                          <w:marTop w:val="0"/>
                          <w:marBottom w:val="0"/>
                          <w:divBdr>
                            <w:top w:val="none" w:sz="0" w:space="0" w:color="auto"/>
                            <w:left w:val="none" w:sz="0" w:space="0" w:color="auto"/>
                            <w:bottom w:val="none" w:sz="0" w:space="0" w:color="auto"/>
                            <w:right w:val="none" w:sz="0" w:space="0" w:color="auto"/>
                          </w:divBdr>
                        </w:div>
                        <w:div w:id="2105563442">
                          <w:marLeft w:val="0"/>
                          <w:marRight w:val="0"/>
                          <w:marTop w:val="0"/>
                          <w:marBottom w:val="0"/>
                          <w:divBdr>
                            <w:top w:val="none" w:sz="0" w:space="0" w:color="auto"/>
                            <w:left w:val="none" w:sz="0" w:space="0" w:color="auto"/>
                            <w:bottom w:val="none" w:sz="0" w:space="0" w:color="auto"/>
                            <w:right w:val="none" w:sz="0" w:space="0" w:color="auto"/>
                          </w:divBdr>
                        </w:div>
                      </w:divsChild>
                    </w:div>
                    <w:div w:id="1651473910">
                      <w:marLeft w:val="0"/>
                      <w:marRight w:val="0"/>
                      <w:marTop w:val="0"/>
                      <w:marBottom w:val="0"/>
                      <w:divBdr>
                        <w:top w:val="none" w:sz="0" w:space="0" w:color="auto"/>
                        <w:left w:val="none" w:sz="0" w:space="0" w:color="auto"/>
                        <w:bottom w:val="none" w:sz="0" w:space="0" w:color="auto"/>
                        <w:right w:val="none" w:sz="0" w:space="0" w:color="auto"/>
                      </w:divBdr>
                      <w:divsChild>
                        <w:div w:id="1014921927">
                          <w:marLeft w:val="0"/>
                          <w:marRight w:val="0"/>
                          <w:marTop w:val="0"/>
                          <w:marBottom w:val="0"/>
                          <w:divBdr>
                            <w:top w:val="none" w:sz="0" w:space="0" w:color="auto"/>
                            <w:left w:val="none" w:sz="0" w:space="0" w:color="auto"/>
                            <w:bottom w:val="none" w:sz="0" w:space="0" w:color="auto"/>
                            <w:right w:val="none" w:sz="0" w:space="0" w:color="auto"/>
                          </w:divBdr>
                        </w:div>
                      </w:divsChild>
                    </w:div>
                    <w:div w:id="1742948968">
                      <w:marLeft w:val="0"/>
                      <w:marRight w:val="0"/>
                      <w:marTop w:val="0"/>
                      <w:marBottom w:val="0"/>
                      <w:divBdr>
                        <w:top w:val="none" w:sz="0" w:space="0" w:color="auto"/>
                        <w:left w:val="none" w:sz="0" w:space="0" w:color="auto"/>
                        <w:bottom w:val="none" w:sz="0" w:space="0" w:color="auto"/>
                        <w:right w:val="none" w:sz="0" w:space="0" w:color="auto"/>
                      </w:divBdr>
                      <w:divsChild>
                        <w:div w:id="25444719">
                          <w:marLeft w:val="0"/>
                          <w:marRight w:val="0"/>
                          <w:marTop w:val="0"/>
                          <w:marBottom w:val="0"/>
                          <w:divBdr>
                            <w:top w:val="none" w:sz="0" w:space="0" w:color="auto"/>
                            <w:left w:val="none" w:sz="0" w:space="0" w:color="auto"/>
                            <w:bottom w:val="none" w:sz="0" w:space="0" w:color="auto"/>
                            <w:right w:val="none" w:sz="0" w:space="0" w:color="auto"/>
                          </w:divBdr>
                        </w:div>
                      </w:divsChild>
                    </w:div>
                    <w:div w:id="1800027512">
                      <w:marLeft w:val="0"/>
                      <w:marRight w:val="0"/>
                      <w:marTop w:val="0"/>
                      <w:marBottom w:val="0"/>
                      <w:divBdr>
                        <w:top w:val="none" w:sz="0" w:space="0" w:color="auto"/>
                        <w:left w:val="none" w:sz="0" w:space="0" w:color="auto"/>
                        <w:bottom w:val="none" w:sz="0" w:space="0" w:color="auto"/>
                        <w:right w:val="none" w:sz="0" w:space="0" w:color="auto"/>
                      </w:divBdr>
                      <w:divsChild>
                        <w:div w:id="3579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275712">
              <w:marLeft w:val="0"/>
              <w:marRight w:val="0"/>
              <w:marTop w:val="0"/>
              <w:marBottom w:val="0"/>
              <w:divBdr>
                <w:top w:val="none" w:sz="0" w:space="0" w:color="auto"/>
                <w:left w:val="none" w:sz="0" w:space="0" w:color="auto"/>
                <w:bottom w:val="none" w:sz="0" w:space="0" w:color="auto"/>
                <w:right w:val="none" w:sz="0" w:space="0" w:color="auto"/>
              </w:divBdr>
              <w:divsChild>
                <w:div w:id="24138994">
                  <w:marLeft w:val="0"/>
                  <w:marRight w:val="0"/>
                  <w:marTop w:val="0"/>
                  <w:marBottom w:val="0"/>
                  <w:divBdr>
                    <w:top w:val="none" w:sz="0" w:space="0" w:color="auto"/>
                    <w:left w:val="none" w:sz="0" w:space="0" w:color="auto"/>
                    <w:bottom w:val="none" w:sz="0" w:space="0" w:color="auto"/>
                    <w:right w:val="none" w:sz="0" w:space="0" w:color="auto"/>
                  </w:divBdr>
                </w:div>
                <w:div w:id="234127137">
                  <w:marLeft w:val="0"/>
                  <w:marRight w:val="0"/>
                  <w:marTop w:val="0"/>
                  <w:marBottom w:val="0"/>
                  <w:divBdr>
                    <w:top w:val="none" w:sz="0" w:space="0" w:color="auto"/>
                    <w:left w:val="none" w:sz="0" w:space="0" w:color="auto"/>
                    <w:bottom w:val="none" w:sz="0" w:space="0" w:color="auto"/>
                    <w:right w:val="none" w:sz="0" w:space="0" w:color="auto"/>
                  </w:divBdr>
                </w:div>
                <w:div w:id="901675606">
                  <w:marLeft w:val="0"/>
                  <w:marRight w:val="0"/>
                  <w:marTop w:val="0"/>
                  <w:marBottom w:val="0"/>
                  <w:divBdr>
                    <w:top w:val="none" w:sz="0" w:space="0" w:color="auto"/>
                    <w:left w:val="none" w:sz="0" w:space="0" w:color="auto"/>
                    <w:bottom w:val="none" w:sz="0" w:space="0" w:color="auto"/>
                    <w:right w:val="none" w:sz="0" w:space="0" w:color="auto"/>
                  </w:divBdr>
                </w:div>
                <w:div w:id="1193346308">
                  <w:marLeft w:val="0"/>
                  <w:marRight w:val="0"/>
                  <w:marTop w:val="0"/>
                  <w:marBottom w:val="0"/>
                  <w:divBdr>
                    <w:top w:val="none" w:sz="0" w:space="0" w:color="auto"/>
                    <w:left w:val="none" w:sz="0" w:space="0" w:color="auto"/>
                    <w:bottom w:val="none" w:sz="0" w:space="0" w:color="auto"/>
                    <w:right w:val="none" w:sz="0" w:space="0" w:color="auto"/>
                  </w:divBdr>
                </w:div>
                <w:div w:id="1334718682">
                  <w:marLeft w:val="0"/>
                  <w:marRight w:val="0"/>
                  <w:marTop w:val="0"/>
                  <w:marBottom w:val="0"/>
                  <w:divBdr>
                    <w:top w:val="none" w:sz="0" w:space="0" w:color="auto"/>
                    <w:left w:val="none" w:sz="0" w:space="0" w:color="auto"/>
                    <w:bottom w:val="none" w:sz="0" w:space="0" w:color="auto"/>
                    <w:right w:val="none" w:sz="0" w:space="0" w:color="auto"/>
                  </w:divBdr>
                </w:div>
                <w:div w:id="1691373746">
                  <w:marLeft w:val="0"/>
                  <w:marRight w:val="0"/>
                  <w:marTop w:val="0"/>
                  <w:marBottom w:val="0"/>
                  <w:divBdr>
                    <w:top w:val="none" w:sz="0" w:space="0" w:color="auto"/>
                    <w:left w:val="none" w:sz="0" w:space="0" w:color="auto"/>
                    <w:bottom w:val="none" w:sz="0" w:space="0" w:color="auto"/>
                    <w:right w:val="none" w:sz="0" w:space="0" w:color="auto"/>
                  </w:divBdr>
                </w:div>
                <w:div w:id="18732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6.xml"/><Relationship Id="rId21" Type="http://schemas.openxmlformats.org/officeDocument/2006/relationships/image" Target="media/image9.png"/><Relationship Id="rId42" Type="http://schemas.openxmlformats.org/officeDocument/2006/relationships/image" Target="media/image26.png"/><Relationship Id="rId63" Type="http://schemas.openxmlformats.org/officeDocument/2006/relationships/chart" Target="charts/chart10.xml"/><Relationship Id="rId84" Type="http://schemas.openxmlformats.org/officeDocument/2006/relationships/hyperlink" Target="https://www.gaz-system.pl/pl/system-przesylowy/rozwoj-systemu-przesylowego/krajowe-plany-rozwoju.html" TargetMode="External"/><Relationship Id="rId138" Type="http://schemas.openxmlformats.org/officeDocument/2006/relationships/hyperlink" Target="https://eur-lex.europa.eu/legal-content/EN/TXT/?uri=CELEX:32022L2555" TargetMode="External"/><Relationship Id="rId159" Type="http://schemas.openxmlformats.org/officeDocument/2006/relationships/hyperlink" Target="https://eur-lex.europa.eu/legal-content/PL/TXT/?uri=CELEX:32023R1805" TargetMode="External"/><Relationship Id="rId170" Type="http://schemas.openxmlformats.org/officeDocument/2006/relationships/header" Target="header20.xml"/><Relationship Id="rId107"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image" Target="media/image20.png"/><Relationship Id="rId53" Type="http://schemas.openxmlformats.org/officeDocument/2006/relationships/chart" Target="charts/chart3.xml"/><Relationship Id="rId74" Type="http://schemas.openxmlformats.org/officeDocument/2006/relationships/image" Target="media/image36.jpeg"/><Relationship Id="rId128" Type="http://schemas.openxmlformats.org/officeDocument/2006/relationships/hyperlink" Target="https://eur-lex.europa.eu/legal-content/PL/ALL/?uri=CELEX%3A32006L0066" TargetMode="External"/><Relationship Id="rId149" Type="http://schemas.openxmlformats.org/officeDocument/2006/relationships/hyperlink" Target="https://eur-lex.europa.eu/legal-content/PL/ALL/?uri=CELEX%3A32019R1842" TargetMode="External"/><Relationship Id="rId5" Type="http://schemas.openxmlformats.org/officeDocument/2006/relationships/numbering" Target="numbering.xml"/><Relationship Id="rId95" Type="http://schemas.openxmlformats.org/officeDocument/2006/relationships/chart" Target="charts/chart19.xml"/><Relationship Id="rId160" Type="http://schemas.openxmlformats.org/officeDocument/2006/relationships/hyperlink" Target="https://eur-lex.europa.eu/eli/reg/2023/955/oj" TargetMode="External"/><Relationship Id="rId22" Type="http://schemas.openxmlformats.org/officeDocument/2006/relationships/image" Target="media/image10.png"/><Relationship Id="rId43" Type="http://schemas.openxmlformats.org/officeDocument/2006/relationships/image" Target="media/image27.png"/><Relationship Id="rId64" Type="http://schemas.openxmlformats.org/officeDocument/2006/relationships/chart" Target="charts/chart11.xml"/><Relationship Id="rId118" Type="http://schemas.openxmlformats.org/officeDocument/2006/relationships/header" Target="header17.xml"/><Relationship Id="rId139" Type="http://schemas.openxmlformats.org/officeDocument/2006/relationships/hyperlink" Target="https://eur-lex.europa.eu/legal-content/PL/TXT/?uri=CELEX:32023L0958" TargetMode="External"/><Relationship Id="rId85" Type="http://schemas.openxmlformats.org/officeDocument/2006/relationships/hyperlink" Target="https://www.gov.pl/web/klimat/plan-dzialan-zapobiegawczych" TargetMode="External"/><Relationship Id="rId150" Type="http://schemas.openxmlformats.org/officeDocument/2006/relationships/hyperlink" Target="https://eur-lex.europa.eu/legal-content/pl/TXT/?uri=CELEX%3A32019R0331" TargetMode="External"/><Relationship Id="rId171" Type="http://schemas.openxmlformats.org/officeDocument/2006/relationships/header" Target="header21.xml"/><Relationship Id="rId12" Type="http://schemas.openxmlformats.org/officeDocument/2006/relationships/image" Target="media/image2.jpeg"/><Relationship Id="rId33" Type="http://schemas.openxmlformats.org/officeDocument/2006/relationships/image" Target="media/image21.png"/><Relationship Id="rId108" Type="http://schemas.openxmlformats.org/officeDocument/2006/relationships/hyperlink" Target="https://www.gov.pl/web/uzp/publikacje-z-obszaru-zzp" TargetMode="External"/><Relationship Id="rId129" Type="http://schemas.openxmlformats.org/officeDocument/2006/relationships/hyperlink" Target="https://eur-lex.europa.eu/legal-content/PL/TXT/?uri=CELEX%3A32008L0098" TargetMode="External"/><Relationship Id="rId54" Type="http://schemas.openxmlformats.org/officeDocument/2006/relationships/chart" Target="charts/chart4.xml"/><Relationship Id="rId75" Type="http://schemas.openxmlformats.org/officeDocument/2006/relationships/chart" Target="charts/chart12.xml"/><Relationship Id="rId96" Type="http://schemas.openxmlformats.org/officeDocument/2006/relationships/hyperlink" Target="https://funduszeuedolnoslaskie.pl/node/3884" TargetMode="External"/><Relationship Id="rId140" Type="http://schemas.openxmlformats.org/officeDocument/2006/relationships/hyperlink" Target="https://eur-lex.europa.eu/legal-content/PL/TXT/?uri=CELEX%3A32023L0959" TargetMode="External"/><Relationship Id="rId161" Type="http://schemas.openxmlformats.org/officeDocument/2006/relationships/hyperlink" Target="https://eur-lex.europa.eu/legal-content/PL/TXT/PDF/?uri=CELEX:32023R0957"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svg"/><Relationship Id="rId49" Type="http://schemas.openxmlformats.org/officeDocument/2006/relationships/image" Target="media/image32.png"/><Relationship Id="rId114" Type="http://schemas.openxmlformats.org/officeDocument/2006/relationships/header" Target="header13.xml"/><Relationship Id="rId119" Type="http://schemas.openxmlformats.org/officeDocument/2006/relationships/header" Target="header18.xml"/><Relationship Id="rId44" Type="http://schemas.openxmlformats.org/officeDocument/2006/relationships/image" Target="media/image25.png"/><Relationship Id="rId60" Type="http://schemas.openxmlformats.org/officeDocument/2006/relationships/hyperlink" Target="https://www.gov.pl/web/infrastruktura/program-bezpiecznej-infrastruktury-drogowej-na-lata-2021-2024" TargetMode="External"/><Relationship Id="rId65" Type="http://schemas.openxmlformats.org/officeDocument/2006/relationships/hyperlink" Target="https://www.gov.pl/web/rolnictwo/plan-strategiczny-dla-wspolnej-polityki-rolnej-na-lata-2023-27" TargetMode="External"/><Relationship Id="rId81" Type="http://schemas.openxmlformats.org/officeDocument/2006/relationships/image" Target="media/image37.jpeg"/><Relationship Id="rId86" Type="http://schemas.openxmlformats.org/officeDocument/2006/relationships/hyperlink" Target="https://www.gov.pl/web/klimat/plany-na-wypadek-sytuacji-nadzwyczajnej" TargetMode="External"/><Relationship Id="rId130" Type="http://schemas.openxmlformats.org/officeDocument/2006/relationships/hyperlink" Target="https://eur-lex.europa.eu/legal-content/PL/TXT/?uri=CELEX:32009L0125" TargetMode="External"/><Relationship Id="rId135" Type="http://schemas.openxmlformats.org/officeDocument/2006/relationships/hyperlink" Target="https://eur-lex.europa.eu/legal-content/PL/ALL/?uri=CELEX%3A32019L0944" TargetMode="External"/><Relationship Id="rId151" Type="http://schemas.openxmlformats.org/officeDocument/2006/relationships/hyperlink" Target="https://eur-lex.europa.eu/legal-content/PL/ALL/?uri=CELEX:32021R1119" TargetMode="External"/><Relationship Id="rId156" Type="http://schemas.openxmlformats.org/officeDocument/2006/relationships/hyperlink" Target="https://eur-lex.europa.eu/legal-content/PL/TXT/?uri=CELEX%3A32023R1804" TargetMode="External"/><Relationship Id="rId172" Type="http://schemas.openxmlformats.org/officeDocument/2006/relationships/header" Target="header22.xml"/><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4.jpg"/><Relationship Id="rId109" Type="http://schemas.openxmlformats.org/officeDocument/2006/relationships/header" Target="header8.xml"/><Relationship Id="rId34" Type="http://schemas.openxmlformats.org/officeDocument/2006/relationships/image" Target="media/image22.png"/><Relationship Id="rId50" Type="http://schemas.openxmlformats.org/officeDocument/2006/relationships/image" Target="media/image33.png"/><Relationship Id="rId55" Type="http://schemas.openxmlformats.org/officeDocument/2006/relationships/chart" Target="charts/chart5.xml"/><Relationship Id="rId76" Type="http://schemas.openxmlformats.org/officeDocument/2006/relationships/chart" Target="charts/chart13.xml"/><Relationship Id="rId97" Type="http://schemas.openxmlformats.org/officeDocument/2006/relationships/hyperlink" Target="https://funduszeue.lodzkie.pl/dokumenty/terytorialny-plan-sprawiedliwej-transformacji-wojewodztwa-lodzkiego" TargetMode="External"/><Relationship Id="rId104" Type="http://schemas.openxmlformats.org/officeDocument/2006/relationships/header" Target="header5.xml"/><Relationship Id="rId120" Type="http://schemas.openxmlformats.org/officeDocument/2006/relationships/header" Target="header19.xml"/><Relationship Id="rId125" Type="http://schemas.openxmlformats.org/officeDocument/2006/relationships/hyperlink" Target="https://eur-lex.europa.eu/legal-content/PL/TXT/PDF/?uri=CELEX:02000L0053-20200306&amp;from=EN" TargetMode="External"/><Relationship Id="rId141" Type="http://schemas.openxmlformats.org/officeDocument/2006/relationships/hyperlink" Target="https://eur-lex.europa.eu/legal-content/EN/TXT/?uri=OJ%3AJOL_2023_231_R_0001&amp;qid=1695186598766" TargetMode="External"/><Relationship Id="rId146" Type="http://schemas.openxmlformats.org/officeDocument/2006/relationships/hyperlink" Target="https://eur-lex.europa.eu/eli/reg/2017/1369/oj?locale=pl" TargetMode="External"/><Relationship Id="rId167" Type="http://schemas.openxmlformats.org/officeDocument/2006/relationships/hyperlink" Target="https://eur-lex.europa.eu/legal-content/PL/ALL/?uri=OJ:L_202401991" TargetMode="External"/><Relationship Id="rId7" Type="http://schemas.openxmlformats.org/officeDocument/2006/relationships/settings" Target="settings.xml"/><Relationship Id="rId71" Type="http://schemas.openxmlformats.org/officeDocument/2006/relationships/hyperlink" Target="https://www.gov.pl/web/klimat/polityka-surowcowa-panstwa" TargetMode="External"/><Relationship Id="rId92" Type="http://schemas.openxmlformats.org/officeDocument/2006/relationships/image" Target="media/image39.jpeg"/><Relationship Id="rId162" Type="http://schemas.openxmlformats.org/officeDocument/2006/relationships/hyperlink" Target="https://eur-lex.europa.eu/legal-content/PL/TXT/?uri=CELEX%3A32024R1252"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chart" Target="charts/chart1.xml"/><Relationship Id="rId45" Type="http://schemas.openxmlformats.org/officeDocument/2006/relationships/image" Target="media/image28.png"/><Relationship Id="rId66" Type="http://schemas.openxmlformats.org/officeDocument/2006/relationships/hyperlink" Target="https://www.gov.pl/web/rolnictwo/krajowy-program-ograniczania-zanieczyszczenia-powietrza-kpozp" TargetMode="External"/><Relationship Id="rId87" Type="http://schemas.openxmlformats.org/officeDocument/2006/relationships/hyperlink" Target="https://www.gov.pl/web/klimat/polska-strategia-wodorowa-do-roku-2030" TargetMode="External"/><Relationship Id="rId110" Type="http://schemas.openxmlformats.org/officeDocument/2006/relationships/header" Target="header9.xml"/><Relationship Id="rId115" Type="http://schemas.openxmlformats.org/officeDocument/2006/relationships/header" Target="header14.xml"/><Relationship Id="rId131" Type="http://schemas.openxmlformats.org/officeDocument/2006/relationships/hyperlink" Target="https://eur-lex.europa.eu/eli/dir/2012/19/oj/pol" TargetMode="External"/><Relationship Id="rId136" Type="http://schemas.openxmlformats.org/officeDocument/2006/relationships/hyperlink" Target="https://eur-lex.europa.eu/legal-content/pl/TXT/?uri=CELEX%3A32019L1161" TargetMode="External"/><Relationship Id="rId157" Type="http://schemas.openxmlformats.org/officeDocument/2006/relationships/hyperlink" Target="https://eur-lex.europa.eu/legal-content/PL/TXT/?uri=CELEX%3A32023R1542" TargetMode="External"/><Relationship Id="rId61" Type="http://schemas.openxmlformats.org/officeDocument/2006/relationships/hyperlink" Target="https://www.gov.pl/web/infrastruktura/program-wzmocnienia-krajowej-sieci-drogowej-do-2030-roku" TargetMode="External"/><Relationship Id="rId82" Type="http://schemas.openxmlformats.org/officeDocument/2006/relationships/image" Target="media/image38.png"/><Relationship Id="rId152" Type="http://schemas.openxmlformats.org/officeDocument/2006/relationships/hyperlink" Target="https://eur-lex.europa.eu/legal-content/PL/TXT/?uri=celex%3A32022R0869" TargetMode="External"/><Relationship Id="rId173"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header" Target="header2.xml"/><Relationship Id="rId56" Type="http://schemas.openxmlformats.org/officeDocument/2006/relationships/chart" Target="charts/chart6.xml"/><Relationship Id="rId77" Type="http://schemas.openxmlformats.org/officeDocument/2006/relationships/chart" Target="charts/chart14.xml"/><Relationship Id="rId100" Type="http://schemas.openxmlformats.org/officeDocument/2006/relationships/hyperlink" Target="https://www.google.com/url?sa=t&amp;rct=j&amp;q=&amp;esrc=s&amp;source=web&amp;cd=&amp;ved=2ahUKEwjjv_m62YKEAxUrcvEDHSTfAv8QFnoECBUQAQ&amp;url=https%3A%2F%2Fwww.gov.pl%2Fattachment%2Fc47d37f9-eaab-4701-adce-84cf7585013e&amp;usg=AOvVaw2uJ-E74aZcX0eidoeVftEj&amp;opi=89978449" TargetMode="External"/><Relationship Id="rId105" Type="http://schemas.openxmlformats.org/officeDocument/2006/relationships/header" Target="header6.xml"/><Relationship Id="rId126" Type="http://schemas.openxmlformats.org/officeDocument/2006/relationships/hyperlink" Target="https://eur-lex.europa.eu/legal-content/PL/TXT/?uri=celex%3A32000L0060" TargetMode="External"/><Relationship Id="rId147" Type="http://schemas.openxmlformats.org/officeDocument/2006/relationships/hyperlink" Target="https://eur-lex.europa.eu/legal-content/PL/ALL/?uri=CELEX%3A32018R0841" TargetMode="External"/><Relationship Id="rId168" Type="http://schemas.openxmlformats.org/officeDocument/2006/relationships/hyperlink" Target="https://eur-lex.europa.eu/legal-content/PL/ALL/?uri=CELEX:32024R3012" TargetMode="Externa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hyperlink" Target="https://bip.mos.gov.pl/strategie-plany-programy/strategiczny-plan-adaptacji-2020/" TargetMode="External"/><Relationship Id="rId93" Type="http://schemas.openxmlformats.org/officeDocument/2006/relationships/hyperlink" Target="https://dane.gov.pl/pl/dataset/2160,ubostwo-energetyczne-wskazniki/resource/58591/table" TargetMode="External"/><Relationship Id="rId98" Type="http://schemas.openxmlformats.org/officeDocument/2006/relationships/hyperlink" Target="https://arrtransformacja.org.pl/tpstww/" TargetMode="External"/><Relationship Id="rId121" Type="http://schemas.openxmlformats.org/officeDocument/2006/relationships/hyperlink" Target="https://energy.ec.europa.eu/topics/international-cooperation/international-organisations-and-initiatives/energy-community_en" TargetMode="External"/><Relationship Id="rId142" Type="http://schemas.openxmlformats.org/officeDocument/2006/relationships/hyperlink" Target="https://eur-lex.europa.eu/legal-content/EN/TXT/?uri=CELEX%3A32023L2413&amp;qid=1699364355105" TargetMode="External"/><Relationship Id="rId163" Type="http://schemas.openxmlformats.org/officeDocument/2006/relationships/hyperlink" Target="https://eur-lex.europa.eu/eli/reg/2024/1679/oj/eng" TargetMode="Externa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29.png"/><Relationship Id="rId67" Type="http://schemas.openxmlformats.org/officeDocument/2006/relationships/hyperlink" Target="https://isap.sejm.gov.pl/isap.nsf/DocDetails.xsp?id=WMP20210001200" TargetMode="External"/><Relationship Id="rId116" Type="http://schemas.openxmlformats.org/officeDocument/2006/relationships/header" Target="header15.xml"/><Relationship Id="rId137" Type="http://schemas.openxmlformats.org/officeDocument/2006/relationships/hyperlink" Target="https://eur-lex.europa.eu/legal-content/PL/TXT/?uri=CELEX%3A32020L2184" TargetMode="External"/><Relationship Id="rId158" Type="http://schemas.openxmlformats.org/officeDocument/2006/relationships/hyperlink" Target="https://eur-lex.europa.eu/legal-content/PL/TXT/?uri=CELEX:32023R2405&amp;qid=1701689763262" TargetMode="External"/><Relationship Id="rId20" Type="http://schemas.openxmlformats.org/officeDocument/2006/relationships/image" Target="media/image8.png"/><Relationship Id="rId41" Type="http://schemas.openxmlformats.org/officeDocument/2006/relationships/chart" Target="charts/chart2.xml"/><Relationship Id="rId62" Type="http://schemas.openxmlformats.org/officeDocument/2006/relationships/hyperlink" Target="https://www.gov.pl/web/infrastruktura/polityka-rozwoju-lotnictwa-cywilnego-w-polsce-do-2030-r-z-perspektywa-do-2040-r" TargetMode="External"/><Relationship Id="rId83" Type="http://schemas.openxmlformats.org/officeDocument/2006/relationships/image" Target="media/image39.png"/><Relationship Id="rId88" Type="http://schemas.openxmlformats.org/officeDocument/2006/relationships/hyperlink" Target="https://www.gov.pl/web/polski-atom/program-polskiej-energetyki-jadrowej" TargetMode="External"/><Relationship Id="rId111" Type="http://schemas.openxmlformats.org/officeDocument/2006/relationships/header" Target="header10.xml"/><Relationship Id="rId132" Type="http://schemas.openxmlformats.org/officeDocument/2006/relationships/hyperlink" Target="https://eur-lex.europa.eu/legal-content/PL/TXT/?uri=CELEX%3A32016L2284" TargetMode="External"/><Relationship Id="rId153" Type="http://schemas.openxmlformats.org/officeDocument/2006/relationships/hyperlink" Target="https://eur-lex.europa.eu/legal-content/PL/TXT/?uri=CELEX:32022R2299" TargetMode="External"/><Relationship Id="rId174" Type="http://schemas.openxmlformats.org/officeDocument/2006/relationships/theme" Target="theme/theme1.xml"/><Relationship Id="rId15" Type="http://schemas.openxmlformats.org/officeDocument/2006/relationships/image" Target="media/image3.png"/><Relationship Id="rId36" Type="http://schemas.openxmlformats.org/officeDocument/2006/relationships/header" Target="header3.xml"/><Relationship Id="rId57" Type="http://schemas.openxmlformats.org/officeDocument/2006/relationships/chart" Target="charts/chart7.xml"/><Relationship Id="rId106" Type="http://schemas.openxmlformats.org/officeDocument/2006/relationships/header" Target="header7.xml"/><Relationship Id="rId127" Type="http://schemas.openxmlformats.org/officeDocument/2006/relationships/hyperlink" Target="https://eur-lex.europa.eu/legal-content/PL/TXT/?uri=CELEX:32004L0107" TargetMode="Externa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5.png"/><Relationship Id="rId73" Type="http://schemas.openxmlformats.org/officeDocument/2006/relationships/hyperlink" Target="https://www.gov.pl/web/fundusze-regiony/polityka-miejska" TargetMode="External"/><Relationship Id="rId78" Type="http://schemas.openxmlformats.org/officeDocument/2006/relationships/hyperlink" Target="https://www.gov.pl/web/klimat/efektywnosc-energetyczna" TargetMode="External"/><Relationship Id="rId94" Type="http://schemas.openxmlformats.org/officeDocument/2006/relationships/chart" Target="charts/chart18.xml"/><Relationship Id="rId99" Type="http://schemas.openxmlformats.org/officeDocument/2006/relationships/image" Target="media/image40.jpeg"/><Relationship Id="rId101" Type="http://schemas.openxmlformats.org/officeDocument/2006/relationships/image" Target="media/image41.jpeg"/><Relationship Id="rId122" Type="http://schemas.openxmlformats.org/officeDocument/2006/relationships/hyperlink" Target="https://eur-lex.europa.eu/legal-content/PL/TXT/PDF/?uri=CELEX:01994L0062-20180704&amp;from=RO" TargetMode="External"/><Relationship Id="rId143" Type="http://schemas.openxmlformats.org/officeDocument/2006/relationships/hyperlink" Target="https://eur-lex.europa.eu/legal-content/PL/TXT/?uri=CELEX%3A32024L1275&amp;qid=1723469223172" TargetMode="External"/><Relationship Id="rId148" Type="http://schemas.openxmlformats.org/officeDocument/2006/relationships/hyperlink" Target="https://eur-lex.europa.eu/eli/reg/2018/1999/oj?locale=pl" TargetMode="External"/><Relationship Id="rId164" Type="http://schemas.openxmlformats.org/officeDocument/2006/relationships/hyperlink" Target="https://eur-lex.europa.eu/eli/reg/2024/1735" TargetMode="External"/><Relationship Id="rId169" Type="http://schemas.openxmlformats.org/officeDocument/2006/relationships/hyperlink" Target="https://eur-lex.europa.eu/legal-content/PL/ALL/?uri=CELEX%3A52019DC0640"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 Id="rId47" Type="http://schemas.openxmlformats.org/officeDocument/2006/relationships/image" Target="media/image30.png"/><Relationship Id="rId68" Type="http://schemas.openxmlformats.org/officeDocument/2006/relationships/hyperlink" Target="https://isap.sejm.gov.pl/isap.nsf/DocDetails.xsp?id=WMP20230000503" TargetMode="External"/><Relationship Id="rId89" Type="http://schemas.openxmlformats.org/officeDocument/2006/relationships/chart" Target="charts/chart16.xml"/><Relationship Id="rId112" Type="http://schemas.openxmlformats.org/officeDocument/2006/relationships/header" Target="header11.xml"/><Relationship Id="rId133" Type="http://schemas.openxmlformats.org/officeDocument/2006/relationships/hyperlink" Target="https://eur-lex.europa.eu/legal-content/PL/TXT/?uri=celex%3A32018L2001" TargetMode="External"/><Relationship Id="rId154" Type="http://schemas.openxmlformats.org/officeDocument/2006/relationships/hyperlink" Target="https://eur-lex.europa.eu/legal-content/PL/TXT/?uri=CELEX%3A32023R0839" TargetMode="External"/><Relationship Id="rId16" Type="http://schemas.openxmlformats.org/officeDocument/2006/relationships/image" Target="media/image4.png"/><Relationship Id="rId37" Type="http://schemas.openxmlformats.org/officeDocument/2006/relationships/header" Target="header4.xml"/><Relationship Id="rId58" Type="http://schemas.openxmlformats.org/officeDocument/2006/relationships/chart" Target="charts/chart8.xml"/><Relationship Id="rId79" Type="http://schemas.openxmlformats.org/officeDocument/2006/relationships/chart" Target="charts/chart15.xml"/><Relationship Id="rId102" Type="http://schemas.openxmlformats.org/officeDocument/2006/relationships/image" Target="media/image42.png"/><Relationship Id="rId123" Type="http://schemas.openxmlformats.org/officeDocument/2006/relationships/hyperlink" Target="https://eur-lex.europa.eu/legal-content/PL/TXT/PDF/?uri=OJ:L_202500040" TargetMode="External"/><Relationship Id="rId144" Type="http://schemas.openxmlformats.org/officeDocument/2006/relationships/hyperlink" Target="https://eur-lex.europa.eu/eli/dir/2024/1788/oj" TargetMode="External"/><Relationship Id="rId90" Type="http://schemas.openxmlformats.org/officeDocument/2006/relationships/chart" Target="charts/chart17.xml"/><Relationship Id="rId165" Type="http://schemas.openxmlformats.org/officeDocument/2006/relationships/hyperlink" Target="https://eur-lex.europa.eu/eli/reg/2024/1787" TargetMode="External"/><Relationship Id="rId27" Type="http://schemas.openxmlformats.org/officeDocument/2006/relationships/image" Target="media/image15.png"/><Relationship Id="rId48" Type="http://schemas.openxmlformats.org/officeDocument/2006/relationships/image" Target="media/image31.png"/><Relationship Id="rId69" Type="http://schemas.openxmlformats.org/officeDocument/2006/relationships/hyperlink" Target="https://isap.sejm.gov.pl/isap.nsf/DocDetails.xsp?id=WDU20230000244" TargetMode="External"/><Relationship Id="rId113" Type="http://schemas.openxmlformats.org/officeDocument/2006/relationships/header" Target="header12.xml"/><Relationship Id="rId134" Type="http://schemas.openxmlformats.org/officeDocument/2006/relationships/hyperlink" Target="https://eur-lex.europa.eu/legal-content/PL/ALL/?uri=CELEX:32019L0904" TargetMode="External"/><Relationship Id="rId80" Type="http://schemas.openxmlformats.org/officeDocument/2006/relationships/hyperlink" Target="https://www.gov.pl/web/rozwoj-technologia/Dlugoterminowa-strategia-renowacji-budynkow" TargetMode="External"/><Relationship Id="rId155" Type="http://schemas.openxmlformats.org/officeDocument/2006/relationships/hyperlink" Target="https://eur-lex.europa.eu/legal-content/PL/TXT/?uri=CELEX%3A32023R0857" TargetMode="External"/><Relationship Id="rId17" Type="http://schemas.openxmlformats.org/officeDocument/2006/relationships/image" Target="media/image5.png"/><Relationship Id="rId38" Type="http://schemas.openxmlformats.org/officeDocument/2006/relationships/image" Target="media/image23.jpeg"/><Relationship Id="rId59" Type="http://schemas.openxmlformats.org/officeDocument/2006/relationships/chart" Target="charts/chart9.xml"/><Relationship Id="rId103" Type="http://schemas.openxmlformats.org/officeDocument/2006/relationships/hyperlink" Target="https://internaw.pl/" TargetMode="External"/><Relationship Id="rId124" Type="http://schemas.openxmlformats.org/officeDocument/2006/relationships/hyperlink" Target="https://eur-lex.europa.eu/legal-content/PL/TXT/PDF/?uri=CELEX:01999L0031-20031120&amp;from=EN" TargetMode="External"/><Relationship Id="rId70" Type="http://schemas.openxmlformats.org/officeDocument/2006/relationships/hyperlink" Target="https://environment.ec.europa.eu/publications/eu-soil-strategy-2030_en" TargetMode="External"/><Relationship Id="rId91" Type="http://schemas.openxmlformats.org/officeDocument/2006/relationships/hyperlink" Target="https://www.ure.gov.pl/pl/karta-efektywnej-transformacji" TargetMode="External"/><Relationship Id="rId145" Type="http://schemas.openxmlformats.org/officeDocument/2006/relationships/hyperlink" Target="https://eur-lex.europa.eu/legal-content/EN/TXT/?uri=CELEX%3A32024L2881&amp;qid=1749560192469" TargetMode="External"/><Relationship Id="rId166" Type="http://schemas.openxmlformats.org/officeDocument/2006/relationships/hyperlink" Target="https://eur-lex.europa.eu/legal-content/PL/TXT/?uri=CELEX%3A32024R1789&amp;qid=175162784784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gi.gov.pl/images/surowce/2024/bilans_2024.pdf" TargetMode="External"/><Relationship Id="rId13" Type="http://schemas.openxmlformats.org/officeDocument/2006/relationships/hyperlink" Target="https://www.are.waw.pl/badania-statystyczne/wynikowe-informacje-statystyczne" TargetMode="External"/><Relationship Id="rId18" Type="http://schemas.openxmlformats.org/officeDocument/2006/relationships/hyperlink" Target="https://www.google.com/url?sa=t&amp;source=web&amp;rct=j&amp;opi=89978449&amp;url=https://hydrogeneurope.eu/wp-content/uploads/2024/11/Clean_Hydrogen_Monitor_11-2024_V2_DIGITAL_draft3-1.pdf" TargetMode="External"/><Relationship Id="rId3" Type="http://schemas.openxmlformats.org/officeDocument/2006/relationships/hyperlink" Target="https://stat.gov.pl/obszary-tematyczne/srodowisko-energia/energia/zuzycie-nosnikow-energii-w-gospodarstwach-domowych-w-2021-r-,13,1.html" TargetMode="External"/><Relationship Id="rId21" Type="http://schemas.openxmlformats.org/officeDocument/2006/relationships/hyperlink" Target="https://www.pse.pl/-/projekt-nowego-planu-rozwoju-sieci-przesylowej-na-lata-2025-2034-uzgodniony" TargetMode="External"/><Relationship Id="rId7" Type="http://schemas.openxmlformats.org/officeDocument/2006/relationships/hyperlink" Target="https://eur-lex.europa.eu/legal-content/EN/TXT/?uri=COM%3A2023%3A796%3AFIN&amp;pk_campaign=preparatory&amp;pk_source=EURLEX&amp;pk_medium=TW&amp;pk_keyword=EUGreenDeal&amp;pk_content=Communication&amp;pk_cid=EURLEX_todaysOJ" TargetMode="External"/><Relationship Id="rId12" Type="http://schemas.openxmlformats.org/officeDocument/2006/relationships/hyperlink" Target="https://www.are.waw.pl/badania-statystyczne/wynikowe-informacje-statystyczne" TargetMode="External"/><Relationship Id="rId17" Type="http://schemas.openxmlformats.org/officeDocument/2006/relationships/hyperlink" Target="https://www.google.com/url?sa=t&amp;source=web&amp;rct=j&amp;opi=89978449&amp;url=https://bip-europe.eu/&amp;ved=2ahUKEwjJlvWn6Z2NAxUFEBAIHZYhCj4QFnoECBcQAQ&amp;usg=AOvVaw3Qr0ZIoHXFjVW0zEGkWGgr" TargetMode="External"/><Relationship Id="rId2" Type="http://schemas.openxmlformats.org/officeDocument/2006/relationships/hyperlink" Target="https://eur-lex.europa.eu/legal-content/EN/TXT/?uri=CELEX:52021SC0621" TargetMode="External"/><Relationship Id="rId16" Type="http://schemas.openxmlformats.org/officeDocument/2006/relationships/hyperlink" Target="https://www.google.com/url?sa=t&amp;source=web&amp;rct=j&amp;opi=89978449&amp;url=https://bioch4.org/wp-content/uploads/2025/04/Skrot-do-raportu-POB-nt.-stanu-i-perspektyw-rozwoju-inwestycji-biometanowych-w-Polsce-1.pdf" TargetMode="External"/><Relationship Id="rId20" Type="http://schemas.openxmlformats.org/officeDocument/2006/relationships/hyperlink" Target="https://eur-lex.europa.eu/legal-content/EN/TXT/?uri=CELEX%3A52025DC0079&amp;qid=1741780110418" TargetMode="External"/><Relationship Id="rId1" Type="http://schemas.openxmlformats.org/officeDocument/2006/relationships/hyperlink" Target="https://www.kobize.pl/pl/fileCategory/id/16/krajowa-inwentaryzacja-emisji" TargetMode="External"/><Relationship Id="rId6" Type="http://schemas.openxmlformats.org/officeDocument/2006/relationships/hyperlink" Target="https://wisl.pl/wyniki" TargetMode="External"/><Relationship Id="rId11" Type="http://schemas.openxmlformats.org/officeDocument/2006/relationships/hyperlink" Target="https://www.pse.pl/mapa-raportow" TargetMode="External"/><Relationship Id="rId5" Type="http://schemas.openxmlformats.org/officeDocument/2006/relationships/hyperlink" Target="https://ec.europa.eu/eurostat/web/products-eurostat-news/w/ddn-20240205-1" TargetMode="External"/><Relationship Id="rId15" Type="http://schemas.openxmlformats.org/officeDocument/2006/relationships/hyperlink" Target="https://www.google.com/url?sa=t&amp;source=web&amp;rct=j&amp;opi=89978449&amp;url=https://www.gov.pl/attachment/1d27ccd0-14be-46ee-9535-68cef31dd0b0" TargetMode="External"/><Relationship Id="rId10" Type="http://schemas.openxmlformats.org/officeDocument/2006/relationships/hyperlink" Target="https://polskirynekwegla.pl/statystyka-publiczna" TargetMode="External"/><Relationship Id="rId19" Type="http://schemas.openxmlformats.org/officeDocument/2006/relationships/hyperlink" Target="https://www.are.waw.pl/badania-statystyczne/wynikowe-informacje-statystyczne" TargetMode="External"/><Relationship Id="rId4" Type="http://schemas.openxmlformats.org/officeDocument/2006/relationships/hyperlink" Target="https://eur-lex.europa.eu/legal-content/PL/TXT/PDF/?uri=OJ:C_202502238&amp;qid=1744804235759" TargetMode="External"/><Relationship Id="rId9" Type="http://schemas.openxmlformats.org/officeDocument/2006/relationships/hyperlink" Target="https://www.are.waw.pl/badania-statystyczne/wynikowe-informacje-statystyczne" TargetMode="External"/><Relationship Id="rId14" Type="http://schemas.openxmlformats.org/officeDocument/2006/relationships/hyperlink" Target="https://www.are.waw.pl/badania-statystyczne/wynikowe-informacje-statystyczn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3.xml"/><Relationship Id="rId4"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Emisje!$B$5</c:f>
              <c:strCache>
                <c:ptCount val="1"/>
                <c:pt idx="0">
                  <c:v>Energia</c:v>
                </c:pt>
              </c:strCache>
            </c:strRef>
          </c:tx>
          <c:spPr>
            <a:solidFill>
              <a:schemeClr val="accent1"/>
            </a:solidFill>
            <a:ln>
              <a:noFill/>
            </a:ln>
            <a:effectLst/>
          </c:spPr>
          <c:invertIfNegative val="0"/>
          <c:cat>
            <c:numRef>
              <c:f>Emisje!$C$4:$F$4</c:f>
              <c:numCache>
                <c:formatCode>General</c:formatCode>
                <c:ptCount val="4"/>
                <c:pt idx="0" formatCode="0">
                  <c:v>1990</c:v>
                </c:pt>
                <c:pt idx="1">
                  <c:v>2022</c:v>
                </c:pt>
                <c:pt idx="2">
                  <c:v>2030</c:v>
                </c:pt>
                <c:pt idx="3">
                  <c:v>2040</c:v>
                </c:pt>
              </c:numCache>
            </c:numRef>
          </c:cat>
          <c:val>
            <c:numRef>
              <c:f>Emisje!$C$5:$F$5</c:f>
              <c:numCache>
                <c:formatCode>#,##0</c:formatCode>
                <c:ptCount val="4"/>
                <c:pt idx="0">
                  <c:v>385.1487385362654</c:v>
                </c:pt>
                <c:pt idx="1">
                  <c:v>319.32979831928304</c:v>
                </c:pt>
                <c:pt idx="2">
                  <c:v>199.66496462688391</c:v>
                </c:pt>
                <c:pt idx="3">
                  <c:v>97.887975315406138</c:v>
                </c:pt>
              </c:numCache>
            </c:numRef>
          </c:val>
          <c:extLst>
            <c:ext xmlns:c16="http://schemas.microsoft.com/office/drawing/2014/chart" uri="{C3380CC4-5D6E-409C-BE32-E72D297353CC}">
              <c16:uniqueId val="{00000000-537A-4ECC-8A03-34FA1A6A08A8}"/>
            </c:ext>
          </c:extLst>
        </c:ser>
        <c:ser>
          <c:idx val="1"/>
          <c:order val="1"/>
          <c:tx>
            <c:strRef>
              <c:f>Emisje!$B$6</c:f>
              <c:strCache>
                <c:ptCount val="1"/>
                <c:pt idx="0">
                  <c:v>Procesy przemysłowe i użytowanie produktów</c:v>
                </c:pt>
              </c:strCache>
            </c:strRef>
          </c:tx>
          <c:spPr>
            <a:solidFill>
              <a:schemeClr val="accent2"/>
            </a:solidFill>
            <a:ln>
              <a:noFill/>
            </a:ln>
            <a:effectLst/>
          </c:spPr>
          <c:invertIfNegative val="0"/>
          <c:cat>
            <c:numRef>
              <c:f>Emisje!$C$4:$F$4</c:f>
              <c:numCache>
                <c:formatCode>General</c:formatCode>
                <c:ptCount val="4"/>
                <c:pt idx="0" formatCode="0">
                  <c:v>1990</c:v>
                </c:pt>
                <c:pt idx="1">
                  <c:v>2022</c:v>
                </c:pt>
                <c:pt idx="2">
                  <c:v>2030</c:v>
                </c:pt>
                <c:pt idx="3">
                  <c:v>2040</c:v>
                </c:pt>
              </c:numCache>
            </c:numRef>
          </c:cat>
          <c:val>
            <c:numRef>
              <c:f>Emisje!$C$6:$F$6</c:f>
              <c:numCache>
                <c:formatCode>#\ ##0.0</c:formatCode>
                <c:ptCount val="4"/>
                <c:pt idx="0" formatCode="#,##0">
                  <c:v>21.971957985021017</c:v>
                </c:pt>
                <c:pt idx="1">
                  <c:v>23.645030165566045</c:v>
                </c:pt>
                <c:pt idx="2">
                  <c:v>17.274722248261657</c:v>
                </c:pt>
                <c:pt idx="3">
                  <c:v>11.343116225945179</c:v>
                </c:pt>
              </c:numCache>
            </c:numRef>
          </c:val>
          <c:extLst>
            <c:ext xmlns:c16="http://schemas.microsoft.com/office/drawing/2014/chart" uri="{C3380CC4-5D6E-409C-BE32-E72D297353CC}">
              <c16:uniqueId val="{00000001-537A-4ECC-8A03-34FA1A6A08A8}"/>
            </c:ext>
          </c:extLst>
        </c:ser>
        <c:ser>
          <c:idx val="2"/>
          <c:order val="2"/>
          <c:tx>
            <c:strRef>
              <c:f>Emisje!$B$7</c:f>
              <c:strCache>
                <c:ptCount val="1"/>
                <c:pt idx="0">
                  <c:v>Rolnictwo</c:v>
                </c:pt>
              </c:strCache>
            </c:strRef>
          </c:tx>
          <c:spPr>
            <a:solidFill>
              <a:schemeClr val="accent6"/>
            </a:solidFill>
            <a:ln>
              <a:noFill/>
            </a:ln>
            <a:effectLst/>
          </c:spPr>
          <c:invertIfNegative val="0"/>
          <c:cat>
            <c:numRef>
              <c:f>Emisje!$C$4:$F$4</c:f>
              <c:numCache>
                <c:formatCode>General</c:formatCode>
                <c:ptCount val="4"/>
                <c:pt idx="0" formatCode="0">
                  <c:v>1990</c:v>
                </c:pt>
                <c:pt idx="1">
                  <c:v>2022</c:v>
                </c:pt>
                <c:pt idx="2">
                  <c:v>2030</c:v>
                </c:pt>
                <c:pt idx="3">
                  <c:v>2040</c:v>
                </c:pt>
              </c:numCache>
            </c:numRef>
          </c:cat>
          <c:val>
            <c:numRef>
              <c:f>Emisje!$C$7:$F$7</c:f>
              <c:numCache>
                <c:formatCode>#,##0</c:formatCode>
                <c:ptCount val="4"/>
                <c:pt idx="0">
                  <c:v>49.291323739240603</c:v>
                </c:pt>
                <c:pt idx="1">
                  <c:v>33.29698467745321</c:v>
                </c:pt>
                <c:pt idx="2">
                  <c:v>31.993927827911918</c:v>
                </c:pt>
                <c:pt idx="3">
                  <c:v>30.506489096023401</c:v>
                </c:pt>
              </c:numCache>
            </c:numRef>
          </c:val>
          <c:extLst>
            <c:ext xmlns:c16="http://schemas.microsoft.com/office/drawing/2014/chart" uri="{C3380CC4-5D6E-409C-BE32-E72D297353CC}">
              <c16:uniqueId val="{00000002-537A-4ECC-8A03-34FA1A6A08A8}"/>
            </c:ext>
          </c:extLst>
        </c:ser>
        <c:ser>
          <c:idx val="3"/>
          <c:order val="3"/>
          <c:tx>
            <c:strRef>
              <c:f>Emisje!$B$8</c:f>
              <c:strCache>
                <c:ptCount val="1"/>
                <c:pt idx="0">
                  <c:v>LULUCF</c:v>
                </c:pt>
              </c:strCache>
            </c:strRef>
          </c:tx>
          <c:spPr>
            <a:solidFill>
              <a:schemeClr val="accent4"/>
            </a:solidFill>
            <a:ln>
              <a:noFill/>
            </a:ln>
            <a:effectLst/>
          </c:spPr>
          <c:invertIfNegative val="0"/>
          <c:cat>
            <c:numRef>
              <c:f>Emisje!$C$4:$F$4</c:f>
              <c:numCache>
                <c:formatCode>General</c:formatCode>
                <c:ptCount val="4"/>
                <c:pt idx="0" formatCode="0">
                  <c:v>1990</c:v>
                </c:pt>
                <c:pt idx="1">
                  <c:v>2022</c:v>
                </c:pt>
                <c:pt idx="2">
                  <c:v>2030</c:v>
                </c:pt>
                <c:pt idx="3">
                  <c:v>2040</c:v>
                </c:pt>
              </c:numCache>
            </c:numRef>
          </c:cat>
          <c:val>
            <c:numRef>
              <c:f>Emisje!$C$8:$F$8</c:f>
              <c:numCache>
                <c:formatCode>#,##0</c:formatCode>
                <c:ptCount val="4"/>
                <c:pt idx="0">
                  <c:v>-28.336991439726933</c:v>
                </c:pt>
                <c:pt idx="1">
                  <c:v>-35.644332526369524</c:v>
                </c:pt>
                <c:pt idx="2">
                  <c:v>-46.492879475366003</c:v>
                </c:pt>
                <c:pt idx="3">
                  <c:v>-35.333216783037358</c:v>
                </c:pt>
              </c:numCache>
            </c:numRef>
          </c:val>
          <c:extLst>
            <c:ext xmlns:c16="http://schemas.microsoft.com/office/drawing/2014/chart" uri="{C3380CC4-5D6E-409C-BE32-E72D297353CC}">
              <c16:uniqueId val="{00000003-537A-4ECC-8A03-34FA1A6A08A8}"/>
            </c:ext>
          </c:extLst>
        </c:ser>
        <c:ser>
          <c:idx val="4"/>
          <c:order val="4"/>
          <c:tx>
            <c:strRef>
              <c:f>Emisje!$B$9</c:f>
              <c:strCache>
                <c:ptCount val="1"/>
                <c:pt idx="0">
                  <c:v>Odpady</c:v>
                </c:pt>
              </c:strCache>
            </c:strRef>
          </c:tx>
          <c:spPr>
            <a:solidFill>
              <a:schemeClr val="accent3"/>
            </a:solidFill>
            <a:ln>
              <a:noFill/>
            </a:ln>
            <a:effectLst/>
          </c:spPr>
          <c:invertIfNegative val="0"/>
          <c:cat>
            <c:numRef>
              <c:f>Emisje!$C$4:$F$4</c:f>
              <c:numCache>
                <c:formatCode>General</c:formatCode>
                <c:ptCount val="4"/>
                <c:pt idx="0" formatCode="0">
                  <c:v>1990</c:v>
                </c:pt>
                <c:pt idx="1">
                  <c:v>2022</c:v>
                </c:pt>
                <c:pt idx="2">
                  <c:v>2030</c:v>
                </c:pt>
                <c:pt idx="3">
                  <c:v>2040</c:v>
                </c:pt>
              </c:numCache>
            </c:numRef>
          </c:cat>
          <c:val>
            <c:numRef>
              <c:f>Emisje!$C$9:$F$9</c:f>
              <c:numCache>
                <c:formatCode>#,##0</c:formatCode>
                <c:ptCount val="4"/>
                <c:pt idx="0">
                  <c:v>19.054571197168688</c:v>
                </c:pt>
                <c:pt idx="1">
                  <c:v>3.8183944674763648</c:v>
                </c:pt>
                <c:pt idx="2">
                  <c:v>3.5783543476208615</c:v>
                </c:pt>
                <c:pt idx="3">
                  <c:v>3.2777889069334982</c:v>
                </c:pt>
              </c:numCache>
            </c:numRef>
          </c:val>
          <c:extLst>
            <c:ext xmlns:c16="http://schemas.microsoft.com/office/drawing/2014/chart" uri="{C3380CC4-5D6E-409C-BE32-E72D297353CC}">
              <c16:uniqueId val="{00000004-537A-4ECC-8A03-34FA1A6A08A8}"/>
            </c:ext>
          </c:extLst>
        </c:ser>
        <c:dLbls>
          <c:showLegendKey val="0"/>
          <c:showVal val="0"/>
          <c:showCatName val="0"/>
          <c:showSerName val="0"/>
          <c:showPercent val="0"/>
          <c:showBubbleSize val="0"/>
        </c:dLbls>
        <c:gapWidth val="55"/>
        <c:overlap val="100"/>
        <c:axId val="951779256"/>
        <c:axId val="951780824"/>
        <c:extLst>
          <c:ext xmlns:c15="http://schemas.microsoft.com/office/drawing/2012/chart" uri="{02D57815-91ED-43cb-92C2-25804820EDAC}">
            <c15:filteredBarSeries>
              <c15:ser>
                <c:idx val="5"/>
                <c:order val="5"/>
                <c:tx>
                  <c:strRef>
                    <c:extLst>
                      <c:ext uri="{02D57815-91ED-43cb-92C2-25804820EDAC}">
                        <c15:formulaRef>
                          <c15:sqref>Emisje!$B$10</c15:sqref>
                        </c15:formulaRef>
                      </c:ext>
                    </c:extLst>
                    <c:strCache>
                      <c:ptCount val="1"/>
                      <c:pt idx="0">
                        <c:v>Emisja pośrednia CO2</c:v>
                      </c:pt>
                    </c:strCache>
                  </c:strRef>
                </c:tx>
                <c:spPr>
                  <a:solidFill>
                    <a:schemeClr val="accent6"/>
                  </a:solidFill>
                  <a:ln>
                    <a:noFill/>
                  </a:ln>
                  <a:effectLst/>
                </c:spPr>
                <c:invertIfNegative val="0"/>
                <c:cat>
                  <c:numRef>
                    <c:extLst>
                      <c:ext uri="{02D57815-91ED-43cb-92C2-25804820EDAC}">
                        <c15:formulaRef>
                          <c15:sqref>Emisje!$C$4:$F$4</c15:sqref>
                        </c15:formulaRef>
                      </c:ext>
                    </c:extLst>
                    <c:numCache>
                      <c:formatCode>General</c:formatCode>
                      <c:ptCount val="4"/>
                      <c:pt idx="0" formatCode="0">
                        <c:v>1990</c:v>
                      </c:pt>
                      <c:pt idx="1">
                        <c:v>2022</c:v>
                      </c:pt>
                      <c:pt idx="2">
                        <c:v>2030</c:v>
                      </c:pt>
                      <c:pt idx="3">
                        <c:v>2040</c:v>
                      </c:pt>
                    </c:numCache>
                  </c:numRef>
                </c:cat>
                <c:val>
                  <c:numRef>
                    <c:extLst>
                      <c:ext uri="{02D57815-91ED-43cb-92C2-25804820EDAC}">
                        <c15:formulaRef>
                          <c15:sqref>Emisje!$C$10:$F$10</c15:sqref>
                        </c15:formulaRef>
                      </c:ext>
                    </c:extLst>
                    <c:numCache>
                      <c:formatCode>#,##0</c:formatCode>
                      <c:ptCount val="4"/>
                      <c:pt idx="0">
                        <c:v>0.25715895088233448</c:v>
                      </c:pt>
                      <c:pt idx="1">
                        <c:v>0.41891020791615202</c:v>
                      </c:pt>
                      <c:pt idx="2">
                        <c:v>0.40057482402487621</c:v>
                      </c:pt>
                      <c:pt idx="3">
                        <c:v>0.38760770634624164</c:v>
                      </c:pt>
                    </c:numCache>
                  </c:numRef>
                </c:val>
                <c:extLst>
                  <c:ext xmlns:c16="http://schemas.microsoft.com/office/drawing/2014/chart" uri="{C3380CC4-5D6E-409C-BE32-E72D297353CC}">
                    <c16:uniqueId val="{00000007-537A-4ECC-8A03-34FA1A6A08A8}"/>
                  </c:ext>
                </c:extLst>
              </c15:ser>
            </c15:filteredBarSeries>
          </c:ext>
        </c:extLst>
      </c:barChart>
      <c:lineChart>
        <c:grouping val="standard"/>
        <c:varyColors val="0"/>
        <c:ser>
          <c:idx val="6"/>
          <c:order val="6"/>
          <c:tx>
            <c:strRef>
              <c:f>Emisje!$B$11</c:f>
              <c:strCache>
                <c:ptCount val="1"/>
                <c:pt idx="0">
                  <c:v>Całkowita emisja z uwzględnieniem LULUCF</c:v>
                </c:pt>
              </c:strCache>
            </c:strRef>
          </c:tx>
          <c:spPr>
            <a:ln w="28575" cap="rnd">
              <a:solidFill>
                <a:schemeClr val="accent1">
                  <a:lumMod val="60000"/>
                </a:schemeClr>
              </a:solidFill>
              <a:round/>
            </a:ln>
            <a:effectLst/>
          </c:spPr>
          <c:marker>
            <c:symbol val="diamond"/>
            <c:size val="7"/>
            <c:spPr>
              <a:solidFill>
                <a:schemeClr val="accent1">
                  <a:lumMod val="60000"/>
                </a:schemeClr>
              </a:solidFill>
              <a:ln w="9525">
                <a:solidFill>
                  <a:schemeClr val="accent1">
                    <a:lumMod val="60000"/>
                  </a:schemeClr>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Emisje!$C$4:$F$4</c:f>
              <c:numCache>
                <c:formatCode>General</c:formatCode>
                <c:ptCount val="4"/>
                <c:pt idx="0" formatCode="0">
                  <c:v>1990</c:v>
                </c:pt>
                <c:pt idx="1">
                  <c:v>2022</c:v>
                </c:pt>
                <c:pt idx="2">
                  <c:v>2030</c:v>
                </c:pt>
                <c:pt idx="3">
                  <c:v>2040</c:v>
                </c:pt>
              </c:numCache>
            </c:numRef>
          </c:cat>
          <c:val>
            <c:numRef>
              <c:f>Emisje!$C$11:$F$11</c:f>
              <c:numCache>
                <c:formatCode>#,##0</c:formatCode>
                <c:ptCount val="4"/>
                <c:pt idx="0">
                  <c:v>447.38675896885098</c:v>
                </c:pt>
                <c:pt idx="1">
                  <c:v>344.86478531132531</c:v>
                </c:pt>
                <c:pt idx="2">
                  <c:v>206.41966439933719</c:v>
                </c:pt>
                <c:pt idx="3">
                  <c:v>108.0697604676171</c:v>
                </c:pt>
              </c:numCache>
            </c:numRef>
          </c:val>
          <c:smooth val="0"/>
          <c:extLst>
            <c:ext xmlns:c16="http://schemas.microsoft.com/office/drawing/2014/chart" uri="{C3380CC4-5D6E-409C-BE32-E72D297353CC}">
              <c16:uniqueId val="{00000005-537A-4ECC-8A03-34FA1A6A08A8}"/>
            </c:ext>
          </c:extLst>
        </c:ser>
        <c:ser>
          <c:idx val="8"/>
          <c:order val="8"/>
          <c:tx>
            <c:strRef>
              <c:f>Emisje!$B$19</c:f>
              <c:strCache>
                <c:ptCount val="1"/>
                <c:pt idx="0">
                  <c:v>Całkowita emisja z uwzględnieniem LULUCF</c:v>
                </c:pt>
              </c:strCache>
            </c:strRef>
          </c:tx>
          <c:spPr>
            <a:ln w="9525" cap="rnd">
              <a:solidFill>
                <a:schemeClr val="accent6"/>
              </a:solidFill>
              <a:round/>
            </a:ln>
            <a:effectLst/>
          </c:spPr>
          <c:marker>
            <c:symbol val="none"/>
          </c:marker>
          <c:cat>
            <c:numRef>
              <c:f>Emisje!$C$4:$F$4</c:f>
              <c:numCache>
                <c:formatCode>General</c:formatCode>
                <c:ptCount val="4"/>
                <c:pt idx="0" formatCode="0">
                  <c:v>1990</c:v>
                </c:pt>
                <c:pt idx="1">
                  <c:v>2022</c:v>
                </c:pt>
                <c:pt idx="2">
                  <c:v>2030</c:v>
                </c:pt>
                <c:pt idx="3">
                  <c:v>2040</c:v>
                </c:pt>
              </c:numCache>
            </c:numRef>
          </c:cat>
          <c:val>
            <c:numRef>
              <c:f>Emisje!$C$19:$F$19</c:f>
              <c:numCache>
                <c:formatCode>#,##0</c:formatCode>
                <c:ptCount val="4"/>
                <c:pt idx="0">
                  <c:v>447.38675896885098</c:v>
                </c:pt>
                <c:pt idx="1">
                  <c:v>447.38675896885098</c:v>
                </c:pt>
                <c:pt idx="2">
                  <c:v>447.38675896885098</c:v>
                </c:pt>
                <c:pt idx="3">
                  <c:v>447.38675896885098</c:v>
                </c:pt>
              </c:numCache>
            </c:numRef>
          </c:val>
          <c:smooth val="0"/>
          <c:extLst>
            <c:ext xmlns:c16="http://schemas.microsoft.com/office/drawing/2014/chart" uri="{C3380CC4-5D6E-409C-BE32-E72D297353CC}">
              <c16:uniqueId val="{00000006-537A-4ECC-8A03-34FA1A6A08A8}"/>
            </c:ext>
          </c:extLst>
        </c:ser>
        <c:dLbls>
          <c:showLegendKey val="0"/>
          <c:showVal val="0"/>
          <c:showCatName val="0"/>
          <c:showSerName val="0"/>
          <c:showPercent val="0"/>
          <c:showBubbleSize val="0"/>
        </c:dLbls>
        <c:marker val="1"/>
        <c:smooth val="0"/>
        <c:axId val="951769064"/>
        <c:axId val="951781216"/>
        <c:extLst>
          <c:ext xmlns:c15="http://schemas.microsoft.com/office/drawing/2012/chart" uri="{02D57815-91ED-43cb-92C2-25804820EDAC}">
            <c15:filteredLineSeries>
              <c15:ser>
                <c:idx val="7"/>
                <c:order val="7"/>
                <c:tx>
                  <c:strRef>
                    <c:extLst>
                      <c:ext uri="{02D57815-91ED-43cb-92C2-25804820EDAC}">
                        <c15:formulaRef>
                          <c15:sqref>Emisje!$B$12</c15:sqref>
                        </c15:formulaRef>
                      </c:ext>
                    </c:extLst>
                    <c:strCache>
                      <c:ptCount val="1"/>
                      <c:pt idx="0">
                        <c:v>Całkowita emisja bez uwzględnienia LULUCF</c:v>
                      </c:pt>
                    </c:strCache>
                  </c:strRef>
                </c:tx>
                <c:spPr>
                  <a:ln w="28575" cap="rnd">
                    <a:solidFill>
                      <a:schemeClr val="accent2">
                        <a:lumMod val="60000"/>
                      </a:schemeClr>
                    </a:solidFill>
                    <a:round/>
                  </a:ln>
                  <a:effectLst/>
                </c:spPr>
                <c:marker>
                  <c:symbol val="none"/>
                </c:marker>
                <c:cat>
                  <c:numRef>
                    <c:extLst>
                      <c:ext uri="{02D57815-91ED-43cb-92C2-25804820EDAC}">
                        <c15:formulaRef>
                          <c15:sqref>Emisje!$C$4:$F$4</c15:sqref>
                        </c15:formulaRef>
                      </c:ext>
                    </c:extLst>
                    <c:numCache>
                      <c:formatCode>General</c:formatCode>
                      <c:ptCount val="4"/>
                      <c:pt idx="0" formatCode="0">
                        <c:v>1990</c:v>
                      </c:pt>
                      <c:pt idx="1">
                        <c:v>2022</c:v>
                      </c:pt>
                      <c:pt idx="2">
                        <c:v>2030</c:v>
                      </c:pt>
                      <c:pt idx="3">
                        <c:v>2040</c:v>
                      </c:pt>
                    </c:numCache>
                  </c:numRef>
                </c:cat>
                <c:val>
                  <c:numRef>
                    <c:extLst>
                      <c:ext uri="{02D57815-91ED-43cb-92C2-25804820EDAC}">
                        <c15:formulaRef>
                          <c15:sqref>Emisje!$C$12:$F$12</c15:sqref>
                        </c15:formulaRef>
                      </c:ext>
                    </c:extLst>
                    <c:numCache>
                      <c:formatCode>#,##0</c:formatCode>
                      <c:ptCount val="4"/>
                      <c:pt idx="0">
                        <c:v>475.72375040857798</c:v>
                      </c:pt>
                      <c:pt idx="1">
                        <c:v>380.50911783769482</c:v>
                      </c:pt>
                      <c:pt idx="2">
                        <c:v>252.9125438747032</c:v>
                      </c:pt>
                      <c:pt idx="3">
                        <c:v>143.40297725065446</c:v>
                      </c:pt>
                    </c:numCache>
                  </c:numRef>
                </c:val>
                <c:smooth val="0"/>
                <c:extLst>
                  <c:ext xmlns:c16="http://schemas.microsoft.com/office/drawing/2014/chart" uri="{C3380CC4-5D6E-409C-BE32-E72D297353CC}">
                    <c16:uniqueId val="{00000008-537A-4ECC-8A03-34FA1A6A08A8}"/>
                  </c:ext>
                </c:extLst>
              </c15:ser>
            </c15:filteredLineSeries>
          </c:ext>
        </c:extLst>
      </c:lineChart>
      <c:catAx>
        <c:axId val="95177925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80824"/>
        <c:crossesAt val="0"/>
        <c:auto val="1"/>
        <c:lblAlgn val="ctr"/>
        <c:lblOffset val="100"/>
        <c:noMultiLvlLbl val="0"/>
      </c:catAx>
      <c:valAx>
        <c:axId val="951780824"/>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pl-PL"/>
                  <a:t>[mln t ekw. CO</a:t>
                </a:r>
                <a:r>
                  <a:rPr lang="pl-PL" baseline="-25000"/>
                  <a:t>2</a:t>
                </a: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9256"/>
        <c:crosses val="autoZero"/>
        <c:crossBetween val="between"/>
      </c:valAx>
      <c:valAx>
        <c:axId val="951781216"/>
        <c:scaling>
          <c:orientation val="minMax"/>
        </c:scaling>
        <c:delete val="1"/>
        <c:axPos val="r"/>
        <c:numFmt formatCode="#,##0" sourceLinked="1"/>
        <c:majorTickMark val="out"/>
        <c:minorTickMark val="none"/>
        <c:tickLblPos val="nextTo"/>
        <c:crossAx val="951769064"/>
        <c:crosses val="max"/>
        <c:crossBetween val="between"/>
      </c:valAx>
      <c:catAx>
        <c:axId val="951769064"/>
        <c:scaling>
          <c:orientation val="minMax"/>
        </c:scaling>
        <c:delete val="1"/>
        <c:axPos val="b"/>
        <c:numFmt formatCode="0" sourceLinked="1"/>
        <c:majorTickMark val="out"/>
        <c:minorTickMark val="none"/>
        <c:tickLblPos val="nextTo"/>
        <c:crossAx val="951781216"/>
        <c:crosses val="autoZero"/>
        <c:auto val="1"/>
        <c:lblAlgn val="ctr"/>
        <c:lblOffset val="100"/>
        <c:noMultiLvlLbl val="0"/>
      </c:catAx>
      <c:spPr>
        <a:noFill/>
        <a:ln>
          <a:noFill/>
        </a:ln>
        <a:effectLst/>
      </c:spPr>
    </c:plotArea>
    <c:legend>
      <c:legendPos val="r"/>
      <c:legendEntry>
        <c:idx val="6"/>
        <c:delete val="1"/>
      </c:legendEntry>
      <c:layout>
        <c:manualLayout>
          <c:xMode val="edge"/>
          <c:yMode val="edge"/>
          <c:x val="0.71315218930966962"/>
          <c:y val="0.12612675415573052"/>
          <c:w val="0.27414939799191762"/>
          <c:h val="0.59048920771695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Emisje!$B$6</c:f>
              <c:strCache>
                <c:ptCount val="1"/>
                <c:pt idx="0">
                  <c:v>Procesy przemysłowe i użytowanie produktów</c:v>
                </c:pt>
              </c:strCache>
            </c:strRef>
          </c:tx>
          <c:spPr>
            <a:solidFill>
              <a:schemeClr val="bg1">
                <a:lumMod val="75000"/>
              </a:schemeClr>
            </a:solidFill>
            <a:ln>
              <a:noFill/>
            </a:ln>
            <a:effectLst/>
          </c:spPr>
          <c:invertIfNegative val="0"/>
          <c:dPt>
            <c:idx val="2"/>
            <c:invertIfNegative val="0"/>
            <c:bubble3D val="0"/>
            <c:spPr>
              <a:solidFill>
                <a:schemeClr val="accent2"/>
              </a:solidFill>
              <a:ln>
                <a:noFill/>
              </a:ln>
              <a:effectLst/>
            </c:spPr>
            <c:extLst>
              <c:ext xmlns:c16="http://schemas.microsoft.com/office/drawing/2014/chart" uri="{C3380CC4-5D6E-409C-BE32-E72D297353CC}">
                <c16:uniqueId val="{00000001-E59C-48DE-92C7-58B610410381}"/>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E59C-48DE-92C7-58B6104103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Emisje!$C$4:$F$4</c:f>
              <c:numCache>
                <c:formatCode>General</c:formatCode>
                <c:ptCount val="4"/>
                <c:pt idx="0" formatCode="0">
                  <c:v>1990</c:v>
                </c:pt>
                <c:pt idx="1">
                  <c:v>2022</c:v>
                </c:pt>
                <c:pt idx="2">
                  <c:v>2030</c:v>
                </c:pt>
                <c:pt idx="3">
                  <c:v>2040</c:v>
                </c:pt>
              </c:numCache>
            </c:numRef>
          </c:cat>
          <c:val>
            <c:numRef>
              <c:f>Emisje!$C$6:$F$6</c:f>
              <c:numCache>
                <c:formatCode>#\ ##0.0</c:formatCode>
                <c:ptCount val="4"/>
                <c:pt idx="0" formatCode="#,##0">
                  <c:v>21.971957985021017</c:v>
                </c:pt>
                <c:pt idx="1">
                  <c:v>23.645030165566045</c:v>
                </c:pt>
                <c:pt idx="2">
                  <c:v>17.274722248261657</c:v>
                </c:pt>
                <c:pt idx="3">
                  <c:v>11.343116225945179</c:v>
                </c:pt>
              </c:numCache>
            </c:numRef>
          </c:val>
          <c:extLst>
            <c:ext xmlns:c16="http://schemas.microsoft.com/office/drawing/2014/chart" uri="{C3380CC4-5D6E-409C-BE32-E72D297353CC}">
              <c16:uniqueId val="{00000004-E59C-48DE-92C7-58B610410381}"/>
            </c:ext>
          </c:extLst>
        </c:ser>
        <c:dLbls>
          <c:showLegendKey val="0"/>
          <c:showVal val="0"/>
          <c:showCatName val="0"/>
          <c:showSerName val="0"/>
          <c:showPercent val="0"/>
          <c:showBubbleSize val="0"/>
        </c:dLbls>
        <c:gapWidth val="219"/>
        <c:overlap val="-27"/>
        <c:axId val="951782000"/>
        <c:axId val="951786704"/>
      </c:barChart>
      <c:lineChart>
        <c:grouping val="standard"/>
        <c:varyColors val="0"/>
        <c:ser>
          <c:idx val="1"/>
          <c:order val="1"/>
          <c:tx>
            <c:strRef>
              <c:f>Emisje!$B$14</c:f>
              <c:strCache>
                <c:ptCount val="1"/>
                <c:pt idx="0">
                  <c:v>Procesy przemysłowe i użytowanie produktów</c:v>
                </c:pt>
              </c:strCache>
            </c:strRef>
          </c:tx>
          <c:spPr>
            <a:ln w="9525" cap="rnd">
              <a:solidFill>
                <a:srgbClr val="ED7D31"/>
              </a:solidFill>
              <a:round/>
            </a:ln>
            <a:effectLst/>
          </c:spPr>
          <c:marker>
            <c:symbol val="none"/>
          </c:marker>
          <c:val>
            <c:numRef>
              <c:f>Emisje!$C$14:$F$14</c:f>
              <c:numCache>
                <c:formatCode>#\ ##0.0</c:formatCode>
                <c:ptCount val="4"/>
                <c:pt idx="0">
                  <c:v>21.971957985021017</c:v>
                </c:pt>
                <c:pt idx="1">
                  <c:v>21.971957985021017</c:v>
                </c:pt>
                <c:pt idx="2">
                  <c:v>21.971957985021017</c:v>
                </c:pt>
                <c:pt idx="3">
                  <c:v>21.971957985021017</c:v>
                </c:pt>
              </c:numCache>
            </c:numRef>
          </c:val>
          <c:smooth val="0"/>
          <c:extLst>
            <c:ext xmlns:c16="http://schemas.microsoft.com/office/drawing/2014/chart" uri="{C3380CC4-5D6E-409C-BE32-E72D297353CC}">
              <c16:uniqueId val="{00000005-E59C-48DE-92C7-58B610410381}"/>
            </c:ext>
          </c:extLst>
        </c:ser>
        <c:dLbls>
          <c:showLegendKey val="0"/>
          <c:showVal val="0"/>
          <c:showCatName val="0"/>
          <c:showSerName val="0"/>
          <c:showPercent val="0"/>
          <c:showBubbleSize val="0"/>
        </c:dLbls>
        <c:marker val="1"/>
        <c:smooth val="0"/>
        <c:axId val="951782000"/>
        <c:axId val="951786704"/>
      </c:lineChart>
      <c:catAx>
        <c:axId val="95178200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6704"/>
        <c:crosses val="autoZero"/>
        <c:auto val="1"/>
        <c:lblAlgn val="ctr"/>
        <c:lblOffset val="100"/>
        <c:noMultiLvlLbl val="0"/>
      </c:catAx>
      <c:valAx>
        <c:axId val="951786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20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Emisje!$B$7</c:f>
              <c:strCache>
                <c:ptCount val="1"/>
                <c:pt idx="0">
                  <c:v>Rolnictwo</c:v>
                </c:pt>
              </c:strCache>
            </c:strRef>
          </c:tx>
          <c:spPr>
            <a:solidFill>
              <a:schemeClr val="bg1">
                <a:lumMod val="75000"/>
              </a:schemeClr>
            </a:solidFill>
            <a:ln>
              <a:noFill/>
            </a:ln>
            <a:effectLst/>
          </c:spPr>
          <c:invertIfNegative val="0"/>
          <c:dPt>
            <c:idx val="2"/>
            <c:invertIfNegative val="0"/>
            <c:bubble3D val="0"/>
            <c:spPr>
              <a:solidFill>
                <a:schemeClr val="accent6"/>
              </a:solidFill>
              <a:ln>
                <a:noFill/>
              </a:ln>
              <a:effectLst/>
            </c:spPr>
            <c:extLst>
              <c:ext xmlns:c16="http://schemas.microsoft.com/office/drawing/2014/chart" uri="{C3380CC4-5D6E-409C-BE32-E72D297353CC}">
                <c16:uniqueId val="{00000001-24E8-48E6-83BD-06E635668ECF}"/>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3-24E8-48E6-83BD-06E635668E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Emisje!$C$4:$F$4</c:f>
              <c:numCache>
                <c:formatCode>General</c:formatCode>
                <c:ptCount val="4"/>
                <c:pt idx="0" formatCode="0">
                  <c:v>1990</c:v>
                </c:pt>
                <c:pt idx="1">
                  <c:v>2022</c:v>
                </c:pt>
                <c:pt idx="2">
                  <c:v>2030</c:v>
                </c:pt>
                <c:pt idx="3">
                  <c:v>2040</c:v>
                </c:pt>
              </c:numCache>
            </c:numRef>
          </c:cat>
          <c:val>
            <c:numRef>
              <c:f>Emisje!$C$7:$F$7</c:f>
              <c:numCache>
                <c:formatCode>#\ ##0.0</c:formatCode>
                <c:ptCount val="4"/>
                <c:pt idx="0">
                  <c:v>49.291323739240603</c:v>
                </c:pt>
                <c:pt idx="1">
                  <c:v>33.29698467745321</c:v>
                </c:pt>
                <c:pt idx="2">
                  <c:v>31.993927827911918</c:v>
                </c:pt>
                <c:pt idx="3">
                  <c:v>30.506489096023401</c:v>
                </c:pt>
              </c:numCache>
            </c:numRef>
          </c:val>
          <c:extLst>
            <c:ext xmlns:c16="http://schemas.microsoft.com/office/drawing/2014/chart" uri="{C3380CC4-5D6E-409C-BE32-E72D297353CC}">
              <c16:uniqueId val="{00000004-24E8-48E6-83BD-06E635668ECF}"/>
            </c:ext>
          </c:extLst>
        </c:ser>
        <c:dLbls>
          <c:showLegendKey val="0"/>
          <c:showVal val="0"/>
          <c:showCatName val="0"/>
          <c:showSerName val="0"/>
          <c:showPercent val="0"/>
          <c:showBubbleSize val="0"/>
        </c:dLbls>
        <c:gapWidth val="219"/>
        <c:overlap val="-27"/>
        <c:axId val="951782392"/>
        <c:axId val="951786312"/>
      </c:barChart>
      <c:lineChart>
        <c:grouping val="standard"/>
        <c:varyColors val="0"/>
        <c:ser>
          <c:idx val="1"/>
          <c:order val="1"/>
          <c:tx>
            <c:strRef>
              <c:f>Emisje!$B$15</c:f>
              <c:strCache>
                <c:ptCount val="1"/>
                <c:pt idx="0">
                  <c:v>Rolnictwo</c:v>
                </c:pt>
              </c:strCache>
            </c:strRef>
          </c:tx>
          <c:spPr>
            <a:ln w="9525" cap="rnd">
              <a:solidFill>
                <a:srgbClr val="00B050"/>
              </a:solidFill>
              <a:round/>
            </a:ln>
            <a:effectLst/>
          </c:spPr>
          <c:marker>
            <c:symbol val="none"/>
          </c:marker>
          <c:val>
            <c:numRef>
              <c:f>Emisje!$C$15:$F$15</c:f>
              <c:numCache>
                <c:formatCode>#\ ##0.0</c:formatCode>
                <c:ptCount val="4"/>
                <c:pt idx="0">
                  <c:v>49.291323739240603</c:v>
                </c:pt>
                <c:pt idx="1">
                  <c:v>49.291323739240603</c:v>
                </c:pt>
                <c:pt idx="2">
                  <c:v>49.291323739240603</c:v>
                </c:pt>
                <c:pt idx="3">
                  <c:v>49.291323739240603</c:v>
                </c:pt>
              </c:numCache>
            </c:numRef>
          </c:val>
          <c:smooth val="0"/>
          <c:extLst>
            <c:ext xmlns:c16="http://schemas.microsoft.com/office/drawing/2014/chart" uri="{C3380CC4-5D6E-409C-BE32-E72D297353CC}">
              <c16:uniqueId val="{00000005-24E8-48E6-83BD-06E635668ECF}"/>
            </c:ext>
          </c:extLst>
        </c:ser>
        <c:dLbls>
          <c:showLegendKey val="0"/>
          <c:showVal val="0"/>
          <c:showCatName val="0"/>
          <c:showSerName val="0"/>
          <c:showPercent val="0"/>
          <c:showBubbleSize val="0"/>
        </c:dLbls>
        <c:marker val="1"/>
        <c:smooth val="0"/>
        <c:axId val="951782392"/>
        <c:axId val="951786312"/>
      </c:lineChart>
      <c:catAx>
        <c:axId val="95178239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6312"/>
        <c:crosses val="autoZero"/>
        <c:auto val="1"/>
        <c:lblAlgn val="ctr"/>
        <c:lblOffset val="100"/>
        <c:noMultiLvlLbl val="0"/>
      </c:catAx>
      <c:valAx>
        <c:axId val="951786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2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79050535349747"/>
          <c:y val="0.12095997558480738"/>
          <c:w val="0.87820949464650255"/>
          <c:h val="0.65372079796209071"/>
        </c:manualLayout>
      </c:layout>
      <c:lineChart>
        <c:grouping val="standard"/>
        <c:varyColors val="0"/>
        <c:ser>
          <c:idx val="0"/>
          <c:order val="0"/>
          <c:tx>
            <c:strRef>
              <c:f>'Ef_en-wykr'!$B$7</c:f>
              <c:strCache>
                <c:ptCount val="1"/>
                <c:pt idx="0">
                  <c:v>Zużycie energii pierwotnej – KPEiK</c:v>
                </c:pt>
              </c:strCache>
            </c:strRef>
          </c:tx>
          <c:spPr>
            <a:ln w="28575" cap="rnd">
              <a:solidFill>
                <a:schemeClr val="accent1"/>
              </a:solidFill>
              <a:round/>
            </a:ln>
            <a:effectLst/>
          </c:spPr>
          <c:marker>
            <c:symbol val="diamond"/>
            <c:size val="6"/>
            <c:spPr>
              <a:solidFill>
                <a:schemeClr val="accent1"/>
              </a:solidFill>
              <a:ln w="9525">
                <a:solidFill>
                  <a:schemeClr val="accent1"/>
                </a:solidFill>
              </a:ln>
              <a:effectLst/>
            </c:spPr>
          </c:marker>
          <c:dPt>
            <c:idx val="5"/>
            <c:marker>
              <c:symbol val="diamond"/>
              <c:size val="8"/>
              <c:spPr>
                <a:solidFill>
                  <a:schemeClr val="accent1"/>
                </a:solidFill>
                <a:ln w="9525">
                  <a:solidFill>
                    <a:schemeClr val="accent1"/>
                  </a:solidFill>
                </a:ln>
                <a:effectLst/>
              </c:spPr>
            </c:marker>
            <c:bubble3D val="0"/>
            <c:extLst>
              <c:ext xmlns:c16="http://schemas.microsoft.com/office/drawing/2014/chart" uri="{C3380CC4-5D6E-409C-BE32-E72D297353CC}">
                <c16:uniqueId val="{00000000-3A50-41F8-954C-3EDD27523E47}"/>
              </c:ext>
            </c:extLst>
          </c:dPt>
          <c:cat>
            <c:numRef>
              <c:f>'Ef_en-wykr'!$C$6:$H$6</c:f>
              <c:numCache>
                <c:formatCode>0</c:formatCode>
                <c:ptCount val="6"/>
                <c:pt idx="0">
                  <c:v>2005</c:v>
                </c:pt>
                <c:pt idx="1">
                  <c:v>2010</c:v>
                </c:pt>
                <c:pt idx="2">
                  <c:v>2015</c:v>
                </c:pt>
                <c:pt idx="3">
                  <c:v>2020</c:v>
                </c:pt>
                <c:pt idx="4">
                  <c:v>2025</c:v>
                </c:pt>
                <c:pt idx="5">
                  <c:v>2030</c:v>
                </c:pt>
              </c:numCache>
            </c:numRef>
          </c:cat>
          <c:val>
            <c:numRef>
              <c:f>'Ef_en-wykr'!$C$7:$H$7</c:f>
              <c:numCache>
                <c:formatCode>#,##0</c:formatCode>
                <c:ptCount val="6"/>
                <c:pt idx="0">
                  <c:v>87973.963404031718</c:v>
                </c:pt>
                <c:pt idx="1">
                  <c:v>96589.833555842182</c:v>
                </c:pt>
                <c:pt idx="2">
                  <c:v>90075.110899207022</c:v>
                </c:pt>
                <c:pt idx="3">
                  <c:v>96859.153000000006</c:v>
                </c:pt>
                <c:pt idx="4">
                  <c:v>92196.521436715018</c:v>
                </c:pt>
                <c:pt idx="5">
                  <c:v>79614.126908002087</c:v>
                </c:pt>
              </c:numCache>
            </c:numRef>
          </c:val>
          <c:smooth val="0"/>
          <c:extLst>
            <c:ext xmlns:c16="http://schemas.microsoft.com/office/drawing/2014/chart" uri="{C3380CC4-5D6E-409C-BE32-E72D297353CC}">
              <c16:uniqueId val="{00000001-3A50-41F8-954C-3EDD27523E47}"/>
            </c:ext>
          </c:extLst>
        </c:ser>
        <c:ser>
          <c:idx val="1"/>
          <c:order val="1"/>
          <c:tx>
            <c:strRef>
              <c:f>'Ef_en-wykr'!$B$8</c:f>
              <c:strCache>
                <c:ptCount val="1"/>
                <c:pt idx="0">
                  <c:v>Finalne zużycie energii – KPEiK</c:v>
                </c:pt>
              </c:strCache>
            </c:strRef>
          </c:tx>
          <c:spPr>
            <a:ln w="28575" cap="rnd">
              <a:solidFill>
                <a:srgbClr val="006600"/>
              </a:solidFill>
              <a:round/>
            </a:ln>
            <a:effectLst/>
          </c:spPr>
          <c:marker>
            <c:symbol val="diamond"/>
            <c:size val="6"/>
            <c:spPr>
              <a:solidFill>
                <a:srgbClr val="006600"/>
              </a:solidFill>
              <a:ln w="9525">
                <a:noFill/>
              </a:ln>
              <a:effectLst/>
            </c:spPr>
          </c:marker>
          <c:cat>
            <c:numRef>
              <c:f>'Ef_en-wykr'!$C$6:$H$6</c:f>
              <c:numCache>
                <c:formatCode>0</c:formatCode>
                <c:ptCount val="6"/>
                <c:pt idx="0">
                  <c:v>2005</c:v>
                </c:pt>
                <c:pt idx="1">
                  <c:v>2010</c:v>
                </c:pt>
                <c:pt idx="2">
                  <c:v>2015</c:v>
                </c:pt>
                <c:pt idx="3">
                  <c:v>2020</c:v>
                </c:pt>
                <c:pt idx="4">
                  <c:v>2025</c:v>
                </c:pt>
                <c:pt idx="5">
                  <c:v>2030</c:v>
                </c:pt>
              </c:numCache>
            </c:numRef>
          </c:cat>
          <c:val>
            <c:numRef>
              <c:f>'Ef_en-wykr'!$C$8:$H$8</c:f>
              <c:numCache>
                <c:formatCode>#,##0</c:formatCode>
                <c:ptCount val="6"/>
                <c:pt idx="0">
                  <c:v>58487</c:v>
                </c:pt>
                <c:pt idx="1">
                  <c:v>66282.8</c:v>
                </c:pt>
                <c:pt idx="2">
                  <c:v>62299</c:v>
                </c:pt>
                <c:pt idx="3">
                  <c:v>71144.608999999997</c:v>
                </c:pt>
                <c:pt idx="4">
                  <c:v>69694.335697262693</c:v>
                </c:pt>
                <c:pt idx="5">
                  <c:v>64077.272190806805</c:v>
                </c:pt>
              </c:numCache>
            </c:numRef>
          </c:val>
          <c:smooth val="0"/>
          <c:extLst>
            <c:ext xmlns:c16="http://schemas.microsoft.com/office/drawing/2014/chart" uri="{C3380CC4-5D6E-409C-BE32-E72D297353CC}">
              <c16:uniqueId val="{00000002-3A50-41F8-954C-3EDD27523E47}"/>
            </c:ext>
          </c:extLst>
        </c:ser>
        <c:ser>
          <c:idx val="2"/>
          <c:order val="2"/>
          <c:tx>
            <c:strRef>
              <c:f>'Ef_en-wykr'!$B$9</c:f>
              <c:strCache>
                <c:ptCount val="1"/>
                <c:pt idx="0">
                  <c:v>Zużycie energii pierwotnej PRIMES 2007</c:v>
                </c:pt>
              </c:strCache>
            </c:strRef>
          </c:tx>
          <c:spPr>
            <a:ln w="28575" cap="rnd">
              <a:solidFill>
                <a:schemeClr val="accent5"/>
              </a:solidFill>
              <a:prstDash val="sysDot"/>
              <a:round/>
            </a:ln>
            <a:effectLst/>
          </c:spPr>
          <c:marker>
            <c:symbol val="none"/>
          </c:marker>
          <c:cat>
            <c:numRef>
              <c:f>'Ef_en-wykr'!$C$6:$H$6</c:f>
              <c:numCache>
                <c:formatCode>0</c:formatCode>
                <c:ptCount val="6"/>
                <c:pt idx="0">
                  <c:v>2005</c:v>
                </c:pt>
                <c:pt idx="1">
                  <c:v>2010</c:v>
                </c:pt>
                <c:pt idx="2">
                  <c:v>2015</c:v>
                </c:pt>
                <c:pt idx="3">
                  <c:v>2020</c:v>
                </c:pt>
                <c:pt idx="4">
                  <c:v>2025</c:v>
                </c:pt>
                <c:pt idx="5">
                  <c:v>2030</c:v>
                </c:pt>
              </c:numCache>
            </c:numRef>
          </c:cat>
          <c:val>
            <c:numRef>
              <c:f>'Ef_en-wykr'!$C$9:$H$9</c:f>
              <c:numCache>
                <c:formatCode>#,##0</c:formatCode>
                <c:ptCount val="6"/>
                <c:pt idx="0">
                  <c:v>89581</c:v>
                </c:pt>
                <c:pt idx="1">
                  <c:v>95611</c:v>
                </c:pt>
                <c:pt idx="2">
                  <c:v>104804</c:v>
                </c:pt>
                <c:pt idx="3">
                  <c:v>109829</c:v>
                </c:pt>
                <c:pt idx="4">
                  <c:v>115057</c:v>
                </c:pt>
                <c:pt idx="5">
                  <c:v>118583</c:v>
                </c:pt>
              </c:numCache>
            </c:numRef>
          </c:val>
          <c:smooth val="0"/>
          <c:extLst>
            <c:ext xmlns:c16="http://schemas.microsoft.com/office/drawing/2014/chart" uri="{C3380CC4-5D6E-409C-BE32-E72D297353CC}">
              <c16:uniqueId val="{00000003-3A50-41F8-954C-3EDD27523E47}"/>
            </c:ext>
          </c:extLst>
        </c:ser>
        <c:ser>
          <c:idx val="3"/>
          <c:order val="3"/>
          <c:tx>
            <c:strRef>
              <c:f>'Ef_en-wykr'!$B$10</c:f>
              <c:strCache>
                <c:ptCount val="1"/>
                <c:pt idx="0">
                  <c:v>Finalne zużycie energii PRIMES 2007</c:v>
                </c:pt>
              </c:strCache>
            </c:strRef>
          </c:tx>
          <c:spPr>
            <a:ln w="28575" cap="rnd">
              <a:solidFill>
                <a:schemeClr val="accent6"/>
              </a:solidFill>
              <a:prstDash val="sysDot"/>
              <a:round/>
            </a:ln>
            <a:effectLst/>
          </c:spPr>
          <c:marker>
            <c:symbol val="none"/>
          </c:marker>
          <c:cat>
            <c:numRef>
              <c:f>'Ef_en-wykr'!$C$6:$H$6</c:f>
              <c:numCache>
                <c:formatCode>0</c:formatCode>
                <c:ptCount val="6"/>
                <c:pt idx="0">
                  <c:v>2005</c:v>
                </c:pt>
                <c:pt idx="1">
                  <c:v>2010</c:v>
                </c:pt>
                <c:pt idx="2">
                  <c:v>2015</c:v>
                </c:pt>
                <c:pt idx="3">
                  <c:v>2020</c:v>
                </c:pt>
                <c:pt idx="4">
                  <c:v>2025</c:v>
                </c:pt>
                <c:pt idx="5">
                  <c:v>2030</c:v>
                </c:pt>
              </c:numCache>
            </c:numRef>
          </c:cat>
          <c:val>
            <c:numRef>
              <c:f>'Ef_en-wykr'!$C$10:$H$10</c:f>
              <c:numCache>
                <c:formatCode>#,##0</c:formatCode>
                <c:ptCount val="6"/>
                <c:pt idx="0">
                  <c:v>57169</c:v>
                </c:pt>
                <c:pt idx="1">
                  <c:v>63712</c:v>
                </c:pt>
                <c:pt idx="2">
                  <c:v>71246</c:v>
                </c:pt>
                <c:pt idx="3">
                  <c:v>77448</c:v>
                </c:pt>
                <c:pt idx="4">
                  <c:v>82174</c:v>
                </c:pt>
                <c:pt idx="5">
                  <c:v>85467</c:v>
                </c:pt>
              </c:numCache>
            </c:numRef>
          </c:val>
          <c:smooth val="0"/>
          <c:extLst>
            <c:ext xmlns:c16="http://schemas.microsoft.com/office/drawing/2014/chart" uri="{C3380CC4-5D6E-409C-BE32-E72D297353CC}">
              <c16:uniqueId val="{00000004-3A50-41F8-954C-3EDD27523E47}"/>
            </c:ext>
          </c:extLst>
        </c:ser>
        <c:ser>
          <c:idx val="4"/>
          <c:order val="4"/>
          <c:tx>
            <c:strRef>
              <c:f>'Ef_en-wykr'!$B$11</c:f>
              <c:strCache>
                <c:ptCount val="1"/>
                <c:pt idx="0">
                  <c:v>Zużycie energii pierwotnej PRIMES 2020</c:v>
                </c:pt>
              </c:strCache>
            </c:strRef>
          </c:tx>
          <c:spPr>
            <a:ln w="28575" cap="rnd">
              <a:solidFill>
                <a:schemeClr val="accent5"/>
              </a:solidFill>
              <a:prstDash val="sysDash"/>
              <a:round/>
            </a:ln>
            <a:effectLst/>
          </c:spPr>
          <c:marker>
            <c:symbol val="circle"/>
            <c:size val="4"/>
            <c:spPr>
              <a:solidFill>
                <a:schemeClr val="accent5"/>
              </a:solidFill>
              <a:ln w="9525">
                <a:noFill/>
              </a:ln>
              <a:effectLst/>
            </c:spPr>
          </c:marker>
          <c:cat>
            <c:numRef>
              <c:f>'Ef_en-wykr'!$C$6:$H$6</c:f>
              <c:numCache>
                <c:formatCode>0</c:formatCode>
                <c:ptCount val="6"/>
                <c:pt idx="0">
                  <c:v>2005</c:v>
                </c:pt>
                <c:pt idx="1">
                  <c:v>2010</c:v>
                </c:pt>
                <c:pt idx="2">
                  <c:v>2015</c:v>
                </c:pt>
                <c:pt idx="3">
                  <c:v>2020</c:v>
                </c:pt>
                <c:pt idx="4">
                  <c:v>2025</c:v>
                </c:pt>
                <c:pt idx="5">
                  <c:v>2030</c:v>
                </c:pt>
              </c:numCache>
            </c:numRef>
          </c:cat>
          <c:val>
            <c:numRef>
              <c:f>'Ef_en-wykr'!$C$11:$H$11</c:f>
              <c:numCache>
                <c:formatCode>#,##0</c:formatCode>
                <c:ptCount val="6"/>
                <c:pt idx="0">
                  <c:v>87959.651573411407</c:v>
                </c:pt>
                <c:pt idx="1">
                  <c:v>96568.513431158601</c:v>
                </c:pt>
                <c:pt idx="2">
                  <c:v>90535.239922401102</c:v>
                </c:pt>
                <c:pt idx="3">
                  <c:v>85700</c:v>
                </c:pt>
                <c:pt idx="4">
                  <c:v>91300</c:v>
                </c:pt>
                <c:pt idx="5">
                  <c:v>93327</c:v>
                </c:pt>
              </c:numCache>
            </c:numRef>
          </c:val>
          <c:smooth val="0"/>
          <c:extLst>
            <c:ext xmlns:c16="http://schemas.microsoft.com/office/drawing/2014/chart" uri="{C3380CC4-5D6E-409C-BE32-E72D297353CC}">
              <c16:uniqueId val="{00000005-3A50-41F8-954C-3EDD27523E47}"/>
            </c:ext>
          </c:extLst>
        </c:ser>
        <c:ser>
          <c:idx val="5"/>
          <c:order val="5"/>
          <c:tx>
            <c:strRef>
              <c:f>'Ef_en-wykr'!$B$12</c:f>
              <c:strCache>
                <c:ptCount val="1"/>
                <c:pt idx="0">
                  <c:v>Finalne zużycie energii PRIMES 2020</c:v>
                </c:pt>
              </c:strCache>
            </c:strRef>
          </c:tx>
          <c:spPr>
            <a:ln w="28575" cap="rnd">
              <a:solidFill>
                <a:schemeClr val="accent6"/>
              </a:solidFill>
              <a:prstDash val="sysDash"/>
              <a:round/>
            </a:ln>
            <a:effectLst/>
          </c:spPr>
          <c:marker>
            <c:symbol val="circle"/>
            <c:size val="4"/>
            <c:spPr>
              <a:solidFill>
                <a:schemeClr val="accent6"/>
              </a:solidFill>
              <a:ln w="9525">
                <a:noFill/>
              </a:ln>
              <a:effectLst/>
            </c:spPr>
          </c:marker>
          <c:dPt>
            <c:idx val="5"/>
            <c:marker>
              <c:symbol val="circle"/>
              <c:size val="6"/>
              <c:spPr>
                <a:solidFill>
                  <a:schemeClr val="accent6"/>
                </a:solidFill>
                <a:ln w="9525">
                  <a:noFill/>
                </a:ln>
                <a:effectLst/>
              </c:spPr>
            </c:marker>
            <c:bubble3D val="0"/>
            <c:extLst>
              <c:ext xmlns:c16="http://schemas.microsoft.com/office/drawing/2014/chart" uri="{C3380CC4-5D6E-409C-BE32-E72D297353CC}">
                <c16:uniqueId val="{00000006-3A50-41F8-954C-3EDD27523E47}"/>
              </c:ext>
            </c:extLst>
          </c:dPt>
          <c:cat>
            <c:numRef>
              <c:f>'Ef_en-wykr'!$C$6:$H$6</c:f>
              <c:numCache>
                <c:formatCode>0</c:formatCode>
                <c:ptCount val="6"/>
                <c:pt idx="0">
                  <c:v>2005</c:v>
                </c:pt>
                <c:pt idx="1">
                  <c:v>2010</c:v>
                </c:pt>
                <c:pt idx="2">
                  <c:v>2015</c:v>
                </c:pt>
                <c:pt idx="3">
                  <c:v>2020</c:v>
                </c:pt>
                <c:pt idx="4">
                  <c:v>2025</c:v>
                </c:pt>
                <c:pt idx="5">
                  <c:v>2030</c:v>
                </c:pt>
              </c:numCache>
            </c:numRef>
          </c:cat>
          <c:val>
            <c:numRef>
              <c:f>'Ef_en-wykr'!$C$12:$H$12</c:f>
              <c:numCache>
                <c:formatCode>#,##0</c:formatCode>
                <c:ptCount val="6"/>
                <c:pt idx="0">
                  <c:v>58487</c:v>
                </c:pt>
                <c:pt idx="1">
                  <c:v>66282.8</c:v>
                </c:pt>
                <c:pt idx="2">
                  <c:v>62299</c:v>
                </c:pt>
                <c:pt idx="3">
                  <c:v>62700</c:v>
                </c:pt>
                <c:pt idx="4">
                  <c:v>67900</c:v>
                </c:pt>
                <c:pt idx="5">
                  <c:v>67161</c:v>
                </c:pt>
              </c:numCache>
            </c:numRef>
          </c:val>
          <c:smooth val="0"/>
          <c:extLst>
            <c:ext xmlns:c16="http://schemas.microsoft.com/office/drawing/2014/chart" uri="{C3380CC4-5D6E-409C-BE32-E72D297353CC}">
              <c16:uniqueId val="{00000007-3A50-41F8-954C-3EDD27523E47}"/>
            </c:ext>
          </c:extLst>
        </c:ser>
        <c:ser>
          <c:idx val="6"/>
          <c:order val="6"/>
          <c:tx>
            <c:strRef>
              <c:f>'Ef_en-wykr'!$B$15</c:f>
              <c:strCache>
                <c:ptCount val="1"/>
                <c:pt idx="0">
                  <c:v>Oczekiwane PEC wg formuły</c:v>
                </c:pt>
              </c:strCache>
            </c:strRef>
          </c:tx>
          <c:spPr>
            <a:ln w="28575" cap="rnd">
              <a:noFill/>
              <a:round/>
            </a:ln>
            <a:effectLst/>
          </c:spPr>
          <c:marker>
            <c:symbol val="circle"/>
            <c:size val="9"/>
            <c:spPr>
              <a:solidFill>
                <a:srgbClr val="7030A0"/>
              </a:solidFill>
              <a:ln w="9525">
                <a:noFill/>
              </a:ln>
              <a:effectLst/>
            </c:spPr>
          </c:marker>
          <c:dPt>
            <c:idx val="0"/>
            <c:marker>
              <c:symbol val="circle"/>
              <c:size val="9"/>
              <c:spPr>
                <a:noFill/>
                <a:ln w="9525">
                  <a:noFill/>
                </a:ln>
                <a:effectLst/>
              </c:spPr>
            </c:marker>
            <c:bubble3D val="0"/>
            <c:extLst>
              <c:ext xmlns:c16="http://schemas.microsoft.com/office/drawing/2014/chart" uri="{C3380CC4-5D6E-409C-BE32-E72D297353CC}">
                <c16:uniqueId val="{00000008-3A50-41F8-954C-3EDD27523E47}"/>
              </c:ext>
            </c:extLst>
          </c:dPt>
          <c:dPt>
            <c:idx val="1"/>
            <c:marker>
              <c:symbol val="circle"/>
              <c:size val="9"/>
              <c:spPr>
                <a:noFill/>
                <a:ln w="9525">
                  <a:noFill/>
                </a:ln>
                <a:effectLst/>
              </c:spPr>
            </c:marker>
            <c:bubble3D val="0"/>
            <c:extLst>
              <c:ext xmlns:c16="http://schemas.microsoft.com/office/drawing/2014/chart" uri="{C3380CC4-5D6E-409C-BE32-E72D297353CC}">
                <c16:uniqueId val="{00000009-3A50-41F8-954C-3EDD27523E47}"/>
              </c:ext>
            </c:extLst>
          </c:dPt>
          <c:dPt>
            <c:idx val="2"/>
            <c:marker>
              <c:symbol val="circle"/>
              <c:size val="9"/>
              <c:spPr>
                <a:noFill/>
                <a:ln w="9525">
                  <a:noFill/>
                </a:ln>
                <a:effectLst/>
              </c:spPr>
            </c:marker>
            <c:bubble3D val="0"/>
            <c:extLst>
              <c:ext xmlns:c16="http://schemas.microsoft.com/office/drawing/2014/chart" uri="{C3380CC4-5D6E-409C-BE32-E72D297353CC}">
                <c16:uniqueId val="{0000000A-3A50-41F8-954C-3EDD27523E47}"/>
              </c:ext>
            </c:extLst>
          </c:dPt>
          <c:cat>
            <c:numRef>
              <c:f>'Ef_en-wykr'!$C$6:$H$6</c:f>
              <c:numCache>
                <c:formatCode>0</c:formatCode>
                <c:ptCount val="6"/>
                <c:pt idx="0">
                  <c:v>2005</c:v>
                </c:pt>
                <c:pt idx="1">
                  <c:v>2010</c:v>
                </c:pt>
                <c:pt idx="2">
                  <c:v>2015</c:v>
                </c:pt>
                <c:pt idx="3">
                  <c:v>2020</c:v>
                </c:pt>
                <c:pt idx="4">
                  <c:v>2025</c:v>
                </c:pt>
                <c:pt idx="5">
                  <c:v>2030</c:v>
                </c:pt>
              </c:numCache>
            </c:numRef>
          </c:cat>
          <c:val>
            <c:numRef>
              <c:f>'Ef_en-wykr'!$C$15:$H$15</c:f>
              <c:numCache>
                <c:formatCode>General</c:formatCode>
                <c:ptCount val="6"/>
                <c:pt idx="3" formatCode="#,##0">
                  <c:v>96859</c:v>
                </c:pt>
                <c:pt idx="4" formatCode="#,##0">
                  <c:v>103734</c:v>
                </c:pt>
                <c:pt idx="5" formatCode="#,##0">
                  <c:v>79931.871802918002</c:v>
                </c:pt>
              </c:numCache>
            </c:numRef>
          </c:val>
          <c:smooth val="0"/>
          <c:extLst>
            <c:ext xmlns:c16="http://schemas.microsoft.com/office/drawing/2014/chart" uri="{C3380CC4-5D6E-409C-BE32-E72D297353CC}">
              <c16:uniqueId val="{0000000B-3A50-41F8-954C-3EDD27523E47}"/>
            </c:ext>
          </c:extLst>
        </c:ser>
        <c:ser>
          <c:idx val="7"/>
          <c:order val="7"/>
          <c:tx>
            <c:strRef>
              <c:f>'Ef_en-wykr'!$B$16</c:f>
              <c:strCache>
                <c:ptCount val="1"/>
                <c:pt idx="0">
                  <c:v>Oczekiwane FEC wg formuły</c:v>
                </c:pt>
              </c:strCache>
            </c:strRef>
          </c:tx>
          <c:spPr>
            <a:ln w="28575" cap="rnd">
              <a:noFill/>
              <a:round/>
            </a:ln>
            <a:effectLst/>
          </c:spPr>
          <c:marker>
            <c:symbol val="circle"/>
            <c:size val="8"/>
            <c:spPr>
              <a:solidFill>
                <a:schemeClr val="accent4"/>
              </a:solidFill>
              <a:ln w="9525">
                <a:noFill/>
              </a:ln>
              <a:effectLst/>
            </c:spPr>
          </c:marker>
          <c:dPt>
            <c:idx val="0"/>
            <c:marker>
              <c:symbol val="circle"/>
              <c:size val="8"/>
              <c:spPr>
                <a:noFill/>
                <a:ln w="9525">
                  <a:noFill/>
                </a:ln>
                <a:effectLst/>
              </c:spPr>
            </c:marker>
            <c:bubble3D val="0"/>
            <c:extLst>
              <c:ext xmlns:c16="http://schemas.microsoft.com/office/drawing/2014/chart" uri="{C3380CC4-5D6E-409C-BE32-E72D297353CC}">
                <c16:uniqueId val="{0000000C-3A50-41F8-954C-3EDD27523E47}"/>
              </c:ext>
            </c:extLst>
          </c:dPt>
          <c:dPt>
            <c:idx val="1"/>
            <c:marker>
              <c:symbol val="circle"/>
              <c:size val="8"/>
              <c:spPr>
                <a:noFill/>
                <a:ln w="9525">
                  <a:noFill/>
                </a:ln>
                <a:effectLst/>
              </c:spPr>
            </c:marker>
            <c:bubble3D val="0"/>
            <c:extLst>
              <c:ext xmlns:c16="http://schemas.microsoft.com/office/drawing/2014/chart" uri="{C3380CC4-5D6E-409C-BE32-E72D297353CC}">
                <c16:uniqueId val="{0000000D-3A50-41F8-954C-3EDD27523E47}"/>
              </c:ext>
            </c:extLst>
          </c:dPt>
          <c:dPt>
            <c:idx val="2"/>
            <c:marker>
              <c:symbol val="circle"/>
              <c:size val="8"/>
              <c:spPr>
                <a:noFill/>
                <a:ln w="9525">
                  <a:noFill/>
                </a:ln>
                <a:effectLst/>
              </c:spPr>
            </c:marker>
            <c:bubble3D val="0"/>
            <c:spPr>
              <a:ln w="28575" cap="rnd">
                <a:noFill/>
                <a:round/>
              </a:ln>
              <a:effectLst/>
            </c:spPr>
            <c:extLst>
              <c:ext xmlns:c16="http://schemas.microsoft.com/office/drawing/2014/chart" uri="{C3380CC4-5D6E-409C-BE32-E72D297353CC}">
                <c16:uniqueId val="{0000000E-3A50-41F8-954C-3EDD27523E47}"/>
              </c:ext>
            </c:extLst>
          </c:dPt>
          <c:cat>
            <c:numRef>
              <c:f>'Ef_en-wykr'!$C$6:$H$6</c:f>
              <c:numCache>
                <c:formatCode>0</c:formatCode>
                <c:ptCount val="6"/>
                <c:pt idx="0">
                  <c:v>2005</c:v>
                </c:pt>
                <c:pt idx="1">
                  <c:v>2010</c:v>
                </c:pt>
                <c:pt idx="2">
                  <c:v>2015</c:v>
                </c:pt>
                <c:pt idx="3">
                  <c:v>2020</c:v>
                </c:pt>
                <c:pt idx="4">
                  <c:v>2025</c:v>
                </c:pt>
                <c:pt idx="5">
                  <c:v>2030</c:v>
                </c:pt>
              </c:numCache>
            </c:numRef>
          </c:cat>
          <c:val>
            <c:numRef>
              <c:f>'Ef_en-wykr'!$C$16:$H$16</c:f>
              <c:numCache>
                <c:formatCode>General</c:formatCode>
                <c:ptCount val="6"/>
                <c:pt idx="3" formatCode="#,##0">
                  <c:v>71145</c:v>
                </c:pt>
                <c:pt idx="4" formatCode="#,##0">
                  <c:v>75978</c:v>
                </c:pt>
                <c:pt idx="5" formatCode="#,##0">
                  <c:v>58532.040375731478</c:v>
                </c:pt>
              </c:numCache>
            </c:numRef>
          </c:val>
          <c:smooth val="0"/>
          <c:extLst>
            <c:ext xmlns:c16="http://schemas.microsoft.com/office/drawing/2014/chart" uri="{C3380CC4-5D6E-409C-BE32-E72D297353CC}">
              <c16:uniqueId val="{0000000F-3A50-41F8-954C-3EDD27523E47}"/>
            </c:ext>
          </c:extLst>
        </c:ser>
        <c:dLbls>
          <c:showLegendKey val="0"/>
          <c:showVal val="0"/>
          <c:showCatName val="0"/>
          <c:showSerName val="0"/>
          <c:showPercent val="0"/>
          <c:showBubbleSize val="0"/>
        </c:dLbls>
        <c:marker val="1"/>
        <c:smooth val="0"/>
        <c:axId val="951788664"/>
        <c:axId val="951787880"/>
      </c:lineChart>
      <c:catAx>
        <c:axId val="95178866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7880"/>
        <c:crosses val="autoZero"/>
        <c:auto val="1"/>
        <c:lblAlgn val="ctr"/>
        <c:lblOffset val="100"/>
        <c:noMultiLvlLbl val="0"/>
      </c:catAx>
      <c:valAx>
        <c:axId val="951787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8664"/>
        <c:crosses val="autoZero"/>
        <c:crossBetween val="between"/>
      </c:valAx>
      <c:spPr>
        <a:noFill/>
        <a:ln>
          <a:noFill/>
        </a:ln>
        <a:effectLst/>
      </c:spPr>
    </c:plotArea>
    <c:legend>
      <c:legendPos val="b"/>
      <c:layout>
        <c:manualLayout>
          <c:xMode val="edge"/>
          <c:yMode val="edge"/>
          <c:x val="0.11300601313724673"/>
          <c:y val="0.83353763941461045"/>
          <c:w val="0.80485217125637076"/>
          <c:h val="0.15103819606096797"/>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78102737157856"/>
          <c:y val="4.2270428510135218E-2"/>
          <c:w val="0.8662599466733325"/>
          <c:h val="0.71914851108650657"/>
        </c:manualLayout>
      </c:layout>
      <c:barChart>
        <c:barDir val="col"/>
        <c:grouping val="clustered"/>
        <c:varyColors val="0"/>
        <c:ser>
          <c:idx val="0"/>
          <c:order val="0"/>
          <c:tx>
            <c:v>Zużycie energii pierwotnej - KPEiK</c:v>
          </c:tx>
          <c:spPr>
            <a:solidFill>
              <a:srgbClr val="002060"/>
            </a:solidFill>
            <a:ln>
              <a:noFill/>
            </a:ln>
            <a:effectLst/>
          </c:spPr>
          <c:invertIfNegative val="0"/>
          <c:cat>
            <c:numRef>
              <c:f>'Ef_en-wykr'!$C$42:$P$42</c:f>
              <c:numCache>
                <c:formatCode>0</c:formatCode>
                <c:ptCount val="14"/>
                <c:pt idx="0">
                  <c:v>2005</c:v>
                </c:pt>
                <c:pt idx="1">
                  <c:v>2010</c:v>
                </c:pt>
                <c:pt idx="2">
                  <c:v>2015</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'Ef_en-wykr'!$C$43:$P$43</c:f>
              <c:numCache>
                <c:formatCode>#,##0</c:formatCode>
                <c:ptCount val="14"/>
                <c:pt idx="0">
                  <c:v>87973.963404031718</c:v>
                </c:pt>
                <c:pt idx="1">
                  <c:v>96589.833555842182</c:v>
                </c:pt>
                <c:pt idx="2">
                  <c:v>90075.110899207022</c:v>
                </c:pt>
                <c:pt idx="3">
                  <c:v>96859.153000000006</c:v>
                </c:pt>
                <c:pt idx="4">
                  <c:v>102716.4024764264</c:v>
                </c:pt>
                <c:pt idx="5">
                  <c:v>98682.156878328795</c:v>
                </c:pt>
                <c:pt idx="6">
                  <c:v>97786.137661296321</c:v>
                </c:pt>
                <c:pt idx="7">
                  <c:v>93175.208388686253</c:v>
                </c:pt>
                <c:pt idx="8">
                  <c:v>92196.521436715018</c:v>
                </c:pt>
                <c:pt idx="9">
                  <c:v>90084.249520188998</c:v>
                </c:pt>
                <c:pt idx="10">
                  <c:v>87173.053878890874</c:v>
                </c:pt>
                <c:pt idx="11">
                  <c:v>84508.663782043848</c:v>
                </c:pt>
                <c:pt idx="12">
                  <c:v>81886.856758763606</c:v>
                </c:pt>
                <c:pt idx="13">
                  <c:v>79614.126908002087</c:v>
                </c:pt>
              </c:numCache>
            </c:numRef>
          </c:val>
          <c:extLst>
            <c:ext xmlns:c16="http://schemas.microsoft.com/office/drawing/2014/chart" uri="{C3380CC4-5D6E-409C-BE32-E72D297353CC}">
              <c16:uniqueId val="{00000000-6F6F-4EB9-836E-3419ED9184BB}"/>
            </c:ext>
          </c:extLst>
        </c:ser>
        <c:ser>
          <c:idx val="2"/>
          <c:order val="2"/>
          <c:tx>
            <c:strRef>
              <c:f>'Ef_en-wykr'!$B$45</c:f>
              <c:strCache>
                <c:ptCount val="1"/>
                <c:pt idx="0">
                  <c:v>Orientacyjna trajektoria realizacji wkładu krajowego w zakresie energii pierwotnej (wg formuły)</c:v>
                </c:pt>
              </c:strCache>
            </c:strRef>
          </c:tx>
          <c:spPr>
            <a:solidFill>
              <a:schemeClr val="accent1"/>
            </a:solidFill>
            <a:ln>
              <a:noFill/>
            </a:ln>
            <a:effectLst/>
          </c:spPr>
          <c:invertIfNegative val="0"/>
          <c:dLbls>
            <c:dLbl>
              <c:idx val="4"/>
              <c:layout>
                <c:manualLayout>
                  <c:x val="-5.5114638447971778E-2"/>
                  <c:y val="-1.0743061772605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6F-4EB9-836E-3419ED9184BB}"/>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6F-4EB9-836E-3419ED9184BB}"/>
                </c:ext>
              </c:extLst>
            </c:dLbl>
            <c:dLbl>
              <c:idx val="13"/>
              <c:layout>
                <c:manualLayout>
                  <c:x val="-3.1525413333267527E-2"/>
                  <c:y val="-8.0409486326791638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9.4387507117165911E-2"/>
                      <c:h val="3.2783820554212278E-2"/>
                    </c:manualLayout>
                  </c15:layout>
                </c:ext>
                <c:ext xmlns:c16="http://schemas.microsoft.com/office/drawing/2014/chart" uri="{C3380CC4-5D6E-409C-BE32-E72D297353CC}">
                  <c16:uniqueId val="{00000003-6F6F-4EB9-836E-3419ED9184BB}"/>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'Ef_en-wykr'!$C$42:$P$42</c:f>
              <c:numCache>
                <c:formatCode>0</c:formatCode>
                <c:ptCount val="14"/>
                <c:pt idx="0">
                  <c:v>2005</c:v>
                </c:pt>
                <c:pt idx="1">
                  <c:v>2010</c:v>
                </c:pt>
                <c:pt idx="2">
                  <c:v>2015</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'Ef_en-wykr'!$C$45:$P$45</c:f>
              <c:numCache>
                <c:formatCode>#,##0</c:formatCode>
                <c:ptCount val="14"/>
                <c:pt idx="0">
                  <c:v>87973.963404031718</c:v>
                </c:pt>
                <c:pt idx="1">
                  <c:v>96589.833555842182</c:v>
                </c:pt>
                <c:pt idx="2">
                  <c:v>90075.110899207022</c:v>
                </c:pt>
                <c:pt idx="3">
                  <c:v>96859</c:v>
                </c:pt>
                <c:pt idx="4">
                  <c:v>103950</c:v>
                </c:pt>
                <c:pt idx="5">
                  <c:v>103842</c:v>
                </c:pt>
                <c:pt idx="6">
                  <c:v>103734</c:v>
                </c:pt>
                <c:pt idx="7">
                  <c:v>103734</c:v>
                </c:pt>
                <c:pt idx="8">
                  <c:v>103734</c:v>
                </c:pt>
                <c:pt idx="9">
                  <c:v>98973</c:v>
                </c:pt>
                <c:pt idx="10">
                  <c:v>94213</c:v>
                </c:pt>
                <c:pt idx="11">
                  <c:v>89453</c:v>
                </c:pt>
                <c:pt idx="12">
                  <c:v>84692</c:v>
                </c:pt>
                <c:pt idx="13">
                  <c:v>79931.871802918002</c:v>
                </c:pt>
              </c:numCache>
            </c:numRef>
          </c:val>
          <c:extLst>
            <c:ext xmlns:c16="http://schemas.microsoft.com/office/drawing/2014/chart" uri="{C3380CC4-5D6E-409C-BE32-E72D297353CC}">
              <c16:uniqueId val="{00000004-6F6F-4EB9-836E-3419ED9184BB}"/>
            </c:ext>
          </c:extLst>
        </c:ser>
        <c:dLbls>
          <c:showLegendKey val="0"/>
          <c:showVal val="0"/>
          <c:showCatName val="0"/>
          <c:showSerName val="0"/>
          <c:showPercent val="0"/>
          <c:showBubbleSize val="0"/>
        </c:dLbls>
        <c:gapWidth val="150"/>
        <c:axId val="951783176"/>
        <c:axId val="951785920"/>
        <c:extLst>
          <c:ext xmlns:c15="http://schemas.microsoft.com/office/drawing/2012/chart" uri="{02D57815-91ED-43cb-92C2-25804820EDAC}">
            <c15:filteredBarSeries>
              <c15:ser>
                <c:idx val="1"/>
                <c:order val="1"/>
                <c:tx>
                  <c:strRef>
                    <c:extLst>
                      <c:ext uri="{02D57815-91ED-43cb-92C2-25804820EDAC}">
                        <c15:formulaRef>
                          <c15:sqref>'Ef_en-wykr'!$B$44</c15:sqref>
                        </c15:formulaRef>
                      </c:ext>
                    </c:extLst>
                    <c:strCache>
                      <c:ptCount val="1"/>
                      <c:pt idx="0">
                        <c:v>Finalne zużycie energii – FEC (Europa 2020-2030)</c:v>
                      </c:pt>
                    </c:strCache>
                  </c:strRef>
                </c:tx>
                <c:spPr>
                  <a:solidFill>
                    <a:srgbClr val="006600"/>
                  </a:solidFill>
                  <a:ln>
                    <a:solidFill>
                      <a:srgbClr val="006600"/>
                    </a:solidFill>
                  </a:ln>
                  <a:effectLst/>
                </c:spPr>
                <c:invertIfNegative val="0"/>
                <c:cat>
                  <c:numRef>
                    <c:extLst>
                      <c:ext uri="{02D57815-91ED-43cb-92C2-25804820EDAC}">
                        <c15:formulaRef>
                          <c15:sqref>'Ef_en-wykr'!$C$42:$P$42</c15:sqref>
                        </c15:formulaRef>
                      </c:ext>
                    </c:extLst>
                    <c:numCache>
                      <c:formatCode>0</c:formatCode>
                      <c:ptCount val="14"/>
                      <c:pt idx="0">
                        <c:v>2005</c:v>
                      </c:pt>
                      <c:pt idx="1">
                        <c:v>2010</c:v>
                      </c:pt>
                      <c:pt idx="2">
                        <c:v>2015</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extLst>
                      <c:ext uri="{02D57815-91ED-43cb-92C2-25804820EDAC}">
                        <c15:formulaRef>
                          <c15:sqref>'Ef_en-wykr'!$C$44:$P$44</c15:sqref>
                        </c15:formulaRef>
                      </c:ext>
                    </c:extLst>
                    <c:numCache>
                      <c:formatCode>#,##0</c:formatCode>
                      <c:ptCount val="14"/>
                      <c:pt idx="0">
                        <c:v>58487</c:v>
                      </c:pt>
                      <c:pt idx="1">
                        <c:v>66282.8</c:v>
                      </c:pt>
                      <c:pt idx="2">
                        <c:v>62299</c:v>
                      </c:pt>
                      <c:pt idx="3">
                        <c:v>71144.608999999997</c:v>
                      </c:pt>
                      <c:pt idx="4">
                        <c:v>73907.965998397878</c:v>
                      </c:pt>
                      <c:pt idx="5">
                        <c:v>71531.657851363459</c:v>
                      </c:pt>
                      <c:pt idx="6">
                        <c:v>71432.783979756467</c:v>
                      </c:pt>
                      <c:pt idx="7">
                        <c:v>69607.399101659888</c:v>
                      </c:pt>
                      <c:pt idx="8">
                        <c:v>69606.699278009604</c:v>
                      </c:pt>
                      <c:pt idx="9">
                        <c:v>69223.661818021312</c:v>
                      </c:pt>
                      <c:pt idx="10">
                        <c:v>68056.316153115462</c:v>
                      </c:pt>
                      <c:pt idx="11">
                        <c:v>66770.274269402231</c:v>
                      </c:pt>
                      <c:pt idx="12">
                        <c:v>65451.053964915365</c:v>
                      </c:pt>
                      <c:pt idx="13">
                        <c:v>64077.272190806805</c:v>
                      </c:pt>
                    </c:numCache>
                  </c:numRef>
                </c:val>
                <c:extLst>
                  <c:ext xmlns:c16="http://schemas.microsoft.com/office/drawing/2014/chart" uri="{C3380CC4-5D6E-409C-BE32-E72D297353CC}">
                    <c16:uniqueId val="{00000005-6F6F-4EB9-836E-3419ED9184B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'Ef_en-wykr'!$B$46</c15:sqref>
                        </c15:formulaRef>
                      </c:ext>
                    </c:extLst>
                    <c:strCache>
                      <c:ptCount val="1"/>
                      <c:pt idx="0">
                        <c:v>Orientacyjna trajektoria realizacji wkładu krajowego w zakresie energii finalnej (wg formuły)</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'Ef_en-wykr'!$C$42:$P$42</c15:sqref>
                        </c15:formulaRef>
                      </c:ext>
                    </c:extLst>
                    <c:numCache>
                      <c:formatCode>0</c:formatCode>
                      <c:ptCount val="14"/>
                      <c:pt idx="0">
                        <c:v>2005</c:v>
                      </c:pt>
                      <c:pt idx="1">
                        <c:v>2010</c:v>
                      </c:pt>
                      <c:pt idx="2">
                        <c:v>2015</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extLst xmlns:c15="http://schemas.microsoft.com/office/drawing/2012/chart">
                      <c:ext xmlns:c15="http://schemas.microsoft.com/office/drawing/2012/chart" uri="{02D57815-91ED-43cb-92C2-25804820EDAC}">
                        <c15:formulaRef>
                          <c15:sqref>'Ef_en-wykr'!$C$46:$P$46</c15:sqref>
                        </c15:formulaRef>
                      </c:ext>
                    </c:extLst>
                    <c:numCache>
                      <c:formatCode>#,##0</c:formatCode>
                      <c:ptCount val="14"/>
                      <c:pt idx="0">
                        <c:v>58487</c:v>
                      </c:pt>
                      <c:pt idx="1">
                        <c:v>66282.8</c:v>
                      </c:pt>
                      <c:pt idx="2">
                        <c:v>62299</c:v>
                      </c:pt>
                      <c:pt idx="3">
                        <c:v>71145</c:v>
                      </c:pt>
                      <c:pt idx="4">
                        <c:v>75154</c:v>
                      </c:pt>
                      <c:pt idx="5">
                        <c:v>75428</c:v>
                      </c:pt>
                      <c:pt idx="6">
                        <c:v>75703</c:v>
                      </c:pt>
                      <c:pt idx="7">
                        <c:v>75978</c:v>
                      </c:pt>
                      <c:pt idx="8">
                        <c:v>75978</c:v>
                      </c:pt>
                      <c:pt idx="9">
                        <c:v>72488</c:v>
                      </c:pt>
                      <c:pt idx="10">
                        <c:v>68999</c:v>
                      </c:pt>
                      <c:pt idx="11">
                        <c:v>65510</c:v>
                      </c:pt>
                      <c:pt idx="12">
                        <c:v>62021</c:v>
                      </c:pt>
                      <c:pt idx="13">
                        <c:v>58532.040375731478</c:v>
                      </c:pt>
                    </c:numCache>
                  </c:numRef>
                </c:val>
                <c:extLst xmlns:c15="http://schemas.microsoft.com/office/drawing/2012/chart">
                  <c:ext xmlns:c16="http://schemas.microsoft.com/office/drawing/2014/chart" uri="{C3380CC4-5D6E-409C-BE32-E72D297353CC}">
                    <c16:uniqueId val="{00000006-6F6F-4EB9-836E-3419ED9184BB}"/>
                  </c:ext>
                </c:extLst>
              </c15:ser>
            </c15:filteredBarSeries>
          </c:ext>
        </c:extLst>
      </c:barChart>
      <c:catAx>
        <c:axId val="951783176"/>
        <c:scaling>
          <c:orientation val="minMax"/>
        </c:scaling>
        <c:delete val="0"/>
        <c:axPos val="b"/>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5920"/>
        <c:crosses val="autoZero"/>
        <c:auto val="1"/>
        <c:lblAlgn val="ctr"/>
        <c:lblOffset val="100"/>
        <c:noMultiLvlLbl val="0"/>
      </c:catAx>
      <c:valAx>
        <c:axId val="95178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3176"/>
        <c:crosses val="autoZero"/>
        <c:crossBetween val="between"/>
        <c:dispUnits>
          <c:builtInUnit val="thousands"/>
        </c:dispUnits>
      </c:valAx>
      <c:spPr>
        <a:noFill/>
        <a:ln>
          <a:noFill/>
          <a:prstDash val="dash"/>
        </a:ln>
        <a:effectLst/>
      </c:spPr>
    </c:plotArea>
    <c:legend>
      <c:legendPos val="b"/>
      <c:layout>
        <c:manualLayout>
          <c:xMode val="edge"/>
          <c:yMode val="edge"/>
          <c:x val="2.7921683400686011E-2"/>
          <c:y val="0.84050122043034858"/>
          <c:w val="0.9545372800622145"/>
          <c:h val="0.119063295422463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99270924467774"/>
          <c:y val="4.2270437217208356E-2"/>
          <c:w val="0.85391079587273799"/>
          <c:h val="0.71914851108650657"/>
        </c:manualLayout>
      </c:layout>
      <c:barChart>
        <c:barDir val="col"/>
        <c:grouping val="clustered"/>
        <c:varyColors val="0"/>
        <c:ser>
          <c:idx val="1"/>
          <c:order val="1"/>
          <c:tx>
            <c:v>Finalne zużycie energii - KPEiK</c:v>
          </c:tx>
          <c:spPr>
            <a:solidFill>
              <a:srgbClr val="006600"/>
            </a:solidFill>
            <a:ln>
              <a:noFill/>
            </a:ln>
            <a:effectLst/>
          </c:spPr>
          <c:invertIfNegative val="0"/>
          <c:cat>
            <c:numRef>
              <c:f>'Ef_en-wykr'!$G$42:$P$42</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'Ef_en-wykr'!$G$44:$P$44</c:f>
              <c:numCache>
                <c:formatCode>#,##0</c:formatCode>
                <c:ptCount val="10"/>
                <c:pt idx="0">
                  <c:v>73907.965998397878</c:v>
                </c:pt>
                <c:pt idx="1">
                  <c:v>71531.657851363459</c:v>
                </c:pt>
                <c:pt idx="2">
                  <c:v>71432.783979756467</c:v>
                </c:pt>
                <c:pt idx="3">
                  <c:v>69607.399101659888</c:v>
                </c:pt>
                <c:pt idx="4">
                  <c:v>69606.699278009604</c:v>
                </c:pt>
                <c:pt idx="5">
                  <c:v>69223.661818021312</c:v>
                </c:pt>
                <c:pt idx="6">
                  <c:v>68056.316153115462</c:v>
                </c:pt>
                <c:pt idx="7">
                  <c:v>66770.274269402231</c:v>
                </c:pt>
                <c:pt idx="8">
                  <c:v>65451.053964915365</c:v>
                </c:pt>
                <c:pt idx="9">
                  <c:v>64077.272190806805</c:v>
                </c:pt>
              </c:numCache>
              <c:extLst/>
            </c:numRef>
          </c:val>
          <c:extLst>
            <c:ext xmlns:c16="http://schemas.microsoft.com/office/drawing/2014/chart" uri="{C3380CC4-5D6E-409C-BE32-E72D297353CC}">
              <c16:uniqueId val="{00000000-3BAB-4963-BFE4-4C21A6317EE4}"/>
            </c:ext>
          </c:extLst>
        </c:ser>
        <c:ser>
          <c:idx val="3"/>
          <c:order val="3"/>
          <c:tx>
            <c:strRef>
              <c:f>'Ef_en-wykr'!$B$46</c:f>
              <c:strCache>
                <c:ptCount val="1"/>
                <c:pt idx="0">
                  <c:v>Orientacyjna trajektoria realizacji wkładu krajowego w zakresie energii finalnej (wg formuły)</c:v>
                </c:pt>
              </c:strCache>
            </c:strRef>
          </c:tx>
          <c:spPr>
            <a:solidFill>
              <a:schemeClr val="accent4"/>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AB-4963-BFE4-4C21A6317EE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AB-4963-BFE4-4C21A6317EE4}"/>
                </c:ext>
              </c:extLst>
            </c:dLbl>
            <c:dLbl>
              <c:idx val="9"/>
              <c:layout>
                <c:manualLayout>
                  <c:x val="-1.616677385145396E-16"/>
                  <c:y val="-6.087735004476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AB-4963-BFE4-4C21A6317EE4}"/>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'Ef_en-wykr'!$G$42:$P$42</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'Ef_en-wykr'!$G$46:$P$46</c:f>
              <c:numCache>
                <c:formatCode>#,##0</c:formatCode>
                <c:ptCount val="10"/>
                <c:pt idx="0">
                  <c:v>75154</c:v>
                </c:pt>
                <c:pt idx="1">
                  <c:v>75428</c:v>
                </c:pt>
                <c:pt idx="2">
                  <c:v>75703</c:v>
                </c:pt>
                <c:pt idx="3">
                  <c:v>75978</c:v>
                </c:pt>
                <c:pt idx="4">
                  <c:v>75978</c:v>
                </c:pt>
                <c:pt idx="5">
                  <c:v>72488</c:v>
                </c:pt>
                <c:pt idx="6">
                  <c:v>68999</c:v>
                </c:pt>
                <c:pt idx="7">
                  <c:v>65510</c:v>
                </c:pt>
                <c:pt idx="8">
                  <c:v>62021</c:v>
                </c:pt>
                <c:pt idx="9">
                  <c:v>58532.040375731478</c:v>
                </c:pt>
              </c:numCache>
              <c:extLst/>
            </c:numRef>
          </c:val>
          <c:extLst>
            <c:ext xmlns:c16="http://schemas.microsoft.com/office/drawing/2014/chart" uri="{C3380CC4-5D6E-409C-BE32-E72D297353CC}">
              <c16:uniqueId val="{00000004-3BAB-4963-BFE4-4C21A6317EE4}"/>
            </c:ext>
          </c:extLst>
        </c:ser>
        <c:dLbls>
          <c:showLegendKey val="0"/>
          <c:showVal val="0"/>
          <c:showCatName val="0"/>
          <c:showSerName val="0"/>
          <c:showPercent val="0"/>
          <c:showBubbleSize val="0"/>
        </c:dLbls>
        <c:gapWidth val="150"/>
        <c:axId val="951784352"/>
        <c:axId val="951787096"/>
        <c:extLst>
          <c:ext xmlns:c15="http://schemas.microsoft.com/office/drawing/2012/chart" uri="{02D57815-91ED-43cb-92C2-25804820EDAC}">
            <c15:filteredBarSeries>
              <c15:ser>
                <c:idx val="0"/>
                <c:order val="0"/>
                <c:tx>
                  <c:strRef>
                    <c:extLst>
                      <c:ext uri="{02D57815-91ED-43cb-92C2-25804820EDAC}">
                        <c15:formulaRef>
                          <c15:sqref>'Ef_en-wykr'!$B$43</c15:sqref>
                        </c15:formulaRef>
                      </c:ext>
                    </c:extLst>
                    <c:strCache>
                      <c:ptCount val="1"/>
                      <c:pt idx="0">
                        <c:v>Prognoza zużycia energii pierwotnej  – PEC (Europa 2020-2030)</c:v>
                      </c:pt>
                    </c:strCache>
                  </c:strRef>
                </c:tx>
                <c:spPr>
                  <a:solidFill>
                    <a:srgbClr val="002060"/>
                  </a:solidFill>
                  <a:ln>
                    <a:solidFill>
                      <a:schemeClr val="accent1"/>
                    </a:solidFill>
                  </a:ln>
                  <a:effectLst/>
                </c:spPr>
                <c:invertIfNegative val="0"/>
                <c:cat>
                  <c:numRef>
                    <c:extLst>
                      <c:ext uri="{02D57815-91ED-43cb-92C2-25804820EDAC}">
                        <c15:formulaRef>
                          <c15:sqref>'Ef_en-wykr'!$G$42:$P$42</c15:sqref>
                        </c15:formulaRef>
                      </c:ext>
                    </c:extLst>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c:ext uri="{02D57815-91ED-43cb-92C2-25804820EDAC}">
                        <c15:formulaRef>
                          <c15:sqref>'Ef_en-wykr'!$G$43:$P$43</c15:sqref>
                        </c15:formulaRef>
                      </c:ext>
                    </c:extLst>
                    <c:numCache>
                      <c:formatCode>#,##0</c:formatCode>
                      <c:ptCount val="10"/>
                      <c:pt idx="0">
                        <c:v>102716.4024764264</c:v>
                      </c:pt>
                      <c:pt idx="1">
                        <c:v>98682.156878328795</c:v>
                      </c:pt>
                      <c:pt idx="2">
                        <c:v>97786.137661296321</c:v>
                      </c:pt>
                      <c:pt idx="3">
                        <c:v>93175.208388686253</c:v>
                      </c:pt>
                      <c:pt idx="4">
                        <c:v>92196.521436715018</c:v>
                      </c:pt>
                      <c:pt idx="5">
                        <c:v>90084.249520188998</c:v>
                      </c:pt>
                      <c:pt idx="6">
                        <c:v>87173.053878890874</c:v>
                      </c:pt>
                      <c:pt idx="7">
                        <c:v>84508.663782043848</c:v>
                      </c:pt>
                      <c:pt idx="8">
                        <c:v>81886.856758763606</c:v>
                      </c:pt>
                      <c:pt idx="9">
                        <c:v>79614.126908002087</c:v>
                      </c:pt>
                    </c:numCache>
                  </c:numRef>
                </c:val>
                <c:extLst>
                  <c:ext xmlns:c16="http://schemas.microsoft.com/office/drawing/2014/chart" uri="{C3380CC4-5D6E-409C-BE32-E72D297353CC}">
                    <c16:uniqueId val="{00000005-3BAB-4963-BFE4-4C21A6317E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'Ef_en-wykr'!$B$45</c15:sqref>
                        </c15:formulaRef>
                      </c:ext>
                    </c:extLst>
                    <c:strCache>
                      <c:ptCount val="1"/>
                      <c:pt idx="0">
                        <c:v>Orientacyjna trajektoria realizacji wkładu krajowego w zakresie energii pierwotnej (wg formuły)</c:v>
                      </c:pt>
                    </c:strCache>
                  </c:strRef>
                </c:tx>
                <c:spPr>
                  <a:solidFill>
                    <a:schemeClr val="accent1"/>
                  </a:solidFill>
                  <a:ln>
                    <a:noFill/>
                  </a:ln>
                  <a:effectLst/>
                </c:spPr>
                <c:invertIfNegative val="0"/>
                <c:cat>
                  <c:numRef>
                    <c:extLst xmlns:c15="http://schemas.microsoft.com/office/drawing/2012/chart">
                      <c:ext xmlns:c15="http://schemas.microsoft.com/office/drawing/2012/chart" uri="{02D57815-91ED-43cb-92C2-25804820EDAC}">
                        <c15:formulaRef>
                          <c15:sqref>'Ef_en-wykr'!$G$42:$P$42</c15:sqref>
                        </c15:formulaRef>
                      </c:ext>
                    </c:extLst>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5="http://schemas.microsoft.com/office/drawing/2012/chart">
                      <c:ext xmlns:c15="http://schemas.microsoft.com/office/drawing/2012/chart" uri="{02D57815-91ED-43cb-92C2-25804820EDAC}">
                        <c15:formulaRef>
                          <c15:sqref>'Ef_en-wykr'!$G$45:$P$45</c15:sqref>
                        </c15:formulaRef>
                      </c:ext>
                    </c:extLst>
                    <c:numCache>
                      <c:formatCode>#,##0</c:formatCode>
                      <c:ptCount val="10"/>
                      <c:pt idx="0">
                        <c:v>103950</c:v>
                      </c:pt>
                      <c:pt idx="1">
                        <c:v>103842</c:v>
                      </c:pt>
                      <c:pt idx="2">
                        <c:v>103734</c:v>
                      </c:pt>
                      <c:pt idx="3">
                        <c:v>103734</c:v>
                      </c:pt>
                      <c:pt idx="4">
                        <c:v>103734</c:v>
                      </c:pt>
                      <c:pt idx="5">
                        <c:v>98973</c:v>
                      </c:pt>
                      <c:pt idx="6">
                        <c:v>94213</c:v>
                      </c:pt>
                      <c:pt idx="7">
                        <c:v>89453</c:v>
                      </c:pt>
                      <c:pt idx="8">
                        <c:v>84692</c:v>
                      </c:pt>
                      <c:pt idx="9">
                        <c:v>79931.871802918002</c:v>
                      </c:pt>
                    </c:numCache>
                  </c:numRef>
                </c:val>
                <c:extLst xmlns:c15="http://schemas.microsoft.com/office/drawing/2012/chart">
                  <c:ext xmlns:c16="http://schemas.microsoft.com/office/drawing/2014/chart" uri="{C3380CC4-5D6E-409C-BE32-E72D297353CC}">
                    <c16:uniqueId val="{00000006-3BAB-4963-BFE4-4C21A6317EE4}"/>
                  </c:ext>
                </c:extLst>
              </c15:ser>
            </c15:filteredBarSeries>
          </c:ext>
        </c:extLst>
      </c:barChart>
      <c:catAx>
        <c:axId val="951784352"/>
        <c:scaling>
          <c:orientation val="minMax"/>
        </c:scaling>
        <c:delete val="0"/>
        <c:axPos val="b"/>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87096"/>
        <c:crosses val="autoZero"/>
        <c:auto val="1"/>
        <c:lblAlgn val="ctr"/>
        <c:lblOffset val="100"/>
        <c:noMultiLvlLbl val="0"/>
      </c:catAx>
      <c:valAx>
        <c:axId val="951787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pl-PL"/>
                  <a:t>[Mtoe]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84352"/>
        <c:crosses val="autoZero"/>
        <c:crossBetween val="between"/>
        <c:dispUnits>
          <c:builtInUnit val="thousands"/>
        </c:dispUnits>
      </c:valAx>
      <c:spPr>
        <a:noFill/>
        <a:ln>
          <a:noFill/>
          <a:prstDash val="dash"/>
        </a:ln>
        <a:effectLst/>
      </c:spPr>
    </c:plotArea>
    <c:legend>
      <c:legendPos val="b"/>
      <c:layout>
        <c:manualLayout>
          <c:xMode val="edge"/>
          <c:yMode val="edge"/>
          <c:x val="0"/>
          <c:y val="0.84050122043034858"/>
          <c:w val="1"/>
          <c:h val="0.133025609936627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28166033701233"/>
          <c:y val="0.1130124239829899"/>
          <c:w val="0.78874945706044175"/>
          <c:h val="0.71607199559473134"/>
        </c:manualLayout>
      </c:layout>
      <c:barChart>
        <c:barDir val="col"/>
        <c:grouping val="stacked"/>
        <c:varyColors val="0"/>
        <c:ser>
          <c:idx val="0"/>
          <c:order val="0"/>
          <c:tx>
            <c:strRef>
              <c:f>'efen_sekt publ'!$B$4</c:f>
              <c:strCache>
                <c:ptCount val="1"/>
                <c:pt idx="0">
                  <c:v>G1</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F24D-4611-A773-6EF32E61D7D1}"/>
              </c:ext>
            </c:extLst>
          </c:dPt>
          <c:cat>
            <c:numRef>
              <c:f>('efen_sekt publ'!$C$3,'efen_sekt publ'!$G$3:$M$3)</c:f>
              <c:numCache>
                <c:formatCode>0</c:formatCode>
                <c:ptCount val="8"/>
                <c:pt idx="0">
                  <c:v>2021</c:v>
                </c:pt>
                <c:pt idx="1">
                  <c:v>2025</c:v>
                </c:pt>
                <c:pt idx="2">
                  <c:v>2026</c:v>
                </c:pt>
                <c:pt idx="3">
                  <c:v>2027</c:v>
                </c:pt>
                <c:pt idx="4">
                  <c:v>2028</c:v>
                </c:pt>
                <c:pt idx="5">
                  <c:v>2029</c:v>
                </c:pt>
                <c:pt idx="6">
                  <c:v>2030</c:v>
                </c:pt>
                <c:pt idx="7">
                  <c:v>2031</c:v>
                </c:pt>
              </c:numCache>
              <c:extLst/>
            </c:numRef>
          </c:cat>
          <c:val>
            <c:numRef>
              <c:f>('efen_sekt publ'!$C$4,'efen_sekt publ'!$G$4:$L$4)</c:f>
              <c:numCache>
                <c:formatCode>#,##0.00</c:formatCode>
                <c:ptCount val="7"/>
                <c:pt idx="0" formatCode="General">
                  <c:v>1308.1886739000001</c:v>
                </c:pt>
                <c:pt idx="1">
                  <c:v>1302.9559192044001</c:v>
                </c:pt>
                <c:pt idx="2">
                  <c:v>1278.1003344003</c:v>
                </c:pt>
                <c:pt idx="3">
                  <c:v>1253.2447495961999</c:v>
                </c:pt>
                <c:pt idx="4">
                  <c:v>1228.3891647920998</c:v>
                </c:pt>
                <c:pt idx="5">
                  <c:v>1203.5335799879997</c:v>
                </c:pt>
                <c:pt idx="6">
                  <c:v>1178.6779951838996</c:v>
                </c:pt>
              </c:numCache>
              <c:extLst/>
            </c:numRef>
          </c:val>
          <c:extLst>
            <c:ext xmlns:c16="http://schemas.microsoft.com/office/drawing/2014/chart" uri="{C3380CC4-5D6E-409C-BE32-E72D297353CC}">
              <c16:uniqueId val="{00000002-F24D-4611-A773-6EF32E61D7D1}"/>
            </c:ext>
          </c:extLst>
        </c:ser>
        <c:ser>
          <c:idx val="1"/>
          <c:order val="1"/>
          <c:tx>
            <c:strRef>
              <c:f>'efen_sekt publ'!$B$5</c:f>
              <c:strCache>
                <c:ptCount val="1"/>
                <c:pt idx="0">
                  <c:v>G2</c:v>
                </c:pt>
              </c:strCache>
            </c:strRef>
          </c:tx>
          <c:spPr>
            <a:solidFill>
              <a:schemeClr val="accent2"/>
            </a:solidFill>
            <a:ln>
              <a:noFill/>
            </a:ln>
            <a:effectLst/>
          </c:spPr>
          <c:invertIfNegative val="0"/>
          <c:dPt>
            <c:idx val="0"/>
            <c:invertIfNegative val="0"/>
            <c:bubble3D val="0"/>
            <c:spPr>
              <a:solidFill>
                <a:schemeClr val="accent2">
                  <a:lumMod val="75000"/>
                </a:schemeClr>
              </a:solidFill>
              <a:ln>
                <a:noFill/>
              </a:ln>
              <a:effectLst/>
            </c:spPr>
            <c:extLst>
              <c:ext xmlns:c16="http://schemas.microsoft.com/office/drawing/2014/chart" uri="{C3380CC4-5D6E-409C-BE32-E72D297353CC}">
                <c16:uniqueId val="{00000004-F24D-4611-A773-6EF32E61D7D1}"/>
              </c:ext>
            </c:extLst>
          </c:dPt>
          <c:cat>
            <c:numRef>
              <c:f>('efen_sekt publ'!$C$3,'efen_sekt publ'!$G$3:$M$3)</c:f>
              <c:numCache>
                <c:formatCode>0</c:formatCode>
                <c:ptCount val="8"/>
                <c:pt idx="0">
                  <c:v>2021</c:v>
                </c:pt>
                <c:pt idx="1">
                  <c:v>2025</c:v>
                </c:pt>
                <c:pt idx="2">
                  <c:v>2026</c:v>
                </c:pt>
                <c:pt idx="3">
                  <c:v>2027</c:v>
                </c:pt>
                <c:pt idx="4">
                  <c:v>2028</c:v>
                </c:pt>
                <c:pt idx="5">
                  <c:v>2029</c:v>
                </c:pt>
                <c:pt idx="6">
                  <c:v>2030</c:v>
                </c:pt>
                <c:pt idx="7">
                  <c:v>2031</c:v>
                </c:pt>
              </c:numCache>
              <c:extLst/>
            </c:numRef>
          </c:cat>
          <c:val>
            <c:numRef>
              <c:f>('efen_sekt publ'!$C$5,'efen_sekt publ'!$G$5:$L$5)</c:f>
              <c:numCache>
                <c:formatCode>General</c:formatCode>
                <c:ptCount val="7"/>
                <c:pt idx="0">
                  <c:v>1702.422679</c:v>
                </c:pt>
                <c:pt idx="1">
                  <c:v>0</c:v>
                </c:pt>
                <c:pt idx="2">
                  <c:v>0</c:v>
                </c:pt>
                <c:pt idx="3" formatCode="#,##0.00">
                  <c:v>1670.0766480990001</c:v>
                </c:pt>
                <c:pt idx="4" formatCode="#,##0.00">
                  <c:v>1637.7306171980001</c:v>
                </c:pt>
                <c:pt idx="5" formatCode="#,##0.00">
                  <c:v>1605.3845862970002</c:v>
                </c:pt>
                <c:pt idx="6" formatCode="#,##0.00">
                  <c:v>1573.0385553960002</c:v>
                </c:pt>
              </c:numCache>
              <c:extLst/>
            </c:numRef>
          </c:val>
          <c:extLst>
            <c:ext xmlns:c16="http://schemas.microsoft.com/office/drawing/2014/chart" uri="{C3380CC4-5D6E-409C-BE32-E72D297353CC}">
              <c16:uniqueId val="{00000005-F24D-4611-A773-6EF32E61D7D1}"/>
            </c:ext>
          </c:extLst>
        </c:ser>
        <c:ser>
          <c:idx val="2"/>
          <c:order val="2"/>
          <c:tx>
            <c:strRef>
              <c:f>'efen_sekt publ'!$B$6</c:f>
              <c:strCache>
                <c:ptCount val="1"/>
                <c:pt idx="0">
                  <c:v>G3</c:v>
                </c:pt>
              </c:strCache>
            </c:strRef>
          </c:tx>
          <c:spPr>
            <a:solidFill>
              <a:schemeClr val="accent3"/>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7-F24D-4611-A773-6EF32E61D7D1}"/>
              </c:ext>
            </c:extLst>
          </c:dPt>
          <c:cat>
            <c:numRef>
              <c:f>('efen_sekt publ'!$C$3,'efen_sekt publ'!$G$3:$M$3)</c:f>
              <c:numCache>
                <c:formatCode>0</c:formatCode>
                <c:ptCount val="8"/>
                <c:pt idx="0">
                  <c:v>2021</c:v>
                </c:pt>
                <c:pt idx="1">
                  <c:v>2025</c:v>
                </c:pt>
                <c:pt idx="2">
                  <c:v>2026</c:v>
                </c:pt>
                <c:pt idx="3">
                  <c:v>2027</c:v>
                </c:pt>
                <c:pt idx="4">
                  <c:v>2028</c:v>
                </c:pt>
                <c:pt idx="5">
                  <c:v>2029</c:v>
                </c:pt>
                <c:pt idx="6">
                  <c:v>2030</c:v>
                </c:pt>
                <c:pt idx="7">
                  <c:v>2031</c:v>
                </c:pt>
              </c:numCache>
              <c:extLst/>
            </c:numRef>
          </c:cat>
          <c:val>
            <c:numRef>
              <c:f>('efen_sekt publ'!$C$6,'efen_sekt publ'!$G$6:$L$6)</c:f>
              <c:numCache>
                <c:formatCode>General</c:formatCode>
                <c:ptCount val="7"/>
                <c:pt idx="0">
                  <c:v>1103.7720471</c:v>
                </c:pt>
                <c:pt idx="1">
                  <c:v>0</c:v>
                </c:pt>
                <c:pt idx="2">
                  <c:v>0</c:v>
                </c:pt>
                <c:pt idx="3">
                  <c:v>0</c:v>
                </c:pt>
                <c:pt idx="4">
                  <c:v>0</c:v>
                </c:pt>
                <c:pt idx="5" formatCode="#,##0.00">
                  <c:v>0</c:v>
                </c:pt>
                <c:pt idx="6" formatCode="#,##0.00">
                  <c:v>1082.8003782051001</c:v>
                </c:pt>
              </c:numCache>
              <c:extLst/>
            </c:numRef>
          </c:val>
          <c:extLst>
            <c:ext xmlns:c16="http://schemas.microsoft.com/office/drawing/2014/chart" uri="{C3380CC4-5D6E-409C-BE32-E72D297353CC}">
              <c16:uniqueId val="{00000008-F24D-4611-A773-6EF32E61D7D1}"/>
            </c:ext>
          </c:extLst>
        </c:ser>
        <c:dLbls>
          <c:showLegendKey val="0"/>
          <c:showVal val="0"/>
          <c:showCatName val="0"/>
          <c:showSerName val="0"/>
          <c:showPercent val="0"/>
          <c:showBubbleSize val="0"/>
        </c:dLbls>
        <c:gapWidth val="150"/>
        <c:overlap val="100"/>
        <c:axId val="951785136"/>
        <c:axId val="951785528"/>
      </c:barChart>
      <c:catAx>
        <c:axId val="95178513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5528"/>
        <c:crosses val="autoZero"/>
        <c:auto val="1"/>
        <c:lblAlgn val="ctr"/>
        <c:lblOffset val="100"/>
        <c:noMultiLvlLbl val="0"/>
      </c:catAx>
      <c:valAx>
        <c:axId val="951785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5136"/>
        <c:crosses val="autoZero"/>
        <c:crossBetween val="between"/>
      </c:valAx>
      <c:spPr>
        <a:noFill/>
        <a:ln>
          <a:noFill/>
        </a:ln>
        <a:effectLst/>
      </c:spPr>
    </c:plotArea>
    <c:legend>
      <c:legendPos val="t"/>
      <c:layout>
        <c:manualLayout>
          <c:xMode val="edge"/>
          <c:yMode val="edge"/>
          <c:x val="0.36286738910111482"/>
          <c:y val="2.7565084226646254E-2"/>
          <c:w val="0.27426494336722756"/>
          <c:h val="8.52065773554722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669210522436071E-2"/>
          <c:y val="3.9332272551260136E-2"/>
          <c:w val="0.55496483078504066"/>
          <c:h val="0.9159095123307992"/>
        </c:manualLayout>
      </c:layout>
      <c:barChart>
        <c:barDir val="col"/>
        <c:grouping val="stacked"/>
        <c:varyColors val="0"/>
        <c:ser>
          <c:idx val="0"/>
          <c:order val="0"/>
          <c:tx>
            <c:strRef>
              <c:f>a_ELE_cieplo!$AX$80</c:f>
              <c:strCache>
                <c:ptCount val="1"/>
                <c:pt idx="0">
                  <c:v>EL_Węgiel brunatny</c:v>
                </c:pt>
              </c:strCache>
            </c:strRef>
          </c:tx>
          <c:spPr>
            <a:solidFill>
              <a:srgbClr val="99330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a_ELE_cieplo!$BB$80:$BF$80</c:f>
              <c:numCache>
                <c:formatCode>#,##0</c:formatCode>
                <c:ptCount val="5"/>
                <c:pt idx="0">
                  <c:v>7445</c:v>
                </c:pt>
                <c:pt idx="1">
                  <c:v>7007</c:v>
                </c:pt>
              </c:numCache>
              <c:extLst/>
            </c:numRef>
          </c:val>
          <c:extLst>
            <c:ext xmlns:c16="http://schemas.microsoft.com/office/drawing/2014/chart" uri="{C3380CC4-5D6E-409C-BE32-E72D297353CC}">
              <c16:uniqueId val="{00000000-5C2A-4DAB-9A3B-A469DF93C61F}"/>
            </c:ext>
          </c:extLst>
        </c:ser>
        <c:ser>
          <c:idx val="2"/>
          <c:order val="1"/>
          <c:tx>
            <c:strRef>
              <c:f>a_ELE_cieplo!$AX$81</c:f>
              <c:strCache>
                <c:ptCount val="1"/>
                <c:pt idx="0">
                  <c:v>EL_Węgiel kamienny</c:v>
                </c:pt>
              </c:strCache>
            </c:strRef>
          </c:tx>
          <c:spPr>
            <a:solidFill>
              <a:sysClr val="windowText" lastClr="000000">
                <a:alpha val="70000"/>
              </a:sys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a_ELE_cieplo!$BB$81:$BF$81</c:f>
              <c:numCache>
                <c:formatCode>#,##0</c:formatCode>
                <c:ptCount val="5"/>
                <c:pt idx="0">
                  <c:v>15889</c:v>
                </c:pt>
                <c:pt idx="1">
                  <c:v>14465</c:v>
                </c:pt>
              </c:numCache>
              <c:extLst/>
            </c:numRef>
          </c:val>
          <c:extLst>
            <c:ext xmlns:c16="http://schemas.microsoft.com/office/drawing/2014/chart" uri="{C3380CC4-5D6E-409C-BE32-E72D297353CC}">
              <c16:uniqueId val="{00000001-5C2A-4DAB-9A3B-A469DF93C61F}"/>
            </c:ext>
          </c:extLst>
        </c:ser>
        <c:ser>
          <c:idx val="21"/>
          <c:order val="2"/>
          <c:tx>
            <c:strRef>
              <c:f>a_ELE_cieplo!$AX$82</c:f>
              <c:strCache>
                <c:ptCount val="1"/>
                <c:pt idx="0">
                  <c:v>EL_Węgiel kamienny i brunatny</c:v>
                </c:pt>
              </c:strCache>
            </c:strRef>
          </c:tx>
          <c:spPr>
            <a:pattFill prst="dkDnDiag">
              <a:fgClr>
                <a:srgbClr val="ED7D31">
                  <a:lumMod val="75000"/>
                </a:srgbClr>
              </a:fgClr>
              <a:bgClr>
                <a:srgbClr val="A5A5A5">
                  <a:lumMod val="50000"/>
                </a:srgbClr>
              </a:bgClr>
            </a:patt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a_ELE_cieplo!$BB$82:$BF$82</c:f>
              <c:numCache>
                <c:formatCode>General</c:formatCode>
                <c:ptCount val="5"/>
                <c:pt idx="2" formatCode="#,##0">
                  <c:v>14033</c:v>
                </c:pt>
              </c:numCache>
              <c:extLst/>
            </c:numRef>
          </c:val>
          <c:extLst>
            <c:ext xmlns:c16="http://schemas.microsoft.com/office/drawing/2014/chart" uri="{C3380CC4-5D6E-409C-BE32-E72D297353CC}">
              <c16:uniqueId val="{00000002-5C2A-4DAB-9A3B-A469DF93C61F}"/>
            </c:ext>
          </c:extLst>
        </c:ser>
        <c:ser>
          <c:idx val="4"/>
          <c:order val="3"/>
          <c:tx>
            <c:strRef>
              <c:f>a_ELE_cieplo!$AX$84</c:f>
              <c:strCache>
                <c:ptCount val="1"/>
                <c:pt idx="0">
                  <c:v>EL_Paliwa gaz. kopalne i odn.</c:v>
                </c:pt>
              </c:strCache>
            </c:strRef>
          </c:tx>
          <c:spPr>
            <a:solidFill>
              <a:srgbClr val="ED7D31">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a_ELE_cieplo!$BB$84:$BF$84</c:f>
              <c:numCache>
                <c:formatCode>#,##0</c:formatCode>
                <c:ptCount val="5"/>
                <c:pt idx="0">
                  <c:v>0</c:v>
                </c:pt>
                <c:pt idx="1">
                  <c:v>1915</c:v>
                </c:pt>
                <c:pt idx="2">
                  <c:v>6059</c:v>
                </c:pt>
              </c:numCache>
              <c:extLst/>
            </c:numRef>
          </c:val>
          <c:extLst>
            <c:ext xmlns:c16="http://schemas.microsoft.com/office/drawing/2014/chart" uri="{C3380CC4-5D6E-409C-BE32-E72D297353CC}">
              <c16:uniqueId val="{00000003-5C2A-4DAB-9A3B-A469DF93C61F}"/>
            </c:ext>
          </c:extLst>
        </c:ser>
        <c:ser>
          <c:idx val="20"/>
          <c:order val="4"/>
          <c:tx>
            <c:strRef>
              <c:f>a_ELE_cieplo!$AX$83</c:f>
              <c:strCache>
                <c:ptCount val="1"/>
                <c:pt idx="0">
                  <c:v>EL_Węgiel/Paliwa gaz. kopalne i odn.</c:v>
                </c:pt>
              </c:strCache>
            </c:strRef>
          </c:tx>
          <c:spPr>
            <a:pattFill prst="wdUpDiag">
              <a:fgClr>
                <a:schemeClr val="accent2"/>
              </a:fgClr>
              <a:bgClr>
                <a:schemeClr val="tx1">
                  <a:lumMod val="50000"/>
                  <a:lumOff val="50000"/>
                </a:schemeClr>
              </a:bgClr>
            </a:patt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a_ELE_cieplo!$BB$83:$BF$83</c:f>
              <c:numCache>
                <c:formatCode>General</c:formatCode>
                <c:ptCount val="5"/>
                <c:pt idx="3" formatCode="#,##0">
                  <c:v>17117</c:v>
                </c:pt>
                <c:pt idx="4" formatCode="#,##0">
                  <c:v>12680</c:v>
                </c:pt>
              </c:numCache>
              <c:extLst/>
            </c:numRef>
          </c:val>
          <c:extLst>
            <c:ext xmlns:c16="http://schemas.microsoft.com/office/drawing/2014/chart" uri="{C3380CC4-5D6E-409C-BE32-E72D297353CC}">
              <c16:uniqueId val="{00000004-5C2A-4DAB-9A3B-A469DF93C61F}"/>
            </c:ext>
          </c:extLst>
        </c:ser>
        <c:ser>
          <c:idx val="11"/>
          <c:order val="5"/>
          <c:tx>
            <c:strRef>
              <c:f>a_ELE_cieplo!$AX$91</c:f>
              <c:strCache>
                <c:ptCount val="1"/>
                <c:pt idx="0">
                  <c:v>EC_Paliwa gaz. kopalne i odn.</c:v>
                </c:pt>
              </c:strCache>
            </c:strRef>
          </c:tx>
          <c:spPr>
            <a:solidFill>
              <a:srgbClr val="FFAA32">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a_ELE_cieplo!$BB$91:$BF$91</c:f>
              <c:numCache>
                <c:formatCode>#,##0</c:formatCode>
                <c:ptCount val="5"/>
                <c:pt idx="0">
                  <c:v>2688</c:v>
                </c:pt>
                <c:pt idx="1">
                  <c:v>5433.56</c:v>
                </c:pt>
                <c:pt idx="2">
                  <c:v>6869.66</c:v>
                </c:pt>
                <c:pt idx="3">
                  <c:v>7561.4800000000005</c:v>
                </c:pt>
                <c:pt idx="4">
                  <c:v>9227.89</c:v>
                </c:pt>
              </c:numCache>
              <c:extLst/>
            </c:numRef>
          </c:val>
          <c:extLst>
            <c:ext xmlns:c16="http://schemas.microsoft.com/office/drawing/2014/chart" uri="{C3380CC4-5D6E-409C-BE32-E72D297353CC}">
              <c16:uniqueId val="{00000005-5C2A-4DAB-9A3B-A469DF93C61F}"/>
            </c:ext>
          </c:extLst>
        </c:ser>
        <c:ser>
          <c:idx val="5"/>
          <c:order val="6"/>
          <c:tx>
            <c:strRef>
              <c:f>a_ELE_cieplo!$B$50</c:f>
              <c:strCache>
                <c:ptCount val="1"/>
                <c:pt idx="0">
                  <c:v>EL_Jądrowe systemowe</c:v>
                </c:pt>
              </c:strCache>
            </c:strRef>
          </c:tx>
          <c:spPr>
            <a:solidFill>
              <a:srgbClr val="C00000">
                <a:alpha val="70000"/>
              </a:srgb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a_ELE_cieplo!$F$50:$J$50</c:f>
              <c:numCache>
                <c:formatCode>#,##0</c:formatCode>
                <c:ptCount val="5"/>
                <c:pt idx="0">
                  <c:v>0</c:v>
                </c:pt>
                <c:pt idx="1">
                  <c:v>0</c:v>
                </c:pt>
                <c:pt idx="2">
                  <c:v>0</c:v>
                </c:pt>
                <c:pt idx="3">
                  <c:v>0</c:v>
                </c:pt>
                <c:pt idx="4">
                  <c:v>3510</c:v>
                </c:pt>
              </c:numCache>
              <c:extLst/>
            </c:numRef>
          </c:val>
          <c:extLst>
            <c:ext xmlns:c16="http://schemas.microsoft.com/office/drawing/2014/chart" uri="{C3380CC4-5D6E-409C-BE32-E72D297353CC}">
              <c16:uniqueId val="{00000006-5C2A-4DAB-9A3B-A469DF93C61F}"/>
            </c:ext>
          </c:extLst>
        </c:ser>
        <c:ser>
          <c:idx val="9"/>
          <c:order val="8"/>
          <c:tx>
            <c:strRef>
              <c:f>a_ELE_cieplo!$B$54</c:f>
              <c:strCache>
                <c:ptCount val="1"/>
                <c:pt idx="0">
                  <c:v>EC_Przemysłowe</c:v>
                </c:pt>
              </c:strCache>
            </c:strRef>
          </c:tx>
          <c:spPr>
            <a:solidFill>
              <a:schemeClr val="bg1">
                <a:lumMod val="85000"/>
              </a:scheme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a_ELE_cieplo!$F$54:$J$54</c:f>
              <c:numCache>
                <c:formatCode>#,##0</c:formatCode>
                <c:ptCount val="5"/>
                <c:pt idx="0">
                  <c:v>1944.6000000000001</c:v>
                </c:pt>
                <c:pt idx="1">
                  <c:v>1809.22</c:v>
                </c:pt>
                <c:pt idx="2">
                  <c:v>1754.08</c:v>
                </c:pt>
                <c:pt idx="3">
                  <c:v>1672.1999999999998</c:v>
                </c:pt>
                <c:pt idx="4">
                  <c:v>935.45999999999992</c:v>
                </c:pt>
              </c:numCache>
              <c:extLst/>
            </c:numRef>
          </c:val>
          <c:extLst>
            <c:ext xmlns:c16="http://schemas.microsoft.com/office/drawing/2014/chart" uri="{C3380CC4-5D6E-409C-BE32-E72D297353CC}">
              <c16:uniqueId val="{00000007-5C2A-4DAB-9A3B-A469DF93C61F}"/>
            </c:ext>
          </c:extLst>
        </c:ser>
        <c:ser>
          <c:idx val="10"/>
          <c:order val="9"/>
          <c:tx>
            <c:strRef>
              <c:f>a_ELE_cieplo!$B$55</c:f>
              <c:strCache>
                <c:ptCount val="1"/>
                <c:pt idx="0">
                  <c:v>EC_WK</c:v>
                </c:pt>
              </c:strCache>
            </c:strRef>
          </c:tx>
          <c:spPr>
            <a:solidFill>
              <a:schemeClr val="bg1">
                <a:lumMod val="50000"/>
              </a:scheme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a_ELE_cieplo!$F$55:$J$55</c:f>
              <c:numCache>
                <c:formatCode>#,##0</c:formatCode>
                <c:ptCount val="5"/>
                <c:pt idx="0">
                  <c:v>5225.7</c:v>
                </c:pt>
                <c:pt idx="1">
                  <c:v>4037.2</c:v>
                </c:pt>
                <c:pt idx="2">
                  <c:v>3238.2</c:v>
                </c:pt>
                <c:pt idx="3">
                  <c:v>2187.1999999999998</c:v>
                </c:pt>
                <c:pt idx="4">
                  <c:v>0</c:v>
                </c:pt>
              </c:numCache>
              <c:extLst/>
            </c:numRef>
          </c:val>
          <c:extLst>
            <c:ext xmlns:c16="http://schemas.microsoft.com/office/drawing/2014/chart" uri="{C3380CC4-5D6E-409C-BE32-E72D297353CC}">
              <c16:uniqueId val="{00000008-5C2A-4DAB-9A3B-A469DF93C61F}"/>
            </c:ext>
          </c:extLst>
        </c:ser>
        <c:ser>
          <c:idx val="8"/>
          <c:order val="10"/>
          <c:tx>
            <c:strRef>
              <c:f>a_ELE_cieplo!$B$53</c:f>
              <c:strCache>
                <c:ptCount val="1"/>
                <c:pt idx="0">
                  <c:v>EL_Szczytowo-pompowe</c:v>
                </c:pt>
              </c:strCache>
            </c:strRef>
          </c:tx>
          <c:spPr>
            <a:solidFill>
              <a:srgbClr val="4472C4">
                <a:lumMod val="75000"/>
                <a:alpha val="70000"/>
              </a:srgb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a_ELE_cieplo!$F$53:$J$53</c:f>
              <c:numCache>
                <c:formatCode>#,##0</c:formatCode>
                <c:ptCount val="5"/>
                <c:pt idx="0">
                  <c:v>1705</c:v>
                </c:pt>
                <c:pt idx="1">
                  <c:v>1767</c:v>
                </c:pt>
                <c:pt idx="2">
                  <c:v>2510</c:v>
                </c:pt>
                <c:pt idx="3">
                  <c:v>2510</c:v>
                </c:pt>
                <c:pt idx="4">
                  <c:v>4235</c:v>
                </c:pt>
              </c:numCache>
              <c:extLst/>
            </c:numRef>
          </c:val>
          <c:extLst>
            <c:ext xmlns:c16="http://schemas.microsoft.com/office/drawing/2014/chart" uri="{C3380CC4-5D6E-409C-BE32-E72D297353CC}">
              <c16:uniqueId val="{00000009-5C2A-4DAB-9A3B-A469DF93C61F}"/>
            </c:ext>
          </c:extLst>
        </c:ser>
        <c:ser>
          <c:idx val="7"/>
          <c:order val="11"/>
          <c:tx>
            <c:strRef>
              <c:f>a_ELE_cieplo!$B$52</c:f>
              <c:strCache>
                <c:ptCount val="1"/>
                <c:pt idx="0">
                  <c:v>EL_Wodne</c:v>
                </c:pt>
              </c:strCache>
            </c:strRef>
          </c:tx>
          <c:spPr>
            <a:solidFill>
              <a:schemeClr val="accent5"/>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a_ELE_cieplo!$F$52:$J$52</c:f>
              <c:numCache>
                <c:formatCode>#,##0</c:formatCode>
                <c:ptCount val="5"/>
                <c:pt idx="0">
                  <c:v>987</c:v>
                </c:pt>
                <c:pt idx="1">
                  <c:v>1008</c:v>
                </c:pt>
                <c:pt idx="2">
                  <c:v>1118</c:v>
                </c:pt>
                <c:pt idx="3">
                  <c:v>1148</c:v>
                </c:pt>
                <c:pt idx="4">
                  <c:v>1178</c:v>
                </c:pt>
              </c:numCache>
              <c:extLst/>
            </c:numRef>
          </c:val>
          <c:extLst>
            <c:ext xmlns:c16="http://schemas.microsoft.com/office/drawing/2014/chart" uri="{C3380CC4-5D6E-409C-BE32-E72D297353CC}">
              <c16:uniqueId val="{0000000A-5C2A-4DAB-9A3B-A469DF93C61F}"/>
            </c:ext>
          </c:extLst>
        </c:ser>
        <c:ser>
          <c:idx val="12"/>
          <c:order val="12"/>
          <c:tx>
            <c:strRef>
              <c:f>a_ELE_cieplo!$B$57</c:f>
              <c:strCache>
                <c:ptCount val="1"/>
                <c:pt idx="0">
                  <c:v>EL i EC_Biomasa</c:v>
                </c:pt>
              </c:strCache>
            </c:strRef>
          </c:tx>
          <c:spPr>
            <a:solidFill>
              <a:schemeClr val="accent6">
                <a:lumMod val="40000"/>
                <a:lumOff val="60000"/>
              </a:scheme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a_ELE_cieplo!$F$57:$J$57</c:f>
              <c:numCache>
                <c:formatCode>#,##0</c:formatCode>
                <c:ptCount val="5"/>
                <c:pt idx="0">
                  <c:v>533.5</c:v>
                </c:pt>
                <c:pt idx="1">
                  <c:v>637.5</c:v>
                </c:pt>
                <c:pt idx="2">
                  <c:v>702</c:v>
                </c:pt>
                <c:pt idx="3">
                  <c:v>710</c:v>
                </c:pt>
                <c:pt idx="4">
                  <c:v>610.5</c:v>
                </c:pt>
              </c:numCache>
              <c:extLst/>
            </c:numRef>
          </c:val>
          <c:extLst>
            <c:ext xmlns:c16="http://schemas.microsoft.com/office/drawing/2014/chart" uri="{C3380CC4-5D6E-409C-BE32-E72D297353CC}">
              <c16:uniqueId val="{0000000B-5C2A-4DAB-9A3B-A469DF93C61F}"/>
            </c:ext>
          </c:extLst>
        </c:ser>
        <c:ser>
          <c:idx val="13"/>
          <c:order val="13"/>
          <c:tx>
            <c:strRef>
              <c:f>a_ELE_cieplo!$B$58</c:f>
              <c:strCache>
                <c:ptCount val="1"/>
                <c:pt idx="0">
                  <c:v>EC_Biogaz</c:v>
                </c:pt>
              </c:strCache>
            </c:strRef>
          </c:tx>
          <c:spPr>
            <a:solidFill>
              <a:srgbClr val="00B050"/>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a_ELE_cieplo!$F$58:$J$58</c:f>
              <c:numCache>
                <c:formatCode>#,##0</c:formatCode>
                <c:ptCount val="5"/>
                <c:pt idx="0">
                  <c:v>241.35</c:v>
                </c:pt>
                <c:pt idx="1">
                  <c:v>350.37</c:v>
                </c:pt>
                <c:pt idx="2">
                  <c:v>486.37</c:v>
                </c:pt>
                <c:pt idx="3">
                  <c:v>511.41999999999996</c:v>
                </c:pt>
                <c:pt idx="4">
                  <c:v>449.16999999999996</c:v>
                </c:pt>
              </c:numCache>
              <c:extLst/>
            </c:numRef>
          </c:val>
          <c:extLst>
            <c:ext xmlns:c16="http://schemas.microsoft.com/office/drawing/2014/chart" uri="{C3380CC4-5D6E-409C-BE32-E72D297353CC}">
              <c16:uniqueId val="{0000000C-5C2A-4DAB-9A3B-A469DF93C61F}"/>
            </c:ext>
          </c:extLst>
        </c:ser>
        <c:ser>
          <c:idx val="14"/>
          <c:order val="14"/>
          <c:tx>
            <c:strRef>
              <c:f>a_ELE_cieplo!$B$59</c:f>
              <c:strCache>
                <c:ptCount val="1"/>
                <c:pt idx="0">
                  <c:v>BECCS</c:v>
                </c:pt>
              </c:strCache>
            </c:strRef>
          </c:tx>
          <c:spPr>
            <a:solidFill>
              <a:schemeClr val="accent5">
                <a:lumMod val="40000"/>
                <a:lumOff val="60000"/>
              </a:scheme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a_ELE_cieplo!$F$59:$J$59</c:f>
              <c:numCache>
                <c:formatCode>#,##0</c:formatCode>
                <c:ptCount val="5"/>
                <c:pt idx="0">
                  <c:v>0</c:v>
                </c:pt>
                <c:pt idx="1">
                  <c:v>0</c:v>
                </c:pt>
                <c:pt idx="2">
                  <c:v>0</c:v>
                </c:pt>
                <c:pt idx="3">
                  <c:v>0</c:v>
                </c:pt>
                <c:pt idx="4">
                  <c:v>0</c:v>
                </c:pt>
              </c:numCache>
              <c:extLst/>
            </c:numRef>
          </c:val>
          <c:extLst>
            <c:ext xmlns:c16="http://schemas.microsoft.com/office/drawing/2014/chart" uri="{C3380CC4-5D6E-409C-BE32-E72D297353CC}">
              <c16:uniqueId val="{0000000D-5C2A-4DAB-9A3B-A469DF93C61F}"/>
            </c:ext>
          </c:extLst>
        </c:ser>
        <c:ser>
          <c:idx val="15"/>
          <c:order val="15"/>
          <c:tx>
            <c:strRef>
              <c:f>a_ELE_cieplo!$B$60</c:f>
              <c:strCache>
                <c:ptCount val="1"/>
                <c:pt idx="0">
                  <c:v>EL_Wiatrowe na lądzie</c:v>
                </c:pt>
              </c:strCache>
            </c:strRef>
          </c:tx>
          <c:spPr>
            <a:solidFill>
              <a:srgbClr val="00660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a_ELE_cieplo!$F$60:$J$60</c:f>
              <c:numCache>
                <c:formatCode>#,##0</c:formatCode>
                <c:ptCount val="5"/>
                <c:pt idx="0">
                  <c:v>6499</c:v>
                </c:pt>
                <c:pt idx="1">
                  <c:v>11315</c:v>
                </c:pt>
                <c:pt idx="2">
                  <c:v>16647</c:v>
                </c:pt>
                <c:pt idx="3">
                  <c:v>26411.25</c:v>
                </c:pt>
                <c:pt idx="4">
                  <c:v>34584.5</c:v>
                </c:pt>
              </c:numCache>
              <c:extLst/>
            </c:numRef>
          </c:val>
          <c:extLst>
            <c:ext xmlns:c16="http://schemas.microsoft.com/office/drawing/2014/chart" uri="{C3380CC4-5D6E-409C-BE32-E72D297353CC}">
              <c16:uniqueId val="{0000000E-5C2A-4DAB-9A3B-A469DF93C61F}"/>
            </c:ext>
          </c:extLst>
        </c:ser>
        <c:ser>
          <c:idx val="16"/>
          <c:order val="16"/>
          <c:tx>
            <c:strRef>
              <c:f>a_ELE_cieplo!$B$61</c:f>
              <c:strCache>
                <c:ptCount val="1"/>
                <c:pt idx="0">
                  <c:v>EL_Wiatrowe na morzu</c:v>
                </c:pt>
              </c:strCache>
            </c:strRef>
          </c:tx>
          <c:spPr>
            <a:solidFill>
              <a:srgbClr val="92D05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a_ELE_cieplo!$F$61:$J$61</c:f>
              <c:numCache>
                <c:formatCode>#,##0</c:formatCode>
                <c:ptCount val="5"/>
                <c:pt idx="0">
                  <c:v>0</c:v>
                </c:pt>
                <c:pt idx="1">
                  <c:v>0</c:v>
                </c:pt>
                <c:pt idx="2">
                  <c:v>5873</c:v>
                </c:pt>
                <c:pt idx="3">
                  <c:v>13633</c:v>
                </c:pt>
                <c:pt idx="4">
                  <c:v>18033</c:v>
                </c:pt>
              </c:numCache>
              <c:extLst/>
            </c:numRef>
          </c:val>
          <c:extLst>
            <c:ext xmlns:c16="http://schemas.microsoft.com/office/drawing/2014/chart" uri="{C3380CC4-5D6E-409C-BE32-E72D297353CC}">
              <c16:uniqueId val="{0000000F-5C2A-4DAB-9A3B-A469DF93C61F}"/>
            </c:ext>
          </c:extLst>
        </c:ser>
        <c:ser>
          <c:idx val="1"/>
          <c:order val="18"/>
          <c:tx>
            <c:strRef>
              <c:f>a_ELE_cieplo!$B$63</c:f>
              <c:strCache>
                <c:ptCount val="1"/>
                <c:pt idx="0">
                  <c:v>Fotowoltaika</c:v>
                </c:pt>
              </c:strCache>
            </c:strRef>
          </c:tx>
          <c:spPr>
            <a:solidFill>
              <a:srgbClr val="FFFF66">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a_ELE_cieplo!$F$63:$J$63</c:f>
              <c:numCache>
                <c:formatCode>#,##0</c:formatCode>
                <c:ptCount val="5"/>
                <c:pt idx="0">
                  <c:v>3960</c:v>
                </c:pt>
                <c:pt idx="1">
                  <c:v>22497.120000000003</c:v>
                </c:pt>
                <c:pt idx="2">
                  <c:v>31747.120000000003</c:v>
                </c:pt>
                <c:pt idx="3">
                  <c:v>41372</c:v>
                </c:pt>
                <c:pt idx="4">
                  <c:v>51214</c:v>
                </c:pt>
              </c:numCache>
              <c:extLst/>
            </c:numRef>
          </c:val>
          <c:extLst>
            <c:ext xmlns:c16="http://schemas.microsoft.com/office/drawing/2014/chart" uri="{C3380CC4-5D6E-409C-BE32-E72D297353CC}">
              <c16:uniqueId val="{00000010-5C2A-4DAB-9A3B-A469DF93C61F}"/>
            </c:ext>
          </c:extLst>
        </c:ser>
        <c:ser>
          <c:idx val="3"/>
          <c:order val="19"/>
          <c:tx>
            <c:strRef>
              <c:f>a_ELE_cieplo!$AX$99</c:f>
              <c:strCache>
                <c:ptCount val="1"/>
                <c:pt idx="0">
                  <c:v>Turbiny szcz._ Paliwa gaz. kopalne i odn.</c:v>
                </c:pt>
              </c:strCache>
            </c:strRef>
          </c:tx>
          <c:spPr>
            <a:solidFill>
              <a:srgbClr val="DE840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a_ELE_cieplo!$F$64:$J$64</c:f>
              <c:numCache>
                <c:formatCode>#,##0</c:formatCode>
                <c:ptCount val="5"/>
                <c:pt idx="0">
                  <c:v>0</c:v>
                </c:pt>
                <c:pt idx="1">
                  <c:v>0</c:v>
                </c:pt>
                <c:pt idx="2">
                  <c:v>0</c:v>
                </c:pt>
                <c:pt idx="3">
                  <c:v>1521.64</c:v>
                </c:pt>
                <c:pt idx="4">
                  <c:v>6983.1</c:v>
                </c:pt>
              </c:numCache>
              <c:extLst/>
            </c:numRef>
          </c:val>
          <c:extLst>
            <c:ext xmlns:c16="http://schemas.microsoft.com/office/drawing/2014/chart" uri="{C3380CC4-5D6E-409C-BE32-E72D297353CC}">
              <c16:uniqueId val="{00000011-5C2A-4DAB-9A3B-A469DF93C61F}"/>
            </c:ext>
          </c:extLst>
        </c:ser>
        <c:ser>
          <c:idx val="18"/>
          <c:order val="20"/>
          <c:tx>
            <c:strRef>
              <c:f>a_ELE_cieplo!$B$65</c:f>
              <c:strCache>
                <c:ptCount val="1"/>
                <c:pt idx="0">
                  <c:v>Magazyny energii</c:v>
                </c:pt>
              </c:strCache>
            </c:strRef>
          </c:tx>
          <c:spPr>
            <a:solidFill>
              <a:srgbClr val="FF99CC">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a_ELE_cieplo!$F$65:$J$65</c:f>
              <c:numCache>
                <c:formatCode>#,##0</c:formatCode>
                <c:ptCount val="5"/>
                <c:pt idx="0">
                  <c:v>0</c:v>
                </c:pt>
                <c:pt idx="1">
                  <c:v>483.33</c:v>
                </c:pt>
                <c:pt idx="2">
                  <c:v>2750</c:v>
                </c:pt>
                <c:pt idx="3">
                  <c:v>6753.33</c:v>
                </c:pt>
                <c:pt idx="4">
                  <c:v>8500</c:v>
                </c:pt>
              </c:numCache>
              <c:extLst/>
            </c:numRef>
          </c:val>
          <c:extLst>
            <c:ext xmlns:c16="http://schemas.microsoft.com/office/drawing/2014/chart" uri="{C3380CC4-5D6E-409C-BE32-E72D297353CC}">
              <c16:uniqueId val="{00000012-5C2A-4DAB-9A3B-A469DF93C61F}"/>
            </c:ext>
          </c:extLst>
        </c:ser>
        <c:ser>
          <c:idx val="19"/>
          <c:order val="21"/>
          <c:tx>
            <c:strRef>
              <c:f>a_ELE_cieplo!$B$66</c:f>
              <c:strCache>
                <c:ptCount val="1"/>
                <c:pt idx="0">
                  <c:v>DSR/import mocy</c:v>
                </c:pt>
              </c:strCache>
            </c:strRef>
          </c:tx>
          <c:spPr>
            <a:solidFill>
              <a:srgbClr val="7030A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a_ELE_cieplo!$F$66:$J$66</c:f>
              <c:numCache>
                <c:formatCode>#,##0</c:formatCode>
                <c:ptCount val="5"/>
                <c:pt idx="0">
                  <c:v>615</c:v>
                </c:pt>
                <c:pt idx="1">
                  <c:v>1907.5</c:v>
                </c:pt>
                <c:pt idx="2">
                  <c:v>2810</c:v>
                </c:pt>
                <c:pt idx="3">
                  <c:v>3265</c:v>
                </c:pt>
                <c:pt idx="4">
                  <c:v>3625</c:v>
                </c:pt>
              </c:numCache>
              <c:extLst/>
            </c:numRef>
          </c:val>
          <c:extLst>
            <c:ext xmlns:c16="http://schemas.microsoft.com/office/drawing/2014/chart" uri="{C3380CC4-5D6E-409C-BE32-E72D297353CC}">
              <c16:uniqueId val="{00000013-5C2A-4DAB-9A3B-A469DF93C61F}"/>
            </c:ext>
          </c:extLst>
        </c:ser>
        <c:dLbls>
          <c:showLegendKey val="0"/>
          <c:showVal val="0"/>
          <c:showCatName val="0"/>
          <c:showSerName val="0"/>
          <c:showPercent val="0"/>
          <c:showBubbleSize val="0"/>
        </c:dLbls>
        <c:gapWidth val="89"/>
        <c:overlap val="100"/>
        <c:axId val="951768280"/>
        <c:axId val="744087240"/>
        <c:extLst>
          <c:ext xmlns:c15="http://schemas.microsoft.com/office/drawing/2012/chart" uri="{02D57815-91ED-43cb-92C2-25804820EDAC}">
            <c15:filteredBarSeries>
              <c15:ser>
                <c:idx val="6"/>
                <c:order val="7"/>
                <c:tx>
                  <c:strRef>
                    <c:extLst>
                      <c:ext uri="{02D57815-91ED-43cb-92C2-25804820EDAC}">
                        <c15:formulaRef>
                          <c15:sqref>a_ELE_cieplo!$B$51</c15:sqref>
                        </c15:formulaRef>
                      </c:ext>
                    </c:extLst>
                    <c:strCache>
                      <c:ptCount val="1"/>
                      <c:pt idx="0">
                        <c:v>EL_Jądrowe_SMR</c:v>
                      </c:pt>
                    </c:strCache>
                  </c:strRef>
                </c:tx>
                <c:spPr>
                  <a:solidFill>
                    <a:srgbClr val="FF0101"/>
                  </a:solidFill>
                  <a:ln w="25400">
                    <a:noFill/>
                  </a:ln>
                </c:spPr>
                <c:invertIfNegative val="0"/>
                <c:cat>
                  <c:numRef>
                    <c:extLst>
                      <c:ext uri="{02D57815-91ED-43cb-92C2-25804820EDAC}">
                        <c15:formulaRef>
                          <c15:sqref>a_ELE_cieplo!$BB$79:$BF$79</c15:sqref>
                        </c15:formulaRef>
                      </c:ext>
                    </c:extLst>
                    <c:numCache>
                      <c:formatCode>General</c:formatCode>
                      <c:ptCount val="5"/>
                      <c:pt idx="0">
                        <c:v>2020</c:v>
                      </c:pt>
                      <c:pt idx="1">
                        <c:v>2025</c:v>
                      </c:pt>
                      <c:pt idx="2">
                        <c:v>2030</c:v>
                      </c:pt>
                      <c:pt idx="3">
                        <c:v>2035</c:v>
                      </c:pt>
                      <c:pt idx="4">
                        <c:v>2040</c:v>
                      </c:pt>
                    </c:numCache>
                  </c:numRef>
                </c:cat>
                <c:val>
                  <c:numRef>
                    <c:extLst>
                      <c:ext uri="{02D57815-91ED-43cb-92C2-25804820EDAC}">
                        <c15:formulaRef>
                          <c15:sqref>a_ELE_cieplo!$F$51:$J$51</c15:sqref>
                        </c15:formulaRef>
                      </c:ext>
                    </c:extLst>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14-5C2A-4DAB-9A3B-A469DF93C61F}"/>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a_ELE_cieplo!$B$62</c15:sqref>
                        </c15:formulaRef>
                      </c:ext>
                    </c:extLst>
                    <c:strCache>
                      <c:ptCount val="1"/>
                      <c:pt idx="0">
                        <c:v>EL_Geotermalne</c:v>
                      </c:pt>
                    </c:strCache>
                  </c:strRef>
                </c:tx>
                <c:spPr>
                  <a:solidFill>
                    <a:srgbClr val="FF33CC"/>
                  </a:solidFill>
                </c:spPr>
                <c:invertIfNegative val="0"/>
                <c:cat>
                  <c:numRef>
                    <c:extLst xmlns:c15="http://schemas.microsoft.com/office/drawing/2012/chart">
                      <c:ext xmlns:c15="http://schemas.microsoft.com/office/drawing/2012/chart" uri="{02D57815-91ED-43cb-92C2-25804820EDAC}">
                        <c15:formulaRef>
                          <c15:sqref>a_ELE_cieplo!$BB$79:$BF$79</c15:sqref>
                        </c15:formulaRef>
                      </c:ext>
                    </c:extLst>
                    <c:numCache>
                      <c:formatCode>General</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a_ELE_cieplo!$F$62:$J$62</c15:sqref>
                        </c15:formulaRef>
                      </c:ext>
                    </c:extLst>
                    <c:numCache>
                      <c:formatCode>#,##0</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15-5C2A-4DAB-9A3B-A469DF93C61F}"/>
                  </c:ext>
                </c:extLst>
              </c15:ser>
            </c15:filteredBarSeries>
          </c:ext>
        </c:extLst>
      </c:barChart>
      <c:catAx>
        <c:axId val="951768280"/>
        <c:scaling>
          <c:orientation val="minMax"/>
        </c:scaling>
        <c:delete val="0"/>
        <c:axPos val="b"/>
        <c:numFmt formatCode="General" sourceLinked="1"/>
        <c:majorTickMark val="out"/>
        <c:minorTickMark val="none"/>
        <c:tickLblPos val="nextTo"/>
        <c:crossAx val="744087240"/>
        <c:crosses val="autoZero"/>
        <c:auto val="1"/>
        <c:lblAlgn val="ctr"/>
        <c:lblOffset val="100"/>
        <c:noMultiLvlLbl val="0"/>
      </c:catAx>
      <c:valAx>
        <c:axId val="744087240"/>
        <c:scaling>
          <c:orientation val="minMax"/>
          <c:max val="160000"/>
        </c:scaling>
        <c:delete val="0"/>
        <c:axPos val="l"/>
        <c:majorGridlines>
          <c:spPr>
            <a:ln>
              <a:solidFill>
                <a:sysClr val="window" lastClr="FFFFFF">
                  <a:lumMod val="85000"/>
                </a:sysClr>
              </a:solidFill>
            </a:ln>
          </c:spPr>
        </c:majorGridlines>
        <c:title>
          <c:tx>
            <c:rich>
              <a:bodyPr rot="-5400000" vert="horz"/>
              <a:lstStyle/>
              <a:p>
                <a:pPr>
                  <a:defRPr b="0"/>
                </a:pPr>
                <a:r>
                  <a:rPr lang="pl-PL" b="0"/>
                  <a:t>[MW</a:t>
                </a:r>
                <a:r>
                  <a:rPr lang="en-US" b="0"/>
                  <a:t>]</a:t>
                </a:r>
              </a:p>
            </c:rich>
          </c:tx>
          <c:layout>
            <c:manualLayout>
              <c:xMode val="edge"/>
              <c:yMode val="edge"/>
              <c:x val="1.6702078906803315E-2"/>
              <c:y val="0.86821479325889594"/>
            </c:manualLayout>
          </c:layout>
          <c:overlay val="0"/>
        </c:title>
        <c:numFmt formatCode="#,##0" sourceLinked="0"/>
        <c:majorTickMark val="out"/>
        <c:minorTickMark val="none"/>
        <c:tickLblPos val="nextTo"/>
        <c:spPr>
          <a:noFill/>
        </c:spPr>
        <c:crossAx val="951768280"/>
        <c:crosses val="autoZero"/>
        <c:crossBetween val="between"/>
      </c:valAx>
      <c:spPr>
        <a:ln>
          <a:noFill/>
        </a:ln>
      </c:spPr>
    </c:plotArea>
    <c:legend>
      <c:legendPos val="r"/>
      <c:legendEntry>
        <c:idx val="6"/>
        <c:delete val="1"/>
      </c:legendEntry>
      <c:layout>
        <c:manualLayout>
          <c:xMode val="edge"/>
          <c:yMode val="edge"/>
          <c:x val="0.65053809967044851"/>
          <c:y val="2.5473630754791473E-2"/>
          <c:w val="0.33389952454026312"/>
          <c:h val="0.93591191950238029"/>
        </c:manualLayout>
      </c:layout>
      <c:overlay val="0"/>
      <c:txPr>
        <a:bodyPr/>
        <a:lstStyle/>
        <a:p>
          <a:pPr>
            <a:defRPr sz="800">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zero"/>
    <c:showDLblsOverMax val="0"/>
  </c:chart>
  <c:spPr>
    <a:ln>
      <a:noFill/>
    </a:ln>
  </c:spPr>
  <c:txPr>
    <a:bodyPr/>
    <a:lstStyle/>
    <a:p>
      <a:pPr>
        <a:defRPr sz="900">
          <a:solidFill>
            <a:schemeClr val="tx1">
              <a:lumMod val="65000"/>
              <a:lumOff val="35000"/>
            </a:schemeClr>
          </a:solidFill>
          <a:latin typeface="+mn-lt"/>
          <a:cs typeface="Calibri" panose="020F0502020204030204" pitchFamily="34" charset="0"/>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669210522436071E-2"/>
          <c:y val="3.9332272551260136E-2"/>
          <c:w val="0.54614648863336523"/>
          <c:h val="0.9159095123307992"/>
        </c:manualLayout>
      </c:layout>
      <c:barChart>
        <c:barDir val="col"/>
        <c:grouping val="stacked"/>
        <c:varyColors val="0"/>
        <c:ser>
          <c:idx val="0"/>
          <c:order val="0"/>
          <c:tx>
            <c:strRef>
              <c:f>a_ELE_cieplo!$AX$80</c:f>
              <c:strCache>
                <c:ptCount val="1"/>
                <c:pt idx="0">
                  <c:v>EL_Węgiel brunatny</c:v>
                </c:pt>
              </c:strCache>
            </c:strRef>
          </c:tx>
          <c:spPr>
            <a:solidFill>
              <a:srgbClr val="99330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a_ELE_cieplo!$BB$80:$BF$80</c:f>
              <c:numCache>
                <c:formatCode>#,##0</c:formatCode>
                <c:ptCount val="5"/>
                <c:pt idx="0">
                  <c:v>7445</c:v>
                </c:pt>
                <c:pt idx="1">
                  <c:v>7007</c:v>
                </c:pt>
              </c:numCache>
              <c:extLst/>
            </c:numRef>
          </c:val>
          <c:extLst>
            <c:ext xmlns:c16="http://schemas.microsoft.com/office/drawing/2014/chart" uri="{C3380CC4-5D6E-409C-BE32-E72D297353CC}">
              <c16:uniqueId val="{00000000-C4D7-41F3-A3C3-6322F7C4A8D2}"/>
            </c:ext>
          </c:extLst>
        </c:ser>
        <c:ser>
          <c:idx val="2"/>
          <c:order val="1"/>
          <c:tx>
            <c:strRef>
              <c:f>a_ELE_cieplo!$AX$81</c:f>
              <c:strCache>
                <c:ptCount val="1"/>
                <c:pt idx="0">
                  <c:v>EL_Węgiel kamienny</c:v>
                </c:pt>
              </c:strCache>
            </c:strRef>
          </c:tx>
          <c:spPr>
            <a:solidFill>
              <a:sysClr val="windowText" lastClr="000000">
                <a:alpha val="70000"/>
              </a:sys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a_ELE_cieplo!$BB$81:$BF$81</c:f>
              <c:numCache>
                <c:formatCode>#,##0</c:formatCode>
                <c:ptCount val="5"/>
                <c:pt idx="0">
                  <c:v>15889</c:v>
                </c:pt>
                <c:pt idx="1">
                  <c:v>14465</c:v>
                </c:pt>
              </c:numCache>
              <c:extLst/>
            </c:numRef>
          </c:val>
          <c:extLst>
            <c:ext xmlns:c16="http://schemas.microsoft.com/office/drawing/2014/chart" uri="{C3380CC4-5D6E-409C-BE32-E72D297353CC}">
              <c16:uniqueId val="{00000001-C4D7-41F3-A3C3-6322F7C4A8D2}"/>
            </c:ext>
          </c:extLst>
        </c:ser>
        <c:ser>
          <c:idx val="21"/>
          <c:order val="2"/>
          <c:tx>
            <c:strRef>
              <c:f>a_ELE_cieplo!$AX$82</c:f>
              <c:strCache>
                <c:ptCount val="1"/>
                <c:pt idx="0">
                  <c:v>EL_Węgiel kamienny i brunatny</c:v>
                </c:pt>
              </c:strCache>
            </c:strRef>
          </c:tx>
          <c:spPr>
            <a:pattFill prst="dkDnDiag">
              <a:fgClr>
                <a:srgbClr val="ED7D31">
                  <a:lumMod val="75000"/>
                </a:srgbClr>
              </a:fgClr>
              <a:bgClr>
                <a:srgbClr val="A5A5A5">
                  <a:lumMod val="50000"/>
                </a:srgbClr>
              </a:bgClr>
            </a:patt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a_ELE_cieplo!$BB$82:$BF$82</c:f>
              <c:numCache>
                <c:formatCode>General</c:formatCode>
                <c:ptCount val="5"/>
                <c:pt idx="2" formatCode="#,##0">
                  <c:v>14033</c:v>
                </c:pt>
              </c:numCache>
              <c:extLst/>
            </c:numRef>
          </c:val>
          <c:extLst>
            <c:ext xmlns:c16="http://schemas.microsoft.com/office/drawing/2014/chart" uri="{C3380CC4-5D6E-409C-BE32-E72D297353CC}">
              <c16:uniqueId val="{00000002-C4D7-41F3-A3C3-6322F7C4A8D2}"/>
            </c:ext>
          </c:extLst>
        </c:ser>
        <c:ser>
          <c:idx val="4"/>
          <c:order val="3"/>
          <c:tx>
            <c:strRef>
              <c:f>a_ELE_cieplo!$AX$84</c:f>
              <c:strCache>
                <c:ptCount val="1"/>
                <c:pt idx="0">
                  <c:v>EL_Paliwa gaz. kopalne i odn.</c:v>
                </c:pt>
              </c:strCache>
            </c:strRef>
          </c:tx>
          <c:spPr>
            <a:solidFill>
              <a:srgbClr val="ED7D31">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a_ELE_cieplo!$BB$84:$BF$84</c:f>
              <c:numCache>
                <c:formatCode>#,##0</c:formatCode>
                <c:ptCount val="5"/>
                <c:pt idx="0">
                  <c:v>0</c:v>
                </c:pt>
                <c:pt idx="1">
                  <c:v>1915</c:v>
                </c:pt>
                <c:pt idx="2">
                  <c:v>6059</c:v>
                </c:pt>
              </c:numCache>
              <c:extLst/>
            </c:numRef>
          </c:val>
          <c:extLst>
            <c:ext xmlns:c16="http://schemas.microsoft.com/office/drawing/2014/chart" uri="{C3380CC4-5D6E-409C-BE32-E72D297353CC}">
              <c16:uniqueId val="{00000003-C4D7-41F3-A3C3-6322F7C4A8D2}"/>
            </c:ext>
          </c:extLst>
        </c:ser>
        <c:ser>
          <c:idx val="20"/>
          <c:order val="4"/>
          <c:tx>
            <c:strRef>
              <c:f>a_ELE_cieplo!$AX$83</c:f>
              <c:strCache>
                <c:ptCount val="1"/>
                <c:pt idx="0">
                  <c:v>EL_Węgiel/Paliwa gaz. kopalne i odn.</c:v>
                </c:pt>
              </c:strCache>
            </c:strRef>
          </c:tx>
          <c:spPr>
            <a:pattFill prst="wdUpDiag">
              <a:fgClr>
                <a:schemeClr val="accent2"/>
              </a:fgClr>
              <a:bgClr>
                <a:schemeClr val="tx1">
                  <a:lumMod val="50000"/>
                  <a:lumOff val="50000"/>
                </a:schemeClr>
              </a:bgClr>
            </a:patt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a_ELE_cieplo!$BB$83:$BF$83</c:f>
              <c:numCache>
                <c:formatCode>General</c:formatCode>
                <c:ptCount val="5"/>
                <c:pt idx="3" formatCode="#,##0">
                  <c:v>17117</c:v>
                </c:pt>
                <c:pt idx="4" formatCode="#,##0">
                  <c:v>12680</c:v>
                </c:pt>
              </c:numCache>
              <c:extLst/>
            </c:numRef>
          </c:val>
          <c:extLst>
            <c:ext xmlns:c16="http://schemas.microsoft.com/office/drawing/2014/chart" uri="{C3380CC4-5D6E-409C-BE32-E72D297353CC}">
              <c16:uniqueId val="{00000004-C4D7-41F3-A3C3-6322F7C4A8D2}"/>
            </c:ext>
          </c:extLst>
        </c:ser>
        <c:ser>
          <c:idx val="11"/>
          <c:order val="5"/>
          <c:tx>
            <c:strRef>
              <c:f>a_ELE_cieplo!$AX$91</c:f>
              <c:strCache>
                <c:ptCount val="1"/>
                <c:pt idx="0">
                  <c:v>EC_Paliwa gaz. kopalne i odn.</c:v>
                </c:pt>
              </c:strCache>
            </c:strRef>
          </c:tx>
          <c:spPr>
            <a:solidFill>
              <a:srgbClr val="FFAA32">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a_ELE_cieplo!$BB$91:$BF$91</c:f>
              <c:numCache>
                <c:formatCode>#,##0</c:formatCode>
                <c:ptCount val="5"/>
                <c:pt idx="0">
                  <c:v>2688</c:v>
                </c:pt>
                <c:pt idx="1">
                  <c:v>5433.56</c:v>
                </c:pt>
                <c:pt idx="2">
                  <c:v>6869.66</c:v>
                </c:pt>
                <c:pt idx="3">
                  <c:v>7561.4800000000005</c:v>
                </c:pt>
                <c:pt idx="4">
                  <c:v>9227.89</c:v>
                </c:pt>
              </c:numCache>
              <c:extLst/>
            </c:numRef>
          </c:val>
          <c:extLst>
            <c:ext xmlns:c16="http://schemas.microsoft.com/office/drawing/2014/chart" uri="{C3380CC4-5D6E-409C-BE32-E72D297353CC}">
              <c16:uniqueId val="{00000005-C4D7-41F3-A3C3-6322F7C4A8D2}"/>
            </c:ext>
          </c:extLst>
        </c:ser>
        <c:ser>
          <c:idx val="5"/>
          <c:order val="6"/>
          <c:tx>
            <c:strRef>
              <c:f>a_ELE_cieplo!$B$50</c:f>
              <c:strCache>
                <c:ptCount val="1"/>
                <c:pt idx="0">
                  <c:v>EL_Jądrowe systemowe</c:v>
                </c:pt>
              </c:strCache>
            </c:strRef>
          </c:tx>
          <c:spPr>
            <a:solidFill>
              <a:srgbClr val="C00000">
                <a:alpha val="70000"/>
              </a:srgb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a_ELE_cieplo!$F$50:$J$50</c:f>
              <c:numCache>
                <c:formatCode>#,##0</c:formatCode>
                <c:ptCount val="5"/>
                <c:pt idx="0">
                  <c:v>0</c:v>
                </c:pt>
                <c:pt idx="1">
                  <c:v>0</c:v>
                </c:pt>
                <c:pt idx="2">
                  <c:v>0</c:v>
                </c:pt>
                <c:pt idx="3">
                  <c:v>0</c:v>
                </c:pt>
                <c:pt idx="4">
                  <c:v>3510</c:v>
                </c:pt>
              </c:numCache>
              <c:extLst/>
            </c:numRef>
          </c:val>
          <c:extLst>
            <c:ext xmlns:c16="http://schemas.microsoft.com/office/drawing/2014/chart" uri="{C3380CC4-5D6E-409C-BE32-E72D297353CC}">
              <c16:uniqueId val="{00000006-C4D7-41F3-A3C3-6322F7C4A8D2}"/>
            </c:ext>
          </c:extLst>
        </c:ser>
        <c:ser>
          <c:idx val="9"/>
          <c:order val="8"/>
          <c:tx>
            <c:strRef>
              <c:f>a_ELE_cieplo!$B$54</c:f>
              <c:strCache>
                <c:ptCount val="1"/>
                <c:pt idx="0">
                  <c:v>EC_Przemysłowe</c:v>
                </c:pt>
              </c:strCache>
            </c:strRef>
          </c:tx>
          <c:spPr>
            <a:solidFill>
              <a:schemeClr val="bg1">
                <a:lumMod val="85000"/>
              </a:scheme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a_ELE_cieplo!$F$54:$J$54</c:f>
              <c:numCache>
                <c:formatCode>#,##0</c:formatCode>
                <c:ptCount val="5"/>
                <c:pt idx="0">
                  <c:v>1944.6000000000001</c:v>
                </c:pt>
                <c:pt idx="1">
                  <c:v>1809.22</c:v>
                </c:pt>
                <c:pt idx="2">
                  <c:v>1754.08</c:v>
                </c:pt>
                <c:pt idx="3">
                  <c:v>1672.1999999999998</c:v>
                </c:pt>
                <c:pt idx="4">
                  <c:v>935.45999999999992</c:v>
                </c:pt>
              </c:numCache>
              <c:extLst/>
            </c:numRef>
          </c:val>
          <c:extLst>
            <c:ext xmlns:c16="http://schemas.microsoft.com/office/drawing/2014/chart" uri="{C3380CC4-5D6E-409C-BE32-E72D297353CC}">
              <c16:uniqueId val="{00000007-C4D7-41F3-A3C3-6322F7C4A8D2}"/>
            </c:ext>
          </c:extLst>
        </c:ser>
        <c:ser>
          <c:idx val="10"/>
          <c:order val="9"/>
          <c:tx>
            <c:strRef>
              <c:f>a_ELE_cieplo!$B$55</c:f>
              <c:strCache>
                <c:ptCount val="1"/>
                <c:pt idx="0">
                  <c:v>EC_WK</c:v>
                </c:pt>
              </c:strCache>
            </c:strRef>
          </c:tx>
          <c:spPr>
            <a:solidFill>
              <a:schemeClr val="bg1">
                <a:lumMod val="50000"/>
              </a:scheme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a_ELE_cieplo!$F$55:$J$55</c:f>
              <c:numCache>
                <c:formatCode>#,##0</c:formatCode>
                <c:ptCount val="5"/>
                <c:pt idx="0">
                  <c:v>5225.7</c:v>
                </c:pt>
                <c:pt idx="1">
                  <c:v>4037.2</c:v>
                </c:pt>
                <c:pt idx="2">
                  <c:v>3238.2</c:v>
                </c:pt>
                <c:pt idx="3">
                  <c:v>2187.1999999999998</c:v>
                </c:pt>
                <c:pt idx="4">
                  <c:v>0</c:v>
                </c:pt>
              </c:numCache>
              <c:extLst/>
            </c:numRef>
          </c:val>
          <c:extLst>
            <c:ext xmlns:c16="http://schemas.microsoft.com/office/drawing/2014/chart" uri="{C3380CC4-5D6E-409C-BE32-E72D297353CC}">
              <c16:uniqueId val="{00000008-C4D7-41F3-A3C3-6322F7C4A8D2}"/>
            </c:ext>
          </c:extLst>
        </c:ser>
        <c:ser>
          <c:idx val="8"/>
          <c:order val="10"/>
          <c:tx>
            <c:strRef>
              <c:f>a_ELE_cieplo!$B$53</c:f>
              <c:strCache>
                <c:ptCount val="1"/>
                <c:pt idx="0">
                  <c:v>EL_Szczytowo-pompowe</c:v>
                </c:pt>
              </c:strCache>
            </c:strRef>
          </c:tx>
          <c:spPr>
            <a:solidFill>
              <a:srgbClr val="4472C4">
                <a:lumMod val="75000"/>
                <a:alpha val="70000"/>
              </a:srgbClr>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a_ELE_cieplo!$F$53:$J$53</c:f>
              <c:numCache>
                <c:formatCode>#,##0</c:formatCode>
                <c:ptCount val="5"/>
                <c:pt idx="0">
                  <c:v>1705</c:v>
                </c:pt>
                <c:pt idx="1">
                  <c:v>1767</c:v>
                </c:pt>
                <c:pt idx="2">
                  <c:v>2510</c:v>
                </c:pt>
                <c:pt idx="3">
                  <c:v>2510</c:v>
                </c:pt>
                <c:pt idx="4">
                  <c:v>4235</c:v>
                </c:pt>
              </c:numCache>
              <c:extLst/>
            </c:numRef>
          </c:val>
          <c:extLst>
            <c:ext xmlns:c16="http://schemas.microsoft.com/office/drawing/2014/chart" uri="{C3380CC4-5D6E-409C-BE32-E72D297353CC}">
              <c16:uniqueId val="{00000009-C4D7-41F3-A3C3-6322F7C4A8D2}"/>
            </c:ext>
          </c:extLst>
        </c:ser>
        <c:ser>
          <c:idx val="7"/>
          <c:order val="11"/>
          <c:tx>
            <c:strRef>
              <c:f>a_ELE_cieplo!$B$52</c:f>
              <c:strCache>
                <c:ptCount val="1"/>
                <c:pt idx="0">
                  <c:v>EL_Wodne</c:v>
                </c:pt>
              </c:strCache>
            </c:strRef>
          </c:tx>
          <c:spPr>
            <a:solidFill>
              <a:schemeClr val="accent5"/>
            </a:solidFill>
            <a:ln w="25400">
              <a:noFill/>
            </a:ln>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a_ELE_cieplo!$F$52:$J$52</c:f>
              <c:numCache>
                <c:formatCode>#,##0</c:formatCode>
                <c:ptCount val="5"/>
                <c:pt idx="0">
                  <c:v>987</c:v>
                </c:pt>
                <c:pt idx="1">
                  <c:v>1008</c:v>
                </c:pt>
                <c:pt idx="2">
                  <c:v>1118</c:v>
                </c:pt>
                <c:pt idx="3">
                  <c:v>1148</c:v>
                </c:pt>
                <c:pt idx="4">
                  <c:v>1178</c:v>
                </c:pt>
              </c:numCache>
              <c:extLst/>
            </c:numRef>
          </c:val>
          <c:extLst>
            <c:ext xmlns:c16="http://schemas.microsoft.com/office/drawing/2014/chart" uri="{C3380CC4-5D6E-409C-BE32-E72D297353CC}">
              <c16:uniqueId val="{0000000A-C4D7-41F3-A3C3-6322F7C4A8D2}"/>
            </c:ext>
          </c:extLst>
        </c:ser>
        <c:ser>
          <c:idx val="12"/>
          <c:order val="12"/>
          <c:tx>
            <c:strRef>
              <c:f>a_ELE_cieplo!$B$57</c:f>
              <c:strCache>
                <c:ptCount val="1"/>
                <c:pt idx="0">
                  <c:v>EL i EC_Biomasa</c:v>
                </c:pt>
              </c:strCache>
            </c:strRef>
          </c:tx>
          <c:spPr>
            <a:solidFill>
              <a:schemeClr val="accent6">
                <a:lumMod val="40000"/>
                <a:lumOff val="60000"/>
              </a:scheme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a_ELE_cieplo!$F$57:$J$57</c:f>
              <c:numCache>
                <c:formatCode>#,##0</c:formatCode>
                <c:ptCount val="5"/>
                <c:pt idx="0">
                  <c:v>533.5</c:v>
                </c:pt>
                <c:pt idx="1">
                  <c:v>637.5</c:v>
                </c:pt>
                <c:pt idx="2">
                  <c:v>702</c:v>
                </c:pt>
                <c:pt idx="3">
                  <c:v>710</c:v>
                </c:pt>
                <c:pt idx="4">
                  <c:v>610.5</c:v>
                </c:pt>
              </c:numCache>
              <c:extLst/>
            </c:numRef>
          </c:val>
          <c:extLst>
            <c:ext xmlns:c16="http://schemas.microsoft.com/office/drawing/2014/chart" uri="{C3380CC4-5D6E-409C-BE32-E72D297353CC}">
              <c16:uniqueId val="{0000000B-C4D7-41F3-A3C3-6322F7C4A8D2}"/>
            </c:ext>
          </c:extLst>
        </c:ser>
        <c:ser>
          <c:idx val="13"/>
          <c:order val="13"/>
          <c:tx>
            <c:strRef>
              <c:f>a_ELE_cieplo!$B$58</c:f>
              <c:strCache>
                <c:ptCount val="1"/>
                <c:pt idx="0">
                  <c:v>EC_Biogaz</c:v>
                </c:pt>
              </c:strCache>
            </c:strRef>
          </c:tx>
          <c:spPr>
            <a:solidFill>
              <a:srgbClr val="00B050"/>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a_ELE_cieplo!$F$58:$J$58</c:f>
              <c:numCache>
                <c:formatCode>#,##0</c:formatCode>
                <c:ptCount val="5"/>
                <c:pt idx="0">
                  <c:v>241.35</c:v>
                </c:pt>
                <c:pt idx="1">
                  <c:v>350.37</c:v>
                </c:pt>
                <c:pt idx="2">
                  <c:v>486.37</c:v>
                </c:pt>
                <c:pt idx="3">
                  <c:v>511.41999999999996</c:v>
                </c:pt>
                <c:pt idx="4">
                  <c:v>449.16999999999996</c:v>
                </c:pt>
              </c:numCache>
              <c:extLst/>
            </c:numRef>
          </c:val>
          <c:extLst>
            <c:ext xmlns:c16="http://schemas.microsoft.com/office/drawing/2014/chart" uri="{C3380CC4-5D6E-409C-BE32-E72D297353CC}">
              <c16:uniqueId val="{0000000C-C4D7-41F3-A3C3-6322F7C4A8D2}"/>
            </c:ext>
          </c:extLst>
        </c:ser>
        <c:ser>
          <c:idx val="14"/>
          <c:order val="14"/>
          <c:tx>
            <c:strRef>
              <c:f>a_ELE_cieplo!$B$59</c:f>
              <c:strCache>
                <c:ptCount val="1"/>
                <c:pt idx="0">
                  <c:v>BECCS</c:v>
                </c:pt>
              </c:strCache>
            </c:strRef>
          </c:tx>
          <c:spPr>
            <a:solidFill>
              <a:schemeClr val="accent5">
                <a:lumMod val="40000"/>
                <a:lumOff val="60000"/>
              </a:scheme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a_ELE_cieplo!$F$59:$J$59</c:f>
              <c:numCache>
                <c:formatCode>#,##0</c:formatCode>
                <c:ptCount val="5"/>
                <c:pt idx="0">
                  <c:v>0</c:v>
                </c:pt>
                <c:pt idx="1">
                  <c:v>0</c:v>
                </c:pt>
                <c:pt idx="2">
                  <c:v>0</c:v>
                </c:pt>
                <c:pt idx="3">
                  <c:v>0</c:v>
                </c:pt>
                <c:pt idx="4">
                  <c:v>0</c:v>
                </c:pt>
              </c:numCache>
              <c:extLst/>
            </c:numRef>
          </c:val>
          <c:extLst>
            <c:ext xmlns:c16="http://schemas.microsoft.com/office/drawing/2014/chart" uri="{C3380CC4-5D6E-409C-BE32-E72D297353CC}">
              <c16:uniqueId val="{0000000D-C4D7-41F3-A3C3-6322F7C4A8D2}"/>
            </c:ext>
          </c:extLst>
        </c:ser>
        <c:ser>
          <c:idx val="15"/>
          <c:order val="15"/>
          <c:tx>
            <c:strRef>
              <c:f>a_ELE_cieplo!$B$60</c:f>
              <c:strCache>
                <c:ptCount val="1"/>
                <c:pt idx="0">
                  <c:v>EL_Wiatrowe na lądzie</c:v>
                </c:pt>
              </c:strCache>
            </c:strRef>
          </c:tx>
          <c:spPr>
            <a:solidFill>
              <a:srgbClr val="00660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a_ELE_cieplo!$F$60:$J$60</c:f>
              <c:numCache>
                <c:formatCode>#,##0</c:formatCode>
                <c:ptCount val="5"/>
                <c:pt idx="0">
                  <c:v>6499</c:v>
                </c:pt>
                <c:pt idx="1">
                  <c:v>11315</c:v>
                </c:pt>
                <c:pt idx="2">
                  <c:v>16647</c:v>
                </c:pt>
                <c:pt idx="3">
                  <c:v>26411.25</c:v>
                </c:pt>
                <c:pt idx="4">
                  <c:v>34584.5</c:v>
                </c:pt>
              </c:numCache>
              <c:extLst/>
            </c:numRef>
          </c:val>
          <c:extLst>
            <c:ext xmlns:c16="http://schemas.microsoft.com/office/drawing/2014/chart" uri="{C3380CC4-5D6E-409C-BE32-E72D297353CC}">
              <c16:uniqueId val="{0000000E-C4D7-41F3-A3C3-6322F7C4A8D2}"/>
            </c:ext>
          </c:extLst>
        </c:ser>
        <c:ser>
          <c:idx val="16"/>
          <c:order val="16"/>
          <c:tx>
            <c:strRef>
              <c:f>a_ELE_cieplo!$B$61</c:f>
              <c:strCache>
                <c:ptCount val="1"/>
                <c:pt idx="0">
                  <c:v>EL_Wiatrowe na morzu</c:v>
                </c:pt>
              </c:strCache>
            </c:strRef>
          </c:tx>
          <c:spPr>
            <a:solidFill>
              <a:srgbClr val="92D05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a_ELE_cieplo!$F$61:$J$61</c:f>
              <c:numCache>
                <c:formatCode>#,##0</c:formatCode>
                <c:ptCount val="5"/>
                <c:pt idx="0">
                  <c:v>0</c:v>
                </c:pt>
                <c:pt idx="1">
                  <c:v>0</c:v>
                </c:pt>
                <c:pt idx="2">
                  <c:v>5873</c:v>
                </c:pt>
                <c:pt idx="3">
                  <c:v>13633</c:v>
                </c:pt>
                <c:pt idx="4">
                  <c:v>18033</c:v>
                </c:pt>
              </c:numCache>
              <c:extLst/>
            </c:numRef>
          </c:val>
          <c:extLst>
            <c:ext xmlns:c16="http://schemas.microsoft.com/office/drawing/2014/chart" uri="{C3380CC4-5D6E-409C-BE32-E72D297353CC}">
              <c16:uniqueId val="{0000000F-C4D7-41F3-A3C3-6322F7C4A8D2}"/>
            </c:ext>
          </c:extLst>
        </c:ser>
        <c:ser>
          <c:idx val="1"/>
          <c:order val="18"/>
          <c:tx>
            <c:strRef>
              <c:f>a_ELE_cieplo!$B$63</c:f>
              <c:strCache>
                <c:ptCount val="1"/>
                <c:pt idx="0">
                  <c:v>Fotowoltaika</c:v>
                </c:pt>
              </c:strCache>
            </c:strRef>
          </c:tx>
          <c:spPr>
            <a:solidFill>
              <a:srgbClr val="FFFF66">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a_ELE_cieplo!$F$63:$J$63</c:f>
              <c:numCache>
                <c:formatCode>#,##0</c:formatCode>
                <c:ptCount val="5"/>
                <c:pt idx="0">
                  <c:v>3960</c:v>
                </c:pt>
                <c:pt idx="1">
                  <c:v>22497.120000000003</c:v>
                </c:pt>
                <c:pt idx="2">
                  <c:v>31747.120000000003</c:v>
                </c:pt>
                <c:pt idx="3">
                  <c:v>41372</c:v>
                </c:pt>
                <c:pt idx="4">
                  <c:v>51214</c:v>
                </c:pt>
              </c:numCache>
              <c:extLst/>
            </c:numRef>
          </c:val>
          <c:extLst>
            <c:ext xmlns:c16="http://schemas.microsoft.com/office/drawing/2014/chart" uri="{C3380CC4-5D6E-409C-BE32-E72D297353CC}">
              <c16:uniqueId val="{00000010-C4D7-41F3-A3C3-6322F7C4A8D2}"/>
            </c:ext>
          </c:extLst>
        </c:ser>
        <c:ser>
          <c:idx val="3"/>
          <c:order val="19"/>
          <c:tx>
            <c:strRef>
              <c:f>a_ELE_cieplo!$AX$99</c:f>
              <c:strCache>
                <c:ptCount val="1"/>
                <c:pt idx="0">
                  <c:v>Turbiny szcz._ Paliwa gaz. kopalne i odn.</c:v>
                </c:pt>
              </c:strCache>
            </c:strRef>
          </c:tx>
          <c:spPr>
            <a:solidFill>
              <a:srgbClr val="DE840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a_ELE_cieplo!$F$64:$J$64</c:f>
              <c:numCache>
                <c:formatCode>#,##0</c:formatCode>
                <c:ptCount val="5"/>
                <c:pt idx="0">
                  <c:v>0</c:v>
                </c:pt>
                <c:pt idx="1">
                  <c:v>0</c:v>
                </c:pt>
                <c:pt idx="2">
                  <c:v>0</c:v>
                </c:pt>
                <c:pt idx="3">
                  <c:v>1521.64</c:v>
                </c:pt>
                <c:pt idx="4">
                  <c:v>6983.1</c:v>
                </c:pt>
              </c:numCache>
              <c:extLst/>
            </c:numRef>
          </c:val>
          <c:extLst>
            <c:ext xmlns:c16="http://schemas.microsoft.com/office/drawing/2014/chart" uri="{C3380CC4-5D6E-409C-BE32-E72D297353CC}">
              <c16:uniqueId val="{00000011-C4D7-41F3-A3C3-6322F7C4A8D2}"/>
            </c:ext>
          </c:extLst>
        </c:ser>
        <c:ser>
          <c:idx val="18"/>
          <c:order val="20"/>
          <c:tx>
            <c:strRef>
              <c:f>a_ELE_cieplo!$B$65</c:f>
              <c:strCache>
                <c:ptCount val="1"/>
                <c:pt idx="0">
                  <c:v>Magazyny energii</c:v>
                </c:pt>
              </c:strCache>
            </c:strRef>
          </c:tx>
          <c:spPr>
            <a:solidFill>
              <a:srgbClr val="FF99CC">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a_ELE_cieplo!$F$65:$J$65</c:f>
              <c:numCache>
                <c:formatCode>#,##0</c:formatCode>
                <c:ptCount val="5"/>
                <c:pt idx="0">
                  <c:v>0</c:v>
                </c:pt>
                <c:pt idx="1">
                  <c:v>483.33</c:v>
                </c:pt>
                <c:pt idx="2">
                  <c:v>2750</c:v>
                </c:pt>
                <c:pt idx="3">
                  <c:v>6753.33</c:v>
                </c:pt>
                <c:pt idx="4">
                  <c:v>8500</c:v>
                </c:pt>
              </c:numCache>
              <c:extLst/>
            </c:numRef>
          </c:val>
          <c:extLst>
            <c:ext xmlns:c16="http://schemas.microsoft.com/office/drawing/2014/chart" uri="{C3380CC4-5D6E-409C-BE32-E72D297353CC}">
              <c16:uniqueId val="{00000012-C4D7-41F3-A3C3-6322F7C4A8D2}"/>
            </c:ext>
          </c:extLst>
        </c:ser>
        <c:ser>
          <c:idx val="19"/>
          <c:order val="21"/>
          <c:tx>
            <c:strRef>
              <c:f>a_ELE_cieplo!$B$66</c:f>
              <c:strCache>
                <c:ptCount val="1"/>
                <c:pt idx="0">
                  <c:v>DSR/import mocy</c:v>
                </c:pt>
              </c:strCache>
            </c:strRef>
          </c:tx>
          <c:spPr>
            <a:solidFill>
              <a:srgbClr val="7030A0">
                <a:alpha val="70000"/>
              </a:srgbClr>
            </a:solidFill>
          </c:spPr>
          <c:invertIfNegative val="0"/>
          <c:cat>
            <c:numRef>
              <c:f>a_ELE_cieplo!$BB$79:$BF$79</c:f>
              <c:numCache>
                <c:formatCode>General</c:formatCode>
                <c:ptCount val="5"/>
                <c:pt idx="0">
                  <c:v>2020</c:v>
                </c:pt>
                <c:pt idx="1">
                  <c:v>2025</c:v>
                </c:pt>
                <c:pt idx="2">
                  <c:v>2030</c:v>
                </c:pt>
                <c:pt idx="3">
                  <c:v>2035</c:v>
                </c:pt>
                <c:pt idx="4">
                  <c:v>2040</c:v>
                </c:pt>
              </c:numCache>
              <c:extLst/>
            </c:numRef>
          </c:cat>
          <c:val>
            <c:numRef>
              <c:f>a_ELE_cieplo!$F$66:$J$66</c:f>
              <c:numCache>
                <c:formatCode>#,##0</c:formatCode>
                <c:ptCount val="5"/>
                <c:pt idx="0">
                  <c:v>615</c:v>
                </c:pt>
                <c:pt idx="1">
                  <c:v>1907.5</c:v>
                </c:pt>
                <c:pt idx="2">
                  <c:v>2810</c:v>
                </c:pt>
                <c:pt idx="3">
                  <c:v>3265</c:v>
                </c:pt>
                <c:pt idx="4">
                  <c:v>3625</c:v>
                </c:pt>
              </c:numCache>
              <c:extLst/>
            </c:numRef>
          </c:val>
          <c:extLst>
            <c:ext xmlns:c16="http://schemas.microsoft.com/office/drawing/2014/chart" uri="{C3380CC4-5D6E-409C-BE32-E72D297353CC}">
              <c16:uniqueId val="{00000013-C4D7-41F3-A3C3-6322F7C4A8D2}"/>
            </c:ext>
          </c:extLst>
        </c:ser>
        <c:dLbls>
          <c:showLegendKey val="0"/>
          <c:showVal val="0"/>
          <c:showCatName val="0"/>
          <c:showSerName val="0"/>
          <c:showPercent val="0"/>
          <c:showBubbleSize val="0"/>
        </c:dLbls>
        <c:gapWidth val="89"/>
        <c:overlap val="100"/>
        <c:axId val="951768280"/>
        <c:axId val="744087240"/>
        <c:extLst>
          <c:ext xmlns:c15="http://schemas.microsoft.com/office/drawing/2012/chart" uri="{02D57815-91ED-43cb-92C2-25804820EDAC}">
            <c15:filteredBarSeries>
              <c15:ser>
                <c:idx val="6"/>
                <c:order val="7"/>
                <c:tx>
                  <c:strRef>
                    <c:extLst>
                      <c:ext uri="{02D57815-91ED-43cb-92C2-25804820EDAC}">
                        <c15:formulaRef>
                          <c15:sqref>a_ELE_cieplo!$B$51</c15:sqref>
                        </c15:formulaRef>
                      </c:ext>
                    </c:extLst>
                    <c:strCache>
                      <c:ptCount val="1"/>
                      <c:pt idx="0">
                        <c:v>EL_Jądrowe_SMR</c:v>
                      </c:pt>
                    </c:strCache>
                  </c:strRef>
                </c:tx>
                <c:spPr>
                  <a:solidFill>
                    <a:srgbClr val="FF0101"/>
                  </a:solidFill>
                  <a:ln w="25400">
                    <a:noFill/>
                  </a:ln>
                </c:spPr>
                <c:invertIfNegative val="0"/>
                <c:cat>
                  <c:numRef>
                    <c:extLst>
                      <c:ext uri="{02D57815-91ED-43cb-92C2-25804820EDAC}">
                        <c15:formulaRef>
                          <c15:sqref>a_ELE_cieplo!$BB$79:$BF$79</c15:sqref>
                        </c15:formulaRef>
                      </c:ext>
                    </c:extLst>
                    <c:numCache>
                      <c:formatCode>General</c:formatCode>
                      <c:ptCount val="5"/>
                      <c:pt idx="0">
                        <c:v>2020</c:v>
                      </c:pt>
                      <c:pt idx="1">
                        <c:v>2025</c:v>
                      </c:pt>
                      <c:pt idx="2">
                        <c:v>2030</c:v>
                      </c:pt>
                      <c:pt idx="3">
                        <c:v>2035</c:v>
                      </c:pt>
                      <c:pt idx="4">
                        <c:v>2040</c:v>
                      </c:pt>
                    </c:numCache>
                  </c:numRef>
                </c:cat>
                <c:val>
                  <c:numRef>
                    <c:extLst>
                      <c:ext uri="{02D57815-91ED-43cb-92C2-25804820EDAC}">
                        <c15:formulaRef>
                          <c15:sqref>a_ELE_cieplo!$F$51:$J$51</c15:sqref>
                        </c15:formulaRef>
                      </c:ext>
                    </c:extLst>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14-C4D7-41F3-A3C3-6322F7C4A8D2}"/>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a_ELE_cieplo!$B$62</c15:sqref>
                        </c15:formulaRef>
                      </c:ext>
                    </c:extLst>
                    <c:strCache>
                      <c:ptCount val="1"/>
                      <c:pt idx="0">
                        <c:v>EL_Geotermalne</c:v>
                      </c:pt>
                    </c:strCache>
                  </c:strRef>
                </c:tx>
                <c:spPr>
                  <a:solidFill>
                    <a:srgbClr val="FF33CC"/>
                  </a:solidFill>
                </c:spPr>
                <c:invertIfNegative val="0"/>
                <c:cat>
                  <c:numRef>
                    <c:extLst xmlns:c15="http://schemas.microsoft.com/office/drawing/2012/chart">
                      <c:ext xmlns:c15="http://schemas.microsoft.com/office/drawing/2012/chart" uri="{02D57815-91ED-43cb-92C2-25804820EDAC}">
                        <c15:formulaRef>
                          <c15:sqref>a_ELE_cieplo!$BB$79:$BF$79</c15:sqref>
                        </c15:formulaRef>
                      </c:ext>
                    </c:extLst>
                    <c:numCache>
                      <c:formatCode>General</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a_ELE_cieplo!$F$62:$J$62</c15:sqref>
                        </c15:formulaRef>
                      </c:ext>
                    </c:extLst>
                    <c:numCache>
                      <c:formatCode>#,##0</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15-C4D7-41F3-A3C3-6322F7C4A8D2}"/>
                  </c:ext>
                </c:extLst>
              </c15:ser>
            </c15:filteredBarSeries>
          </c:ext>
        </c:extLst>
      </c:barChart>
      <c:catAx>
        <c:axId val="951768280"/>
        <c:scaling>
          <c:orientation val="minMax"/>
        </c:scaling>
        <c:delete val="0"/>
        <c:axPos val="b"/>
        <c:numFmt formatCode="General" sourceLinked="1"/>
        <c:majorTickMark val="out"/>
        <c:minorTickMark val="none"/>
        <c:tickLblPos val="nextTo"/>
        <c:crossAx val="744087240"/>
        <c:crosses val="autoZero"/>
        <c:auto val="1"/>
        <c:lblAlgn val="ctr"/>
        <c:lblOffset val="100"/>
        <c:noMultiLvlLbl val="0"/>
      </c:catAx>
      <c:valAx>
        <c:axId val="744087240"/>
        <c:scaling>
          <c:orientation val="minMax"/>
          <c:max val="160000"/>
        </c:scaling>
        <c:delete val="0"/>
        <c:axPos val="l"/>
        <c:majorGridlines>
          <c:spPr>
            <a:ln>
              <a:solidFill>
                <a:sysClr val="window" lastClr="FFFFFF">
                  <a:lumMod val="85000"/>
                </a:sysClr>
              </a:solidFill>
            </a:ln>
          </c:spPr>
        </c:majorGridlines>
        <c:title>
          <c:tx>
            <c:rich>
              <a:bodyPr rot="-5400000" vert="horz"/>
              <a:lstStyle/>
              <a:p>
                <a:pPr>
                  <a:defRPr b="0"/>
                </a:pPr>
                <a:r>
                  <a:rPr lang="pl-PL" b="0"/>
                  <a:t>[MW</a:t>
                </a:r>
                <a:r>
                  <a:rPr lang="en-US" b="0"/>
                  <a:t>]</a:t>
                </a:r>
              </a:p>
            </c:rich>
          </c:tx>
          <c:layout>
            <c:manualLayout>
              <c:xMode val="edge"/>
              <c:yMode val="edge"/>
              <c:x val="1.6702078906803315E-2"/>
              <c:y val="0.86821479325889594"/>
            </c:manualLayout>
          </c:layout>
          <c:overlay val="0"/>
        </c:title>
        <c:numFmt formatCode="#,##0" sourceLinked="0"/>
        <c:majorTickMark val="out"/>
        <c:minorTickMark val="none"/>
        <c:tickLblPos val="nextTo"/>
        <c:spPr>
          <a:noFill/>
        </c:spPr>
        <c:crossAx val="951768280"/>
        <c:crosses val="autoZero"/>
        <c:crossBetween val="between"/>
      </c:valAx>
      <c:spPr>
        <a:ln>
          <a:noFill/>
        </a:ln>
      </c:spPr>
    </c:plotArea>
    <c:legend>
      <c:legendPos val="r"/>
      <c:legendEntry>
        <c:idx val="6"/>
        <c:delete val="1"/>
      </c:legendEntry>
      <c:layout>
        <c:manualLayout>
          <c:xMode val="edge"/>
          <c:yMode val="edge"/>
          <c:x val="0.62710893777166743"/>
          <c:y val="2.5473630754791473E-2"/>
          <c:w val="0.35732877140357455"/>
          <c:h val="0.93591191950238029"/>
        </c:manualLayout>
      </c:layout>
      <c:overlay val="0"/>
      <c:txPr>
        <a:bodyPr/>
        <a:lstStyle/>
        <a:p>
          <a:pPr>
            <a:defRPr sz="800">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zero"/>
    <c:showDLblsOverMax val="0"/>
  </c:chart>
  <c:spPr>
    <a:ln>
      <a:noFill/>
    </a:ln>
  </c:spPr>
  <c:txPr>
    <a:bodyPr/>
    <a:lstStyle/>
    <a:p>
      <a:pPr>
        <a:defRPr sz="900">
          <a:solidFill>
            <a:schemeClr val="tx1">
              <a:lumMod val="65000"/>
              <a:lumOff val="35000"/>
            </a:schemeClr>
          </a:solidFill>
          <a:latin typeface="+mn-lt"/>
          <a:cs typeface="Calibri" panose="020F0502020204030204" pitchFamily="34" charset="0"/>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11047753537049"/>
          <c:y val="6.9844712448918558E-2"/>
          <c:w val="0.74063868009688349"/>
          <c:h val="0.82775600518289649"/>
        </c:manualLayout>
      </c:layout>
      <c:lineChart>
        <c:grouping val="standard"/>
        <c:varyColors val="0"/>
        <c:ser>
          <c:idx val="0"/>
          <c:order val="0"/>
          <c:tx>
            <c:strRef>
              <c:f>Ubóstwo!$E$7</c:f>
              <c:strCache>
                <c:ptCount val="1"/>
                <c:pt idx="0">
                  <c:v>Dane historyczne</c:v>
                </c:pt>
              </c:strCache>
            </c:strRef>
          </c:tx>
          <c:spPr>
            <a:ln w="19050" cap="rnd">
              <a:solidFill>
                <a:schemeClr val="accent1"/>
              </a:solidFill>
              <a:round/>
            </a:ln>
            <a:effectLst/>
          </c:spPr>
          <c:marker>
            <c:symbol val="circle"/>
            <c:size val="5"/>
            <c:spPr>
              <a:solidFill>
                <a:schemeClr val="accent1"/>
              </a:solidFill>
              <a:ln w="19050">
                <a:solidFill>
                  <a:schemeClr val="accent1"/>
                </a:solidFill>
              </a:ln>
              <a:effectLst/>
            </c:spPr>
          </c:marker>
          <c:dLbls>
            <c:dLbl>
              <c:idx val="10"/>
              <c:layout>
                <c:manualLayout>
                  <c:x val="-3.266139969273664E-2"/>
                  <c:y val="3.6972878390201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CC-43C7-BACB-CFE372792D22}"/>
                </c:ext>
              </c:extLst>
            </c:dLbl>
            <c:dLbl>
              <c:idx val="12"/>
              <c:layout>
                <c:manualLayout>
                  <c:x val="-6.9444444444444866E-3"/>
                  <c:y val="-4.161849710982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CC-43C7-BACB-CFE372792D2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Ubóstwo!$F$6:$T$6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2030</c:v>
                </c:pt>
                <c:pt idx="14">
                  <c:v>2040</c:v>
                </c:pt>
              </c:numCache>
            </c:numRef>
          </c:cat>
          <c:val>
            <c:numRef>
              <c:f>Ubóstwo!$F$7:$T$7</c:f>
              <c:numCache>
                <c:formatCode>0</c:formatCode>
                <c:ptCount val="15"/>
                <c:pt idx="0">
                  <c:v>42.041398069209698</c:v>
                </c:pt>
                <c:pt idx="1">
                  <c:v>43.249515983058203</c:v>
                </c:pt>
                <c:pt idx="2">
                  <c:v>43.807865957371703</c:v>
                </c:pt>
                <c:pt idx="3">
                  <c:v>43.118837282841099</c:v>
                </c:pt>
                <c:pt idx="4">
                  <c:v>38.815270086642101</c:v>
                </c:pt>
                <c:pt idx="5">
                  <c:v>38.112618101224996</c:v>
                </c:pt>
                <c:pt idx="6">
                  <c:v>34.856102173289997</c:v>
                </c:pt>
                <c:pt idx="7">
                  <c:v>32.148989489481899</c:v>
                </c:pt>
                <c:pt idx="8">
                  <c:v>28.8806628370765</c:v>
                </c:pt>
                <c:pt idx="9">
                  <c:v>25.681014948455598</c:v>
                </c:pt>
                <c:pt idx="10">
                  <c:v>25.123503164239104</c:v>
                </c:pt>
                <c:pt idx="11">
                  <c:v>28.234315850715802</c:v>
                </c:pt>
                <c:pt idx="12">
                  <c:v>29.237511176530699</c:v>
                </c:pt>
              </c:numCache>
            </c:numRef>
          </c:val>
          <c:smooth val="0"/>
          <c:extLst>
            <c:ext xmlns:c16="http://schemas.microsoft.com/office/drawing/2014/chart" uri="{C3380CC4-5D6E-409C-BE32-E72D297353CC}">
              <c16:uniqueId val="{00000002-C1CC-43C7-BACB-CFE372792D22}"/>
            </c:ext>
          </c:extLst>
        </c:ser>
        <c:ser>
          <c:idx val="1"/>
          <c:order val="1"/>
          <c:tx>
            <c:strRef>
              <c:f>Ubóstwo!$E$8</c:f>
              <c:strCache>
                <c:ptCount val="1"/>
                <c:pt idx="0">
                  <c:v>Scenariusz WEM</c:v>
                </c:pt>
              </c:strCache>
            </c:strRef>
          </c:tx>
          <c:spPr>
            <a:ln w="28575" cap="rnd">
              <a:no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Ubóstwo!$F$6:$T$6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2030</c:v>
                </c:pt>
                <c:pt idx="14">
                  <c:v>2040</c:v>
                </c:pt>
              </c:numCache>
            </c:numRef>
          </c:cat>
          <c:val>
            <c:numRef>
              <c:f>Ubóstwo!$F$8:$T$8</c:f>
              <c:numCache>
                <c:formatCode>General</c:formatCode>
                <c:ptCount val="15"/>
                <c:pt idx="13" formatCode="0">
                  <c:v>25.882640714883493</c:v>
                </c:pt>
                <c:pt idx="14" formatCode="0">
                  <c:v>20.383513578134043</c:v>
                </c:pt>
              </c:numCache>
            </c:numRef>
          </c:val>
          <c:smooth val="0"/>
          <c:extLst>
            <c:ext xmlns:c16="http://schemas.microsoft.com/office/drawing/2014/chart" uri="{C3380CC4-5D6E-409C-BE32-E72D297353CC}">
              <c16:uniqueId val="{00000003-C1CC-43C7-BACB-CFE372792D22}"/>
            </c:ext>
          </c:extLst>
        </c:ser>
        <c:ser>
          <c:idx val="2"/>
          <c:order val="2"/>
          <c:tx>
            <c:strRef>
              <c:f>Ubóstwo!$E$9</c:f>
              <c:strCache>
                <c:ptCount val="1"/>
                <c:pt idx="0">
                  <c:v>Scenariusz WAM</c:v>
                </c:pt>
              </c:strCache>
            </c:strRef>
          </c:tx>
          <c:spPr>
            <a:ln w="28575" cap="rnd">
              <a:noFill/>
              <a:round/>
            </a:ln>
            <a:effectLst/>
          </c:spPr>
          <c:marker>
            <c:symbol val="circle"/>
            <c:size val="5"/>
            <c:spPr>
              <a:solidFill>
                <a:schemeClr val="accent6"/>
              </a:solidFill>
              <a:ln w="9525">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Ubóstwo!$F$6:$T$6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2030</c:v>
                </c:pt>
                <c:pt idx="14">
                  <c:v>2040</c:v>
                </c:pt>
              </c:numCache>
            </c:numRef>
          </c:cat>
          <c:val>
            <c:numRef>
              <c:f>Ubóstwo!$F$9:$T$9</c:f>
              <c:numCache>
                <c:formatCode>General</c:formatCode>
                <c:ptCount val="15"/>
                <c:pt idx="13" formatCode="0">
                  <c:v>23.516513844833185</c:v>
                </c:pt>
                <c:pt idx="14" formatCode="0">
                  <c:v>13.285813107933885</c:v>
                </c:pt>
              </c:numCache>
            </c:numRef>
          </c:val>
          <c:smooth val="0"/>
          <c:extLst>
            <c:ext xmlns:c16="http://schemas.microsoft.com/office/drawing/2014/chart" uri="{C3380CC4-5D6E-409C-BE32-E72D297353CC}">
              <c16:uniqueId val="{00000004-C1CC-43C7-BACB-CFE372792D22}"/>
            </c:ext>
          </c:extLst>
        </c:ser>
        <c:dLbls>
          <c:showLegendKey val="0"/>
          <c:showVal val="0"/>
          <c:showCatName val="0"/>
          <c:showSerName val="0"/>
          <c:showPercent val="0"/>
          <c:showBubbleSize val="0"/>
        </c:dLbls>
        <c:marker val="1"/>
        <c:smooth val="0"/>
        <c:axId val="826218976"/>
        <c:axId val="938441776"/>
      </c:lineChart>
      <c:dateAx>
        <c:axId val="8262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38441776"/>
        <c:crosses val="autoZero"/>
        <c:auto val="0"/>
        <c:lblOffset val="100"/>
        <c:baseTimeUnit val="days"/>
        <c:majorUnit val="5"/>
        <c:majorTimeUnit val="days"/>
      </c:dateAx>
      <c:valAx>
        <c:axId val="93844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en-US"/>
                  <a:t>% gospodarstw domowych</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826218976"/>
        <c:crosses val="autoZero"/>
        <c:crossBetween val="between"/>
        <c:majorUnit val="10"/>
      </c:valAx>
      <c:spPr>
        <a:noFill/>
        <a:ln>
          <a:noFill/>
        </a:ln>
        <a:effectLst/>
      </c:spPr>
    </c:plotArea>
    <c:legend>
      <c:legendPos val="r"/>
      <c:layout>
        <c:manualLayout>
          <c:xMode val="edge"/>
          <c:yMode val="edge"/>
          <c:x val="0.4252679936006864"/>
          <c:y val="7.1345517813363721E-2"/>
          <c:w val="0.5263192327973758"/>
          <c:h val="0.1505487889963121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09531044714757"/>
          <c:y val="4.4381115439419333E-2"/>
          <c:w val="0.75125474809405923"/>
          <c:h val="0.818271471367637"/>
        </c:manualLayout>
      </c:layout>
      <c:lineChart>
        <c:grouping val="standard"/>
        <c:varyColors val="0"/>
        <c:ser>
          <c:idx val="0"/>
          <c:order val="0"/>
          <c:tx>
            <c:strRef>
              <c:f>Ubóstwo!$E$13</c:f>
              <c:strCache>
                <c:ptCount val="1"/>
                <c:pt idx="0">
                  <c:v>Dane historyczne</c:v>
                </c:pt>
              </c:strCache>
            </c:strRef>
          </c:tx>
          <c:spPr>
            <a:ln w="12700" cap="rnd">
              <a:solidFill>
                <a:schemeClr val="accent1"/>
              </a:solidFill>
              <a:round/>
            </a:ln>
            <a:effectLst/>
          </c:spPr>
          <c:marker>
            <c:symbol val="circle"/>
            <c:size val="5"/>
            <c:spPr>
              <a:solidFill>
                <a:schemeClr val="accent1"/>
              </a:solidFill>
              <a:ln w="12700">
                <a:solidFill>
                  <a:schemeClr val="accent1"/>
                </a:solidFill>
              </a:ln>
              <a:effectLst/>
            </c:spPr>
          </c:marker>
          <c:dLbls>
            <c:dLbl>
              <c:idx val="10"/>
              <c:layout>
                <c:manualLayout>
                  <c:x val="-5.9936908517350215E-2"/>
                  <c:y val="4.1666666666666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B6-4C66-A872-1D4E13438F8E}"/>
                </c:ext>
              </c:extLst>
            </c:dLbl>
            <c:dLbl>
              <c:idx val="12"/>
              <c:layout>
                <c:manualLayout>
                  <c:x val="-3.7854889589905363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B6-4C66-A872-1D4E13438F8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Ubóstwo!$F$6:$T$6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2030</c:v>
                </c:pt>
                <c:pt idx="14">
                  <c:v>2040</c:v>
                </c:pt>
              </c:numCache>
            </c:numRef>
          </c:cat>
          <c:val>
            <c:numRef>
              <c:f>Ubóstwo!$F$13:$T$13</c:f>
              <c:numCache>
                <c:formatCode>0</c:formatCode>
                <c:ptCount val="15"/>
                <c:pt idx="0">
                  <c:v>21.027232158990699</c:v>
                </c:pt>
                <c:pt idx="1">
                  <c:v>22.361375701941899</c:v>
                </c:pt>
                <c:pt idx="2">
                  <c:v>23.125869974033598</c:v>
                </c:pt>
                <c:pt idx="3">
                  <c:v>26.234351284678997</c:v>
                </c:pt>
                <c:pt idx="4">
                  <c:v>22.6961912955393</c:v>
                </c:pt>
                <c:pt idx="5">
                  <c:v>21.4744939325847</c:v>
                </c:pt>
                <c:pt idx="6">
                  <c:v>18.005171008202201</c:v>
                </c:pt>
                <c:pt idx="7">
                  <c:v>16.019171066645498</c:v>
                </c:pt>
                <c:pt idx="8">
                  <c:v>13.372293191694501</c:v>
                </c:pt>
                <c:pt idx="9">
                  <c:v>11.6735998244823</c:v>
                </c:pt>
                <c:pt idx="10">
                  <c:v>10.372536863149499</c:v>
                </c:pt>
                <c:pt idx="11">
                  <c:v>11.6596690675212</c:v>
                </c:pt>
                <c:pt idx="12">
                  <c:v>12.324741311601201</c:v>
                </c:pt>
              </c:numCache>
            </c:numRef>
          </c:val>
          <c:smooth val="0"/>
          <c:extLst>
            <c:ext xmlns:c16="http://schemas.microsoft.com/office/drawing/2014/chart" uri="{C3380CC4-5D6E-409C-BE32-E72D297353CC}">
              <c16:uniqueId val="{00000002-1EB6-4C66-A872-1D4E13438F8E}"/>
            </c:ext>
          </c:extLst>
        </c:ser>
        <c:ser>
          <c:idx val="1"/>
          <c:order val="1"/>
          <c:tx>
            <c:strRef>
              <c:f>Ubóstwo!$E$14</c:f>
              <c:strCache>
                <c:ptCount val="1"/>
                <c:pt idx="0">
                  <c:v>Scenariusz WEM</c:v>
                </c:pt>
              </c:strCache>
            </c:strRef>
          </c:tx>
          <c:spPr>
            <a:ln w="28575" cap="rnd">
              <a:no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Ubóstwo!$F$6:$T$6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2030</c:v>
                </c:pt>
                <c:pt idx="14">
                  <c:v>2040</c:v>
                </c:pt>
              </c:numCache>
            </c:numRef>
          </c:cat>
          <c:val>
            <c:numRef>
              <c:f>Ubóstwo!$F$14:$T$14</c:f>
              <c:numCache>
                <c:formatCode>General</c:formatCode>
                <c:ptCount val="15"/>
                <c:pt idx="13" formatCode="0">
                  <c:v>11.154977231751518</c:v>
                </c:pt>
                <c:pt idx="14" formatCode="0">
                  <c:v>8.4892296892458816</c:v>
                </c:pt>
              </c:numCache>
            </c:numRef>
          </c:val>
          <c:smooth val="0"/>
          <c:extLst>
            <c:ext xmlns:c16="http://schemas.microsoft.com/office/drawing/2014/chart" uri="{C3380CC4-5D6E-409C-BE32-E72D297353CC}">
              <c16:uniqueId val="{00000003-1EB6-4C66-A872-1D4E13438F8E}"/>
            </c:ext>
          </c:extLst>
        </c:ser>
        <c:ser>
          <c:idx val="2"/>
          <c:order val="2"/>
          <c:tx>
            <c:strRef>
              <c:f>Ubóstwo!$E$15</c:f>
              <c:strCache>
                <c:ptCount val="1"/>
                <c:pt idx="0">
                  <c:v>Scenariusz WAM</c:v>
                </c:pt>
              </c:strCache>
            </c:strRef>
          </c:tx>
          <c:spPr>
            <a:ln w="28575" cap="rnd">
              <a:noFill/>
              <a:round/>
            </a:ln>
            <a:effectLst/>
          </c:spPr>
          <c:marker>
            <c:symbol val="circle"/>
            <c:size val="5"/>
            <c:spPr>
              <a:solidFill>
                <a:schemeClr val="accent6"/>
              </a:solidFill>
              <a:ln w="9525">
                <a:noFill/>
              </a:ln>
              <a:effectLst/>
            </c:spPr>
          </c:marker>
          <c:dLbls>
            <c:dLbl>
              <c:idx val="13"/>
              <c:layout>
                <c:manualLayout>
                  <c:x val="-9.4637223974763408E-3"/>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B6-4C66-A872-1D4E13438F8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Ubóstwo!$F$6:$T$6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2030</c:v>
                </c:pt>
                <c:pt idx="14">
                  <c:v>2040</c:v>
                </c:pt>
              </c:numCache>
            </c:numRef>
          </c:cat>
          <c:val>
            <c:numRef>
              <c:f>Ubóstwo!$F$15:$T$15</c:f>
              <c:numCache>
                <c:formatCode>General</c:formatCode>
                <c:ptCount val="15"/>
                <c:pt idx="13" formatCode="0">
                  <c:v>9.9183200061292229</c:v>
                </c:pt>
                <c:pt idx="14" formatCode="0">
                  <c:v>5.9674836436453864</c:v>
                </c:pt>
              </c:numCache>
            </c:numRef>
          </c:val>
          <c:smooth val="0"/>
          <c:extLst>
            <c:ext xmlns:c16="http://schemas.microsoft.com/office/drawing/2014/chart" uri="{C3380CC4-5D6E-409C-BE32-E72D297353CC}">
              <c16:uniqueId val="{00000005-1EB6-4C66-A872-1D4E13438F8E}"/>
            </c:ext>
          </c:extLst>
        </c:ser>
        <c:dLbls>
          <c:showLegendKey val="0"/>
          <c:showVal val="0"/>
          <c:showCatName val="0"/>
          <c:showSerName val="0"/>
          <c:showPercent val="0"/>
          <c:showBubbleSize val="0"/>
        </c:dLbls>
        <c:marker val="1"/>
        <c:smooth val="0"/>
        <c:axId val="826218976"/>
        <c:axId val="938441776"/>
      </c:lineChart>
      <c:dateAx>
        <c:axId val="8262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38441776"/>
        <c:crosses val="autoZero"/>
        <c:auto val="0"/>
        <c:lblOffset val="100"/>
        <c:baseTimeUnit val="days"/>
        <c:majorUnit val="5"/>
        <c:majorTimeUnit val="days"/>
      </c:dateAx>
      <c:valAx>
        <c:axId val="938441776"/>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en-US"/>
                  <a:t>% gospodarstw domowych</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826218976"/>
        <c:crosses val="autoZero"/>
        <c:crossBetween val="between"/>
        <c:majorUnit val="10"/>
      </c:valAx>
      <c:spPr>
        <a:noFill/>
        <a:ln>
          <a:noFill/>
        </a:ln>
        <a:effectLst/>
      </c:spPr>
    </c:plotArea>
    <c:legend>
      <c:legendPos val="r"/>
      <c:layout>
        <c:manualLayout>
          <c:xMode val="edge"/>
          <c:yMode val="edge"/>
          <c:x val="0.55234191639779417"/>
          <c:y val="3.3867798459264201E-2"/>
          <c:w val="0.39646357485677514"/>
          <c:h val="0.1717261391772332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OZE_wykr!$A$20</c:f>
              <c:strCache>
                <c:ptCount val="1"/>
                <c:pt idx="0">
                  <c:v>OZE w transpocie</c:v>
                </c:pt>
              </c:strCache>
            </c:strRef>
          </c:tx>
          <c:spPr>
            <a:solidFill>
              <a:srgbClr val="438016">
                <a:alpha val="69804"/>
              </a:srgbClr>
            </a:solidFill>
            <a:ln w="25400">
              <a:noFill/>
            </a:ln>
            <a:effectLst/>
          </c:spPr>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OZE_wykr!$B$20:$I$20</c:f>
              <c:numCache>
                <c:formatCode>0</c:formatCode>
                <c:ptCount val="8"/>
                <c:pt idx="0">
                  <c:v>178</c:v>
                </c:pt>
                <c:pt idx="1">
                  <c:v>993</c:v>
                </c:pt>
                <c:pt idx="2">
                  <c:v>824</c:v>
                </c:pt>
                <c:pt idx="3">
                  <c:v>1291</c:v>
                </c:pt>
                <c:pt idx="4">
                  <c:v>1917.4122469715021</c:v>
                </c:pt>
                <c:pt idx="5">
                  <c:v>2529.0035473811249</c:v>
                </c:pt>
                <c:pt idx="6">
                  <c:v>3348.2806192727849</c:v>
                </c:pt>
                <c:pt idx="7">
                  <c:v>4211.1495576067928</c:v>
                </c:pt>
              </c:numCache>
            </c:numRef>
          </c:val>
          <c:extLst>
            <c:ext xmlns:c16="http://schemas.microsoft.com/office/drawing/2014/chart" uri="{C3380CC4-5D6E-409C-BE32-E72D297353CC}">
              <c16:uniqueId val="{00000000-2DCF-4034-B420-710EBA297DE7}"/>
            </c:ext>
          </c:extLst>
        </c:ser>
        <c:ser>
          <c:idx val="1"/>
          <c:order val="1"/>
          <c:tx>
            <c:strRef>
              <c:f>OZE_wykr!$A$21</c:f>
              <c:strCache>
                <c:ptCount val="1"/>
                <c:pt idx="0">
                  <c:v>OZE w ciepłownictwie</c:v>
                </c:pt>
              </c:strCache>
            </c:strRef>
          </c:tx>
          <c:spPr>
            <a:solidFill>
              <a:srgbClr val="00B050">
                <a:alpha val="70000"/>
              </a:srgbClr>
            </a:solidFill>
            <a:ln w="25400">
              <a:noFill/>
            </a:ln>
            <a:effectLst/>
          </c:spPr>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OZE_wykr!$B$21:$I$21</c:f>
              <c:numCache>
                <c:formatCode>0</c:formatCode>
                <c:ptCount val="8"/>
                <c:pt idx="0">
                  <c:v>3868</c:v>
                </c:pt>
                <c:pt idx="1">
                  <c:v>4677</c:v>
                </c:pt>
                <c:pt idx="2">
                  <c:v>5224</c:v>
                </c:pt>
                <c:pt idx="3">
                  <c:v>8507</c:v>
                </c:pt>
                <c:pt idx="4">
                  <c:v>9040.1200228141661</c:v>
                </c:pt>
                <c:pt idx="5">
                  <c:v>10766.463075871918</c:v>
                </c:pt>
                <c:pt idx="6">
                  <c:v>12709.298469617826</c:v>
                </c:pt>
                <c:pt idx="7">
                  <c:v>15198.835040900032</c:v>
                </c:pt>
              </c:numCache>
            </c:numRef>
          </c:val>
          <c:extLst>
            <c:ext xmlns:c16="http://schemas.microsoft.com/office/drawing/2014/chart" uri="{C3380CC4-5D6E-409C-BE32-E72D297353CC}">
              <c16:uniqueId val="{00000001-2DCF-4034-B420-710EBA297DE7}"/>
            </c:ext>
          </c:extLst>
        </c:ser>
        <c:ser>
          <c:idx val="2"/>
          <c:order val="2"/>
          <c:tx>
            <c:strRef>
              <c:f>OZE_wykr!$A$22</c:f>
              <c:strCache>
                <c:ptCount val="1"/>
                <c:pt idx="0">
                  <c:v>OZE w elektroenegetyce</c:v>
                </c:pt>
              </c:strCache>
            </c:strRef>
          </c:tx>
          <c:spPr>
            <a:solidFill>
              <a:srgbClr val="92D050">
                <a:alpha val="70000"/>
              </a:srgbClr>
            </a:solidFill>
            <a:ln w="25400">
              <a:noFill/>
            </a:ln>
            <a:effectLst/>
          </c:spPr>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OZE_wykr!$B$22:$I$22</c:f>
              <c:numCache>
                <c:formatCode>0</c:formatCode>
                <c:ptCount val="8"/>
                <c:pt idx="0">
                  <c:v>257</c:v>
                </c:pt>
                <c:pt idx="1">
                  <c:v>824</c:v>
                </c:pt>
                <c:pt idx="2">
                  <c:v>1818</c:v>
                </c:pt>
                <c:pt idx="3">
                  <c:v>2292</c:v>
                </c:pt>
                <c:pt idx="4">
                  <c:v>4669.549841763529</c:v>
                </c:pt>
                <c:pt idx="5">
                  <c:v>8343.4256910197673</c:v>
                </c:pt>
                <c:pt idx="6">
                  <c:v>13551.291751052084</c:v>
                </c:pt>
                <c:pt idx="7">
                  <c:v>18468.704073754987</c:v>
                </c:pt>
              </c:numCache>
            </c:numRef>
          </c:val>
          <c:extLst>
            <c:ext xmlns:c16="http://schemas.microsoft.com/office/drawing/2014/chart" uri="{C3380CC4-5D6E-409C-BE32-E72D297353CC}">
              <c16:uniqueId val="{00000002-2DCF-4034-B420-710EBA297DE7}"/>
            </c:ext>
          </c:extLst>
        </c:ser>
        <c:dLbls>
          <c:showLegendKey val="0"/>
          <c:showVal val="0"/>
          <c:showCatName val="0"/>
          <c:showSerName val="0"/>
          <c:showPercent val="0"/>
          <c:showBubbleSize val="0"/>
        </c:dLbls>
        <c:axId val="951772984"/>
        <c:axId val="951773376"/>
      </c:areaChart>
      <c:lineChart>
        <c:grouping val="standard"/>
        <c:varyColors val="0"/>
        <c:dLbls>
          <c:showLegendKey val="0"/>
          <c:showVal val="0"/>
          <c:showCatName val="0"/>
          <c:showSerName val="0"/>
          <c:showPercent val="0"/>
          <c:showBubbleSize val="0"/>
        </c:dLbls>
        <c:marker val="1"/>
        <c:smooth val="0"/>
        <c:axId val="951772984"/>
        <c:axId val="951773376"/>
        <c:extLst>
          <c:ext xmlns:c15="http://schemas.microsoft.com/office/drawing/2012/chart" uri="{02D57815-91ED-43cb-92C2-25804820EDAC}">
            <c15:filteredLineSeries>
              <c15:ser>
                <c:idx val="4"/>
                <c:order val="4"/>
                <c:tx>
                  <c:strRef>
                    <c:extLst>
                      <c:ext uri="{02D57815-91ED-43cb-92C2-25804820EDAC}">
                        <c15:formulaRef>
                          <c15:sqref>OZE_wykr!$A$31</c15:sqref>
                        </c15:formulaRef>
                      </c:ext>
                    </c:extLst>
                    <c:strCache>
                      <c:ptCount val="1"/>
                      <c:pt idx="0">
                        <c:v>OZE - transport (KPEiK 2019)</c:v>
                      </c:pt>
                    </c:strCache>
                  </c:strRef>
                </c:tx>
                <c:spPr>
                  <a:ln w="28575" cap="rnd">
                    <a:solidFill>
                      <a:srgbClr val="FFC000"/>
                    </a:solidFill>
                    <a:prstDash val="sysDot"/>
                    <a:round/>
                  </a:ln>
                  <a:effectLst/>
                </c:spPr>
                <c:marker>
                  <c:symbol val="none"/>
                </c:marker>
                <c:cat>
                  <c:numRef>
                    <c:extLst>
                      <c:ext uri="{02D57815-91ED-43cb-92C2-25804820EDAC}">
                        <c15:formulaRef>
                          <c15:sqref>OZE_wykr!$B$19:$I$19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OZE_wykr!$B$31:$G$31</c15:sqref>
                        </c15:formulaRef>
                      </c:ext>
                    </c:extLst>
                    <c:numCache>
                      <c:formatCode>0</c:formatCode>
                      <c:ptCount val="6"/>
                      <c:pt idx="0">
                        <c:v>95.163551280213994</c:v>
                      </c:pt>
                      <c:pt idx="1">
                        <c:v>916.18889653195765</c:v>
                      </c:pt>
                      <c:pt idx="2">
                        <c:v>721.23143594153055</c:v>
                      </c:pt>
                      <c:pt idx="3">
                        <c:v>1612.9681989602047</c:v>
                      </c:pt>
                      <c:pt idx="4">
                        <c:v>1677.2291499912094</c:v>
                      </c:pt>
                      <c:pt idx="5">
                        <c:v>1707.7455079770668</c:v>
                      </c:pt>
                    </c:numCache>
                  </c:numRef>
                </c:val>
                <c:smooth val="0"/>
                <c:extLst>
                  <c:ext xmlns:c16="http://schemas.microsoft.com/office/drawing/2014/chart" uri="{C3380CC4-5D6E-409C-BE32-E72D297353CC}">
                    <c16:uniqueId val="{00000008-2DCF-4034-B420-710EBA297DE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OZE_wykr!$A$32</c15:sqref>
                        </c15:formulaRef>
                      </c:ext>
                    </c:extLst>
                    <c:strCache>
                      <c:ptCount val="1"/>
                      <c:pt idx="0">
                        <c:v>OZE - ciepłownictwo (KPEiK 2019)</c:v>
                      </c:pt>
                    </c:strCache>
                  </c:strRef>
                </c:tx>
                <c:spPr>
                  <a:ln w="28575" cap="rnd">
                    <a:solidFill>
                      <a:schemeClr val="accent4">
                        <a:lumMod val="75000"/>
                      </a:schemeClr>
                    </a:solidFill>
                    <a:prstDash val="sysDot"/>
                    <a:round/>
                  </a:ln>
                  <a:effectLst/>
                </c:spPr>
                <c:marker>
                  <c:symbol val="none"/>
                </c:marker>
                <c:cat>
                  <c:numRef>
                    <c:extLst xmlns:c15="http://schemas.microsoft.com/office/drawing/2012/chart">
                      <c:ext xmlns:c15="http://schemas.microsoft.com/office/drawing/2012/chart" uri="{02D57815-91ED-43cb-92C2-25804820EDAC}">
                        <c15:formulaRef>
                          <c15:sqref>OZE_wykr!$B$19:$I$19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OZE_wykr!$B$32:$G$32</c15:sqref>
                        </c15:formulaRef>
                      </c:ext>
                    </c:extLst>
                    <c:numCache>
                      <c:formatCode>0</c:formatCode>
                      <c:ptCount val="6"/>
                      <c:pt idx="0">
                        <c:v>4045.6077194993791</c:v>
                      </c:pt>
                      <c:pt idx="1">
                        <c:v>5634.6215004784144</c:v>
                      </c:pt>
                      <c:pt idx="2">
                        <c:v>5940.6837734051951</c:v>
                      </c:pt>
                      <c:pt idx="3">
                        <c:v>7453.840868390439</c:v>
                      </c:pt>
                      <c:pt idx="4">
                        <c:v>9521.0955268129419</c:v>
                      </c:pt>
                      <c:pt idx="5">
                        <c:v>11556.252862507943</c:v>
                      </c:pt>
                    </c:numCache>
                  </c:numRef>
                </c:val>
                <c:smooth val="0"/>
                <c:extLst xmlns:c15="http://schemas.microsoft.com/office/drawing/2012/chart">
                  <c:ext xmlns:c16="http://schemas.microsoft.com/office/drawing/2014/chart" uri="{C3380CC4-5D6E-409C-BE32-E72D297353CC}">
                    <c16:uniqueId val="{00000009-2DCF-4034-B420-710EBA297DE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OZE_wykr!$A$33</c15:sqref>
                        </c15:formulaRef>
                      </c:ext>
                    </c:extLst>
                    <c:strCache>
                      <c:ptCount val="1"/>
                      <c:pt idx="0">
                        <c:v>OZE - en. elektr. (KPEiK 2019)</c:v>
                      </c:pt>
                    </c:strCache>
                  </c:strRef>
                </c:tx>
                <c:spPr>
                  <a:ln w="28575" cap="rnd">
                    <a:solidFill>
                      <a:schemeClr val="accent2"/>
                    </a:solidFill>
                    <a:prstDash val="sysDot"/>
                    <a:round/>
                  </a:ln>
                  <a:effectLst/>
                </c:spPr>
                <c:marker>
                  <c:symbol val="none"/>
                </c:marker>
                <c:cat>
                  <c:numRef>
                    <c:extLst xmlns:c15="http://schemas.microsoft.com/office/drawing/2012/chart">
                      <c:ext xmlns:c15="http://schemas.microsoft.com/office/drawing/2012/chart" uri="{02D57815-91ED-43cb-92C2-25804820EDAC}">
                        <c15:formulaRef>
                          <c15:sqref>OZE_wykr!$B$19:$I$19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OZE_wykr!$B$33:$G$33</c15:sqref>
                        </c15:formulaRef>
                      </c:ext>
                    </c:extLst>
                    <c:numCache>
                      <c:formatCode>0</c:formatCode>
                      <c:ptCount val="6"/>
                      <c:pt idx="0">
                        <c:v>4377.7175385928913</c:v>
                      </c:pt>
                      <c:pt idx="1">
                        <c:v>6560.2660843423564</c:v>
                      </c:pt>
                      <c:pt idx="2">
                        <c:v>7942.2871243367017</c:v>
                      </c:pt>
                      <c:pt idx="3">
                        <c:v>13167.39559877902</c:v>
                      </c:pt>
                      <c:pt idx="4">
                        <c:v>14961.046897703123</c:v>
                      </c:pt>
                      <c:pt idx="5">
                        <c:v>18788.426477691566</c:v>
                      </c:pt>
                    </c:numCache>
                  </c:numRef>
                </c:val>
                <c:smooth val="0"/>
                <c:extLst xmlns:c15="http://schemas.microsoft.com/office/drawing/2012/chart">
                  <c:ext xmlns:c16="http://schemas.microsoft.com/office/drawing/2014/chart" uri="{C3380CC4-5D6E-409C-BE32-E72D297353CC}">
                    <c16:uniqueId val="{0000000A-2DCF-4034-B420-710EBA297DE7}"/>
                  </c:ext>
                </c:extLst>
              </c15:ser>
            </c15:filteredLineSeries>
          </c:ext>
        </c:extLst>
      </c:lineChart>
      <c:lineChart>
        <c:grouping val="standard"/>
        <c:varyColors val="0"/>
        <c:ser>
          <c:idx val="3"/>
          <c:order val="3"/>
          <c:tx>
            <c:strRef>
              <c:f>OZE_wykr!$A$23</c:f>
              <c:strCache>
                <c:ptCount val="1"/>
                <c:pt idx="0">
                  <c:v>OZE w finalnym zużyciu energii brutto [%]</c:v>
                </c:pt>
              </c:strCache>
            </c:strRef>
          </c:tx>
          <c:spPr>
            <a:ln w="28575" cap="rnd">
              <a:solidFill>
                <a:srgbClr val="006600"/>
              </a:solidFill>
              <a:round/>
            </a:ln>
            <a:effectLst/>
          </c:spPr>
          <c:marker>
            <c:symbol val="circle"/>
            <c:size val="6"/>
            <c:spPr>
              <a:solidFill>
                <a:srgbClr val="006600"/>
              </a:solidFill>
              <a:ln w="9525">
                <a:solidFill>
                  <a:srgbClr val="006600"/>
                </a:solidFill>
              </a:ln>
              <a:effectLst/>
            </c:spPr>
          </c:marker>
          <c:dLbls>
            <c:dLbl>
              <c:idx val="5"/>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31B8-463C-9856-8A85410EB207}"/>
                </c:ext>
              </c:extLst>
            </c:dLbl>
            <c:dLbl>
              <c:idx val="7"/>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31B8-463C-9856-8A85410EB2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OZE_wykr!$B$23:$I$23</c:f>
              <c:numCache>
                <c:formatCode>0.0%</c:formatCode>
                <c:ptCount val="8"/>
                <c:pt idx="0">
                  <c:v>6.9000000000000006E-2</c:v>
                </c:pt>
                <c:pt idx="1">
                  <c:v>9.2999999999999999E-2</c:v>
                </c:pt>
                <c:pt idx="2">
                  <c:v>0.11899999999999999</c:v>
                </c:pt>
                <c:pt idx="3">
                  <c:v>0.161</c:v>
                </c:pt>
                <c:pt idx="4">
                  <c:v>0.21589131579279949</c:v>
                </c:pt>
                <c:pt idx="5">
                  <c:v>0.32094757419908421</c:v>
                </c:pt>
                <c:pt idx="6">
                  <c:v>0.46505002156766778</c:v>
                </c:pt>
                <c:pt idx="7">
                  <c:v>0.61733830758421659</c:v>
                </c:pt>
              </c:numCache>
            </c:numRef>
          </c:val>
          <c:smooth val="0"/>
          <c:extLst>
            <c:ext xmlns:c16="http://schemas.microsoft.com/office/drawing/2014/chart" uri="{C3380CC4-5D6E-409C-BE32-E72D297353CC}">
              <c16:uniqueId val="{00000004-2DCF-4034-B420-710EBA297DE7}"/>
            </c:ext>
          </c:extLst>
        </c:ser>
        <c:ser>
          <c:idx val="7"/>
          <c:order val="7"/>
          <c:tx>
            <c:strRef>
              <c:f>OZE_wykr!$A$29</c:f>
              <c:strCache>
                <c:ptCount val="1"/>
                <c:pt idx="0">
                  <c:v>OZE w finalnym zużyciu energii brutto [%] (KPEiK 2019)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CF-4034-B420-710EBA297DE7}"/>
                </c:ext>
              </c:extLst>
            </c:dLbl>
            <c:dLbl>
              <c:idx val="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CF-4034-B420-710EBA297DE7}"/>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OZE_wykr!$B$29:$I$29</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0.25800000000000001</c:v>
                </c:pt>
                <c:pt idx="7">
                  <c:v>0.28499999999999998</c:v>
                </c:pt>
              </c:numCache>
            </c:numRef>
          </c:val>
          <c:smooth val="0"/>
          <c:extLst>
            <c:ext xmlns:c16="http://schemas.microsoft.com/office/drawing/2014/chart" uri="{C3380CC4-5D6E-409C-BE32-E72D297353CC}">
              <c16:uniqueId val="{00000007-2DCF-4034-B420-710EBA297DE7}"/>
            </c:ext>
          </c:extLst>
        </c:ser>
        <c:dLbls>
          <c:showLegendKey val="0"/>
          <c:showVal val="0"/>
          <c:showCatName val="0"/>
          <c:showSerName val="0"/>
          <c:showPercent val="0"/>
          <c:showBubbleSize val="0"/>
        </c:dLbls>
        <c:marker val="1"/>
        <c:smooth val="0"/>
        <c:axId val="951771808"/>
        <c:axId val="951773768"/>
      </c:lineChart>
      <c:catAx>
        <c:axId val="951772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3376"/>
        <c:crosses val="autoZero"/>
        <c:auto val="1"/>
        <c:lblAlgn val="ctr"/>
        <c:lblOffset val="100"/>
        <c:noMultiLvlLbl val="0"/>
      </c:catAx>
      <c:valAx>
        <c:axId val="951773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2984"/>
        <c:crosses val="autoZero"/>
        <c:crossBetween val="between"/>
      </c:valAx>
      <c:valAx>
        <c:axId val="951773768"/>
        <c:scaling>
          <c:orientation val="minMax"/>
          <c:max val="0.8"/>
        </c:scaling>
        <c:delete val="0"/>
        <c:axPos val="r"/>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1808"/>
        <c:crosses val="max"/>
        <c:crossBetween val="between"/>
      </c:valAx>
      <c:catAx>
        <c:axId val="951771808"/>
        <c:scaling>
          <c:orientation val="minMax"/>
        </c:scaling>
        <c:delete val="1"/>
        <c:axPos val="b"/>
        <c:numFmt formatCode="General" sourceLinked="1"/>
        <c:majorTickMark val="out"/>
        <c:minorTickMark val="none"/>
        <c:tickLblPos val="nextTo"/>
        <c:crossAx val="9517737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OZE_wykr!$A$70</c:f>
              <c:strCache>
                <c:ptCount val="1"/>
                <c:pt idx="0">
                  <c:v>Udział OZE w elektroenergetyce</c:v>
                </c:pt>
              </c:strCache>
            </c:strRef>
          </c:tx>
          <c:spPr>
            <a:ln w="25400" cap="rnd">
              <a:solidFill>
                <a:schemeClr val="accent6">
                  <a:lumMod val="60000"/>
                  <a:lumOff val="40000"/>
                </a:schemeClr>
              </a:solidFill>
              <a:round/>
            </a:ln>
            <a:effectLst/>
          </c:spPr>
          <c:marker>
            <c:symbol val="circle"/>
            <c:size val="5"/>
            <c:spPr>
              <a:solidFill>
                <a:srgbClr val="92D050"/>
              </a:solidFill>
              <a:ln w="9525">
                <a:no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94-4302-B0A1-260A448300D9}"/>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94-4302-B0A1-260A448300D9}"/>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94-4302-B0A1-260A448300D9}"/>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94-4302-B0A1-260A448300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OZE_wykr!$Q$69:$AA$69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extLst/>
            </c:numRef>
          </c:cat>
          <c:val>
            <c:numRef>
              <c:f>OZE_wykr!$Q$70:$AA$70</c:f>
              <c:numCache>
                <c:formatCode>0.0%</c:formatCode>
                <c:ptCount val="11"/>
                <c:pt idx="0">
                  <c:v>0.16200000000000001</c:v>
                </c:pt>
                <c:pt idx="1">
                  <c:v>0.169444802621012</c:v>
                </c:pt>
                <c:pt idx="2">
                  <c:v>0.21218723107953694</c:v>
                </c:pt>
                <c:pt idx="3">
                  <c:v>0.25154038826198755</c:v>
                </c:pt>
                <c:pt idx="4">
                  <c:v>0.28427522958779861</c:v>
                </c:pt>
                <c:pt idx="5">
                  <c:v>0.30761864333150152</c:v>
                </c:pt>
                <c:pt idx="6">
                  <c:v>0.33653535703279486</c:v>
                </c:pt>
                <c:pt idx="7">
                  <c:v>0.38220463039498803</c:v>
                </c:pt>
                <c:pt idx="8">
                  <c:v>0.43743517371444302</c:v>
                </c:pt>
                <c:pt idx="9">
                  <c:v>0.48769418800762943</c:v>
                </c:pt>
                <c:pt idx="10">
                  <c:v>0.51775089022500254</c:v>
                </c:pt>
              </c:numCache>
              <c:extLst/>
            </c:numRef>
          </c:val>
          <c:smooth val="0"/>
          <c:extLst>
            <c:ext xmlns:c16="http://schemas.microsoft.com/office/drawing/2014/chart" uri="{C3380CC4-5D6E-409C-BE32-E72D297353CC}">
              <c16:uniqueId val="{00000004-C294-4302-B0A1-260A448300D9}"/>
            </c:ext>
          </c:extLst>
        </c:ser>
        <c:dLbls>
          <c:showLegendKey val="0"/>
          <c:showVal val="0"/>
          <c:showCatName val="0"/>
          <c:showSerName val="0"/>
          <c:showPercent val="0"/>
          <c:showBubbleSize val="0"/>
        </c:dLbls>
        <c:marker val="1"/>
        <c:smooth val="0"/>
        <c:axId val="951769456"/>
        <c:axId val="951770240"/>
        <c:extLst>
          <c:ext xmlns:c15="http://schemas.microsoft.com/office/drawing/2012/chart" uri="{02D57815-91ED-43cb-92C2-25804820EDAC}">
            <c15:filteredLineSeries>
              <c15:ser>
                <c:idx val="1"/>
                <c:order val="1"/>
                <c:tx>
                  <c:strRef>
                    <c:extLst>
                      <c:ext uri="{02D57815-91ED-43cb-92C2-25804820EDAC}">
                        <c15:formulaRef>
                          <c15:sqref>OZE_wykr!$A$71</c15:sqref>
                        </c15:formulaRef>
                      </c:ext>
                    </c:extLst>
                    <c:strCache>
                      <c:ptCount val="1"/>
                      <c:pt idx="0">
                        <c:v>Udział OZE w ciepłownictwie i chłodnictwie </c:v>
                      </c:pt>
                    </c:strCache>
                  </c:strRef>
                </c:tx>
                <c:spPr>
                  <a:ln w="25400" cap="rnd">
                    <a:solidFill>
                      <a:schemeClr val="accent6"/>
                    </a:solidFill>
                    <a:round/>
                  </a:ln>
                  <a:effectLst/>
                </c:spPr>
                <c:marker>
                  <c:symbol val="circle"/>
                  <c:size val="5"/>
                  <c:spPr>
                    <a:solidFill>
                      <a:schemeClr val="accent6"/>
                    </a:solidFill>
                    <a:ln w="9525">
                      <a:noFill/>
                    </a:ln>
                    <a:effectLst/>
                  </c:spPr>
                </c:marker>
                <c:cat>
                  <c:numRef>
                    <c:extLst>
                      <c:ex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c:ext uri="{02D57815-91ED-43cb-92C2-25804820EDAC}">
                        <c15:formulaRef>
                          <c15:sqref>OZE_wykr!$Q$71:$AA$71</c15:sqref>
                        </c15:formulaRef>
                      </c:ext>
                    </c:extLst>
                    <c:numCache>
                      <c:formatCode>0.0%</c:formatCode>
                      <c:ptCount val="11"/>
                      <c:pt idx="0" formatCode="0.00%">
                        <c:v>0.221</c:v>
                      </c:pt>
                      <c:pt idx="1">
                        <c:v>0.24097997372778543</c:v>
                      </c:pt>
                      <c:pt idx="2">
                        <c:v>0.24833867946549257</c:v>
                      </c:pt>
                      <c:pt idx="3">
                        <c:v>0.25819766849944897</c:v>
                      </c:pt>
                      <c:pt idx="4">
                        <c:v>0.25808104725366493</c:v>
                      </c:pt>
                      <c:pt idx="5">
                        <c:v>0.26797259924921318</c:v>
                      </c:pt>
                      <c:pt idx="6">
                        <c:v>0.28911375243381759</c:v>
                      </c:pt>
                      <c:pt idx="7">
                        <c:v>0.30542456475141017</c:v>
                      </c:pt>
                      <c:pt idx="8">
                        <c:v>0.32152253797026797</c:v>
                      </c:pt>
                      <c:pt idx="9">
                        <c:v>0.34151190540673315</c:v>
                      </c:pt>
                      <c:pt idx="10">
                        <c:v>0.36748034638977445</c:v>
                      </c:pt>
                    </c:numCache>
                  </c:numRef>
                </c:val>
                <c:smooth val="0"/>
                <c:extLst>
                  <c:ext xmlns:c16="http://schemas.microsoft.com/office/drawing/2014/chart" uri="{C3380CC4-5D6E-409C-BE32-E72D297353CC}">
                    <c16:uniqueId val="{00000005-C294-4302-B0A1-260A448300D9}"/>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OZE_wykr!$A$72</c15:sqref>
                        </c15:formulaRef>
                      </c:ext>
                    </c:extLst>
                    <c:strCache>
                      <c:ptCount val="1"/>
                      <c:pt idx="0">
                        <c:v>Udział OZE w transporcie </c:v>
                      </c:pt>
                    </c:strCache>
                  </c:strRef>
                </c:tx>
                <c:spPr>
                  <a:ln w="25400" cap="rnd">
                    <a:solidFill>
                      <a:srgbClr val="008000"/>
                    </a:solidFill>
                    <a:round/>
                  </a:ln>
                  <a:effectLst/>
                </c:spPr>
                <c:marker>
                  <c:symbol val="circle"/>
                  <c:size val="5"/>
                  <c:spPr>
                    <a:solidFill>
                      <a:srgbClr val="0080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OZE_wykr!$Q$72:$AA$72</c15:sqref>
                        </c15:formulaRef>
                      </c:ext>
                    </c:extLst>
                    <c:numCache>
                      <c:formatCode>0.0%</c:formatCode>
                      <c:ptCount val="11"/>
                      <c:pt idx="0">
                        <c:v>6.6000000000000003E-2</c:v>
                      </c:pt>
                      <c:pt idx="1">
                        <c:v>5.1281240755371077E-2</c:v>
                      </c:pt>
                      <c:pt idx="2">
                        <c:v>5.6964244829358586E-2</c:v>
                      </c:pt>
                      <c:pt idx="3">
                        <c:v>6.0210426174544508E-2</c:v>
                      </c:pt>
                      <c:pt idx="4">
                        <c:v>8.6737292180259981E-2</c:v>
                      </c:pt>
                      <c:pt idx="5">
                        <c:v>9.3660604849676934E-2</c:v>
                      </c:pt>
                      <c:pt idx="6">
                        <c:v>0.11212633478445913</c:v>
                      </c:pt>
                      <c:pt idx="7">
                        <c:v>0.12691653544404574</c:v>
                      </c:pt>
                      <c:pt idx="8">
                        <c:v>0.13696895324200581</c:v>
                      </c:pt>
                      <c:pt idx="9">
                        <c:v>0.14968885412862923</c:v>
                      </c:pt>
                      <c:pt idx="10">
                        <c:v>0.16571126490065191</c:v>
                      </c:pt>
                    </c:numCache>
                  </c:numRef>
                </c:val>
                <c:smooth val="0"/>
                <c:extLst xmlns:c15="http://schemas.microsoft.com/office/drawing/2012/chart">
                  <c:ext xmlns:c16="http://schemas.microsoft.com/office/drawing/2014/chart" uri="{C3380CC4-5D6E-409C-BE32-E72D297353CC}">
                    <c16:uniqueId val="{00000006-C294-4302-B0A1-260A448300D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OZE_wykr!$A$73</c15:sqref>
                        </c15:formulaRef>
                      </c:ext>
                    </c:extLst>
                    <c:strCache>
                      <c:ptCount val="1"/>
                      <c:pt idx="0">
                        <c:v>Udział energii ze źródeł odnawialnych w zużyciu końcowym energii brutto</c:v>
                      </c:pt>
                    </c:strCache>
                  </c:strRef>
                </c:tx>
                <c:spPr>
                  <a:ln w="28575" cap="rnd">
                    <a:solidFill>
                      <a:srgbClr val="006600"/>
                    </a:solidFill>
                    <a:round/>
                  </a:ln>
                  <a:effectLst/>
                </c:spPr>
                <c:marker>
                  <c:symbol val="circle"/>
                  <c:size val="5"/>
                  <c:spPr>
                    <a:solidFill>
                      <a:srgbClr val="0066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OZE_wykr!$Q$73:$AA$73</c15:sqref>
                        </c15:formulaRef>
                      </c:ext>
                    </c:extLst>
                    <c:numCache>
                      <c:formatCode>0.0%</c:formatCode>
                      <c:ptCount val="11"/>
                      <c:pt idx="0">
                        <c:v>0.161</c:v>
                      </c:pt>
                      <c:pt idx="1">
                        <c:v>0.16398918627583325</c:v>
                      </c:pt>
                      <c:pt idx="2">
                        <c:v>0.17638571342840342</c:v>
                      </c:pt>
                      <c:pt idx="3">
                        <c:v>0.19147107340541203</c:v>
                      </c:pt>
                      <c:pt idx="4">
                        <c:v>0.20621225937985904</c:v>
                      </c:pt>
                      <c:pt idx="5">
                        <c:v>0.21588716613993836</c:v>
                      </c:pt>
                      <c:pt idx="6">
                        <c:v>0.23409822471246133</c:v>
                      </c:pt>
                      <c:pt idx="7">
                        <c:v>0.25332462411301782</c:v>
                      </c:pt>
                      <c:pt idx="8">
                        <c:v>0.27510339474999285</c:v>
                      </c:pt>
                      <c:pt idx="9">
                        <c:v>0.29721132019058366</c:v>
                      </c:pt>
                      <c:pt idx="10">
                        <c:v>0.32094204841008223</c:v>
                      </c:pt>
                    </c:numCache>
                  </c:numRef>
                </c:val>
                <c:smooth val="0"/>
                <c:extLst xmlns:c15="http://schemas.microsoft.com/office/drawing/2012/chart">
                  <c:ext xmlns:c16="http://schemas.microsoft.com/office/drawing/2014/chart" uri="{C3380CC4-5D6E-409C-BE32-E72D297353CC}">
                    <c16:uniqueId val="{00000007-C294-4302-B0A1-260A448300D9}"/>
                  </c:ext>
                </c:extLst>
              </c15:ser>
            </c15:filteredLineSeries>
          </c:ext>
        </c:extLst>
      </c:lineChart>
      <c:catAx>
        <c:axId val="95176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70240"/>
        <c:crosses val="autoZero"/>
        <c:auto val="1"/>
        <c:lblAlgn val="ctr"/>
        <c:lblOffset val="100"/>
        <c:noMultiLvlLbl val="0"/>
      </c:catAx>
      <c:valAx>
        <c:axId val="951770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6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1"/>
          <c:tx>
            <c:strRef>
              <c:f>OZE_wykr!$A$71</c:f>
              <c:strCache>
                <c:ptCount val="1"/>
                <c:pt idx="0">
                  <c:v>Udział OZE w ciepłownictwie i chłodnictwie </c:v>
                </c:pt>
              </c:strCache>
            </c:strRef>
          </c:tx>
          <c:spPr>
            <a:ln w="25400" cap="rnd">
              <a:solidFill>
                <a:schemeClr val="accent6"/>
              </a:solidFill>
              <a:round/>
            </a:ln>
            <a:effectLst/>
          </c:spPr>
          <c:marker>
            <c:symbol val="circle"/>
            <c:size val="5"/>
            <c:spPr>
              <a:solidFill>
                <a:schemeClr val="accent6"/>
              </a:solidFill>
              <a:ln w="9525">
                <a:no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6F-44C4-93FD-380874C61C48}"/>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6F-44C4-93FD-380874C61C48}"/>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6F-44C4-93FD-380874C61C48}"/>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6F-44C4-93FD-380874C61C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OZE_wykr!$Q$69:$AA$69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extLst/>
            </c:numRef>
          </c:cat>
          <c:val>
            <c:numRef>
              <c:f>OZE_wykr!$Q$71:$AA$71</c:f>
              <c:numCache>
                <c:formatCode>0.0%</c:formatCode>
                <c:ptCount val="11"/>
                <c:pt idx="0" formatCode="0.00%">
                  <c:v>0.221</c:v>
                </c:pt>
                <c:pt idx="1">
                  <c:v>0.24097997372778543</c:v>
                </c:pt>
                <c:pt idx="2">
                  <c:v>0.24833867946549257</c:v>
                </c:pt>
                <c:pt idx="3">
                  <c:v>0.25819766849944897</c:v>
                </c:pt>
                <c:pt idx="4">
                  <c:v>0.25808104725366493</c:v>
                </c:pt>
                <c:pt idx="5">
                  <c:v>0.26797259924921318</c:v>
                </c:pt>
                <c:pt idx="6">
                  <c:v>0.28911375243381759</c:v>
                </c:pt>
                <c:pt idx="7">
                  <c:v>0.30542456475141017</c:v>
                </c:pt>
                <c:pt idx="8">
                  <c:v>0.32152253797026797</c:v>
                </c:pt>
                <c:pt idx="9">
                  <c:v>0.34151190540673315</c:v>
                </c:pt>
                <c:pt idx="10">
                  <c:v>0.36748034638977445</c:v>
                </c:pt>
              </c:numCache>
              <c:extLst/>
            </c:numRef>
          </c:val>
          <c:smooth val="0"/>
          <c:extLst>
            <c:ext xmlns:c16="http://schemas.microsoft.com/office/drawing/2014/chart" uri="{C3380CC4-5D6E-409C-BE32-E72D297353CC}">
              <c16:uniqueId val="{00000004-F16F-44C4-93FD-380874C61C48}"/>
            </c:ext>
          </c:extLst>
        </c:ser>
        <c:dLbls>
          <c:showLegendKey val="0"/>
          <c:showVal val="0"/>
          <c:showCatName val="0"/>
          <c:showSerName val="0"/>
          <c:showPercent val="0"/>
          <c:showBubbleSize val="0"/>
        </c:dLbls>
        <c:marker val="1"/>
        <c:smooth val="0"/>
        <c:axId val="951770632"/>
        <c:axId val="951776120"/>
        <c:extLst>
          <c:ext xmlns:c15="http://schemas.microsoft.com/office/drawing/2012/chart" uri="{02D57815-91ED-43cb-92C2-25804820EDAC}">
            <c15:filteredLineSeries>
              <c15:ser>
                <c:idx val="0"/>
                <c:order val="0"/>
                <c:tx>
                  <c:strRef>
                    <c:extLst>
                      <c:ext uri="{02D57815-91ED-43cb-92C2-25804820EDAC}">
                        <c15:formulaRef>
                          <c15:sqref>OZE_wykr!$A$70</c15:sqref>
                        </c15:formulaRef>
                      </c:ext>
                    </c:extLst>
                    <c:strCache>
                      <c:ptCount val="1"/>
                      <c:pt idx="0">
                        <c:v>Udział OZE w elektroenergetyce</c:v>
                      </c:pt>
                    </c:strCache>
                  </c:strRef>
                </c:tx>
                <c:spPr>
                  <a:ln w="25400" cap="rnd">
                    <a:solidFill>
                      <a:schemeClr val="accent6">
                        <a:lumMod val="60000"/>
                        <a:lumOff val="40000"/>
                      </a:schemeClr>
                    </a:solidFill>
                    <a:round/>
                  </a:ln>
                  <a:effectLst/>
                </c:spPr>
                <c:marker>
                  <c:symbol val="circle"/>
                  <c:size val="5"/>
                  <c:spPr>
                    <a:solidFill>
                      <a:srgbClr val="92D050"/>
                    </a:solidFill>
                    <a:ln w="9525">
                      <a:noFill/>
                    </a:ln>
                    <a:effectLst/>
                  </c:spPr>
                </c:marker>
                <c:cat>
                  <c:numRef>
                    <c:extLst>
                      <c:ex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c:ext uri="{02D57815-91ED-43cb-92C2-25804820EDAC}">
                        <c15:formulaRef>
                          <c15:sqref>OZE_wykr!$Q$70:$AA$70</c15:sqref>
                        </c15:formulaRef>
                      </c:ext>
                    </c:extLst>
                    <c:numCache>
                      <c:formatCode>0.0%</c:formatCode>
                      <c:ptCount val="11"/>
                      <c:pt idx="0">
                        <c:v>0.16200000000000001</c:v>
                      </c:pt>
                      <c:pt idx="1">
                        <c:v>0.169444802621012</c:v>
                      </c:pt>
                      <c:pt idx="2">
                        <c:v>0.21218723107953694</c:v>
                      </c:pt>
                      <c:pt idx="3">
                        <c:v>0.25154038826198755</c:v>
                      </c:pt>
                      <c:pt idx="4">
                        <c:v>0.28427522958779861</c:v>
                      </c:pt>
                      <c:pt idx="5">
                        <c:v>0.30761864333150152</c:v>
                      </c:pt>
                      <c:pt idx="6">
                        <c:v>0.33653535703279486</c:v>
                      </c:pt>
                      <c:pt idx="7">
                        <c:v>0.38220463039498803</c:v>
                      </c:pt>
                      <c:pt idx="8">
                        <c:v>0.43743517371444302</c:v>
                      </c:pt>
                      <c:pt idx="9">
                        <c:v>0.48769418800762943</c:v>
                      </c:pt>
                      <c:pt idx="10">
                        <c:v>0.51775089022500254</c:v>
                      </c:pt>
                    </c:numCache>
                  </c:numRef>
                </c:val>
                <c:smooth val="0"/>
                <c:extLst>
                  <c:ext xmlns:c16="http://schemas.microsoft.com/office/drawing/2014/chart" uri="{C3380CC4-5D6E-409C-BE32-E72D297353CC}">
                    <c16:uniqueId val="{00000005-F16F-44C4-93FD-380874C61C4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OZE_wykr!$A$72</c15:sqref>
                        </c15:formulaRef>
                      </c:ext>
                    </c:extLst>
                    <c:strCache>
                      <c:ptCount val="1"/>
                      <c:pt idx="0">
                        <c:v>Udział OZE w transporcie </c:v>
                      </c:pt>
                    </c:strCache>
                  </c:strRef>
                </c:tx>
                <c:spPr>
                  <a:ln w="25400" cap="rnd">
                    <a:solidFill>
                      <a:srgbClr val="008000"/>
                    </a:solidFill>
                    <a:round/>
                  </a:ln>
                  <a:effectLst/>
                </c:spPr>
                <c:marker>
                  <c:symbol val="circle"/>
                  <c:size val="5"/>
                  <c:spPr>
                    <a:solidFill>
                      <a:srgbClr val="0080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OZE_wykr!$Q$72:$AA$72</c15:sqref>
                        </c15:formulaRef>
                      </c:ext>
                    </c:extLst>
                    <c:numCache>
                      <c:formatCode>0.0%</c:formatCode>
                      <c:ptCount val="11"/>
                      <c:pt idx="0">
                        <c:v>6.6000000000000003E-2</c:v>
                      </c:pt>
                      <c:pt idx="1">
                        <c:v>5.1281240755371077E-2</c:v>
                      </c:pt>
                      <c:pt idx="2">
                        <c:v>5.6964244829358586E-2</c:v>
                      </c:pt>
                      <c:pt idx="3">
                        <c:v>6.0210426174544508E-2</c:v>
                      </c:pt>
                      <c:pt idx="4">
                        <c:v>8.6737292180259981E-2</c:v>
                      </c:pt>
                      <c:pt idx="5">
                        <c:v>9.3660604849676934E-2</c:v>
                      </c:pt>
                      <c:pt idx="6">
                        <c:v>0.11212633478445913</c:v>
                      </c:pt>
                      <c:pt idx="7">
                        <c:v>0.12691653544404574</c:v>
                      </c:pt>
                      <c:pt idx="8">
                        <c:v>0.13696895324200581</c:v>
                      </c:pt>
                      <c:pt idx="9">
                        <c:v>0.14968885412862923</c:v>
                      </c:pt>
                      <c:pt idx="10">
                        <c:v>0.16571126490065191</c:v>
                      </c:pt>
                    </c:numCache>
                  </c:numRef>
                </c:val>
                <c:smooth val="0"/>
                <c:extLst xmlns:c15="http://schemas.microsoft.com/office/drawing/2012/chart">
                  <c:ext xmlns:c16="http://schemas.microsoft.com/office/drawing/2014/chart" uri="{C3380CC4-5D6E-409C-BE32-E72D297353CC}">
                    <c16:uniqueId val="{00000006-F16F-44C4-93FD-380874C61C4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OZE_wykr!$A$73</c15:sqref>
                        </c15:formulaRef>
                      </c:ext>
                    </c:extLst>
                    <c:strCache>
                      <c:ptCount val="1"/>
                      <c:pt idx="0">
                        <c:v>Udział energii ze źródeł odnawialnych w zużyciu końcowym energii brutto</c:v>
                      </c:pt>
                    </c:strCache>
                  </c:strRef>
                </c:tx>
                <c:spPr>
                  <a:ln w="28575" cap="rnd">
                    <a:solidFill>
                      <a:srgbClr val="006600"/>
                    </a:solidFill>
                    <a:round/>
                  </a:ln>
                  <a:effectLst/>
                </c:spPr>
                <c:marker>
                  <c:symbol val="circle"/>
                  <c:size val="5"/>
                  <c:spPr>
                    <a:solidFill>
                      <a:srgbClr val="0066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OZE_wykr!$Q$73:$AA$73</c15:sqref>
                        </c15:formulaRef>
                      </c:ext>
                    </c:extLst>
                    <c:numCache>
                      <c:formatCode>0.0%</c:formatCode>
                      <c:ptCount val="11"/>
                      <c:pt idx="0">
                        <c:v>0.161</c:v>
                      </c:pt>
                      <c:pt idx="1">
                        <c:v>0.16398918627583325</c:v>
                      </c:pt>
                      <c:pt idx="2">
                        <c:v>0.17638571342840342</c:v>
                      </c:pt>
                      <c:pt idx="3">
                        <c:v>0.19147107340541203</c:v>
                      </c:pt>
                      <c:pt idx="4">
                        <c:v>0.20621225937985904</c:v>
                      </c:pt>
                      <c:pt idx="5">
                        <c:v>0.21588716613993836</c:v>
                      </c:pt>
                      <c:pt idx="6">
                        <c:v>0.23409822471246133</c:v>
                      </c:pt>
                      <c:pt idx="7">
                        <c:v>0.25332462411301782</c:v>
                      </c:pt>
                      <c:pt idx="8">
                        <c:v>0.27510339474999285</c:v>
                      </c:pt>
                      <c:pt idx="9">
                        <c:v>0.29721132019058366</c:v>
                      </c:pt>
                      <c:pt idx="10">
                        <c:v>0.32094204841008223</c:v>
                      </c:pt>
                    </c:numCache>
                  </c:numRef>
                </c:val>
                <c:smooth val="0"/>
                <c:extLst xmlns:c15="http://schemas.microsoft.com/office/drawing/2012/chart">
                  <c:ext xmlns:c16="http://schemas.microsoft.com/office/drawing/2014/chart" uri="{C3380CC4-5D6E-409C-BE32-E72D297353CC}">
                    <c16:uniqueId val="{00000007-F16F-44C4-93FD-380874C61C48}"/>
                  </c:ext>
                </c:extLst>
              </c15:ser>
            </c15:filteredLineSeries>
          </c:ext>
        </c:extLst>
      </c:lineChart>
      <c:catAx>
        <c:axId val="951770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6120"/>
        <c:crosses val="autoZero"/>
        <c:auto val="1"/>
        <c:lblAlgn val="ctr"/>
        <c:lblOffset val="100"/>
        <c:noMultiLvlLbl val="0"/>
      </c:catAx>
      <c:valAx>
        <c:axId val="951776120"/>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0632"/>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En.el_WAM!$H$100</c:f>
              <c:strCache>
                <c:ptCount val="1"/>
                <c:pt idx="0">
                  <c:v>węgiel</c:v>
                </c:pt>
              </c:strCache>
            </c:strRef>
          </c:tx>
          <c:spPr>
            <a:solidFill>
              <a:sysClr val="windowText" lastClr="000000">
                <a:alpha val="70000"/>
              </a:sysClr>
            </a:solidFill>
            <a:ln>
              <a:solidFill>
                <a:srgbClr val="4472C4">
                  <a:alpha val="70000"/>
                </a:srgbClr>
              </a:solid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En.el_WAM!$I$100:$M$100</c:f>
              <c:numCache>
                <c:formatCode>#\ ##0.0</c:formatCode>
                <c:ptCount val="5"/>
                <c:pt idx="0">
                  <c:v>225.85360999999997</c:v>
                </c:pt>
                <c:pt idx="1">
                  <c:v>160.73678756052286</c:v>
                </c:pt>
                <c:pt idx="2">
                  <c:v>97.119168156413949</c:v>
                </c:pt>
                <c:pt idx="3">
                  <c:v>49.11018859017522</c:v>
                </c:pt>
                <c:pt idx="4">
                  <c:v>8.1299836256550545E-2</c:v>
                </c:pt>
              </c:numCache>
            </c:numRef>
          </c:val>
          <c:extLst>
            <c:ext xmlns:c16="http://schemas.microsoft.com/office/drawing/2014/chart" uri="{C3380CC4-5D6E-409C-BE32-E72D297353CC}">
              <c16:uniqueId val="{00000000-EA08-42DE-B9CA-33EA0D4B446A}"/>
            </c:ext>
          </c:extLst>
        </c:ser>
        <c:ser>
          <c:idx val="1"/>
          <c:order val="1"/>
          <c:tx>
            <c:strRef>
              <c:f>En.el_WAM!$H$102</c:f>
              <c:strCache>
                <c:ptCount val="1"/>
                <c:pt idx="0">
                  <c:v>gaz ziemny</c:v>
                </c:pt>
              </c:strCache>
            </c:strRef>
          </c:tx>
          <c:spPr>
            <a:solidFill>
              <a:srgbClr val="ED7D31">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En.el_WAM!$I$102:$M$102</c:f>
              <c:numCache>
                <c:formatCode>#\ ##0.0</c:formatCode>
                <c:ptCount val="5"/>
                <c:pt idx="0">
                  <c:v>29.843008999999999</c:v>
                </c:pt>
                <c:pt idx="1">
                  <c:v>73.340867834733316</c:v>
                </c:pt>
                <c:pt idx="2">
                  <c:v>95.059212664614023</c:v>
                </c:pt>
                <c:pt idx="3">
                  <c:v>77.035646688781938</c:v>
                </c:pt>
                <c:pt idx="4">
                  <c:v>57.503470154700452</c:v>
                </c:pt>
              </c:numCache>
            </c:numRef>
          </c:val>
          <c:extLst>
            <c:ext xmlns:c16="http://schemas.microsoft.com/office/drawing/2014/chart" uri="{C3380CC4-5D6E-409C-BE32-E72D297353CC}">
              <c16:uniqueId val="{00000001-EA08-42DE-B9CA-33EA0D4B446A}"/>
            </c:ext>
          </c:extLst>
        </c:ser>
        <c:ser>
          <c:idx val="2"/>
          <c:order val="2"/>
          <c:tx>
            <c:strRef>
              <c:f>En.el_WAM!$H$101</c:f>
              <c:strCache>
                <c:ptCount val="1"/>
                <c:pt idx="0">
                  <c:v>olej</c:v>
                </c:pt>
              </c:strCache>
            </c:strRef>
          </c:tx>
          <c:spPr>
            <a:solidFill>
              <a:srgbClr val="FFC0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En.el_WAM!$I$101:$M$101</c:f>
              <c:numCache>
                <c:formatCode>#\ ##0.0</c:formatCode>
                <c:ptCount val="5"/>
                <c:pt idx="0">
                  <c:v>3.3362280000000002</c:v>
                </c:pt>
                <c:pt idx="1">
                  <c:v>3.2004160247307745</c:v>
                </c:pt>
                <c:pt idx="2">
                  <c:v>2.5799118961466574</c:v>
                </c:pt>
                <c:pt idx="3">
                  <c:v>3.4067659158621537</c:v>
                </c:pt>
                <c:pt idx="4">
                  <c:v>2.1972891733054505</c:v>
                </c:pt>
              </c:numCache>
            </c:numRef>
          </c:val>
          <c:extLst>
            <c:ext xmlns:c16="http://schemas.microsoft.com/office/drawing/2014/chart" uri="{C3380CC4-5D6E-409C-BE32-E72D297353CC}">
              <c16:uniqueId val="{00000002-EA08-42DE-B9CA-33EA0D4B446A}"/>
            </c:ext>
          </c:extLst>
        </c:ser>
        <c:ser>
          <c:idx val="3"/>
          <c:order val="3"/>
          <c:tx>
            <c:strRef>
              <c:f>En.el_WAM!$H$104</c:f>
              <c:strCache>
                <c:ptCount val="1"/>
                <c:pt idx="0">
                  <c:v>biomasa</c:v>
                </c:pt>
              </c:strCache>
            </c:strRef>
          </c:tx>
          <c:spPr>
            <a:solidFill>
              <a:srgbClr val="0066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En.el_WAM!$I$104:$M$104</c:f>
              <c:numCache>
                <c:formatCode>#\ ##0.0</c:formatCode>
                <c:ptCount val="5"/>
                <c:pt idx="0">
                  <c:v>19.86775957489845</c:v>
                </c:pt>
                <c:pt idx="1">
                  <c:v>20.905498504315506</c:v>
                </c:pt>
                <c:pt idx="2">
                  <c:v>24.384494001058048</c:v>
                </c:pt>
                <c:pt idx="3">
                  <c:v>27.148582195000067</c:v>
                </c:pt>
                <c:pt idx="4">
                  <c:v>18.893296961757532</c:v>
                </c:pt>
              </c:numCache>
            </c:numRef>
          </c:val>
          <c:extLst>
            <c:ext xmlns:c16="http://schemas.microsoft.com/office/drawing/2014/chart" uri="{C3380CC4-5D6E-409C-BE32-E72D297353CC}">
              <c16:uniqueId val="{00000003-EA08-42DE-B9CA-33EA0D4B446A}"/>
            </c:ext>
          </c:extLst>
        </c:ser>
        <c:ser>
          <c:idx val="13"/>
          <c:order val="4"/>
          <c:tx>
            <c:strRef>
              <c:f>En.el_WAM!$H$103</c:f>
              <c:strCache>
                <c:ptCount val="1"/>
                <c:pt idx="0">
                  <c:v>gazy odnawialne</c:v>
                </c:pt>
              </c:strCache>
            </c:strRef>
          </c:tx>
          <c:spPr>
            <a:solidFill>
              <a:srgbClr val="00B050">
                <a:alpha val="70000"/>
              </a:srgbClr>
            </a:solidFill>
            <a:ln w="25400">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En.el_WAM!$I$103:$M$103</c:f>
              <c:numCache>
                <c:formatCode>#\ ##0.0</c:formatCode>
                <c:ptCount val="5"/>
                <c:pt idx="0">
                  <c:v>0.83507327999999992</c:v>
                </c:pt>
                <c:pt idx="1">
                  <c:v>2.5234161119999996</c:v>
                </c:pt>
                <c:pt idx="2">
                  <c:v>4.8518214840000011</c:v>
                </c:pt>
                <c:pt idx="3">
                  <c:v>10.878299471999998</c:v>
                </c:pt>
                <c:pt idx="4">
                  <c:v>46.899607456000005</c:v>
                </c:pt>
              </c:numCache>
            </c:numRef>
          </c:val>
          <c:extLst>
            <c:ext xmlns:c16="http://schemas.microsoft.com/office/drawing/2014/chart" uri="{C3380CC4-5D6E-409C-BE32-E72D297353CC}">
              <c16:uniqueId val="{00000004-EA08-42DE-B9CA-33EA0D4B446A}"/>
            </c:ext>
          </c:extLst>
        </c:ser>
        <c:ser>
          <c:idx val="5"/>
          <c:order val="5"/>
          <c:tx>
            <c:strRef>
              <c:f>En.el_WAM!$H$105</c:f>
              <c:strCache>
                <c:ptCount val="1"/>
                <c:pt idx="0">
                  <c:v>geotermia</c:v>
                </c:pt>
              </c:strCache>
            </c:strRef>
          </c:tx>
          <c:spPr>
            <a:solidFill>
              <a:srgbClr val="70AD47">
                <a:lumMod val="40000"/>
                <a:lumOff val="600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En.el_WAM!$I$105:$M$105</c:f>
              <c:numCache>
                <c:formatCode>#\ ##0.0</c:formatCode>
                <c:ptCount val="5"/>
                <c:pt idx="0">
                  <c:v>0.71239823999999996</c:v>
                </c:pt>
                <c:pt idx="1">
                  <c:v>2.08831392</c:v>
                </c:pt>
                <c:pt idx="2">
                  <c:v>2.2825756799999999</c:v>
                </c:pt>
                <c:pt idx="3">
                  <c:v>2.9817288</c:v>
                </c:pt>
                <c:pt idx="4">
                  <c:v>4.0085409600000004</c:v>
                </c:pt>
              </c:numCache>
            </c:numRef>
          </c:val>
          <c:extLst>
            <c:ext xmlns:c16="http://schemas.microsoft.com/office/drawing/2014/chart" uri="{C3380CC4-5D6E-409C-BE32-E72D297353CC}">
              <c16:uniqueId val="{00000005-EA08-42DE-B9CA-33EA0D4B446A}"/>
            </c:ext>
          </c:extLst>
        </c:ser>
        <c:ser>
          <c:idx val="6"/>
          <c:order val="6"/>
          <c:tx>
            <c:strRef>
              <c:f>En.el_WAM!$H$106</c:f>
              <c:strCache>
                <c:ptCount val="1"/>
                <c:pt idx="0">
                  <c:v>kolektory słoneczne</c:v>
                </c:pt>
              </c:strCache>
            </c:strRef>
          </c:tx>
          <c:spPr>
            <a:solidFill>
              <a:srgbClr val="70AD47">
                <a:lumMod val="40000"/>
                <a:lumOff val="600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En.el_WAM!$I$106:$M$106</c:f>
              <c:numCache>
                <c:formatCode>#\ ##0.0</c:formatCode>
                <c:ptCount val="5"/>
                <c:pt idx="0">
                  <c:v>0</c:v>
                </c:pt>
                <c:pt idx="1">
                  <c:v>0</c:v>
                </c:pt>
                <c:pt idx="2">
                  <c:v>0.19457712000000002</c:v>
                </c:pt>
                <c:pt idx="3">
                  <c:v>1.24314912</c:v>
                </c:pt>
                <c:pt idx="4">
                  <c:v>2.3667768000000002</c:v>
                </c:pt>
              </c:numCache>
            </c:numRef>
          </c:val>
          <c:extLst>
            <c:ext xmlns:c16="http://schemas.microsoft.com/office/drawing/2014/chart" uri="{C3380CC4-5D6E-409C-BE32-E72D297353CC}">
              <c16:uniqueId val="{00000006-EA08-42DE-B9CA-33EA0D4B446A}"/>
            </c:ext>
          </c:extLst>
        </c:ser>
        <c:ser>
          <c:idx val="8"/>
          <c:order val="7"/>
          <c:tx>
            <c:strRef>
              <c:f>En.el_WAM!$H$108</c:f>
              <c:strCache>
                <c:ptCount val="1"/>
                <c:pt idx="0">
                  <c:v>kotły elektrodowe</c:v>
                </c:pt>
              </c:strCache>
            </c:strRef>
          </c:tx>
          <c:spPr>
            <a:solidFill>
              <a:srgbClr val="5B9BD5">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En.el_WAM!$I$108:$M$108</c:f>
              <c:numCache>
                <c:formatCode>#\ ##0.0</c:formatCode>
                <c:ptCount val="5"/>
                <c:pt idx="0">
                  <c:v>0</c:v>
                </c:pt>
                <c:pt idx="1">
                  <c:v>1.0889380800000001</c:v>
                </c:pt>
                <c:pt idx="2">
                  <c:v>2.1633695999999998</c:v>
                </c:pt>
                <c:pt idx="3">
                  <c:v>9.3236183999999991</c:v>
                </c:pt>
                <c:pt idx="4">
                  <c:v>14.5743624</c:v>
                </c:pt>
              </c:numCache>
            </c:numRef>
          </c:val>
          <c:extLst>
            <c:ext xmlns:c16="http://schemas.microsoft.com/office/drawing/2014/chart" uri="{C3380CC4-5D6E-409C-BE32-E72D297353CC}">
              <c16:uniqueId val="{00000007-EA08-42DE-B9CA-33EA0D4B446A}"/>
            </c:ext>
          </c:extLst>
        </c:ser>
        <c:ser>
          <c:idx val="9"/>
          <c:order val="8"/>
          <c:tx>
            <c:strRef>
              <c:f>En.el_WAM!$H$109</c:f>
              <c:strCache>
                <c:ptCount val="1"/>
                <c:pt idx="0">
                  <c:v>pompy ciepła</c:v>
                </c:pt>
              </c:strCache>
            </c:strRef>
          </c:tx>
          <c:spPr>
            <a:solidFill>
              <a:srgbClr val="0070C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En.el_WAM!$I$109:$M$109</c:f>
              <c:numCache>
                <c:formatCode>#\ ##0.0</c:formatCode>
                <c:ptCount val="5"/>
                <c:pt idx="0">
                  <c:v>0</c:v>
                </c:pt>
                <c:pt idx="1">
                  <c:v>0.40839119999999995</c:v>
                </c:pt>
                <c:pt idx="2">
                  <c:v>4.3267391999999996</c:v>
                </c:pt>
                <c:pt idx="3">
                  <c:v>18.6756192</c:v>
                </c:pt>
                <c:pt idx="4">
                  <c:v>41.302699199999999</c:v>
                </c:pt>
              </c:numCache>
            </c:numRef>
          </c:val>
          <c:extLst>
            <c:ext xmlns:c16="http://schemas.microsoft.com/office/drawing/2014/chart" uri="{C3380CC4-5D6E-409C-BE32-E72D297353CC}">
              <c16:uniqueId val="{00000008-EA08-42DE-B9CA-33EA0D4B446A}"/>
            </c:ext>
          </c:extLst>
        </c:ser>
        <c:ser>
          <c:idx val="7"/>
          <c:order val="10"/>
          <c:tx>
            <c:strRef>
              <c:f>En.el_WAM!$H$107</c:f>
              <c:strCache>
                <c:ptCount val="1"/>
                <c:pt idx="0">
                  <c:v>odpady</c:v>
                </c:pt>
              </c:strCache>
            </c:strRef>
          </c:tx>
          <c:spPr>
            <a:solidFill>
              <a:srgbClr val="A5A5A5">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En.el_WAM!$I$107:$M$107</c:f>
              <c:numCache>
                <c:formatCode>#\ ##0.0</c:formatCode>
                <c:ptCount val="5"/>
                <c:pt idx="0">
                  <c:v>4.8525241911732291</c:v>
                </c:pt>
                <c:pt idx="1">
                  <c:v>6.5177092356975539</c:v>
                </c:pt>
                <c:pt idx="2">
                  <c:v>8.1904062002440856</c:v>
                </c:pt>
                <c:pt idx="3">
                  <c:v>8.5101350443285178</c:v>
                </c:pt>
                <c:pt idx="4">
                  <c:v>6.9274248191999996</c:v>
                </c:pt>
              </c:numCache>
            </c:numRef>
          </c:val>
          <c:extLst>
            <c:ext xmlns:c16="http://schemas.microsoft.com/office/drawing/2014/chart" uri="{C3380CC4-5D6E-409C-BE32-E72D297353CC}">
              <c16:uniqueId val="{0000000A-EA08-42DE-B9CA-33EA0D4B446A}"/>
            </c:ext>
          </c:extLst>
        </c:ser>
        <c:dLbls>
          <c:showLegendKey val="0"/>
          <c:showVal val="0"/>
          <c:showCatName val="0"/>
          <c:showSerName val="0"/>
          <c:showPercent val="0"/>
          <c:showBubbleSize val="0"/>
        </c:dLbls>
        <c:gapWidth val="150"/>
        <c:overlap val="100"/>
        <c:axId val="1099436384"/>
        <c:axId val="1099441664"/>
        <c:extLst>
          <c:ext xmlns:c15="http://schemas.microsoft.com/office/drawing/2012/chart" uri="{02D57815-91ED-43cb-92C2-25804820EDAC}">
            <c15:filteredBarSeries>
              <c15:ser>
                <c:idx val="10"/>
                <c:order val="9"/>
                <c:tx>
                  <c:strRef>
                    <c:extLst>
                      <c:ext uri="{02D57815-91ED-43cb-92C2-25804820EDAC}">
                        <c15:formulaRef>
                          <c15:sqref>En.el_WAM!$H$110</c15:sqref>
                        </c15:formulaRef>
                      </c:ext>
                    </c:extLst>
                    <c:strCache>
                      <c:ptCount val="1"/>
                      <c:pt idx="0">
                        <c:v>ciepło odpadowe</c:v>
                      </c:pt>
                    </c:strCache>
                  </c:strRef>
                </c:tx>
                <c:spPr>
                  <a:solidFill>
                    <a:schemeClr val="accent2">
                      <a:lumMod val="75000"/>
                    </a:schemeClr>
                  </a:solidFill>
                  <a:ln>
                    <a:noFill/>
                  </a:ln>
                  <a:effectLst/>
                </c:spPr>
                <c:invertIfNegative val="0"/>
                <c:cat>
                  <c:numRef>
                    <c:extLst>
                      <c:ext uri="{02D57815-91ED-43cb-92C2-25804820EDAC}">
                        <c15:formulaRef>
                          <c15:sqref>En.el_WAM!$I$99:$M$99</c15:sqref>
                        </c15:formulaRef>
                      </c:ext>
                    </c:extLst>
                    <c:numCache>
                      <c:formatCode>0</c:formatCode>
                      <c:ptCount val="5"/>
                      <c:pt idx="0">
                        <c:v>2020</c:v>
                      </c:pt>
                      <c:pt idx="1">
                        <c:v>2025</c:v>
                      </c:pt>
                      <c:pt idx="2">
                        <c:v>2030</c:v>
                      </c:pt>
                      <c:pt idx="3">
                        <c:v>2035</c:v>
                      </c:pt>
                      <c:pt idx="4">
                        <c:v>2040</c:v>
                      </c:pt>
                    </c:numCache>
                  </c:numRef>
                </c:cat>
                <c:val>
                  <c:numRef>
                    <c:extLst>
                      <c:ext uri="{02D57815-91ED-43cb-92C2-25804820EDAC}">
                        <c15:formulaRef>
                          <c15:sqref>En.el_WAM!$I$110:$M$110</c15:sqref>
                        </c15:formulaRef>
                      </c:ext>
                    </c:extLst>
                    <c:numCache>
                      <c:formatCode>#\ ##0.0</c:formatCode>
                      <c:ptCount val="5"/>
                      <c:pt idx="0">
                        <c:v>0.64100000000000001</c:v>
                      </c:pt>
                      <c:pt idx="1">
                        <c:v>0</c:v>
                      </c:pt>
                      <c:pt idx="2">
                        <c:v>0</c:v>
                      </c:pt>
                      <c:pt idx="3">
                        <c:v>0</c:v>
                      </c:pt>
                      <c:pt idx="4">
                        <c:v>0</c:v>
                      </c:pt>
                    </c:numCache>
                  </c:numRef>
                </c:val>
                <c:extLst>
                  <c:ext xmlns:c16="http://schemas.microsoft.com/office/drawing/2014/chart" uri="{C3380CC4-5D6E-409C-BE32-E72D297353CC}">
                    <c16:uniqueId val="{00000009-EA08-42DE-B9CA-33EA0D4B446A}"/>
                  </c:ext>
                </c:extLst>
              </c15:ser>
            </c15:filteredBarSeries>
          </c:ext>
        </c:extLst>
      </c:barChart>
      <c:lineChart>
        <c:grouping val="standard"/>
        <c:varyColors val="0"/>
        <c:ser>
          <c:idx val="11"/>
          <c:order val="11"/>
          <c:tx>
            <c:strRef>
              <c:f>En.el_WAM!$H$111</c:f>
              <c:strCache>
                <c:ptCount val="1"/>
                <c:pt idx="0">
                  <c:v>suma</c:v>
                </c:pt>
              </c:strCache>
            </c:strRef>
          </c:tx>
          <c:spPr>
            <a:ln w="28575" cap="rnd">
              <a:no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En.el_WAM!$I$99:$M$99</c:f>
              <c:numCache>
                <c:formatCode>0</c:formatCode>
                <c:ptCount val="5"/>
                <c:pt idx="0">
                  <c:v>2020</c:v>
                </c:pt>
                <c:pt idx="1">
                  <c:v>2025</c:v>
                </c:pt>
                <c:pt idx="2">
                  <c:v>2030</c:v>
                </c:pt>
                <c:pt idx="3">
                  <c:v>2035</c:v>
                </c:pt>
                <c:pt idx="4">
                  <c:v>2040</c:v>
                </c:pt>
              </c:numCache>
            </c:numRef>
          </c:cat>
          <c:val>
            <c:numRef>
              <c:f>En.el_WAM!$I$111:$M$111</c:f>
              <c:numCache>
                <c:formatCode>#\ ##0.0</c:formatCode>
                <c:ptCount val="5"/>
                <c:pt idx="0">
                  <c:v>285.94160228607177</c:v>
                </c:pt>
                <c:pt idx="1">
                  <c:v>270.81033847200001</c:v>
                </c:pt>
                <c:pt idx="2">
                  <c:v>241.15227600247678</c:v>
                </c:pt>
                <c:pt idx="3">
                  <c:v>208.31373342614791</c:v>
                </c:pt>
                <c:pt idx="4">
                  <c:v>194.75476776122002</c:v>
                </c:pt>
              </c:numCache>
            </c:numRef>
          </c:val>
          <c:smooth val="0"/>
          <c:extLst>
            <c:ext xmlns:c16="http://schemas.microsoft.com/office/drawing/2014/chart" uri="{C3380CC4-5D6E-409C-BE32-E72D297353CC}">
              <c16:uniqueId val="{0000000B-EA08-42DE-B9CA-33EA0D4B446A}"/>
            </c:ext>
          </c:extLst>
        </c:ser>
        <c:dLbls>
          <c:showLegendKey val="0"/>
          <c:showVal val="0"/>
          <c:showCatName val="0"/>
          <c:showSerName val="0"/>
          <c:showPercent val="0"/>
          <c:showBubbleSize val="0"/>
        </c:dLbls>
        <c:marker val="1"/>
        <c:smooth val="0"/>
        <c:axId val="1099436384"/>
        <c:axId val="1099441664"/>
      </c:lineChart>
      <c:catAx>
        <c:axId val="10994363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9441664"/>
        <c:crosses val="autoZero"/>
        <c:auto val="1"/>
        <c:lblAlgn val="ctr"/>
        <c:lblOffset val="100"/>
        <c:noMultiLvlLbl val="0"/>
      </c:catAx>
      <c:valAx>
        <c:axId val="109944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9436384"/>
        <c:crosses val="autoZero"/>
        <c:crossBetween val="between"/>
      </c:valAx>
      <c:spPr>
        <a:noFill/>
        <a:ln>
          <a:noFill/>
        </a:ln>
        <a:effectLst/>
      </c:spPr>
    </c:plotArea>
    <c:legend>
      <c:legendPos val="r"/>
      <c:legendEntry>
        <c:idx val="1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07258427802845"/>
          <c:y val="0.1205303376118302"/>
          <c:w val="0.62090554802106679"/>
          <c:h val="0.80340655004603445"/>
        </c:manualLayout>
      </c:layout>
      <c:barChart>
        <c:barDir val="col"/>
        <c:grouping val="stacked"/>
        <c:varyColors val="0"/>
        <c:ser>
          <c:idx val="3"/>
          <c:order val="0"/>
          <c:tx>
            <c:strRef>
              <c:f>En.el_WAM!$H$127</c:f>
              <c:strCache>
                <c:ptCount val="1"/>
                <c:pt idx="0">
                  <c:v>węgiel kamienny</c:v>
                </c:pt>
              </c:strCache>
            </c:strRef>
          </c:tx>
          <c:spPr>
            <a:solidFill>
              <a:sysClr val="windowText" lastClr="000000">
                <a:alpha val="70000"/>
              </a:sys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En.el_WAM!$I$127:$M$127</c:f>
              <c:numCache>
                <c:formatCode>#,##0</c:formatCode>
                <c:ptCount val="5"/>
                <c:pt idx="0" formatCode="0">
                  <c:v>157.38504570571641</c:v>
                </c:pt>
                <c:pt idx="1">
                  <c:v>109.35263885161174</c:v>
                </c:pt>
                <c:pt idx="2">
                  <c:v>53.570865723997748</c:v>
                </c:pt>
                <c:pt idx="3">
                  <c:v>17.887175320939924</c:v>
                </c:pt>
                <c:pt idx="4">
                  <c:v>0.30269574679382633</c:v>
                </c:pt>
              </c:numCache>
            </c:numRef>
          </c:val>
          <c:extLst>
            <c:ext xmlns:c16="http://schemas.microsoft.com/office/drawing/2014/chart" uri="{C3380CC4-5D6E-409C-BE32-E72D297353CC}">
              <c16:uniqueId val="{00000000-8900-4C56-B482-5F77C44F4423}"/>
            </c:ext>
          </c:extLst>
        </c:ser>
        <c:ser>
          <c:idx val="1"/>
          <c:order val="1"/>
          <c:tx>
            <c:strRef>
              <c:f>En.el_WAM!$H$125</c:f>
              <c:strCache>
                <c:ptCount val="1"/>
                <c:pt idx="0">
                  <c:v>gaz ziemny</c:v>
                </c:pt>
              </c:strCache>
            </c:strRef>
          </c:tx>
          <c:spPr>
            <a:solidFill>
              <a:srgbClr val="ED7D31">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En.el_WAM!$I$125:$M$125</c:f>
              <c:numCache>
                <c:formatCode>#,##0</c:formatCode>
                <c:ptCount val="5"/>
                <c:pt idx="0" formatCode="0">
                  <c:v>180.97282613386267</c:v>
                </c:pt>
                <c:pt idx="1">
                  <c:v>184.26399968335224</c:v>
                </c:pt>
                <c:pt idx="2">
                  <c:v>144.95999608509302</c:v>
                </c:pt>
                <c:pt idx="3">
                  <c:v>76.690245520958982</c:v>
                </c:pt>
                <c:pt idx="4">
                  <c:v>51.282522577726645</c:v>
                </c:pt>
              </c:numCache>
            </c:numRef>
          </c:val>
          <c:extLst>
            <c:ext xmlns:c16="http://schemas.microsoft.com/office/drawing/2014/chart" uri="{C3380CC4-5D6E-409C-BE32-E72D297353CC}">
              <c16:uniqueId val="{00000001-8900-4C56-B482-5F77C44F4423}"/>
            </c:ext>
          </c:extLst>
        </c:ser>
        <c:ser>
          <c:idx val="2"/>
          <c:order val="2"/>
          <c:tx>
            <c:strRef>
              <c:f>En.el_WAM!$H$126</c:f>
              <c:strCache>
                <c:ptCount val="1"/>
                <c:pt idx="0">
                  <c:v>LPG/olej opałowy lekki</c:v>
                </c:pt>
              </c:strCache>
            </c:strRef>
          </c:tx>
          <c:spPr>
            <a:solidFill>
              <a:srgbClr val="FFC0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En.el_WAM!$I$126:$M$126</c:f>
              <c:numCache>
                <c:formatCode>#,##0</c:formatCode>
                <c:ptCount val="5"/>
                <c:pt idx="0" formatCode="0">
                  <c:v>21.850214640857789</c:v>
                </c:pt>
                <c:pt idx="1">
                  <c:v>17.633815276306379</c:v>
                </c:pt>
                <c:pt idx="2">
                  <c:v>13.173332465922115</c:v>
                </c:pt>
                <c:pt idx="3">
                  <c:v>9.6163654387481898</c:v>
                </c:pt>
                <c:pt idx="4">
                  <c:v>7.2034608514367875</c:v>
                </c:pt>
              </c:numCache>
            </c:numRef>
          </c:val>
          <c:extLst>
            <c:ext xmlns:c16="http://schemas.microsoft.com/office/drawing/2014/chart" uri="{C3380CC4-5D6E-409C-BE32-E72D297353CC}">
              <c16:uniqueId val="{00000002-8900-4C56-B482-5F77C44F4423}"/>
            </c:ext>
          </c:extLst>
        </c:ser>
        <c:ser>
          <c:idx val="4"/>
          <c:order val="3"/>
          <c:tx>
            <c:strRef>
              <c:f>En.el_WAM!$H$128</c:f>
              <c:strCache>
                <c:ptCount val="1"/>
                <c:pt idx="0">
                  <c:v>biomasa</c:v>
                </c:pt>
              </c:strCache>
            </c:strRef>
          </c:tx>
          <c:spPr>
            <a:solidFill>
              <a:srgbClr val="0066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En.el_WAM!$I$128:$M$128</c:f>
              <c:numCache>
                <c:formatCode>0</c:formatCode>
                <c:ptCount val="5"/>
                <c:pt idx="0">
                  <c:v>134.20390576207149</c:v>
                </c:pt>
                <c:pt idx="1">
                  <c:v>115.29692935936407</c:v>
                </c:pt>
                <c:pt idx="2">
                  <c:v>120.86701301887845</c:v>
                </c:pt>
                <c:pt idx="3">
                  <c:v>106.34511277204385</c:v>
                </c:pt>
                <c:pt idx="4">
                  <c:v>93.326905318847949</c:v>
                </c:pt>
              </c:numCache>
            </c:numRef>
          </c:val>
          <c:extLst>
            <c:ext xmlns:c16="http://schemas.microsoft.com/office/drawing/2014/chart" uri="{C3380CC4-5D6E-409C-BE32-E72D297353CC}">
              <c16:uniqueId val="{00000003-8900-4C56-B482-5F77C44F4423}"/>
            </c:ext>
          </c:extLst>
        </c:ser>
        <c:ser>
          <c:idx val="6"/>
          <c:order val="4"/>
          <c:tx>
            <c:strRef>
              <c:f>En.el_WAM!$H$131</c:f>
              <c:strCache>
                <c:ptCount val="1"/>
                <c:pt idx="0">
                  <c:v>biometan</c:v>
                </c:pt>
              </c:strCache>
            </c:strRef>
          </c:tx>
          <c:spPr>
            <a:solidFill>
              <a:srgbClr val="0099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En.el_WAM!$I$131:$M$131</c:f>
              <c:numCache>
                <c:formatCode>0</c:formatCode>
                <c:ptCount val="5"/>
                <c:pt idx="0">
                  <c:v>0</c:v>
                </c:pt>
                <c:pt idx="1">
                  <c:v>0.75362400000000007</c:v>
                </c:pt>
                <c:pt idx="2">
                  <c:v>9.2442322038148443</c:v>
                </c:pt>
                <c:pt idx="3">
                  <c:v>23.211619200000001</c:v>
                </c:pt>
                <c:pt idx="4">
                  <c:v>25.095679199999999</c:v>
                </c:pt>
              </c:numCache>
            </c:numRef>
          </c:val>
          <c:extLst>
            <c:ext xmlns:c16="http://schemas.microsoft.com/office/drawing/2014/chart" uri="{C3380CC4-5D6E-409C-BE32-E72D297353CC}">
              <c16:uniqueId val="{00000004-8900-4C56-B482-5F77C44F4423}"/>
            </c:ext>
          </c:extLst>
        </c:ser>
        <c:ser>
          <c:idx val="5"/>
          <c:order val="5"/>
          <c:tx>
            <c:strRef>
              <c:f>En.el_WAM!$H$130</c:f>
              <c:strCache>
                <c:ptCount val="1"/>
                <c:pt idx="0">
                  <c:v>kolektory słoneczne</c:v>
                </c:pt>
              </c:strCache>
            </c:strRef>
          </c:tx>
          <c:spPr>
            <a:solidFill>
              <a:srgbClr val="70AD47">
                <a:lumMod val="40000"/>
                <a:lumOff val="600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En.el_WAM!$I$130:$M$130</c:f>
              <c:numCache>
                <c:formatCode>0</c:formatCode>
                <c:ptCount val="5"/>
                <c:pt idx="0">
                  <c:v>2.6434332578014024</c:v>
                </c:pt>
                <c:pt idx="1">
                  <c:v>8.3301467376051601</c:v>
                </c:pt>
                <c:pt idx="2">
                  <c:v>14.076133810191831</c:v>
                </c:pt>
                <c:pt idx="3">
                  <c:v>16.344460842199592</c:v>
                </c:pt>
                <c:pt idx="4">
                  <c:v>16.073534315422137</c:v>
                </c:pt>
              </c:numCache>
            </c:numRef>
          </c:val>
          <c:extLst>
            <c:ext xmlns:c16="http://schemas.microsoft.com/office/drawing/2014/chart" uri="{C3380CC4-5D6E-409C-BE32-E72D297353CC}">
              <c16:uniqueId val="{00000005-8900-4C56-B482-5F77C44F4423}"/>
            </c:ext>
          </c:extLst>
        </c:ser>
        <c:ser>
          <c:idx val="0"/>
          <c:order val="6"/>
          <c:tx>
            <c:strRef>
              <c:f>En.el_WAM!$H$124</c:f>
              <c:strCache>
                <c:ptCount val="1"/>
                <c:pt idx="0">
                  <c:v>energia elektryczna</c:v>
                </c:pt>
              </c:strCache>
            </c:strRef>
          </c:tx>
          <c:spPr>
            <a:solidFill>
              <a:srgbClr val="5B9BD5">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En.el_WAM!$I$124:$M$124</c:f>
              <c:numCache>
                <c:formatCode>#,##0</c:formatCode>
                <c:ptCount val="5"/>
                <c:pt idx="0" formatCode="0">
                  <c:v>27.951807567947796</c:v>
                </c:pt>
                <c:pt idx="1">
                  <c:v>41.978641890381247</c:v>
                </c:pt>
                <c:pt idx="2">
                  <c:v>46.623599892885508</c:v>
                </c:pt>
                <c:pt idx="3">
                  <c:v>58.513373256020785</c:v>
                </c:pt>
                <c:pt idx="4">
                  <c:v>66.039276191273643</c:v>
                </c:pt>
              </c:numCache>
            </c:numRef>
          </c:val>
          <c:extLst>
            <c:ext xmlns:c16="http://schemas.microsoft.com/office/drawing/2014/chart" uri="{C3380CC4-5D6E-409C-BE32-E72D297353CC}">
              <c16:uniqueId val="{00000006-8900-4C56-B482-5F77C44F4423}"/>
            </c:ext>
          </c:extLst>
        </c:ser>
        <c:ser>
          <c:idx val="8"/>
          <c:order val="7"/>
          <c:tx>
            <c:strRef>
              <c:f>En.el_WAM!$H$129</c:f>
              <c:strCache>
                <c:ptCount val="1"/>
                <c:pt idx="0">
                  <c:v>pompy ciepła</c:v>
                </c:pt>
              </c:strCache>
            </c:strRef>
          </c:tx>
          <c:spPr>
            <a:solidFill>
              <a:srgbClr val="0070C0">
                <a:alpha val="70000"/>
              </a:srgbClr>
            </a:solidFill>
            <a:ln w="25400">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En.el_WAM!$I$129:$M$129</c:f>
              <c:numCache>
                <c:formatCode>0</c:formatCode>
                <c:ptCount val="5"/>
                <c:pt idx="0">
                  <c:v>13.284988744081346</c:v>
                </c:pt>
                <c:pt idx="1">
                  <c:v>50.932108315113382</c:v>
                </c:pt>
                <c:pt idx="2">
                  <c:v>70.429320407725896</c:v>
                </c:pt>
                <c:pt idx="3">
                  <c:v>106.68122789397154</c:v>
                </c:pt>
                <c:pt idx="4">
                  <c:v>137.27115295418318</c:v>
                </c:pt>
              </c:numCache>
            </c:numRef>
          </c:val>
          <c:extLst>
            <c:ext xmlns:c16="http://schemas.microsoft.com/office/drawing/2014/chart" uri="{C3380CC4-5D6E-409C-BE32-E72D297353CC}">
              <c16:uniqueId val="{00000007-8900-4C56-B482-5F77C44F4423}"/>
            </c:ext>
          </c:extLst>
        </c:ser>
        <c:dLbls>
          <c:showLegendKey val="0"/>
          <c:showVal val="0"/>
          <c:showCatName val="0"/>
          <c:showSerName val="0"/>
          <c:showPercent val="0"/>
          <c:showBubbleSize val="0"/>
        </c:dLbls>
        <c:gapWidth val="150"/>
        <c:overlap val="100"/>
        <c:axId val="1251669599"/>
        <c:axId val="1251680159"/>
      </c:barChart>
      <c:lineChart>
        <c:grouping val="standard"/>
        <c:varyColors val="0"/>
        <c:ser>
          <c:idx val="7"/>
          <c:order val="8"/>
          <c:tx>
            <c:strRef>
              <c:f>En.el_WAM!$H$132</c:f>
              <c:strCache>
                <c:ptCount val="1"/>
                <c:pt idx="0">
                  <c:v>suma</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En.el_WAM!$I$123:$M$123</c:f>
              <c:numCache>
                <c:formatCode>0</c:formatCode>
                <c:ptCount val="5"/>
                <c:pt idx="0">
                  <c:v>2020</c:v>
                </c:pt>
                <c:pt idx="1">
                  <c:v>2025</c:v>
                </c:pt>
                <c:pt idx="2">
                  <c:v>2030</c:v>
                </c:pt>
                <c:pt idx="3">
                  <c:v>2035</c:v>
                </c:pt>
                <c:pt idx="4">
                  <c:v>2040</c:v>
                </c:pt>
              </c:numCache>
            </c:numRef>
          </c:cat>
          <c:val>
            <c:numRef>
              <c:f>En.el_WAM!$I$132:$M$132</c:f>
              <c:numCache>
                <c:formatCode>0</c:formatCode>
                <c:ptCount val="5"/>
                <c:pt idx="0">
                  <c:v>538.29222181233888</c:v>
                </c:pt>
                <c:pt idx="1">
                  <c:v>528.54190411373406</c:v>
                </c:pt>
                <c:pt idx="2">
                  <c:v>472.94449360850939</c:v>
                </c:pt>
                <c:pt idx="3">
                  <c:v>415.28958024488281</c:v>
                </c:pt>
                <c:pt idx="4">
                  <c:v>396.59522715568414</c:v>
                </c:pt>
              </c:numCache>
            </c:numRef>
          </c:val>
          <c:smooth val="0"/>
          <c:extLst>
            <c:ext xmlns:c16="http://schemas.microsoft.com/office/drawing/2014/chart" uri="{C3380CC4-5D6E-409C-BE32-E72D297353CC}">
              <c16:uniqueId val="{00000008-8900-4C56-B482-5F77C44F4423}"/>
            </c:ext>
          </c:extLst>
        </c:ser>
        <c:dLbls>
          <c:showLegendKey val="0"/>
          <c:showVal val="0"/>
          <c:showCatName val="0"/>
          <c:showSerName val="0"/>
          <c:showPercent val="0"/>
          <c:showBubbleSize val="0"/>
        </c:dLbls>
        <c:marker val="1"/>
        <c:smooth val="0"/>
        <c:axId val="1251669599"/>
        <c:axId val="1251680159"/>
      </c:lineChart>
      <c:catAx>
        <c:axId val="1251669599"/>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1680159"/>
        <c:crosses val="autoZero"/>
        <c:auto val="1"/>
        <c:lblAlgn val="ctr"/>
        <c:lblOffset val="100"/>
        <c:noMultiLvlLbl val="0"/>
      </c:catAx>
      <c:valAx>
        <c:axId val="1251680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1669599"/>
        <c:crosses val="autoZero"/>
        <c:crossBetween val="between"/>
      </c:valAx>
      <c:spPr>
        <a:noFill/>
        <a:ln>
          <a:noFill/>
        </a:ln>
        <a:effectLst/>
      </c:spPr>
    </c:plotArea>
    <c:legend>
      <c:legendPos val="r"/>
      <c:legendEntry>
        <c:idx val="8"/>
        <c:delete val="1"/>
      </c:legendEntry>
      <c:layout>
        <c:manualLayout>
          <c:xMode val="edge"/>
          <c:yMode val="edge"/>
          <c:x val="0.72445267258259383"/>
          <c:y val="0.23246633184469903"/>
          <c:w val="0.26515911951261051"/>
          <c:h val="0.53673226897429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2"/>
          <c:tx>
            <c:strRef>
              <c:f>OZE_wykr!$A$72</c:f>
              <c:strCache>
                <c:ptCount val="1"/>
                <c:pt idx="0">
                  <c:v>Udział OZE w transporcie </c:v>
                </c:pt>
              </c:strCache>
            </c:strRef>
          </c:tx>
          <c:spPr>
            <a:ln w="25400" cap="rnd">
              <a:solidFill>
                <a:srgbClr val="008000"/>
              </a:solidFill>
              <a:round/>
            </a:ln>
            <a:effectLst/>
          </c:spPr>
          <c:marker>
            <c:symbol val="circle"/>
            <c:size val="5"/>
            <c:spPr>
              <a:solidFill>
                <a:srgbClr val="008000"/>
              </a:solidFill>
              <a:ln w="9525">
                <a:no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1E-49E1-AB11-12664B107AE5}"/>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1E-49E1-AB11-12664B107AE5}"/>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1E-49E1-AB11-12664B107AE5}"/>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1E-49E1-AB11-12664B107A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OZE_wykr!$Q$69:$AA$69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extLst/>
            </c:numRef>
          </c:cat>
          <c:val>
            <c:numRef>
              <c:f>OZE_wykr!$Q$72:$AA$72</c:f>
              <c:numCache>
                <c:formatCode>0.0%</c:formatCode>
                <c:ptCount val="11"/>
                <c:pt idx="0">
                  <c:v>6.6000000000000003E-2</c:v>
                </c:pt>
                <c:pt idx="1">
                  <c:v>5.1281240755371077E-2</c:v>
                </c:pt>
                <c:pt idx="2">
                  <c:v>5.6964244829358586E-2</c:v>
                </c:pt>
                <c:pt idx="3">
                  <c:v>6.0210426174544508E-2</c:v>
                </c:pt>
                <c:pt idx="4">
                  <c:v>8.6737292180259981E-2</c:v>
                </c:pt>
                <c:pt idx="5">
                  <c:v>9.3660604849676934E-2</c:v>
                </c:pt>
                <c:pt idx="6">
                  <c:v>0.11622381077168853</c:v>
                </c:pt>
                <c:pt idx="7">
                  <c:v>0.1352360931660575</c:v>
                </c:pt>
                <c:pt idx="8">
                  <c:v>0.14966956663436431</c:v>
                </c:pt>
                <c:pt idx="9">
                  <c:v>0.16696721645981538</c:v>
                </c:pt>
                <c:pt idx="10">
                  <c:v>0.189153727296137</c:v>
                </c:pt>
              </c:numCache>
              <c:extLst/>
            </c:numRef>
          </c:val>
          <c:smooth val="0"/>
          <c:extLst>
            <c:ext xmlns:c16="http://schemas.microsoft.com/office/drawing/2014/chart" uri="{C3380CC4-5D6E-409C-BE32-E72D297353CC}">
              <c16:uniqueId val="{00000004-4A1E-49E1-AB11-12664B107AE5}"/>
            </c:ext>
          </c:extLst>
        </c:ser>
        <c:dLbls>
          <c:showLegendKey val="0"/>
          <c:showVal val="0"/>
          <c:showCatName val="0"/>
          <c:showSerName val="0"/>
          <c:showPercent val="0"/>
          <c:showBubbleSize val="0"/>
        </c:dLbls>
        <c:marker val="1"/>
        <c:smooth val="0"/>
        <c:axId val="951774944"/>
        <c:axId val="951780432"/>
        <c:extLst>
          <c:ext xmlns:c15="http://schemas.microsoft.com/office/drawing/2012/chart" uri="{02D57815-91ED-43cb-92C2-25804820EDAC}">
            <c15:filteredLineSeries>
              <c15:ser>
                <c:idx val="0"/>
                <c:order val="0"/>
                <c:tx>
                  <c:strRef>
                    <c:extLst>
                      <c:ext uri="{02D57815-91ED-43cb-92C2-25804820EDAC}">
                        <c15:formulaRef>
                          <c15:sqref>OZE_wykr!$A$70</c15:sqref>
                        </c15:formulaRef>
                      </c:ext>
                    </c:extLst>
                    <c:strCache>
                      <c:ptCount val="1"/>
                      <c:pt idx="0">
                        <c:v>Udział OZE w elektroenergetyce</c:v>
                      </c:pt>
                    </c:strCache>
                  </c:strRef>
                </c:tx>
                <c:spPr>
                  <a:ln w="25400" cap="rnd">
                    <a:solidFill>
                      <a:schemeClr val="accent6">
                        <a:lumMod val="60000"/>
                        <a:lumOff val="40000"/>
                      </a:schemeClr>
                    </a:solidFill>
                    <a:round/>
                  </a:ln>
                  <a:effectLst/>
                </c:spPr>
                <c:marker>
                  <c:symbol val="circle"/>
                  <c:size val="5"/>
                  <c:spPr>
                    <a:solidFill>
                      <a:srgbClr val="92D050"/>
                    </a:solidFill>
                    <a:ln w="9525">
                      <a:noFill/>
                    </a:ln>
                    <a:effectLst/>
                  </c:spPr>
                </c:marker>
                <c:cat>
                  <c:numRef>
                    <c:extLst>
                      <c:ex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c:ext uri="{02D57815-91ED-43cb-92C2-25804820EDAC}">
                        <c15:formulaRef>
                          <c15:sqref>OZE_wykr!$Q$70:$AA$70</c15:sqref>
                        </c15:formulaRef>
                      </c:ext>
                    </c:extLst>
                    <c:numCache>
                      <c:formatCode>0.0%</c:formatCode>
                      <c:ptCount val="11"/>
                      <c:pt idx="0">
                        <c:v>0.16200000000000001</c:v>
                      </c:pt>
                      <c:pt idx="1">
                        <c:v>0.169444802621012</c:v>
                      </c:pt>
                      <c:pt idx="2">
                        <c:v>0.21218723107953694</c:v>
                      </c:pt>
                      <c:pt idx="3">
                        <c:v>0.25154038826198755</c:v>
                      </c:pt>
                      <c:pt idx="4">
                        <c:v>0.28427522958779861</c:v>
                      </c:pt>
                      <c:pt idx="5">
                        <c:v>0.30761864333150152</c:v>
                      </c:pt>
                      <c:pt idx="6">
                        <c:v>0.33653535703279486</c:v>
                      </c:pt>
                      <c:pt idx="7">
                        <c:v>0.38220463039498803</c:v>
                      </c:pt>
                      <c:pt idx="8">
                        <c:v>0.43743517371444302</c:v>
                      </c:pt>
                      <c:pt idx="9">
                        <c:v>0.48769418800762943</c:v>
                      </c:pt>
                      <c:pt idx="10">
                        <c:v>0.51775089022500254</c:v>
                      </c:pt>
                    </c:numCache>
                  </c:numRef>
                </c:val>
                <c:smooth val="0"/>
                <c:extLst>
                  <c:ext xmlns:c16="http://schemas.microsoft.com/office/drawing/2014/chart" uri="{C3380CC4-5D6E-409C-BE32-E72D297353CC}">
                    <c16:uniqueId val="{00000005-4A1E-49E1-AB11-12664B107AE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OZE_wykr!$A$71</c15:sqref>
                        </c15:formulaRef>
                      </c:ext>
                    </c:extLst>
                    <c:strCache>
                      <c:ptCount val="1"/>
                      <c:pt idx="0">
                        <c:v>Udział OZE w ciepłownictwie i chłodnictwie </c:v>
                      </c:pt>
                    </c:strCache>
                  </c:strRef>
                </c:tx>
                <c:spPr>
                  <a:ln w="25400" cap="rnd">
                    <a:solidFill>
                      <a:schemeClr val="accent6"/>
                    </a:solidFill>
                    <a:round/>
                  </a:ln>
                  <a:effectLst/>
                </c:spPr>
                <c:marker>
                  <c:symbol val="circle"/>
                  <c:size val="5"/>
                  <c:spPr>
                    <a:solidFill>
                      <a:schemeClr val="accent6"/>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OZE_wykr!$Q$71:$AA$71</c15:sqref>
                        </c15:formulaRef>
                      </c:ext>
                    </c:extLst>
                    <c:numCache>
                      <c:formatCode>0.0%</c:formatCode>
                      <c:ptCount val="11"/>
                      <c:pt idx="0" formatCode="0.00%">
                        <c:v>0.221</c:v>
                      </c:pt>
                      <c:pt idx="1">
                        <c:v>0.24097997372778543</c:v>
                      </c:pt>
                      <c:pt idx="2">
                        <c:v>0.24833867946549257</c:v>
                      </c:pt>
                      <c:pt idx="3">
                        <c:v>0.25819766849944897</c:v>
                      </c:pt>
                      <c:pt idx="4">
                        <c:v>0.25808104725366493</c:v>
                      </c:pt>
                      <c:pt idx="5">
                        <c:v>0.26797259924921318</c:v>
                      </c:pt>
                      <c:pt idx="6">
                        <c:v>0.28911375243381759</c:v>
                      </c:pt>
                      <c:pt idx="7">
                        <c:v>0.30542456475141017</c:v>
                      </c:pt>
                      <c:pt idx="8">
                        <c:v>0.32152253797026797</c:v>
                      </c:pt>
                      <c:pt idx="9">
                        <c:v>0.34151190540673315</c:v>
                      </c:pt>
                      <c:pt idx="10">
                        <c:v>0.36748034638977445</c:v>
                      </c:pt>
                    </c:numCache>
                  </c:numRef>
                </c:val>
                <c:smooth val="0"/>
                <c:extLst xmlns:c15="http://schemas.microsoft.com/office/drawing/2012/chart">
                  <c:ext xmlns:c16="http://schemas.microsoft.com/office/drawing/2014/chart" uri="{C3380CC4-5D6E-409C-BE32-E72D297353CC}">
                    <c16:uniqueId val="{00000006-4A1E-49E1-AB11-12664B107AE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OZE_wykr!$A$73</c15:sqref>
                        </c15:formulaRef>
                      </c:ext>
                    </c:extLst>
                    <c:strCache>
                      <c:ptCount val="1"/>
                      <c:pt idx="0">
                        <c:v>Udział energii ze źródeł odnawialnych w zużyciu końcowym energii brutto</c:v>
                      </c:pt>
                    </c:strCache>
                  </c:strRef>
                </c:tx>
                <c:spPr>
                  <a:ln w="28575" cap="rnd">
                    <a:solidFill>
                      <a:srgbClr val="006600"/>
                    </a:solidFill>
                    <a:round/>
                  </a:ln>
                  <a:effectLst/>
                </c:spPr>
                <c:marker>
                  <c:symbol val="circle"/>
                  <c:size val="5"/>
                  <c:spPr>
                    <a:solidFill>
                      <a:srgbClr val="0066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OZE_wykr!$Q$73:$AA$73</c15:sqref>
                        </c15:formulaRef>
                      </c:ext>
                    </c:extLst>
                    <c:numCache>
                      <c:formatCode>0.0%</c:formatCode>
                      <c:ptCount val="11"/>
                      <c:pt idx="0">
                        <c:v>0.161</c:v>
                      </c:pt>
                      <c:pt idx="1">
                        <c:v>0.16398918627583325</c:v>
                      </c:pt>
                      <c:pt idx="2">
                        <c:v>0.17638571342840342</c:v>
                      </c:pt>
                      <c:pt idx="3">
                        <c:v>0.19147107340541203</c:v>
                      </c:pt>
                      <c:pt idx="4">
                        <c:v>0.20621225937985904</c:v>
                      </c:pt>
                      <c:pt idx="5">
                        <c:v>0.21588716613993836</c:v>
                      </c:pt>
                      <c:pt idx="6">
                        <c:v>0.23409822471246133</c:v>
                      </c:pt>
                      <c:pt idx="7">
                        <c:v>0.25332462411301782</c:v>
                      </c:pt>
                      <c:pt idx="8">
                        <c:v>0.27510339474999285</c:v>
                      </c:pt>
                      <c:pt idx="9">
                        <c:v>0.29721132019058366</c:v>
                      </c:pt>
                      <c:pt idx="10">
                        <c:v>0.32094204841008223</c:v>
                      </c:pt>
                    </c:numCache>
                  </c:numRef>
                </c:val>
                <c:smooth val="0"/>
                <c:extLst xmlns:c15="http://schemas.microsoft.com/office/drawing/2012/chart">
                  <c:ext xmlns:c16="http://schemas.microsoft.com/office/drawing/2014/chart" uri="{C3380CC4-5D6E-409C-BE32-E72D297353CC}">
                    <c16:uniqueId val="{00000007-4A1E-49E1-AB11-12664B107AE5}"/>
                  </c:ext>
                </c:extLst>
              </c15:ser>
            </c15:filteredLineSeries>
          </c:ext>
        </c:extLst>
      </c:lineChart>
      <c:catAx>
        <c:axId val="95177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0432"/>
        <c:crosses val="autoZero"/>
        <c:auto val="1"/>
        <c:lblAlgn val="ctr"/>
        <c:lblOffset val="100"/>
        <c:noMultiLvlLbl val="0"/>
      </c:catAx>
      <c:valAx>
        <c:axId val="95178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74944"/>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transport!$B$5</c:f>
              <c:strCache>
                <c:ptCount val="1"/>
                <c:pt idx="0">
                  <c:v>Benzyna</c:v>
                </c:pt>
              </c:strCache>
            </c:strRef>
          </c:tx>
          <c:spPr>
            <a:solidFill>
              <a:srgbClr val="FF9900"/>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transport!$F$5:$J$5</c:f>
              <c:numCache>
                <c:formatCode>#,##0</c:formatCode>
                <c:ptCount val="5"/>
                <c:pt idx="0">
                  <c:v>4226.9260000000004</c:v>
                </c:pt>
                <c:pt idx="1">
                  <c:v>4514.2303929335367</c:v>
                </c:pt>
                <c:pt idx="2">
                  <c:v>4316.0447520746211</c:v>
                </c:pt>
                <c:pt idx="3">
                  <c:v>4316.8293651340373</c:v>
                </c:pt>
                <c:pt idx="4">
                  <c:v>3904.6172513453289</c:v>
                </c:pt>
              </c:numCache>
              <c:extLst/>
            </c:numRef>
          </c:val>
          <c:extLst>
            <c:ext xmlns:c16="http://schemas.microsoft.com/office/drawing/2014/chart" uri="{C3380CC4-5D6E-409C-BE32-E72D297353CC}">
              <c16:uniqueId val="{00000000-1BAF-4CF4-A583-8717D21E2974}"/>
            </c:ext>
          </c:extLst>
        </c:ser>
        <c:ser>
          <c:idx val="1"/>
          <c:order val="1"/>
          <c:tx>
            <c:strRef>
              <c:f>transport!$B$6</c:f>
              <c:strCache>
                <c:ptCount val="1"/>
                <c:pt idx="0">
                  <c:v>Olej napędowy</c:v>
                </c:pt>
              </c:strCache>
            </c:strRef>
          </c:tx>
          <c:spPr>
            <a:solidFill>
              <a:schemeClr val="accent4"/>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transport!$F$6:$J$6</c:f>
              <c:numCache>
                <c:formatCode>#,##0</c:formatCode>
                <c:ptCount val="5"/>
                <c:pt idx="0">
                  <c:v>13965</c:v>
                </c:pt>
                <c:pt idx="1">
                  <c:v>14479.279491525482</c:v>
                </c:pt>
                <c:pt idx="2">
                  <c:v>12819.583828259798</c:v>
                </c:pt>
                <c:pt idx="3">
                  <c:v>11041.26500759151</c:v>
                </c:pt>
                <c:pt idx="4">
                  <c:v>9301.0281033628562</c:v>
                </c:pt>
              </c:numCache>
              <c:extLst/>
            </c:numRef>
          </c:val>
          <c:extLst>
            <c:ext xmlns:c16="http://schemas.microsoft.com/office/drawing/2014/chart" uri="{C3380CC4-5D6E-409C-BE32-E72D297353CC}">
              <c16:uniqueId val="{00000001-1BAF-4CF4-A583-8717D21E2974}"/>
            </c:ext>
          </c:extLst>
        </c:ser>
        <c:ser>
          <c:idx val="2"/>
          <c:order val="2"/>
          <c:tx>
            <c:strRef>
              <c:f>transport!$B$7</c:f>
              <c:strCache>
                <c:ptCount val="1"/>
                <c:pt idx="0">
                  <c:v>LPG</c:v>
                </c:pt>
              </c:strCache>
            </c:strRef>
          </c:tx>
          <c:spPr>
            <a:solidFill>
              <a:schemeClr val="accent4">
                <a:lumMod val="40000"/>
                <a:lumOff val="60000"/>
              </a:scheme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transport!$F$7:$J$7</c:f>
              <c:numCache>
                <c:formatCode>#,##0</c:formatCode>
                <c:ptCount val="5"/>
                <c:pt idx="0">
                  <c:v>1906.2239999999999</c:v>
                </c:pt>
                <c:pt idx="1">
                  <c:v>1841.824509410782</c:v>
                </c:pt>
                <c:pt idx="2">
                  <c:v>1451.2201357491901</c:v>
                </c:pt>
                <c:pt idx="3">
                  <c:v>1196.7470957540511</c:v>
                </c:pt>
                <c:pt idx="4">
                  <c:v>1006.583415033016</c:v>
                </c:pt>
              </c:numCache>
              <c:extLst/>
            </c:numRef>
          </c:val>
          <c:extLst>
            <c:ext xmlns:c16="http://schemas.microsoft.com/office/drawing/2014/chart" uri="{C3380CC4-5D6E-409C-BE32-E72D297353CC}">
              <c16:uniqueId val="{00000002-1BAF-4CF4-A583-8717D21E2974}"/>
            </c:ext>
          </c:extLst>
        </c:ser>
        <c:ser>
          <c:idx val="3"/>
          <c:order val="3"/>
          <c:tx>
            <c:strRef>
              <c:f>transport!$B$8</c:f>
              <c:strCache>
                <c:ptCount val="1"/>
                <c:pt idx="0">
                  <c:v>CNG</c:v>
                </c:pt>
              </c:strCache>
            </c:strRef>
          </c:tx>
          <c:spPr>
            <a:solidFill>
              <a:schemeClr val="accent2">
                <a:lumMod val="75000"/>
              </a:scheme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transport!$F$8:$J$8</c:f>
              <c:numCache>
                <c:formatCode>#,##0</c:formatCode>
                <c:ptCount val="5"/>
                <c:pt idx="0">
                  <c:v>21.6759241695</c:v>
                </c:pt>
                <c:pt idx="1">
                  <c:v>59.044252560421384</c:v>
                </c:pt>
                <c:pt idx="2">
                  <c:v>77.072240123503647</c:v>
                </c:pt>
                <c:pt idx="3">
                  <c:v>75.614268375554175</c:v>
                </c:pt>
                <c:pt idx="4">
                  <c:v>61.187179370026342</c:v>
                </c:pt>
              </c:numCache>
              <c:extLst/>
            </c:numRef>
          </c:val>
          <c:extLst>
            <c:ext xmlns:c16="http://schemas.microsoft.com/office/drawing/2014/chart" uri="{C3380CC4-5D6E-409C-BE32-E72D297353CC}">
              <c16:uniqueId val="{00000003-1BAF-4CF4-A583-8717D21E2974}"/>
            </c:ext>
          </c:extLst>
        </c:ser>
        <c:ser>
          <c:idx val="5"/>
          <c:order val="4"/>
          <c:tx>
            <c:strRef>
              <c:f>transport!$B$10</c:f>
              <c:strCache>
                <c:ptCount val="1"/>
                <c:pt idx="0">
                  <c:v>Paliwa lotnicze</c:v>
                </c:pt>
              </c:strCache>
            </c:strRef>
          </c:tx>
          <c:spPr>
            <a:solidFill>
              <a:schemeClr val="accent4">
                <a:lumMod val="50000"/>
              </a:scheme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transport!$F$10:$J$10</c:f>
              <c:numCache>
                <c:formatCode>#,##0</c:formatCode>
                <c:ptCount val="5"/>
                <c:pt idx="0">
                  <c:v>18.234999999999999</c:v>
                </c:pt>
                <c:pt idx="1">
                  <c:v>87.255677034100813</c:v>
                </c:pt>
                <c:pt idx="2">
                  <c:v>107.03824951716561</c:v>
                </c:pt>
                <c:pt idx="3">
                  <c:v>124.69959671223567</c:v>
                </c:pt>
                <c:pt idx="4">
                  <c:v>129.791697953772</c:v>
                </c:pt>
              </c:numCache>
              <c:extLst/>
            </c:numRef>
          </c:val>
          <c:extLst>
            <c:ext xmlns:c16="http://schemas.microsoft.com/office/drawing/2014/chart" uri="{C3380CC4-5D6E-409C-BE32-E72D297353CC}">
              <c16:uniqueId val="{00000004-1BAF-4CF4-A583-8717D21E2974}"/>
            </c:ext>
          </c:extLst>
        </c:ser>
        <c:ser>
          <c:idx val="6"/>
          <c:order val="5"/>
          <c:tx>
            <c:strRef>
              <c:f>transport!$B$11</c:f>
              <c:strCache>
                <c:ptCount val="1"/>
                <c:pt idx="0">
                  <c:v>Gaz ziemny (transport rur.)</c:v>
                </c:pt>
              </c:strCache>
            </c:strRef>
          </c:tx>
          <c:spPr>
            <a:solidFill>
              <a:schemeClr val="accent1">
                <a:lumMod val="75000"/>
              </a:scheme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transport!$F$11:$J$11</c:f>
              <c:numCache>
                <c:formatCode>#,##0</c:formatCode>
                <c:ptCount val="5"/>
                <c:pt idx="0">
                  <c:v>328.10107583050001</c:v>
                </c:pt>
                <c:pt idx="1">
                  <c:v>70.35608035175062</c:v>
                </c:pt>
                <c:pt idx="2">
                  <c:v>67.122853959773991</c:v>
                </c:pt>
                <c:pt idx="3">
                  <c:v>64.037554535269351</c:v>
                </c:pt>
                <c:pt idx="4">
                  <c:v>61.093448421286197</c:v>
                </c:pt>
              </c:numCache>
              <c:extLst/>
            </c:numRef>
          </c:val>
          <c:extLst>
            <c:ext xmlns:c16="http://schemas.microsoft.com/office/drawing/2014/chart" uri="{C3380CC4-5D6E-409C-BE32-E72D297353CC}">
              <c16:uniqueId val="{00000005-1BAF-4CF4-A583-8717D21E2974}"/>
            </c:ext>
          </c:extLst>
        </c:ser>
        <c:ser>
          <c:idx val="4"/>
          <c:order val="6"/>
          <c:tx>
            <c:strRef>
              <c:f>transport!$B$9</c:f>
              <c:strCache>
                <c:ptCount val="1"/>
                <c:pt idx="0">
                  <c:v>Energia elektryczna</c:v>
                </c:pt>
              </c:strCache>
            </c:strRef>
          </c:tx>
          <c:spPr>
            <a:solidFill>
              <a:schemeClr val="accent5"/>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transport!$F$9:$J$9</c:f>
              <c:numCache>
                <c:formatCode>#,##0</c:formatCode>
                <c:ptCount val="5"/>
                <c:pt idx="0">
                  <c:v>272.90499999999997</c:v>
                </c:pt>
                <c:pt idx="1">
                  <c:v>373.37202295055602</c:v>
                </c:pt>
                <c:pt idx="2">
                  <c:v>624.95918856255503</c:v>
                </c:pt>
                <c:pt idx="3">
                  <c:v>1024.6971019064563</c:v>
                </c:pt>
                <c:pt idx="4">
                  <c:v>1592.2257729445837</c:v>
                </c:pt>
              </c:numCache>
              <c:extLst/>
            </c:numRef>
          </c:val>
          <c:extLst>
            <c:ext xmlns:c16="http://schemas.microsoft.com/office/drawing/2014/chart" uri="{C3380CC4-5D6E-409C-BE32-E72D297353CC}">
              <c16:uniqueId val="{00000006-1BAF-4CF4-A583-8717D21E2974}"/>
            </c:ext>
          </c:extLst>
        </c:ser>
        <c:ser>
          <c:idx val="7"/>
          <c:order val="7"/>
          <c:tx>
            <c:strRef>
              <c:f>transport!$B$12</c:f>
              <c:strCache>
                <c:ptCount val="1"/>
                <c:pt idx="0">
                  <c:v>Bioetanol</c:v>
                </c:pt>
              </c:strCache>
            </c:strRef>
          </c:tx>
          <c:spPr>
            <a:solidFill>
              <a:srgbClr val="93CDDD"/>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transport!$F$12:$J$12</c:f>
              <c:numCache>
                <c:formatCode>#,##0</c:formatCode>
                <c:ptCount val="5"/>
                <c:pt idx="0">
                  <c:v>183.01599999999999</c:v>
                </c:pt>
                <c:pt idx="1">
                  <c:v>416.1078</c:v>
                </c:pt>
                <c:pt idx="2">
                  <c:v>424.49680009003612</c:v>
                </c:pt>
                <c:pt idx="3">
                  <c:v>435.21587624118843</c:v>
                </c:pt>
                <c:pt idx="4">
                  <c:v>446.20562249753323</c:v>
                </c:pt>
              </c:numCache>
              <c:extLst/>
            </c:numRef>
          </c:val>
          <c:extLst>
            <c:ext xmlns:c16="http://schemas.microsoft.com/office/drawing/2014/chart" uri="{C3380CC4-5D6E-409C-BE32-E72D297353CC}">
              <c16:uniqueId val="{00000007-1BAF-4CF4-A583-8717D21E2974}"/>
            </c:ext>
          </c:extLst>
        </c:ser>
        <c:ser>
          <c:idx val="8"/>
          <c:order val="8"/>
          <c:tx>
            <c:strRef>
              <c:f>transport!$B$13</c:f>
              <c:strCache>
                <c:ptCount val="1"/>
                <c:pt idx="0">
                  <c:v>Biodiesel</c:v>
                </c:pt>
              </c:strCache>
            </c:strRef>
          </c:tx>
          <c:spPr>
            <a:solidFill>
              <a:srgbClr val="B3A2C7"/>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transport!$F$13:$J$13</c:f>
              <c:numCache>
                <c:formatCode>#,##0</c:formatCode>
                <c:ptCount val="5"/>
                <c:pt idx="0">
                  <c:v>856.51535779115295</c:v>
                </c:pt>
                <c:pt idx="1">
                  <c:v>1346.9664000000002</c:v>
                </c:pt>
                <c:pt idx="2">
                  <c:v>1374.1221064079923</c:v>
                </c:pt>
                <c:pt idx="3">
                  <c:v>1306.7764505416299</c:v>
                </c:pt>
                <c:pt idx="4">
                  <c:v>1242.7314019087294</c:v>
                </c:pt>
              </c:numCache>
              <c:extLst/>
            </c:numRef>
          </c:val>
          <c:extLst>
            <c:ext xmlns:c16="http://schemas.microsoft.com/office/drawing/2014/chart" uri="{C3380CC4-5D6E-409C-BE32-E72D297353CC}">
              <c16:uniqueId val="{00000008-1BAF-4CF4-A583-8717D21E2974}"/>
            </c:ext>
          </c:extLst>
        </c:ser>
        <c:ser>
          <c:idx val="9"/>
          <c:order val="9"/>
          <c:tx>
            <c:strRef>
              <c:f>transport!$B$14</c:f>
              <c:strCache>
                <c:ptCount val="1"/>
                <c:pt idx="0">
                  <c:v>Wodór</c:v>
                </c:pt>
              </c:strCache>
            </c:strRef>
          </c:tx>
          <c:spPr>
            <a:solidFill>
              <a:schemeClr val="accent2">
                <a:lumMod val="20000"/>
                <a:lumOff val="80000"/>
              </a:scheme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transport!$F$14:$J$14</c:f>
              <c:numCache>
                <c:formatCode>#,##0</c:formatCode>
                <c:ptCount val="5"/>
                <c:pt idx="0">
                  <c:v>0</c:v>
                </c:pt>
                <c:pt idx="1">
                  <c:v>4.6507191609109793</c:v>
                </c:pt>
                <c:pt idx="2">
                  <c:v>26.688521317424023</c:v>
                </c:pt>
                <c:pt idx="3">
                  <c:v>128.28914107769441</c:v>
                </c:pt>
                <c:pt idx="4">
                  <c:v>402.60248887699697</c:v>
                </c:pt>
              </c:numCache>
              <c:extLst/>
            </c:numRef>
          </c:val>
          <c:extLst>
            <c:ext xmlns:c16="http://schemas.microsoft.com/office/drawing/2014/chart" uri="{C3380CC4-5D6E-409C-BE32-E72D297353CC}">
              <c16:uniqueId val="{00000009-1BAF-4CF4-A583-8717D21E2974}"/>
            </c:ext>
          </c:extLst>
        </c:ser>
        <c:ser>
          <c:idx val="10"/>
          <c:order val="10"/>
          <c:tx>
            <c:strRef>
              <c:f>transport!$B$15</c:f>
              <c:strCache>
                <c:ptCount val="1"/>
                <c:pt idx="0">
                  <c:v>Biometan</c:v>
                </c:pt>
              </c:strCache>
            </c:strRef>
          </c:tx>
          <c:spPr>
            <a:solidFill>
              <a:srgbClr val="ED7D31">
                <a:lumMod val="60000"/>
                <a:lumOff val="40000"/>
              </a:srgb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transport!$F$15:$J$15</c:f>
              <c:numCache>
                <c:formatCode>#,##0</c:formatCode>
                <c:ptCount val="5"/>
                <c:pt idx="0">
                  <c:v>0</c:v>
                </c:pt>
                <c:pt idx="1">
                  <c:v>34.806311661686721</c:v>
                </c:pt>
                <c:pt idx="2">
                  <c:v>185.03167793082528</c:v>
                </c:pt>
                <c:pt idx="3">
                  <c:v>188.76080927089322</c:v>
                </c:pt>
                <c:pt idx="4">
                  <c:v>213.55823391687164</c:v>
                </c:pt>
              </c:numCache>
              <c:extLst/>
            </c:numRef>
          </c:val>
          <c:extLst>
            <c:ext xmlns:c16="http://schemas.microsoft.com/office/drawing/2014/chart" uri="{C3380CC4-5D6E-409C-BE32-E72D297353CC}">
              <c16:uniqueId val="{0000000A-1BAF-4CF4-A583-8717D21E2974}"/>
            </c:ext>
          </c:extLst>
        </c:ser>
        <c:dLbls>
          <c:showLegendKey val="0"/>
          <c:showVal val="0"/>
          <c:showCatName val="0"/>
          <c:showSerName val="0"/>
          <c:showPercent val="0"/>
          <c:showBubbleSize val="0"/>
        </c:dLbls>
        <c:gapWidth val="70"/>
        <c:overlap val="100"/>
        <c:axId val="951777296"/>
        <c:axId val="951777688"/>
      </c:barChart>
      <c:catAx>
        <c:axId val="95177729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77688"/>
        <c:crosses val="autoZero"/>
        <c:auto val="1"/>
        <c:lblAlgn val="ctr"/>
        <c:lblOffset val="100"/>
        <c:noMultiLvlLbl val="0"/>
      </c:catAx>
      <c:valAx>
        <c:axId val="951777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77296"/>
        <c:crosses val="autoZero"/>
        <c:crossBetween val="between"/>
      </c:valAx>
      <c:spPr>
        <a:noFill/>
        <a:ln>
          <a:noFill/>
        </a:ln>
        <a:effectLst/>
      </c:spPr>
    </c:plotArea>
    <c:legend>
      <c:legendPos val="r"/>
      <c:layout>
        <c:manualLayout>
          <c:xMode val="edge"/>
          <c:yMode val="edge"/>
          <c:x val="0.67826909014515824"/>
          <c:y val="0.22878633154607519"/>
          <c:w val="0.32173090985484176"/>
          <c:h val="0.542427336907849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4"/>
          <c:order val="4"/>
          <c:tx>
            <c:strRef>
              <c:f>transport!$B$9</c:f>
              <c:strCache>
                <c:ptCount val="1"/>
                <c:pt idx="0">
                  <c:v>Energia elektryczna</c:v>
                </c:pt>
              </c:strCache>
            </c:strRef>
          </c:tx>
          <c:spPr>
            <a:solidFill>
              <a:schemeClr val="accent5"/>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transport!$F$9:$J$9</c:f>
              <c:numCache>
                <c:formatCode>#,##0</c:formatCode>
                <c:ptCount val="5"/>
                <c:pt idx="0">
                  <c:v>272.90499999999997</c:v>
                </c:pt>
                <c:pt idx="1">
                  <c:v>373.37202295055602</c:v>
                </c:pt>
                <c:pt idx="2">
                  <c:v>624.95918856255503</c:v>
                </c:pt>
                <c:pt idx="3">
                  <c:v>1024.6971019064563</c:v>
                </c:pt>
                <c:pt idx="4">
                  <c:v>1592.2257729445837</c:v>
                </c:pt>
              </c:numCache>
              <c:extLst/>
            </c:numRef>
          </c:val>
          <c:extLst>
            <c:ext xmlns:c16="http://schemas.microsoft.com/office/drawing/2014/chart" uri="{C3380CC4-5D6E-409C-BE32-E72D297353CC}">
              <c16:uniqueId val="{00000000-C2E1-4555-8EFF-D137AB534E32}"/>
            </c:ext>
          </c:extLst>
        </c:ser>
        <c:ser>
          <c:idx val="7"/>
          <c:order val="7"/>
          <c:tx>
            <c:strRef>
              <c:f>transport!$B$12</c:f>
              <c:strCache>
                <c:ptCount val="1"/>
                <c:pt idx="0">
                  <c:v>Bioetanol</c:v>
                </c:pt>
              </c:strCache>
            </c:strRef>
          </c:tx>
          <c:spPr>
            <a:solidFill>
              <a:srgbClr val="93CDDD"/>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transport!$F$12:$J$12</c:f>
              <c:numCache>
                <c:formatCode>#,##0</c:formatCode>
                <c:ptCount val="5"/>
                <c:pt idx="0">
                  <c:v>183.01599999999999</c:v>
                </c:pt>
                <c:pt idx="1">
                  <c:v>416.1078</c:v>
                </c:pt>
                <c:pt idx="2">
                  <c:v>424.49680009003612</c:v>
                </c:pt>
                <c:pt idx="3">
                  <c:v>435.21587624118843</c:v>
                </c:pt>
                <c:pt idx="4">
                  <c:v>446.20562249753323</c:v>
                </c:pt>
              </c:numCache>
              <c:extLst/>
            </c:numRef>
          </c:val>
          <c:extLst>
            <c:ext xmlns:c16="http://schemas.microsoft.com/office/drawing/2014/chart" uri="{C3380CC4-5D6E-409C-BE32-E72D297353CC}">
              <c16:uniqueId val="{00000001-C2E1-4555-8EFF-D137AB534E32}"/>
            </c:ext>
          </c:extLst>
        </c:ser>
        <c:ser>
          <c:idx val="8"/>
          <c:order val="8"/>
          <c:tx>
            <c:strRef>
              <c:f>transport!$B$13</c:f>
              <c:strCache>
                <c:ptCount val="1"/>
                <c:pt idx="0">
                  <c:v>Biodiesel</c:v>
                </c:pt>
              </c:strCache>
            </c:strRef>
          </c:tx>
          <c:spPr>
            <a:solidFill>
              <a:srgbClr val="B3A2C7"/>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transport!$F$13:$J$13</c:f>
              <c:numCache>
                <c:formatCode>#,##0</c:formatCode>
                <c:ptCount val="5"/>
                <c:pt idx="0">
                  <c:v>856.51535779115295</c:v>
                </c:pt>
                <c:pt idx="1">
                  <c:v>1346.9664000000002</c:v>
                </c:pt>
                <c:pt idx="2">
                  <c:v>1374.1221064079923</c:v>
                </c:pt>
                <c:pt idx="3">
                  <c:v>1306.7764505416299</c:v>
                </c:pt>
                <c:pt idx="4">
                  <c:v>1242.7314019087294</c:v>
                </c:pt>
              </c:numCache>
              <c:extLst/>
            </c:numRef>
          </c:val>
          <c:extLst>
            <c:ext xmlns:c16="http://schemas.microsoft.com/office/drawing/2014/chart" uri="{C3380CC4-5D6E-409C-BE32-E72D297353CC}">
              <c16:uniqueId val="{00000002-C2E1-4555-8EFF-D137AB534E32}"/>
            </c:ext>
          </c:extLst>
        </c:ser>
        <c:ser>
          <c:idx val="9"/>
          <c:order val="9"/>
          <c:tx>
            <c:strRef>
              <c:f>transport!$B$14</c:f>
              <c:strCache>
                <c:ptCount val="1"/>
                <c:pt idx="0">
                  <c:v>Wodór</c:v>
                </c:pt>
              </c:strCache>
            </c:strRef>
          </c:tx>
          <c:spPr>
            <a:solidFill>
              <a:schemeClr val="accent2">
                <a:lumMod val="20000"/>
                <a:lumOff val="80000"/>
              </a:scheme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transport!$F$14:$J$14</c:f>
              <c:numCache>
                <c:formatCode>#,##0</c:formatCode>
                <c:ptCount val="5"/>
                <c:pt idx="0">
                  <c:v>0</c:v>
                </c:pt>
                <c:pt idx="1">
                  <c:v>4.6507191609109793</c:v>
                </c:pt>
                <c:pt idx="2">
                  <c:v>26.688521317424023</c:v>
                </c:pt>
                <c:pt idx="3">
                  <c:v>128.28914107769441</c:v>
                </c:pt>
                <c:pt idx="4">
                  <c:v>402.60248887699697</c:v>
                </c:pt>
              </c:numCache>
              <c:extLst/>
            </c:numRef>
          </c:val>
          <c:extLst>
            <c:ext xmlns:c16="http://schemas.microsoft.com/office/drawing/2014/chart" uri="{C3380CC4-5D6E-409C-BE32-E72D297353CC}">
              <c16:uniqueId val="{00000003-C2E1-4555-8EFF-D137AB534E32}"/>
            </c:ext>
          </c:extLst>
        </c:ser>
        <c:ser>
          <c:idx val="10"/>
          <c:order val="10"/>
          <c:tx>
            <c:strRef>
              <c:f>transport!$B$15</c:f>
              <c:strCache>
                <c:ptCount val="1"/>
                <c:pt idx="0">
                  <c:v>Biometan</c:v>
                </c:pt>
              </c:strCache>
            </c:strRef>
          </c:tx>
          <c:spPr>
            <a:solidFill>
              <a:srgbClr val="ED7D31">
                <a:lumMod val="60000"/>
                <a:lumOff val="40000"/>
              </a:srgbClr>
            </a:solidFill>
            <a:ln>
              <a:noFill/>
            </a:ln>
            <a:effectLst/>
          </c:spPr>
          <c:invertIfNegative val="0"/>
          <c:cat>
            <c:numRef>
              <c:f>transport!$F$4:$J$4</c:f>
              <c:numCache>
                <c:formatCode>0</c:formatCode>
                <c:ptCount val="5"/>
                <c:pt idx="0">
                  <c:v>2020</c:v>
                </c:pt>
                <c:pt idx="1">
                  <c:v>2025</c:v>
                </c:pt>
                <c:pt idx="2">
                  <c:v>2030</c:v>
                </c:pt>
                <c:pt idx="3">
                  <c:v>2035</c:v>
                </c:pt>
                <c:pt idx="4">
                  <c:v>2040</c:v>
                </c:pt>
              </c:numCache>
              <c:extLst/>
            </c:numRef>
          </c:cat>
          <c:val>
            <c:numRef>
              <c:f>transport!$F$15:$J$15</c:f>
              <c:numCache>
                <c:formatCode>#,##0</c:formatCode>
                <c:ptCount val="5"/>
                <c:pt idx="0">
                  <c:v>0</c:v>
                </c:pt>
                <c:pt idx="1">
                  <c:v>34.806311661686721</c:v>
                </c:pt>
                <c:pt idx="2">
                  <c:v>185.03167793082528</c:v>
                </c:pt>
                <c:pt idx="3">
                  <c:v>188.76080927089322</c:v>
                </c:pt>
                <c:pt idx="4">
                  <c:v>213.55823391687164</c:v>
                </c:pt>
              </c:numCache>
              <c:extLst/>
            </c:numRef>
          </c:val>
          <c:extLst>
            <c:ext xmlns:c16="http://schemas.microsoft.com/office/drawing/2014/chart" uri="{C3380CC4-5D6E-409C-BE32-E72D297353CC}">
              <c16:uniqueId val="{00000004-C2E1-4555-8EFF-D137AB534E32}"/>
            </c:ext>
          </c:extLst>
        </c:ser>
        <c:dLbls>
          <c:showLegendKey val="0"/>
          <c:showVal val="0"/>
          <c:showCatName val="0"/>
          <c:showSerName val="0"/>
          <c:showPercent val="0"/>
          <c:showBubbleSize val="0"/>
        </c:dLbls>
        <c:gapWidth val="70"/>
        <c:overlap val="100"/>
        <c:axId val="951778472"/>
        <c:axId val="951778864"/>
        <c:extLst>
          <c:ext xmlns:c15="http://schemas.microsoft.com/office/drawing/2012/chart" uri="{02D57815-91ED-43cb-92C2-25804820EDAC}">
            <c15:filteredBarSeries>
              <c15:ser>
                <c:idx val="0"/>
                <c:order val="0"/>
                <c:tx>
                  <c:strRef>
                    <c:extLst>
                      <c:ext uri="{02D57815-91ED-43cb-92C2-25804820EDAC}">
                        <c15:formulaRef>
                          <c15:sqref>transport!$B$5</c15:sqref>
                        </c15:formulaRef>
                      </c:ext>
                    </c:extLst>
                    <c:strCache>
                      <c:ptCount val="1"/>
                      <c:pt idx="0">
                        <c:v>Benzyna</c:v>
                      </c:pt>
                    </c:strCache>
                  </c:strRef>
                </c:tx>
                <c:spPr>
                  <a:solidFill>
                    <a:srgbClr val="FF9900"/>
                  </a:solidFill>
                  <a:ln>
                    <a:noFill/>
                  </a:ln>
                  <a:effectLst/>
                </c:spPr>
                <c:invertIfNegative val="0"/>
                <c:cat>
                  <c:numRef>
                    <c:extLst>
                      <c:ext uri="{02D57815-91ED-43cb-92C2-25804820EDAC}">
                        <c15:formulaRef>
                          <c15:sqref>transport!$F$4:$J$4</c15:sqref>
                        </c15:formulaRef>
                      </c:ext>
                    </c:extLst>
                    <c:numCache>
                      <c:formatCode>0</c:formatCode>
                      <c:ptCount val="5"/>
                      <c:pt idx="0">
                        <c:v>2020</c:v>
                      </c:pt>
                      <c:pt idx="1">
                        <c:v>2025</c:v>
                      </c:pt>
                      <c:pt idx="2">
                        <c:v>2030</c:v>
                      </c:pt>
                      <c:pt idx="3">
                        <c:v>2035</c:v>
                      </c:pt>
                      <c:pt idx="4">
                        <c:v>2040</c:v>
                      </c:pt>
                    </c:numCache>
                  </c:numRef>
                </c:cat>
                <c:val>
                  <c:numRef>
                    <c:extLst>
                      <c:ext uri="{02D57815-91ED-43cb-92C2-25804820EDAC}">
                        <c15:formulaRef>
                          <c15:sqref>transport!$F$5:$J$5</c15:sqref>
                        </c15:formulaRef>
                      </c:ext>
                    </c:extLst>
                    <c:numCache>
                      <c:formatCode>#,##0</c:formatCode>
                      <c:ptCount val="5"/>
                      <c:pt idx="0">
                        <c:v>4226.9260000000004</c:v>
                      </c:pt>
                      <c:pt idx="1">
                        <c:v>4514.2303929335367</c:v>
                      </c:pt>
                      <c:pt idx="2">
                        <c:v>4316.0447520746211</c:v>
                      </c:pt>
                      <c:pt idx="3">
                        <c:v>4316.8293651340373</c:v>
                      </c:pt>
                      <c:pt idx="4">
                        <c:v>3904.6172513453289</c:v>
                      </c:pt>
                    </c:numCache>
                  </c:numRef>
                </c:val>
                <c:extLst>
                  <c:ext xmlns:c16="http://schemas.microsoft.com/office/drawing/2014/chart" uri="{C3380CC4-5D6E-409C-BE32-E72D297353CC}">
                    <c16:uniqueId val="{00000005-C2E1-4555-8EFF-D137AB534E3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transport!$B$6</c15:sqref>
                        </c15:formulaRef>
                      </c:ext>
                    </c:extLst>
                    <c:strCache>
                      <c:ptCount val="1"/>
                      <c:pt idx="0">
                        <c:v>Olej napędowy</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transport!$F$4:$J$4</c15:sqref>
                        </c15:formulaRef>
                      </c:ext>
                    </c:extLst>
                    <c:numCache>
                      <c:formatCode>0</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transport!$F$6:$J$6</c15:sqref>
                        </c15:formulaRef>
                      </c:ext>
                    </c:extLst>
                    <c:numCache>
                      <c:formatCode>#,##0</c:formatCode>
                      <c:ptCount val="5"/>
                      <c:pt idx="0">
                        <c:v>13965</c:v>
                      </c:pt>
                      <c:pt idx="1">
                        <c:v>14479.279491525482</c:v>
                      </c:pt>
                      <c:pt idx="2">
                        <c:v>12819.583828259798</c:v>
                      </c:pt>
                      <c:pt idx="3">
                        <c:v>11041.26500759151</c:v>
                      </c:pt>
                      <c:pt idx="4">
                        <c:v>9301.0281033628562</c:v>
                      </c:pt>
                    </c:numCache>
                  </c:numRef>
                </c:val>
                <c:extLst xmlns:c15="http://schemas.microsoft.com/office/drawing/2012/chart">
                  <c:ext xmlns:c16="http://schemas.microsoft.com/office/drawing/2014/chart" uri="{C3380CC4-5D6E-409C-BE32-E72D297353CC}">
                    <c16:uniqueId val="{00000006-C2E1-4555-8EFF-D137AB534E3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transport!$B$7</c15:sqref>
                        </c15:formulaRef>
                      </c:ext>
                    </c:extLst>
                    <c:strCache>
                      <c:ptCount val="1"/>
                      <c:pt idx="0">
                        <c:v>LPG</c:v>
                      </c:pt>
                    </c:strCache>
                  </c:strRef>
                </c:tx>
                <c:spPr>
                  <a:solidFill>
                    <a:schemeClr val="accent4">
                      <a:lumMod val="40000"/>
                      <a:lumOff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transport!$F$4:$J$4</c15:sqref>
                        </c15:formulaRef>
                      </c:ext>
                    </c:extLst>
                    <c:numCache>
                      <c:formatCode>0</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transport!$F$7:$J$7</c15:sqref>
                        </c15:formulaRef>
                      </c:ext>
                    </c:extLst>
                    <c:numCache>
                      <c:formatCode>#,##0</c:formatCode>
                      <c:ptCount val="5"/>
                      <c:pt idx="0">
                        <c:v>1906.2239999999999</c:v>
                      </c:pt>
                      <c:pt idx="1">
                        <c:v>1841.824509410782</c:v>
                      </c:pt>
                      <c:pt idx="2">
                        <c:v>1451.2201357491901</c:v>
                      </c:pt>
                      <c:pt idx="3">
                        <c:v>1196.7470957540511</c:v>
                      </c:pt>
                      <c:pt idx="4">
                        <c:v>1006.583415033016</c:v>
                      </c:pt>
                    </c:numCache>
                  </c:numRef>
                </c:val>
                <c:extLst xmlns:c15="http://schemas.microsoft.com/office/drawing/2012/chart">
                  <c:ext xmlns:c16="http://schemas.microsoft.com/office/drawing/2014/chart" uri="{C3380CC4-5D6E-409C-BE32-E72D297353CC}">
                    <c16:uniqueId val="{00000007-C2E1-4555-8EFF-D137AB534E3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transport!$B$8</c15:sqref>
                        </c15:formulaRef>
                      </c:ext>
                    </c:extLst>
                    <c:strCache>
                      <c:ptCount val="1"/>
                      <c:pt idx="0">
                        <c:v>CNG</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transport!$F$4:$J$4</c15:sqref>
                        </c15:formulaRef>
                      </c:ext>
                    </c:extLst>
                    <c:numCache>
                      <c:formatCode>0</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transport!$F$8:$J$8</c15:sqref>
                        </c15:formulaRef>
                      </c:ext>
                    </c:extLst>
                    <c:numCache>
                      <c:formatCode>#,##0</c:formatCode>
                      <c:ptCount val="5"/>
                      <c:pt idx="0">
                        <c:v>21.6759241695</c:v>
                      </c:pt>
                      <c:pt idx="1">
                        <c:v>59.044252560421384</c:v>
                      </c:pt>
                      <c:pt idx="2">
                        <c:v>77.072240123503647</c:v>
                      </c:pt>
                      <c:pt idx="3">
                        <c:v>75.614268375554175</c:v>
                      </c:pt>
                      <c:pt idx="4">
                        <c:v>61.187179370026342</c:v>
                      </c:pt>
                    </c:numCache>
                  </c:numRef>
                </c:val>
                <c:extLst xmlns:c15="http://schemas.microsoft.com/office/drawing/2012/chart">
                  <c:ext xmlns:c16="http://schemas.microsoft.com/office/drawing/2014/chart" uri="{C3380CC4-5D6E-409C-BE32-E72D297353CC}">
                    <c16:uniqueId val="{00000008-C2E1-4555-8EFF-D137AB534E3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transport!$B$10</c15:sqref>
                        </c15:formulaRef>
                      </c:ext>
                    </c:extLst>
                    <c:strCache>
                      <c:ptCount val="1"/>
                      <c:pt idx="0">
                        <c:v>Paliwa lotnicze</c:v>
                      </c:pt>
                    </c:strCache>
                  </c:strRef>
                </c:tx>
                <c:spPr>
                  <a:solidFill>
                    <a:schemeClr val="accent4">
                      <a:lumMod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transport!$F$4:$J$4</c15:sqref>
                        </c15:formulaRef>
                      </c:ext>
                    </c:extLst>
                    <c:numCache>
                      <c:formatCode>0</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transport!$F$10:$J$10</c15:sqref>
                        </c15:formulaRef>
                      </c:ext>
                    </c:extLst>
                    <c:numCache>
                      <c:formatCode>#,##0</c:formatCode>
                      <c:ptCount val="5"/>
                      <c:pt idx="0">
                        <c:v>18.234999999999999</c:v>
                      </c:pt>
                      <c:pt idx="1">
                        <c:v>87.255677034100813</c:v>
                      </c:pt>
                      <c:pt idx="2">
                        <c:v>107.03824951716561</c:v>
                      </c:pt>
                      <c:pt idx="3">
                        <c:v>124.69959671223567</c:v>
                      </c:pt>
                      <c:pt idx="4">
                        <c:v>129.791697953772</c:v>
                      </c:pt>
                    </c:numCache>
                  </c:numRef>
                </c:val>
                <c:extLst xmlns:c15="http://schemas.microsoft.com/office/drawing/2012/chart">
                  <c:ext xmlns:c16="http://schemas.microsoft.com/office/drawing/2014/chart" uri="{C3380CC4-5D6E-409C-BE32-E72D297353CC}">
                    <c16:uniqueId val="{00000009-C2E1-4555-8EFF-D137AB534E3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transport!$B$11</c15:sqref>
                        </c15:formulaRef>
                      </c:ext>
                    </c:extLst>
                    <c:strCache>
                      <c:ptCount val="1"/>
                      <c:pt idx="0">
                        <c:v>Gaz ziemny (transport rur.)</c:v>
                      </c:pt>
                    </c:strCache>
                  </c:strRef>
                </c:tx>
                <c:spPr>
                  <a:solidFill>
                    <a:schemeClr val="accent1">
                      <a:lumMod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transport!$F$4:$J$4</c15:sqref>
                        </c15:formulaRef>
                      </c:ext>
                    </c:extLst>
                    <c:numCache>
                      <c:formatCode>0</c:formatCode>
                      <c:ptCount val="5"/>
                      <c:pt idx="0">
                        <c:v>2020</c:v>
                      </c:pt>
                      <c:pt idx="1">
                        <c:v>2025</c:v>
                      </c:pt>
                      <c:pt idx="2">
                        <c:v>2030</c:v>
                      </c:pt>
                      <c:pt idx="3">
                        <c:v>2035</c:v>
                      </c:pt>
                      <c:pt idx="4">
                        <c:v>2040</c:v>
                      </c:pt>
                    </c:numCache>
                  </c:numRef>
                </c:cat>
                <c:val>
                  <c:numRef>
                    <c:extLst xmlns:c15="http://schemas.microsoft.com/office/drawing/2012/chart">
                      <c:ext xmlns:c15="http://schemas.microsoft.com/office/drawing/2012/chart" uri="{02D57815-91ED-43cb-92C2-25804820EDAC}">
                        <c15:formulaRef>
                          <c15:sqref>transport!$F$11:$J$11</c15:sqref>
                        </c15:formulaRef>
                      </c:ext>
                    </c:extLst>
                    <c:numCache>
                      <c:formatCode>#,##0</c:formatCode>
                      <c:ptCount val="5"/>
                      <c:pt idx="0">
                        <c:v>328.10107583050001</c:v>
                      </c:pt>
                      <c:pt idx="1">
                        <c:v>70.35608035175062</c:v>
                      </c:pt>
                      <c:pt idx="2">
                        <c:v>67.122853959773991</c:v>
                      </c:pt>
                      <c:pt idx="3">
                        <c:v>64.037554535269351</c:v>
                      </c:pt>
                      <c:pt idx="4">
                        <c:v>61.093448421286197</c:v>
                      </c:pt>
                    </c:numCache>
                  </c:numRef>
                </c:val>
                <c:extLst xmlns:c15="http://schemas.microsoft.com/office/drawing/2012/chart">
                  <c:ext xmlns:c16="http://schemas.microsoft.com/office/drawing/2014/chart" uri="{C3380CC4-5D6E-409C-BE32-E72D297353CC}">
                    <c16:uniqueId val="{0000000A-C2E1-4555-8EFF-D137AB534E32}"/>
                  </c:ext>
                </c:extLst>
              </c15:ser>
            </c15:filteredBarSeries>
          </c:ext>
        </c:extLst>
      </c:barChart>
      <c:catAx>
        <c:axId val="95177847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78864"/>
        <c:crosses val="autoZero"/>
        <c:auto val="1"/>
        <c:lblAlgn val="ctr"/>
        <c:lblOffset val="100"/>
        <c:noMultiLvlLbl val="0"/>
      </c:catAx>
      <c:valAx>
        <c:axId val="951778864"/>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78472"/>
        <c:crosses val="autoZero"/>
        <c:crossBetween val="between"/>
        <c:majorUnit val="100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png"/></Relationships>
</file>

<file path=word/drawings/drawing1.xml><?xml version="1.0" encoding="utf-8"?>
<c:userShapes xmlns:c="http://schemas.openxmlformats.org/drawingml/2006/chart">
  <cdr:relSizeAnchor xmlns:cdr="http://schemas.openxmlformats.org/drawingml/2006/chartDrawing">
    <cdr:from>
      <cdr:x>0.45474</cdr:x>
      <cdr:y>0.23831</cdr:y>
    </cdr:from>
    <cdr:to>
      <cdr:x>0.60273</cdr:x>
      <cdr:y>0.29591</cdr:y>
    </cdr:to>
    <cdr:sp macro="" textlink="">
      <cdr:nvSpPr>
        <cdr:cNvPr id="2" name="pole tekstowe 8">
          <a:extLst xmlns:a="http://schemas.openxmlformats.org/drawingml/2006/main">
            <a:ext uri="{FF2B5EF4-FFF2-40B4-BE49-F238E27FC236}">
              <a16:creationId xmlns:a16="http://schemas.microsoft.com/office/drawing/2014/main" id="{C555E18E-9FBE-AE52-C5E3-BE5CF3084726}"/>
            </a:ext>
          </a:extLst>
        </cdr:cNvPr>
        <cdr:cNvSpPr txBox="1"/>
      </cdr:nvSpPr>
      <cdr:spPr>
        <a:xfrm xmlns:a="http://schemas.openxmlformats.org/drawingml/2006/main">
          <a:off x="2619633" y="802803"/>
          <a:ext cx="852505" cy="19403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fld id="{D9B7077A-B03A-4A32-8640-2A8663BB15B0}" type="TxLink">
            <a:rPr lang="en-US" sz="1200" b="1" i="0" u="none" strike="noStrike">
              <a:solidFill>
                <a:srgbClr val="000000"/>
              </a:solidFill>
              <a:latin typeface="Lato"/>
            </a:rPr>
            <a:pPr algn="l"/>
            <a:t>-53,9%</a:t>
          </a:fld>
          <a:endParaRPr lang="pl-PL" sz="1200" b="1"/>
        </a:p>
      </cdr:txBody>
    </cdr:sp>
  </cdr:relSizeAnchor>
  <cdr:relSizeAnchor xmlns:cdr="http://schemas.openxmlformats.org/drawingml/2006/chartDrawing">
    <cdr:from>
      <cdr:x>0.70775</cdr:x>
      <cdr:y>0.71928</cdr:y>
    </cdr:from>
    <cdr:to>
      <cdr:x>0.96481</cdr:x>
      <cdr:y>0.91181</cdr:y>
    </cdr:to>
    <cdr:sp macro="" textlink="">
      <cdr:nvSpPr>
        <cdr:cNvPr id="3" name="Pole tekstowe 1">
          <a:extLst xmlns:a="http://schemas.openxmlformats.org/drawingml/2006/main">
            <a:ext uri="{FF2B5EF4-FFF2-40B4-BE49-F238E27FC236}">
              <a16:creationId xmlns:a16="http://schemas.microsoft.com/office/drawing/2014/main" id="{E5085934-BE0A-A18E-0CDE-E89F2DCE8243}"/>
            </a:ext>
          </a:extLst>
        </cdr:cNvPr>
        <cdr:cNvSpPr txBox="1"/>
      </cdr:nvSpPr>
      <cdr:spPr>
        <a:xfrm xmlns:a="http://schemas.openxmlformats.org/drawingml/2006/main">
          <a:off x="4077176" y="2411596"/>
          <a:ext cx="1480851" cy="6455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a:solidFill>
                <a:schemeClr val="tx1">
                  <a:lumMod val="65000"/>
                  <a:lumOff val="35000"/>
                </a:schemeClr>
              </a:solidFill>
              <a:latin typeface="Lato" panose="020F0502020204030203" pitchFamily="34" charset="-18"/>
            </a:rPr>
            <a:t>*</a:t>
          </a:r>
          <a:r>
            <a:rPr lang="pl-PL" sz="900" baseline="0">
              <a:solidFill>
                <a:schemeClr val="tx1">
                  <a:lumMod val="65000"/>
                  <a:lumOff val="35000"/>
                </a:schemeClr>
              </a:solidFill>
              <a:latin typeface="Lato" panose="020F0502020204030203" pitchFamily="34" charset="-18"/>
            </a:rPr>
            <a:t> </a:t>
          </a:r>
          <a:r>
            <a:rPr lang="pl-PL" sz="900">
              <a:solidFill>
                <a:schemeClr val="tx1">
                  <a:lumMod val="65000"/>
                  <a:lumOff val="35000"/>
                </a:schemeClr>
              </a:solidFill>
              <a:latin typeface="Lato" panose="020F0502020204030203" pitchFamily="34" charset="-18"/>
            </a:rPr>
            <a:t>Suma uwzględnia</a:t>
          </a:r>
          <a:r>
            <a:rPr lang="pl-PL" sz="900">
              <a:solidFill>
                <a:schemeClr val="tx1">
                  <a:lumMod val="65000"/>
                  <a:lumOff val="35000"/>
                </a:schemeClr>
              </a:solidFill>
              <a:latin typeface="Lato" panose="020F0502020204030203" pitchFamily="34" charset="-18"/>
              <a:ea typeface="+mn-ea"/>
              <a:cs typeface="+mn-cs"/>
            </a:rPr>
            <a:t> </a:t>
          </a:r>
          <a:r>
            <a:rPr lang="pl-PL" sz="900" baseline="0">
              <a:solidFill>
                <a:schemeClr val="tx1">
                  <a:lumMod val="65000"/>
                  <a:lumOff val="35000"/>
                </a:schemeClr>
              </a:solidFill>
              <a:latin typeface="Lato" panose="020F0502020204030203" pitchFamily="34" charset="-18"/>
            </a:rPr>
            <a:t>pochłanianie LULUCF</a:t>
          </a:r>
          <a:endParaRPr lang="pl-PL" sz="900">
            <a:solidFill>
              <a:schemeClr val="tx1">
                <a:lumMod val="65000"/>
                <a:lumOff val="35000"/>
              </a:schemeClr>
            </a:solidFill>
            <a:latin typeface="Lato" panose="020F0502020204030203" pitchFamily="34" charset="-18"/>
          </a:endParaRPr>
        </a:p>
      </cdr:txBody>
    </cdr:sp>
  </cdr:relSizeAnchor>
  <cdr:relSizeAnchor xmlns:cdr="http://schemas.openxmlformats.org/drawingml/2006/chartDrawing">
    <cdr:from>
      <cdr:x>0.5836</cdr:x>
      <cdr:y>0.12004</cdr:y>
    </cdr:from>
    <cdr:to>
      <cdr:x>0.61508</cdr:x>
      <cdr:y>0.58574</cdr:y>
    </cdr:to>
    <cdr:sp macro="" textlink="">
      <cdr:nvSpPr>
        <cdr:cNvPr id="4" name="Strzałka: w dół 3">
          <a:extLst xmlns:a="http://schemas.openxmlformats.org/drawingml/2006/main">
            <a:ext uri="{FF2B5EF4-FFF2-40B4-BE49-F238E27FC236}">
              <a16:creationId xmlns:a16="http://schemas.microsoft.com/office/drawing/2014/main" id="{5E0CE270-72AF-9A9E-CAFC-39CB318A8F63}"/>
            </a:ext>
          </a:extLst>
        </cdr:cNvPr>
        <cdr:cNvSpPr/>
      </cdr:nvSpPr>
      <cdr:spPr>
        <a:xfrm xmlns:a="http://schemas.openxmlformats.org/drawingml/2006/main">
          <a:off x="3361957" y="402470"/>
          <a:ext cx="181344" cy="1561411"/>
        </a:xfrm>
        <a:prstGeom xmlns:a="http://schemas.openxmlformats.org/drawingml/2006/main" prst="downArrow">
          <a:avLst/>
        </a:prstGeom>
        <a:ln xmlns:a="http://schemas.openxmlformats.org/drawingml/2006/main">
          <a:noFill/>
        </a:ln>
      </cdr:spPr>
      <cdr:style>
        <a:lnRef xmlns:a="http://schemas.openxmlformats.org/drawingml/2006/main" idx="3">
          <a:schemeClr val="lt1"/>
        </a:lnRef>
        <a:fillRef xmlns:a="http://schemas.openxmlformats.org/drawingml/2006/main" idx="1">
          <a:schemeClr val="accent6"/>
        </a:fillRef>
        <a:effectRef xmlns:a="http://schemas.openxmlformats.org/drawingml/2006/main" idx="1">
          <a:schemeClr val="accent6"/>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0.43706</cdr:x>
      <cdr:y>0.1197</cdr:y>
    </cdr:from>
    <cdr:to>
      <cdr:x>0.47078</cdr:x>
      <cdr:y>0.41839</cdr:y>
    </cdr:to>
    <cdr:sp macro="" textlink="">
      <cdr:nvSpPr>
        <cdr:cNvPr id="5" name="Strzałka: w dół 4">
          <a:extLst xmlns:a="http://schemas.openxmlformats.org/drawingml/2006/main">
            <a:ext uri="{FF2B5EF4-FFF2-40B4-BE49-F238E27FC236}">
              <a16:creationId xmlns:a16="http://schemas.microsoft.com/office/drawing/2014/main" id="{98C45E03-A95A-4D27-A421-DCC8D5BF85A0}"/>
            </a:ext>
          </a:extLst>
        </cdr:cNvPr>
        <cdr:cNvSpPr/>
      </cdr:nvSpPr>
      <cdr:spPr>
        <a:xfrm xmlns:a="http://schemas.openxmlformats.org/drawingml/2006/main" flipH="1">
          <a:off x="2517779" y="401330"/>
          <a:ext cx="194247" cy="1001442"/>
        </a:xfrm>
        <a:prstGeom xmlns:a="http://schemas.openxmlformats.org/drawingml/2006/main" prst="downArrow">
          <a:avLst/>
        </a:prstGeom>
        <a:ln xmlns:a="http://schemas.openxmlformats.org/drawingml/2006/main">
          <a:noFill/>
        </a:ln>
      </cdr:spPr>
      <cdr:style>
        <a:lnRef xmlns:a="http://schemas.openxmlformats.org/drawingml/2006/main" idx="3">
          <a:schemeClr val="lt1"/>
        </a:lnRef>
        <a:fillRef xmlns:a="http://schemas.openxmlformats.org/drawingml/2006/main" idx="1">
          <a:schemeClr val="accent6"/>
        </a:fillRef>
        <a:effectRef xmlns:a="http://schemas.openxmlformats.org/drawingml/2006/main" idx="1">
          <a:schemeClr val="accent6"/>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0.60149</cdr:x>
      <cdr:y>0.28391</cdr:y>
    </cdr:from>
    <cdr:to>
      <cdr:x>0.74857</cdr:x>
      <cdr:y>0.35495</cdr:y>
    </cdr:to>
    <cdr:sp macro="" textlink="">
      <cdr:nvSpPr>
        <cdr:cNvPr id="6" name="pole tekstowe 8">
          <a:extLst xmlns:a="http://schemas.openxmlformats.org/drawingml/2006/main">
            <a:ext uri="{FF2B5EF4-FFF2-40B4-BE49-F238E27FC236}">
              <a16:creationId xmlns:a16="http://schemas.microsoft.com/office/drawing/2014/main" id="{C555E18E-9FBE-AE52-C5E3-BE5CF3084726}"/>
            </a:ext>
          </a:extLst>
        </cdr:cNvPr>
        <cdr:cNvSpPr txBox="1"/>
      </cdr:nvSpPr>
      <cdr:spPr>
        <a:xfrm xmlns:a="http://schemas.openxmlformats.org/drawingml/2006/main">
          <a:off x="3465029" y="956400"/>
          <a:ext cx="847255" cy="23930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fld id="{6B2A10EB-D8DD-42AC-B8B7-80E92DA7C029}" type="TxLink">
            <a:rPr lang="en-US" sz="1200" b="1" i="0" u="none" strike="noStrike">
              <a:solidFill>
                <a:srgbClr val="000000"/>
              </a:solidFill>
              <a:latin typeface="Lato"/>
            </a:rPr>
            <a:pPr algn="l"/>
            <a:t>-75,8%</a:t>
          </a:fld>
          <a:endParaRPr lang="pl-PL" sz="1200" b="1"/>
        </a:p>
      </cdr:txBody>
    </cdr:sp>
  </cdr:relSizeAnchor>
</c:userShapes>
</file>

<file path=word/drawings/drawing2.xml><?xml version="1.0" encoding="utf-8"?>
<c:userShapes xmlns:c="http://schemas.openxmlformats.org/drawingml/2006/chart">
  <cdr:relSizeAnchor xmlns:cdr="http://schemas.openxmlformats.org/drawingml/2006/chartDrawing">
    <cdr:from>
      <cdr:x>0.89402</cdr:x>
      <cdr:y>0.28011</cdr:y>
    </cdr:from>
    <cdr:to>
      <cdr:x>0.93</cdr:x>
      <cdr:y>0.33442</cdr:y>
    </cdr:to>
    <cdr:pic>
      <cdr:nvPicPr>
        <cdr:cNvPr id="2" name="Obraz 1" descr="Obraz zawierający czarne, ciemność&#10;&#10;Opis wygenerowany automatycznie"/>
        <cdr:cNvPicPr>
          <a:picLocks xmlns:a="http://schemas.openxmlformats.org/drawingml/2006/main" noChangeAspect="1"/>
        </cdr:cNvPicPr>
      </cdr:nvPicPr>
      <cdr:blipFill>
        <a:blip xmlns:a="http://schemas.openxmlformats.org/drawingml/2006/main" xmlns:r="http://schemas.openxmlformats.org/officeDocument/2006/relationships" r:embed="rId1" cstate="print">
          <a:duotone>
            <a:schemeClr val="bg2">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64805" y="1216645"/>
          <a:ext cx="215907" cy="235890"/>
        </a:xfrm>
        <a:prstGeom xmlns:a="http://schemas.openxmlformats.org/drawingml/2006/main" prst="rect">
          <a:avLst/>
        </a:prstGeom>
        <a:noFill xmlns:a="http://schemas.openxmlformats.org/drawingml/2006/main"/>
      </cdr:spPr>
    </cdr:pic>
  </cdr:relSizeAnchor>
  <cdr:relSizeAnchor xmlns:cdr="http://schemas.openxmlformats.org/drawingml/2006/chartDrawing">
    <cdr:from>
      <cdr:x>0.88917</cdr:x>
      <cdr:y>0.51451</cdr:y>
    </cdr:from>
    <cdr:to>
      <cdr:x>0.93065</cdr:x>
      <cdr:y>0.5806</cdr:y>
    </cdr:to>
    <cdr:pic>
      <cdr:nvPicPr>
        <cdr:cNvPr id="3" name="Obraz 2" descr="Obraz zawierający czarne, ciemność&#10;&#10;Opis wygenerowany automatycznie"/>
        <cdr:cNvPicPr>
          <a:picLocks xmlns:a="http://schemas.openxmlformats.org/drawingml/2006/main" noChangeAspect="1"/>
        </cdr:cNvPicPr>
      </cdr:nvPicPr>
      <cdr:blipFill>
        <a:blip xmlns:a="http://schemas.openxmlformats.org/drawingml/2006/main" xmlns:r="http://schemas.openxmlformats.org/officeDocument/2006/relationships" r:embed="rId2" cstate="print">
          <a:duotone>
            <a:schemeClr val="bg2">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35661" y="2234738"/>
          <a:ext cx="248911" cy="287055"/>
        </a:xfrm>
        <a:prstGeom xmlns:a="http://schemas.openxmlformats.org/drawingml/2006/main" prst="rect">
          <a:avLst/>
        </a:prstGeom>
        <a:noFill xmlns:a="http://schemas.openxmlformats.org/drawingml/2006/main"/>
      </cdr:spPr>
    </cdr:pic>
  </cdr:relSizeAnchor>
  <cdr:relSizeAnchor xmlns:cdr="http://schemas.openxmlformats.org/drawingml/2006/chartDrawing">
    <cdr:from>
      <cdr:x>0.88682</cdr:x>
      <cdr:y>0.60139</cdr:y>
    </cdr:from>
    <cdr:to>
      <cdr:x>0.93455</cdr:x>
      <cdr:y>0.683</cdr:y>
    </cdr:to>
    <cdr:pic>
      <cdr:nvPicPr>
        <cdr:cNvPr id="4" name="Obraz 3" descr="Obraz zawierający czarne, ciemność&#10;&#10;Opis wygenerowany automatycznie"/>
        <cdr:cNvPicPr>
          <a:picLocks xmlns:a="http://schemas.openxmlformats.org/drawingml/2006/main" noChangeAspect="1"/>
        </cdr:cNvPicPr>
      </cdr:nvPicPr>
      <cdr:blipFill>
        <a:blip xmlns:a="http://schemas.openxmlformats.org/drawingml/2006/main" xmlns:r="http://schemas.openxmlformats.org/officeDocument/2006/relationships" r:embed="rId3" cstate="print">
          <a:duotone>
            <a:schemeClr val="bg2">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flipH="1">
          <a:off x="5321610" y="2612077"/>
          <a:ext cx="286416" cy="354465"/>
        </a:xfrm>
        <a:prstGeom xmlns:a="http://schemas.openxmlformats.org/drawingml/2006/main" prst="rect">
          <a:avLst/>
        </a:prstGeom>
        <a:noFill xmlns:a="http://schemas.openxmlformats.org/drawingml/2006/main"/>
      </cdr:spPr>
    </cdr:pic>
  </cdr:relSizeAnchor>
</c:userShapes>
</file>

<file path=word/drawings/drawing3.xml><?xml version="1.0" encoding="utf-8"?>
<c:userShapes xmlns:c="http://schemas.openxmlformats.org/drawingml/2006/chart">
  <cdr:relSizeAnchor xmlns:cdr="http://schemas.openxmlformats.org/drawingml/2006/chartDrawing">
    <cdr:from>
      <cdr:x>0.30919</cdr:x>
      <cdr:y>0.51464</cdr:y>
    </cdr:from>
    <cdr:to>
      <cdr:x>0.84212</cdr:x>
      <cdr:y>0.56917</cdr:y>
    </cdr:to>
    <cdr:sp macro="" textlink="">
      <cdr:nvSpPr>
        <cdr:cNvPr id="2" name="Prostokąt: zaokrąglone rogi 1">
          <a:extLst xmlns:a="http://schemas.openxmlformats.org/drawingml/2006/main">
            <a:ext uri="{FF2B5EF4-FFF2-40B4-BE49-F238E27FC236}">
              <a16:creationId xmlns:a16="http://schemas.microsoft.com/office/drawing/2014/main" id="{E6A039D9-FF3F-5A71-6B72-E0A23224F0D1}"/>
            </a:ext>
          </a:extLst>
        </cdr:cNvPr>
        <cdr:cNvSpPr/>
      </cdr:nvSpPr>
      <cdr:spPr>
        <a:xfrm xmlns:a="http://schemas.openxmlformats.org/drawingml/2006/main">
          <a:off x="1781175" y="2542476"/>
          <a:ext cx="3070043" cy="269395"/>
        </a:xfrm>
        <a:prstGeom xmlns:a="http://schemas.openxmlformats.org/drawingml/2006/main" prst="roundRect">
          <a:avLst/>
        </a:prstGeom>
        <a:solidFill xmlns:a="http://schemas.openxmlformats.org/drawingml/2006/main">
          <a:schemeClr val="accent6">
            <a:lumMod val="20000"/>
            <a:lumOff val="80000"/>
          </a:schemeClr>
        </a:solidFill>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FEC wg</a:t>
          </a:r>
          <a:r>
            <a:rPr lang="pl-PL" sz="900" baseline="0">
              <a:latin typeface="Lato" panose="020F0502020204030203" pitchFamily="34" charset="-18"/>
            </a:rPr>
            <a:t> aKPEiK: 64,1 Mtoe, -4,6</a:t>
          </a:r>
          <a:r>
            <a:rPr lang="pl-PL" sz="900">
              <a:latin typeface="Lato" panose="020F0502020204030203" pitchFamily="34" charset="-18"/>
            </a:rPr>
            <a:t>%</a:t>
          </a:r>
          <a:r>
            <a:rPr lang="pl-PL" sz="900" baseline="0">
              <a:latin typeface="Lato" panose="020F0502020204030203" pitchFamily="34" charset="-18"/>
            </a:rPr>
            <a:t> vs. PRIMES 2020</a:t>
          </a:r>
          <a:endParaRPr lang="pl-PL" sz="900">
            <a:latin typeface="Lato" panose="020F0502020204030203" pitchFamily="34" charset="-18"/>
          </a:endParaRPr>
        </a:p>
      </cdr:txBody>
    </cdr:sp>
  </cdr:relSizeAnchor>
  <cdr:relSizeAnchor xmlns:cdr="http://schemas.openxmlformats.org/drawingml/2006/chartDrawing">
    <cdr:from>
      <cdr:x>0.27999</cdr:x>
      <cdr:y>0.1515</cdr:y>
    </cdr:from>
    <cdr:to>
      <cdr:x>0.81934</cdr:x>
      <cdr:y>0.2018</cdr:y>
    </cdr:to>
    <cdr:sp macro="" textlink="">
      <cdr:nvSpPr>
        <cdr:cNvPr id="5" name="Prostokąt: zaokrąglone rogi 4">
          <a:extLst xmlns:a="http://schemas.openxmlformats.org/drawingml/2006/main">
            <a:ext uri="{FF2B5EF4-FFF2-40B4-BE49-F238E27FC236}">
              <a16:creationId xmlns:a16="http://schemas.microsoft.com/office/drawing/2014/main" id="{2AAAE965-3453-49AB-E808-F0EBECD4085D}"/>
            </a:ext>
          </a:extLst>
        </cdr:cNvPr>
        <cdr:cNvSpPr/>
      </cdr:nvSpPr>
      <cdr:spPr>
        <a:xfrm xmlns:a="http://schemas.openxmlformats.org/drawingml/2006/main">
          <a:off x="1612918" y="748465"/>
          <a:ext cx="3107044" cy="248497"/>
        </a:xfrm>
        <a:prstGeom xmlns:a="http://schemas.openxmlformats.org/drawingml/2006/main" prst="roundRect">
          <a:avLst/>
        </a:prstGeom>
        <a:solidFill xmlns:a="http://schemas.openxmlformats.org/drawingml/2006/main">
          <a:schemeClr val="accent1">
            <a:lumMod val="20000"/>
            <a:lumOff val="80000"/>
          </a:schemeClr>
        </a:solidFill>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PEC</a:t>
          </a:r>
          <a:r>
            <a:rPr lang="pl-PL" sz="900" baseline="0">
              <a:latin typeface="Lato" panose="020F0502020204030203" pitchFamily="34" charset="-18"/>
            </a:rPr>
            <a:t> wg aKPEiK</a:t>
          </a:r>
          <a:r>
            <a:rPr lang="pl-PL" sz="900">
              <a:latin typeface="Lato" panose="020F0502020204030203" pitchFamily="34" charset="-18"/>
            </a:rPr>
            <a:t>: 79,6 Mtoe, -14,7% vs. PRIMES 2020</a:t>
          </a:r>
        </a:p>
        <a:p xmlns:a="http://schemas.openxmlformats.org/drawingml/2006/main">
          <a:endParaRPr lang="pl-PL" sz="900">
            <a:latin typeface="Lato" panose="020F0502020204030203" pitchFamily="34" charset="-18"/>
          </a:endParaRPr>
        </a:p>
      </cdr:txBody>
    </cdr:sp>
  </cdr:relSizeAnchor>
  <cdr:relSizeAnchor xmlns:cdr="http://schemas.openxmlformats.org/drawingml/2006/chartDrawing">
    <cdr:from>
      <cdr:x>0.27612</cdr:x>
      <cdr:y>0.6004</cdr:y>
    </cdr:from>
    <cdr:to>
      <cdr:x>0.88226</cdr:x>
      <cdr:y>0.65493</cdr:y>
    </cdr:to>
    <cdr:sp macro="" textlink="">
      <cdr:nvSpPr>
        <cdr:cNvPr id="6" name="Prostokąt: zaokrąglone rogi 5">
          <a:extLst xmlns:a="http://schemas.openxmlformats.org/drawingml/2006/main">
            <a:ext uri="{FF2B5EF4-FFF2-40B4-BE49-F238E27FC236}">
              <a16:creationId xmlns:a16="http://schemas.microsoft.com/office/drawing/2014/main" id="{ECAA5343-25A0-5A2A-81FB-AE44DE0201A6}"/>
            </a:ext>
          </a:extLst>
        </cdr:cNvPr>
        <cdr:cNvSpPr/>
      </cdr:nvSpPr>
      <cdr:spPr>
        <a:xfrm xmlns:a="http://schemas.openxmlformats.org/drawingml/2006/main">
          <a:off x="1590675" y="2966156"/>
          <a:ext cx="3491778" cy="269395"/>
        </a:xfrm>
        <a:prstGeom xmlns:a="http://schemas.openxmlformats.org/drawingml/2006/main" prst="roundRect">
          <a:avLst/>
        </a:prstGeom>
        <a:solidFill xmlns:a="http://schemas.openxmlformats.org/drawingml/2006/main">
          <a:schemeClr val="accent6">
            <a:lumMod val="40000"/>
            <a:lumOff val="60000"/>
          </a:schemeClr>
        </a:solidFill>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FEC oczekiwana przez KE</a:t>
          </a:r>
          <a:r>
            <a:rPr lang="pl-PL" sz="900" baseline="0">
              <a:latin typeface="Lato" panose="020F0502020204030203" pitchFamily="34" charset="-18"/>
            </a:rPr>
            <a:t> 58,5 Mtoe, </a:t>
          </a:r>
          <a:r>
            <a:rPr lang="pl-PL" sz="900">
              <a:latin typeface="Lato" panose="020F0502020204030203" pitchFamily="34" charset="-18"/>
            </a:rPr>
            <a:t>-12,8%</a:t>
          </a:r>
          <a:r>
            <a:rPr lang="pl-PL" sz="900" baseline="0">
              <a:latin typeface="Lato" panose="020F0502020204030203" pitchFamily="34" charset="-18"/>
            </a:rPr>
            <a:t> vs. PRIMES 2020</a:t>
          </a:r>
          <a:endParaRPr lang="pl-PL" sz="900">
            <a:latin typeface="Lato" panose="020F0502020204030203" pitchFamily="34" charset="-18"/>
          </a:endParaRPr>
        </a:p>
      </cdr:txBody>
    </cdr:sp>
  </cdr:relSizeAnchor>
  <cdr:relSizeAnchor xmlns:cdr="http://schemas.openxmlformats.org/drawingml/2006/chartDrawing">
    <cdr:from>
      <cdr:x>0.24306</cdr:x>
      <cdr:y>0.06628</cdr:y>
    </cdr:from>
    <cdr:to>
      <cdr:x>0.84665</cdr:x>
      <cdr:y>0.11568</cdr:y>
    </cdr:to>
    <cdr:sp macro="" textlink="">
      <cdr:nvSpPr>
        <cdr:cNvPr id="7" name="Prostokąt: zaokrąglone rogi 6">
          <a:extLst xmlns:a="http://schemas.openxmlformats.org/drawingml/2006/main">
            <a:ext uri="{FF2B5EF4-FFF2-40B4-BE49-F238E27FC236}">
              <a16:creationId xmlns:a16="http://schemas.microsoft.com/office/drawing/2014/main" id="{C0A639B7-A03F-B947-6924-A30078AACFA5}"/>
            </a:ext>
          </a:extLst>
        </cdr:cNvPr>
        <cdr:cNvSpPr/>
      </cdr:nvSpPr>
      <cdr:spPr>
        <a:xfrm xmlns:a="http://schemas.openxmlformats.org/drawingml/2006/main">
          <a:off x="1400176" y="327438"/>
          <a:ext cx="3477110" cy="244062"/>
        </a:xfrm>
        <a:prstGeom xmlns:a="http://schemas.openxmlformats.org/drawingml/2006/main" prst="roundRect">
          <a:avLst/>
        </a:prstGeom>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PEC oczekwiana</a:t>
          </a:r>
          <a:r>
            <a:rPr lang="pl-PL" sz="900" baseline="0">
              <a:latin typeface="Lato" panose="020F0502020204030203" pitchFamily="34" charset="-18"/>
            </a:rPr>
            <a:t> przez KE</a:t>
          </a:r>
          <a:r>
            <a:rPr lang="pl-PL" sz="900">
              <a:latin typeface="Lato" panose="020F0502020204030203" pitchFamily="34" charset="-18"/>
            </a:rPr>
            <a:t>: 79,9 Mtoe, -14,4% vs. PRIMES 2020</a:t>
          </a:r>
        </a:p>
        <a:p xmlns:a="http://schemas.openxmlformats.org/drawingml/2006/main">
          <a:endParaRPr lang="pl-PL" sz="900">
            <a:latin typeface="Lato" panose="020F0502020204030203" pitchFamily="34" charset="-18"/>
          </a:endParaRPr>
        </a:p>
      </cdr:txBody>
    </cdr:sp>
  </cdr:relSizeAnchor>
  <cdr:relSizeAnchor xmlns:cdr="http://schemas.openxmlformats.org/drawingml/2006/chartDrawing">
    <cdr:from>
      <cdr:x>0.82011</cdr:x>
      <cdr:y>0.18766</cdr:y>
    </cdr:from>
    <cdr:to>
      <cdr:x>0.89905</cdr:x>
      <cdr:y>0.38499</cdr:y>
    </cdr:to>
    <cdr:cxnSp macro="">
      <cdr:nvCxnSpPr>
        <cdr:cNvPr id="9" name="Łącznik prosty ze strzałką 8">
          <a:extLst xmlns:a="http://schemas.openxmlformats.org/drawingml/2006/main">
            <a:ext uri="{FF2B5EF4-FFF2-40B4-BE49-F238E27FC236}">
              <a16:creationId xmlns:a16="http://schemas.microsoft.com/office/drawing/2014/main" id="{5FB9DC67-75F7-DDCF-7386-8A40D0CDDFD4}"/>
            </a:ext>
          </a:extLst>
        </cdr:cNvPr>
        <cdr:cNvCxnSpPr/>
      </cdr:nvCxnSpPr>
      <cdr:spPr>
        <a:xfrm xmlns:a="http://schemas.openxmlformats.org/drawingml/2006/main">
          <a:off x="4724400" y="927100"/>
          <a:ext cx="454761" cy="97485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0.84775</cdr:x>
      <cdr:y>0.09098</cdr:y>
    </cdr:from>
    <cdr:to>
      <cdr:x>0.92262</cdr:x>
      <cdr:y>0.3856</cdr:y>
    </cdr:to>
    <cdr:cxnSp macro="">
      <cdr:nvCxnSpPr>
        <cdr:cNvPr id="12" name="Łącznik prosty ze strzałką 11">
          <a:extLst xmlns:a="http://schemas.openxmlformats.org/drawingml/2006/main">
            <a:ext uri="{FF2B5EF4-FFF2-40B4-BE49-F238E27FC236}">
              <a16:creationId xmlns:a16="http://schemas.microsoft.com/office/drawing/2014/main" id="{D668476C-FF40-CBE0-8373-4235019D77A8}"/>
            </a:ext>
          </a:extLst>
        </cdr:cNvPr>
        <cdr:cNvCxnSpPr/>
      </cdr:nvCxnSpPr>
      <cdr:spPr>
        <a:xfrm xmlns:a="http://schemas.openxmlformats.org/drawingml/2006/main">
          <a:off x="4883636" y="449469"/>
          <a:ext cx="431314" cy="1455531"/>
        </a:xfrm>
        <a:prstGeom xmlns:a="http://schemas.openxmlformats.org/drawingml/2006/main" prst="straightConnector1">
          <a:avLst/>
        </a:prstGeom>
        <a:ln xmlns:a="http://schemas.openxmlformats.org/drawingml/2006/main">
          <a:solidFill>
            <a:srgbClr val="7030A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0.88226</cdr:x>
      <cdr:y>0.51414</cdr:y>
    </cdr:from>
    <cdr:to>
      <cdr:x>0.91821</cdr:x>
      <cdr:y>0.62767</cdr:y>
    </cdr:to>
    <cdr:cxnSp macro="">
      <cdr:nvCxnSpPr>
        <cdr:cNvPr id="16" name="Łącznik prosty ze strzałką 15">
          <a:extLst xmlns:a="http://schemas.openxmlformats.org/drawingml/2006/main">
            <a:ext uri="{FF2B5EF4-FFF2-40B4-BE49-F238E27FC236}">
              <a16:creationId xmlns:a16="http://schemas.microsoft.com/office/drawing/2014/main" id="{51331157-B65C-3DC6-8596-A487703701A7}"/>
            </a:ext>
          </a:extLst>
        </cdr:cNvPr>
        <cdr:cNvCxnSpPr>
          <a:stCxn xmlns:a="http://schemas.openxmlformats.org/drawingml/2006/main" id="6" idx="3"/>
        </cdr:cNvCxnSpPr>
      </cdr:nvCxnSpPr>
      <cdr:spPr>
        <a:xfrm xmlns:a="http://schemas.openxmlformats.org/drawingml/2006/main" flipV="1">
          <a:off x="5082453" y="2540006"/>
          <a:ext cx="207098" cy="56084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0.84254</cdr:x>
      <cdr:y>0.47433</cdr:y>
    </cdr:from>
    <cdr:to>
      <cdr:x>0.90224</cdr:x>
      <cdr:y>0.54714</cdr:y>
    </cdr:to>
    <cdr:cxnSp macro="">
      <cdr:nvCxnSpPr>
        <cdr:cNvPr id="18" name="Łącznik prosty ze strzałką 17">
          <a:extLst xmlns:a="http://schemas.openxmlformats.org/drawingml/2006/main">
            <a:ext uri="{FF2B5EF4-FFF2-40B4-BE49-F238E27FC236}">
              <a16:creationId xmlns:a16="http://schemas.microsoft.com/office/drawing/2014/main" id="{587165D0-868F-3EBF-75ED-F48E0A9ECA01}"/>
            </a:ext>
          </a:extLst>
        </cdr:cNvPr>
        <cdr:cNvCxnSpPr/>
      </cdr:nvCxnSpPr>
      <cdr:spPr>
        <a:xfrm xmlns:a="http://schemas.openxmlformats.org/drawingml/2006/main" flipV="1">
          <a:off x="6953623" y="2598644"/>
          <a:ext cx="492687" cy="39889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A0E0BFCF9A9445871829823D8E485C" ma:contentTypeVersion="4" ma:contentTypeDescription="Create a new document." ma:contentTypeScope="" ma:versionID="5fcd3d1ed85ffbe4c4a24d1edcb8ddcb">
  <xsd:schema xmlns:xsd="http://www.w3.org/2001/XMLSchema" xmlns:xs="http://www.w3.org/2001/XMLSchema" xmlns:p="http://schemas.microsoft.com/office/2006/metadata/properties" xmlns:ns2="9514f94e-7ec7-4d9d-a31a-1b013c5f895a" targetNamespace="http://schemas.microsoft.com/office/2006/metadata/properties" ma:root="true" ma:fieldsID="ac6876465c5816637dbc360cde17c7cb" ns2:_="">
    <xsd:import namespace="9514f94e-7ec7-4d9d-a31a-1b013c5f8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4f94e-7ec7-4d9d-a31a-1b013c5f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5C7DC-9B83-433D-A3CF-B004E87EE722}">
  <ds:schemaRefs>
    <ds:schemaRef ds:uri="http://schemas.microsoft.com/sharepoint/v3/contenttype/forms"/>
  </ds:schemaRefs>
</ds:datastoreItem>
</file>

<file path=customXml/itemProps2.xml><?xml version="1.0" encoding="utf-8"?>
<ds:datastoreItem xmlns:ds="http://schemas.openxmlformats.org/officeDocument/2006/customXml" ds:itemID="{96E08CE8-67EA-4080-B6AF-FD6E504A3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4f94e-7ec7-4d9d-a31a-1b013c5f8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3EF53-4A6D-4AF4-83D0-6864FF99F2E8}">
  <ds:schemaRefs>
    <ds:schemaRef ds:uri="http://schemas.openxmlformats.org/officeDocument/2006/bibliography"/>
  </ds:schemaRefs>
</ds:datastoreItem>
</file>

<file path=customXml/itemProps4.xml><?xml version="1.0" encoding="utf-8"?>
<ds:datastoreItem xmlns:ds="http://schemas.openxmlformats.org/officeDocument/2006/customXml" ds:itemID="{6CB2B1B4-8926-4FF1-AEF4-7CEE13784C68}">
  <ds:schemaRefs>
    <ds:schemaRef ds:uri="http://purl.org/dc/elements/1.1/"/>
    <ds:schemaRef ds:uri="http://schemas.microsoft.com/office/2006/documentManagement/types"/>
    <ds:schemaRef ds:uri="9514f94e-7ec7-4d9d-a31a-1b013c5f895a"/>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270</Pages>
  <Words>117395</Words>
  <Characters>704371</Characters>
  <Application>Microsoft Office Word</Application>
  <DocSecurity>0</DocSecurity>
  <Lines>5869</Lines>
  <Paragraphs>1640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820126</CharactersWithSpaces>
  <SharedDoc>false</SharedDoc>
  <HLinks>
    <vt:vector size="1350" baseType="variant">
      <vt:variant>
        <vt:i4>1966131</vt:i4>
      </vt:variant>
      <vt:variant>
        <vt:i4>2639</vt:i4>
      </vt:variant>
      <vt:variant>
        <vt:i4>0</vt:i4>
      </vt:variant>
      <vt:variant>
        <vt:i4>5</vt:i4>
      </vt:variant>
      <vt:variant>
        <vt:lpwstr/>
      </vt:variant>
      <vt:variant>
        <vt:lpwstr>_Toc203474597</vt:lpwstr>
      </vt:variant>
      <vt:variant>
        <vt:i4>1966131</vt:i4>
      </vt:variant>
      <vt:variant>
        <vt:i4>2633</vt:i4>
      </vt:variant>
      <vt:variant>
        <vt:i4>0</vt:i4>
      </vt:variant>
      <vt:variant>
        <vt:i4>5</vt:i4>
      </vt:variant>
      <vt:variant>
        <vt:lpwstr/>
      </vt:variant>
      <vt:variant>
        <vt:lpwstr>_Toc203474596</vt:lpwstr>
      </vt:variant>
      <vt:variant>
        <vt:i4>1966131</vt:i4>
      </vt:variant>
      <vt:variant>
        <vt:i4>2627</vt:i4>
      </vt:variant>
      <vt:variant>
        <vt:i4>0</vt:i4>
      </vt:variant>
      <vt:variant>
        <vt:i4>5</vt:i4>
      </vt:variant>
      <vt:variant>
        <vt:lpwstr/>
      </vt:variant>
      <vt:variant>
        <vt:lpwstr>_Toc203474595</vt:lpwstr>
      </vt:variant>
      <vt:variant>
        <vt:i4>1966131</vt:i4>
      </vt:variant>
      <vt:variant>
        <vt:i4>2621</vt:i4>
      </vt:variant>
      <vt:variant>
        <vt:i4>0</vt:i4>
      </vt:variant>
      <vt:variant>
        <vt:i4>5</vt:i4>
      </vt:variant>
      <vt:variant>
        <vt:lpwstr/>
      </vt:variant>
      <vt:variant>
        <vt:lpwstr>_Toc203474594</vt:lpwstr>
      </vt:variant>
      <vt:variant>
        <vt:i4>1966131</vt:i4>
      </vt:variant>
      <vt:variant>
        <vt:i4>2615</vt:i4>
      </vt:variant>
      <vt:variant>
        <vt:i4>0</vt:i4>
      </vt:variant>
      <vt:variant>
        <vt:i4>5</vt:i4>
      </vt:variant>
      <vt:variant>
        <vt:lpwstr/>
      </vt:variant>
      <vt:variant>
        <vt:lpwstr>_Toc203474593</vt:lpwstr>
      </vt:variant>
      <vt:variant>
        <vt:i4>1966131</vt:i4>
      </vt:variant>
      <vt:variant>
        <vt:i4>2609</vt:i4>
      </vt:variant>
      <vt:variant>
        <vt:i4>0</vt:i4>
      </vt:variant>
      <vt:variant>
        <vt:i4>5</vt:i4>
      </vt:variant>
      <vt:variant>
        <vt:lpwstr/>
      </vt:variant>
      <vt:variant>
        <vt:lpwstr>_Toc203474592</vt:lpwstr>
      </vt:variant>
      <vt:variant>
        <vt:i4>1966131</vt:i4>
      </vt:variant>
      <vt:variant>
        <vt:i4>2603</vt:i4>
      </vt:variant>
      <vt:variant>
        <vt:i4>0</vt:i4>
      </vt:variant>
      <vt:variant>
        <vt:i4>5</vt:i4>
      </vt:variant>
      <vt:variant>
        <vt:lpwstr/>
      </vt:variant>
      <vt:variant>
        <vt:lpwstr>_Toc203474591</vt:lpwstr>
      </vt:variant>
      <vt:variant>
        <vt:i4>1966131</vt:i4>
      </vt:variant>
      <vt:variant>
        <vt:i4>2597</vt:i4>
      </vt:variant>
      <vt:variant>
        <vt:i4>0</vt:i4>
      </vt:variant>
      <vt:variant>
        <vt:i4>5</vt:i4>
      </vt:variant>
      <vt:variant>
        <vt:lpwstr/>
      </vt:variant>
      <vt:variant>
        <vt:lpwstr>_Toc203474590</vt:lpwstr>
      </vt:variant>
      <vt:variant>
        <vt:i4>2031667</vt:i4>
      </vt:variant>
      <vt:variant>
        <vt:i4>2588</vt:i4>
      </vt:variant>
      <vt:variant>
        <vt:i4>0</vt:i4>
      </vt:variant>
      <vt:variant>
        <vt:i4>5</vt:i4>
      </vt:variant>
      <vt:variant>
        <vt:lpwstr/>
      </vt:variant>
      <vt:variant>
        <vt:lpwstr>_Toc203474589</vt:lpwstr>
      </vt:variant>
      <vt:variant>
        <vt:i4>2031667</vt:i4>
      </vt:variant>
      <vt:variant>
        <vt:i4>2582</vt:i4>
      </vt:variant>
      <vt:variant>
        <vt:i4>0</vt:i4>
      </vt:variant>
      <vt:variant>
        <vt:i4>5</vt:i4>
      </vt:variant>
      <vt:variant>
        <vt:lpwstr/>
      </vt:variant>
      <vt:variant>
        <vt:lpwstr>_Toc203474588</vt:lpwstr>
      </vt:variant>
      <vt:variant>
        <vt:i4>2031667</vt:i4>
      </vt:variant>
      <vt:variant>
        <vt:i4>2576</vt:i4>
      </vt:variant>
      <vt:variant>
        <vt:i4>0</vt:i4>
      </vt:variant>
      <vt:variant>
        <vt:i4>5</vt:i4>
      </vt:variant>
      <vt:variant>
        <vt:lpwstr/>
      </vt:variant>
      <vt:variant>
        <vt:lpwstr>_Toc203474587</vt:lpwstr>
      </vt:variant>
      <vt:variant>
        <vt:i4>2031667</vt:i4>
      </vt:variant>
      <vt:variant>
        <vt:i4>2570</vt:i4>
      </vt:variant>
      <vt:variant>
        <vt:i4>0</vt:i4>
      </vt:variant>
      <vt:variant>
        <vt:i4>5</vt:i4>
      </vt:variant>
      <vt:variant>
        <vt:lpwstr/>
      </vt:variant>
      <vt:variant>
        <vt:lpwstr>_Toc203474586</vt:lpwstr>
      </vt:variant>
      <vt:variant>
        <vt:i4>2031667</vt:i4>
      </vt:variant>
      <vt:variant>
        <vt:i4>2564</vt:i4>
      </vt:variant>
      <vt:variant>
        <vt:i4>0</vt:i4>
      </vt:variant>
      <vt:variant>
        <vt:i4>5</vt:i4>
      </vt:variant>
      <vt:variant>
        <vt:lpwstr/>
      </vt:variant>
      <vt:variant>
        <vt:lpwstr>_Toc203474585</vt:lpwstr>
      </vt:variant>
      <vt:variant>
        <vt:i4>2031667</vt:i4>
      </vt:variant>
      <vt:variant>
        <vt:i4>2558</vt:i4>
      </vt:variant>
      <vt:variant>
        <vt:i4>0</vt:i4>
      </vt:variant>
      <vt:variant>
        <vt:i4>5</vt:i4>
      </vt:variant>
      <vt:variant>
        <vt:lpwstr/>
      </vt:variant>
      <vt:variant>
        <vt:lpwstr>_Toc203474584</vt:lpwstr>
      </vt:variant>
      <vt:variant>
        <vt:i4>2031667</vt:i4>
      </vt:variant>
      <vt:variant>
        <vt:i4>2552</vt:i4>
      </vt:variant>
      <vt:variant>
        <vt:i4>0</vt:i4>
      </vt:variant>
      <vt:variant>
        <vt:i4>5</vt:i4>
      </vt:variant>
      <vt:variant>
        <vt:lpwstr/>
      </vt:variant>
      <vt:variant>
        <vt:lpwstr>_Toc203474583</vt:lpwstr>
      </vt:variant>
      <vt:variant>
        <vt:i4>2031667</vt:i4>
      </vt:variant>
      <vt:variant>
        <vt:i4>2546</vt:i4>
      </vt:variant>
      <vt:variant>
        <vt:i4>0</vt:i4>
      </vt:variant>
      <vt:variant>
        <vt:i4>5</vt:i4>
      </vt:variant>
      <vt:variant>
        <vt:lpwstr/>
      </vt:variant>
      <vt:variant>
        <vt:lpwstr>_Toc203474582</vt:lpwstr>
      </vt:variant>
      <vt:variant>
        <vt:i4>2031667</vt:i4>
      </vt:variant>
      <vt:variant>
        <vt:i4>2540</vt:i4>
      </vt:variant>
      <vt:variant>
        <vt:i4>0</vt:i4>
      </vt:variant>
      <vt:variant>
        <vt:i4>5</vt:i4>
      </vt:variant>
      <vt:variant>
        <vt:lpwstr/>
      </vt:variant>
      <vt:variant>
        <vt:lpwstr>_Toc203474581</vt:lpwstr>
      </vt:variant>
      <vt:variant>
        <vt:i4>2031667</vt:i4>
      </vt:variant>
      <vt:variant>
        <vt:i4>2534</vt:i4>
      </vt:variant>
      <vt:variant>
        <vt:i4>0</vt:i4>
      </vt:variant>
      <vt:variant>
        <vt:i4>5</vt:i4>
      </vt:variant>
      <vt:variant>
        <vt:lpwstr/>
      </vt:variant>
      <vt:variant>
        <vt:lpwstr>_Toc203474580</vt:lpwstr>
      </vt:variant>
      <vt:variant>
        <vt:i4>1048627</vt:i4>
      </vt:variant>
      <vt:variant>
        <vt:i4>2528</vt:i4>
      </vt:variant>
      <vt:variant>
        <vt:i4>0</vt:i4>
      </vt:variant>
      <vt:variant>
        <vt:i4>5</vt:i4>
      </vt:variant>
      <vt:variant>
        <vt:lpwstr/>
      </vt:variant>
      <vt:variant>
        <vt:lpwstr>_Toc203474579</vt:lpwstr>
      </vt:variant>
      <vt:variant>
        <vt:i4>1048627</vt:i4>
      </vt:variant>
      <vt:variant>
        <vt:i4>2522</vt:i4>
      </vt:variant>
      <vt:variant>
        <vt:i4>0</vt:i4>
      </vt:variant>
      <vt:variant>
        <vt:i4>5</vt:i4>
      </vt:variant>
      <vt:variant>
        <vt:lpwstr/>
      </vt:variant>
      <vt:variant>
        <vt:lpwstr>_Toc203474578</vt:lpwstr>
      </vt:variant>
      <vt:variant>
        <vt:i4>1048627</vt:i4>
      </vt:variant>
      <vt:variant>
        <vt:i4>2516</vt:i4>
      </vt:variant>
      <vt:variant>
        <vt:i4>0</vt:i4>
      </vt:variant>
      <vt:variant>
        <vt:i4>5</vt:i4>
      </vt:variant>
      <vt:variant>
        <vt:lpwstr/>
      </vt:variant>
      <vt:variant>
        <vt:lpwstr>_Toc203474577</vt:lpwstr>
      </vt:variant>
      <vt:variant>
        <vt:i4>1048627</vt:i4>
      </vt:variant>
      <vt:variant>
        <vt:i4>2510</vt:i4>
      </vt:variant>
      <vt:variant>
        <vt:i4>0</vt:i4>
      </vt:variant>
      <vt:variant>
        <vt:i4>5</vt:i4>
      </vt:variant>
      <vt:variant>
        <vt:lpwstr/>
      </vt:variant>
      <vt:variant>
        <vt:lpwstr>_Toc203474576</vt:lpwstr>
      </vt:variant>
      <vt:variant>
        <vt:i4>1048627</vt:i4>
      </vt:variant>
      <vt:variant>
        <vt:i4>2504</vt:i4>
      </vt:variant>
      <vt:variant>
        <vt:i4>0</vt:i4>
      </vt:variant>
      <vt:variant>
        <vt:i4>5</vt:i4>
      </vt:variant>
      <vt:variant>
        <vt:lpwstr/>
      </vt:variant>
      <vt:variant>
        <vt:lpwstr>_Toc203474575</vt:lpwstr>
      </vt:variant>
      <vt:variant>
        <vt:i4>1048627</vt:i4>
      </vt:variant>
      <vt:variant>
        <vt:i4>2498</vt:i4>
      </vt:variant>
      <vt:variant>
        <vt:i4>0</vt:i4>
      </vt:variant>
      <vt:variant>
        <vt:i4>5</vt:i4>
      </vt:variant>
      <vt:variant>
        <vt:lpwstr/>
      </vt:variant>
      <vt:variant>
        <vt:lpwstr>_Toc203474574</vt:lpwstr>
      </vt:variant>
      <vt:variant>
        <vt:i4>1048627</vt:i4>
      </vt:variant>
      <vt:variant>
        <vt:i4>2492</vt:i4>
      </vt:variant>
      <vt:variant>
        <vt:i4>0</vt:i4>
      </vt:variant>
      <vt:variant>
        <vt:i4>5</vt:i4>
      </vt:variant>
      <vt:variant>
        <vt:lpwstr/>
      </vt:variant>
      <vt:variant>
        <vt:lpwstr>_Toc203474573</vt:lpwstr>
      </vt:variant>
      <vt:variant>
        <vt:i4>1048627</vt:i4>
      </vt:variant>
      <vt:variant>
        <vt:i4>2486</vt:i4>
      </vt:variant>
      <vt:variant>
        <vt:i4>0</vt:i4>
      </vt:variant>
      <vt:variant>
        <vt:i4>5</vt:i4>
      </vt:variant>
      <vt:variant>
        <vt:lpwstr/>
      </vt:variant>
      <vt:variant>
        <vt:lpwstr>_Toc203474572</vt:lpwstr>
      </vt:variant>
      <vt:variant>
        <vt:i4>1048627</vt:i4>
      </vt:variant>
      <vt:variant>
        <vt:i4>2480</vt:i4>
      </vt:variant>
      <vt:variant>
        <vt:i4>0</vt:i4>
      </vt:variant>
      <vt:variant>
        <vt:i4>5</vt:i4>
      </vt:variant>
      <vt:variant>
        <vt:lpwstr/>
      </vt:variant>
      <vt:variant>
        <vt:lpwstr>_Toc203474571</vt:lpwstr>
      </vt:variant>
      <vt:variant>
        <vt:i4>1048627</vt:i4>
      </vt:variant>
      <vt:variant>
        <vt:i4>2474</vt:i4>
      </vt:variant>
      <vt:variant>
        <vt:i4>0</vt:i4>
      </vt:variant>
      <vt:variant>
        <vt:i4>5</vt:i4>
      </vt:variant>
      <vt:variant>
        <vt:lpwstr/>
      </vt:variant>
      <vt:variant>
        <vt:lpwstr>_Toc203474570</vt:lpwstr>
      </vt:variant>
      <vt:variant>
        <vt:i4>1114163</vt:i4>
      </vt:variant>
      <vt:variant>
        <vt:i4>2468</vt:i4>
      </vt:variant>
      <vt:variant>
        <vt:i4>0</vt:i4>
      </vt:variant>
      <vt:variant>
        <vt:i4>5</vt:i4>
      </vt:variant>
      <vt:variant>
        <vt:lpwstr/>
      </vt:variant>
      <vt:variant>
        <vt:lpwstr>_Toc203474569</vt:lpwstr>
      </vt:variant>
      <vt:variant>
        <vt:i4>7733289</vt:i4>
      </vt:variant>
      <vt:variant>
        <vt:i4>2463</vt:i4>
      </vt:variant>
      <vt:variant>
        <vt:i4>0</vt:i4>
      </vt:variant>
      <vt:variant>
        <vt:i4>5</vt:i4>
      </vt:variant>
      <vt:variant>
        <vt:lpwstr>https://eur-lex.europa.eu/legal-content/PL/ALL/?uri=CELEX%3A52019DC0640</vt:lpwstr>
      </vt:variant>
      <vt:variant>
        <vt:lpwstr/>
      </vt:variant>
      <vt:variant>
        <vt:i4>1769542</vt:i4>
      </vt:variant>
      <vt:variant>
        <vt:i4>2460</vt:i4>
      </vt:variant>
      <vt:variant>
        <vt:i4>0</vt:i4>
      </vt:variant>
      <vt:variant>
        <vt:i4>5</vt:i4>
      </vt:variant>
      <vt:variant>
        <vt:lpwstr>https://eur-lex.europa.eu/legal-content/PL/ALL/?uri=CELEX:32024R3012</vt:lpwstr>
      </vt:variant>
      <vt:variant>
        <vt:lpwstr/>
      </vt:variant>
      <vt:variant>
        <vt:i4>7274498</vt:i4>
      </vt:variant>
      <vt:variant>
        <vt:i4>2457</vt:i4>
      </vt:variant>
      <vt:variant>
        <vt:i4>0</vt:i4>
      </vt:variant>
      <vt:variant>
        <vt:i4>5</vt:i4>
      </vt:variant>
      <vt:variant>
        <vt:lpwstr>https://eur-lex.europa.eu/legal-content/PL/ALL/?uri=OJ:L_202401991</vt:lpwstr>
      </vt:variant>
      <vt:variant>
        <vt:lpwstr/>
      </vt:variant>
      <vt:variant>
        <vt:i4>5177367</vt:i4>
      </vt:variant>
      <vt:variant>
        <vt:i4>2454</vt:i4>
      </vt:variant>
      <vt:variant>
        <vt:i4>0</vt:i4>
      </vt:variant>
      <vt:variant>
        <vt:i4>5</vt:i4>
      </vt:variant>
      <vt:variant>
        <vt:lpwstr>https://eur-lex.europa.eu/legal-content/PL/TXT/?uri=CELEX%3A32024R1789&amp;qid=1751627847847</vt:lpwstr>
      </vt:variant>
      <vt:variant>
        <vt:lpwstr/>
      </vt:variant>
      <vt:variant>
        <vt:i4>3604606</vt:i4>
      </vt:variant>
      <vt:variant>
        <vt:i4>2451</vt:i4>
      </vt:variant>
      <vt:variant>
        <vt:i4>0</vt:i4>
      </vt:variant>
      <vt:variant>
        <vt:i4>5</vt:i4>
      </vt:variant>
      <vt:variant>
        <vt:lpwstr>https://eur-lex.europa.eu/eli/reg/2024/1787</vt:lpwstr>
      </vt:variant>
      <vt:variant>
        <vt:lpwstr/>
      </vt:variant>
      <vt:variant>
        <vt:i4>3932286</vt:i4>
      </vt:variant>
      <vt:variant>
        <vt:i4>2448</vt:i4>
      </vt:variant>
      <vt:variant>
        <vt:i4>0</vt:i4>
      </vt:variant>
      <vt:variant>
        <vt:i4>5</vt:i4>
      </vt:variant>
      <vt:variant>
        <vt:lpwstr>https://eur-lex.europa.eu/eli/reg/2024/1735</vt:lpwstr>
      </vt:variant>
      <vt:variant>
        <vt:lpwstr/>
      </vt:variant>
      <vt:variant>
        <vt:i4>8323176</vt:i4>
      </vt:variant>
      <vt:variant>
        <vt:i4>2445</vt:i4>
      </vt:variant>
      <vt:variant>
        <vt:i4>0</vt:i4>
      </vt:variant>
      <vt:variant>
        <vt:i4>5</vt:i4>
      </vt:variant>
      <vt:variant>
        <vt:lpwstr>https://eur-lex.europa.eu/eli/reg/2024/1679/oj/eng</vt:lpwstr>
      </vt:variant>
      <vt:variant>
        <vt:lpwstr/>
      </vt:variant>
      <vt:variant>
        <vt:i4>6946919</vt:i4>
      </vt:variant>
      <vt:variant>
        <vt:i4>2442</vt:i4>
      </vt:variant>
      <vt:variant>
        <vt:i4>0</vt:i4>
      </vt:variant>
      <vt:variant>
        <vt:i4>5</vt:i4>
      </vt:variant>
      <vt:variant>
        <vt:lpwstr>https://eur-lex.europa.eu/legal-content/PL/TXT/?uri=CELEX%3A32024R1252</vt:lpwstr>
      </vt:variant>
      <vt:variant>
        <vt:lpwstr/>
      </vt:variant>
      <vt:variant>
        <vt:i4>786457</vt:i4>
      </vt:variant>
      <vt:variant>
        <vt:i4>2439</vt:i4>
      </vt:variant>
      <vt:variant>
        <vt:i4>0</vt:i4>
      </vt:variant>
      <vt:variant>
        <vt:i4>5</vt:i4>
      </vt:variant>
      <vt:variant>
        <vt:lpwstr>https://eur-lex.europa.eu/legal-content/PL/TXT/PDF/?uri=CELEX:32023R0957</vt:lpwstr>
      </vt:variant>
      <vt:variant>
        <vt:lpwstr/>
      </vt:variant>
      <vt:variant>
        <vt:i4>5898323</vt:i4>
      </vt:variant>
      <vt:variant>
        <vt:i4>2436</vt:i4>
      </vt:variant>
      <vt:variant>
        <vt:i4>0</vt:i4>
      </vt:variant>
      <vt:variant>
        <vt:i4>5</vt:i4>
      </vt:variant>
      <vt:variant>
        <vt:lpwstr>https://eur-lex.europa.eu/eli/reg/2023/955/oj</vt:lpwstr>
      </vt:variant>
      <vt:variant>
        <vt:lpwstr/>
      </vt:variant>
      <vt:variant>
        <vt:i4>1638486</vt:i4>
      </vt:variant>
      <vt:variant>
        <vt:i4>2433</vt:i4>
      </vt:variant>
      <vt:variant>
        <vt:i4>0</vt:i4>
      </vt:variant>
      <vt:variant>
        <vt:i4>5</vt:i4>
      </vt:variant>
      <vt:variant>
        <vt:lpwstr>https://eur-lex.europa.eu/legal-content/PL/TXT/?uri=CELEX:32023R1805</vt:lpwstr>
      </vt:variant>
      <vt:variant>
        <vt:lpwstr/>
      </vt:variant>
      <vt:variant>
        <vt:i4>3670059</vt:i4>
      </vt:variant>
      <vt:variant>
        <vt:i4>2430</vt:i4>
      </vt:variant>
      <vt:variant>
        <vt:i4>0</vt:i4>
      </vt:variant>
      <vt:variant>
        <vt:i4>5</vt:i4>
      </vt:variant>
      <vt:variant>
        <vt:lpwstr>https://eur-lex.europa.eu/legal-content/PL/TXT/?uri=CELEX:32023R2405&amp;qid=1701689763262</vt:lpwstr>
      </vt:variant>
      <vt:variant>
        <vt:lpwstr/>
      </vt:variant>
      <vt:variant>
        <vt:i4>7143521</vt:i4>
      </vt:variant>
      <vt:variant>
        <vt:i4>2427</vt:i4>
      </vt:variant>
      <vt:variant>
        <vt:i4>0</vt:i4>
      </vt:variant>
      <vt:variant>
        <vt:i4>5</vt:i4>
      </vt:variant>
      <vt:variant>
        <vt:lpwstr>https://eur-lex.europa.eu/legal-content/PL/TXT/?uri=CELEX%3A32023R1542</vt:lpwstr>
      </vt:variant>
      <vt:variant>
        <vt:lpwstr/>
      </vt:variant>
      <vt:variant>
        <vt:i4>6684773</vt:i4>
      </vt:variant>
      <vt:variant>
        <vt:i4>2424</vt:i4>
      </vt:variant>
      <vt:variant>
        <vt:i4>0</vt:i4>
      </vt:variant>
      <vt:variant>
        <vt:i4>5</vt:i4>
      </vt:variant>
      <vt:variant>
        <vt:lpwstr>https://eur-lex.europa.eu/legal-content/PL/TXT/?uri=CELEX%3A32023R1804</vt:lpwstr>
      </vt:variant>
      <vt:variant>
        <vt:lpwstr/>
      </vt:variant>
      <vt:variant>
        <vt:i4>6619233</vt:i4>
      </vt:variant>
      <vt:variant>
        <vt:i4>2421</vt:i4>
      </vt:variant>
      <vt:variant>
        <vt:i4>0</vt:i4>
      </vt:variant>
      <vt:variant>
        <vt:i4>5</vt:i4>
      </vt:variant>
      <vt:variant>
        <vt:lpwstr>https://eur-lex.europa.eu/legal-content/PL/TXT/?uri=CELEX%3A32023R0857</vt:lpwstr>
      </vt:variant>
      <vt:variant>
        <vt:lpwstr/>
      </vt:variant>
      <vt:variant>
        <vt:i4>7012455</vt:i4>
      </vt:variant>
      <vt:variant>
        <vt:i4>2418</vt:i4>
      </vt:variant>
      <vt:variant>
        <vt:i4>0</vt:i4>
      </vt:variant>
      <vt:variant>
        <vt:i4>5</vt:i4>
      </vt:variant>
      <vt:variant>
        <vt:lpwstr>https://eur-lex.europa.eu/legal-content/PL/TXT/?uri=CELEX%3A32023R0839</vt:lpwstr>
      </vt:variant>
      <vt:variant>
        <vt:lpwstr/>
      </vt:variant>
      <vt:variant>
        <vt:i4>2031709</vt:i4>
      </vt:variant>
      <vt:variant>
        <vt:i4>2415</vt:i4>
      </vt:variant>
      <vt:variant>
        <vt:i4>0</vt:i4>
      </vt:variant>
      <vt:variant>
        <vt:i4>5</vt:i4>
      </vt:variant>
      <vt:variant>
        <vt:lpwstr>https://eur-lex.europa.eu/legal-content/PL/TXT/?uri=CELEX:32022R2299</vt:lpwstr>
      </vt:variant>
      <vt:variant>
        <vt:lpwstr/>
      </vt:variant>
      <vt:variant>
        <vt:i4>7012451</vt:i4>
      </vt:variant>
      <vt:variant>
        <vt:i4>2412</vt:i4>
      </vt:variant>
      <vt:variant>
        <vt:i4>0</vt:i4>
      </vt:variant>
      <vt:variant>
        <vt:i4>5</vt:i4>
      </vt:variant>
      <vt:variant>
        <vt:lpwstr>https://eur-lex.europa.eu/legal-content/PL/TXT/?uri=celex%3A32022R0869</vt:lpwstr>
      </vt:variant>
      <vt:variant>
        <vt:lpwstr/>
      </vt:variant>
      <vt:variant>
        <vt:i4>1114177</vt:i4>
      </vt:variant>
      <vt:variant>
        <vt:i4>2409</vt:i4>
      </vt:variant>
      <vt:variant>
        <vt:i4>0</vt:i4>
      </vt:variant>
      <vt:variant>
        <vt:i4>5</vt:i4>
      </vt:variant>
      <vt:variant>
        <vt:lpwstr>https://eur-lex.europa.eu/legal-content/PL/ALL/?uri=CELEX:32021R1119</vt:lpwstr>
      </vt:variant>
      <vt:variant>
        <vt:lpwstr/>
      </vt:variant>
      <vt:variant>
        <vt:i4>7012461</vt:i4>
      </vt:variant>
      <vt:variant>
        <vt:i4>2406</vt:i4>
      </vt:variant>
      <vt:variant>
        <vt:i4>0</vt:i4>
      </vt:variant>
      <vt:variant>
        <vt:i4>5</vt:i4>
      </vt:variant>
      <vt:variant>
        <vt:lpwstr>https://eur-lex.europa.eu/legal-content/pl/TXT/?uri=CELEX%3A32019R0331</vt:lpwstr>
      </vt:variant>
      <vt:variant>
        <vt:lpwstr/>
      </vt:variant>
      <vt:variant>
        <vt:i4>7209087</vt:i4>
      </vt:variant>
      <vt:variant>
        <vt:i4>2403</vt:i4>
      </vt:variant>
      <vt:variant>
        <vt:i4>0</vt:i4>
      </vt:variant>
      <vt:variant>
        <vt:i4>5</vt:i4>
      </vt:variant>
      <vt:variant>
        <vt:lpwstr>https://eur-lex.europa.eu/legal-content/PL/ALL/?uri=CELEX%3A32019R1842</vt:lpwstr>
      </vt:variant>
      <vt:variant>
        <vt:lpwstr/>
      </vt:variant>
      <vt:variant>
        <vt:i4>5046273</vt:i4>
      </vt:variant>
      <vt:variant>
        <vt:i4>2400</vt:i4>
      </vt:variant>
      <vt:variant>
        <vt:i4>0</vt:i4>
      </vt:variant>
      <vt:variant>
        <vt:i4>5</vt:i4>
      </vt:variant>
      <vt:variant>
        <vt:lpwstr>https://eur-lex.europa.eu/eli/reg/2018/1999/oj?locale=pl</vt:lpwstr>
      </vt:variant>
      <vt:variant>
        <vt:lpwstr/>
      </vt:variant>
      <vt:variant>
        <vt:i4>7143551</vt:i4>
      </vt:variant>
      <vt:variant>
        <vt:i4>2397</vt:i4>
      </vt:variant>
      <vt:variant>
        <vt:i4>0</vt:i4>
      </vt:variant>
      <vt:variant>
        <vt:i4>5</vt:i4>
      </vt:variant>
      <vt:variant>
        <vt:lpwstr>https://eur-lex.europa.eu/legal-content/PL/ALL/?uri=CELEX%3A32018R0841</vt:lpwstr>
      </vt:variant>
      <vt:variant>
        <vt:lpwstr/>
      </vt:variant>
      <vt:variant>
        <vt:i4>5046283</vt:i4>
      </vt:variant>
      <vt:variant>
        <vt:i4>2394</vt:i4>
      </vt:variant>
      <vt:variant>
        <vt:i4>0</vt:i4>
      </vt:variant>
      <vt:variant>
        <vt:i4>5</vt:i4>
      </vt:variant>
      <vt:variant>
        <vt:lpwstr>https://eur-lex.europa.eu/eli/reg/2017/1369/oj?locale=pl</vt:lpwstr>
      </vt:variant>
      <vt:variant>
        <vt:lpwstr/>
      </vt:variant>
      <vt:variant>
        <vt:i4>6160387</vt:i4>
      </vt:variant>
      <vt:variant>
        <vt:i4>2391</vt:i4>
      </vt:variant>
      <vt:variant>
        <vt:i4>0</vt:i4>
      </vt:variant>
      <vt:variant>
        <vt:i4>5</vt:i4>
      </vt:variant>
      <vt:variant>
        <vt:lpwstr>https://eur-lex.europa.eu/legal-content/EN/TXT/?uri=CELEX%3A32024L2881&amp;qid=1749560192469</vt:lpwstr>
      </vt:variant>
      <vt:variant>
        <vt:lpwstr/>
      </vt:variant>
      <vt:variant>
        <vt:i4>8257578</vt:i4>
      </vt:variant>
      <vt:variant>
        <vt:i4>2388</vt:i4>
      </vt:variant>
      <vt:variant>
        <vt:i4>0</vt:i4>
      </vt:variant>
      <vt:variant>
        <vt:i4>5</vt:i4>
      </vt:variant>
      <vt:variant>
        <vt:lpwstr>https://eur-lex.europa.eu/eli/dir/2024/1788/oj</vt:lpwstr>
      </vt:variant>
      <vt:variant>
        <vt:lpwstr/>
      </vt:variant>
      <vt:variant>
        <vt:i4>5832723</vt:i4>
      </vt:variant>
      <vt:variant>
        <vt:i4>2385</vt:i4>
      </vt:variant>
      <vt:variant>
        <vt:i4>0</vt:i4>
      </vt:variant>
      <vt:variant>
        <vt:i4>5</vt:i4>
      </vt:variant>
      <vt:variant>
        <vt:lpwstr>https://eur-lex.europa.eu/legal-content/PL/TXT/?uri=CELEX%3A32024L1275&amp;qid=1723469223172</vt:lpwstr>
      </vt:variant>
      <vt:variant>
        <vt:lpwstr/>
      </vt:variant>
      <vt:variant>
        <vt:i4>5898255</vt:i4>
      </vt:variant>
      <vt:variant>
        <vt:i4>2382</vt:i4>
      </vt:variant>
      <vt:variant>
        <vt:i4>0</vt:i4>
      </vt:variant>
      <vt:variant>
        <vt:i4>5</vt:i4>
      </vt:variant>
      <vt:variant>
        <vt:lpwstr>https://eur-lex.europa.eu/legal-content/EN/TXT/?uri=CELEX%3A32023L2413&amp;qid=1699364355105</vt:lpwstr>
      </vt:variant>
      <vt:variant>
        <vt:lpwstr/>
      </vt:variant>
      <vt:variant>
        <vt:i4>5111838</vt:i4>
      </vt:variant>
      <vt:variant>
        <vt:i4>2379</vt:i4>
      </vt:variant>
      <vt:variant>
        <vt:i4>0</vt:i4>
      </vt:variant>
      <vt:variant>
        <vt:i4>5</vt:i4>
      </vt:variant>
      <vt:variant>
        <vt:lpwstr>https://eur-lex.europa.eu/legal-content/EN/TXT/?uri=OJ%3AJOL_2023_231_R_0001&amp;qid=1695186598766</vt:lpwstr>
      </vt:variant>
      <vt:variant>
        <vt:lpwstr/>
      </vt:variant>
      <vt:variant>
        <vt:i4>7602273</vt:i4>
      </vt:variant>
      <vt:variant>
        <vt:i4>2376</vt:i4>
      </vt:variant>
      <vt:variant>
        <vt:i4>0</vt:i4>
      </vt:variant>
      <vt:variant>
        <vt:i4>5</vt:i4>
      </vt:variant>
      <vt:variant>
        <vt:lpwstr>https://eur-lex.europa.eu/legal-content/PL/TXT/?uri=CELEX%3A32023L0959</vt:lpwstr>
      </vt:variant>
      <vt:variant>
        <vt:lpwstr/>
      </vt:variant>
      <vt:variant>
        <vt:i4>720978</vt:i4>
      </vt:variant>
      <vt:variant>
        <vt:i4>2373</vt:i4>
      </vt:variant>
      <vt:variant>
        <vt:i4>0</vt:i4>
      </vt:variant>
      <vt:variant>
        <vt:i4>5</vt:i4>
      </vt:variant>
      <vt:variant>
        <vt:lpwstr>https://eur-lex.europa.eu/legal-content/PL/TXT/?uri=CELEX:32023L0958</vt:lpwstr>
      </vt:variant>
      <vt:variant>
        <vt:lpwstr/>
      </vt:variant>
      <vt:variant>
        <vt:i4>524356</vt:i4>
      </vt:variant>
      <vt:variant>
        <vt:i4>2370</vt:i4>
      </vt:variant>
      <vt:variant>
        <vt:i4>0</vt:i4>
      </vt:variant>
      <vt:variant>
        <vt:i4>5</vt:i4>
      </vt:variant>
      <vt:variant>
        <vt:lpwstr>https://eur-lex.europa.eu/legal-content/EN/TXT/?uri=CELEX:32022L2555</vt:lpwstr>
      </vt:variant>
      <vt:variant>
        <vt:lpwstr/>
      </vt:variant>
      <vt:variant>
        <vt:i4>7405677</vt:i4>
      </vt:variant>
      <vt:variant>
        <vt:i4>2367</vt:i4>
      </vt:variant>
      <vt:variant>
        <vt:i4>0</vt:i4>
      </vt:variant>
      <vt:variant>
        <vt:i4>5</vt:i4>
      </vt:variant>
      <vt:variant>
        <vt:lpwstr>https://eur-lex.europa.eu/legal-content/PL/TXT/?uri=CELEX%3A32020L2184</vt:lpwstr>
      </vt:variant>
      <vt:variant>
        <vt:lpwstr/>
      </vt:variant>
      <vt:variant>
        <vt:i4>7798889</vt:i4>
      </vt:variant>
      <vt:variant>
        <vt:i4>2364</vt:i4>
      </vt:variant>
      <vt:variant>
        <vt:i4>0</vt:i4>
      </vt:variant>
      <vt:variant>
        <vt:i4>5</vt:i4>
      </vt:variant>
      <vt:variant>
        <vt:lpwstr>https://eur-lex.europa.eu/legal-content/pl/TXT/?uri=CELEX%3A32019L1161</vt:lpwstr>
      </vt:variant>
      <vt:variant>
        <vt:lpwstr/>
      </vt:variant>
      <vt:variant>
        <vt:i4>7798910</vt:i4>
      </vt:variant>
      <vt:variant>
        <vt:i4>2361</vt:i4>
      </vt:variant>
      <vt:variant>
        <vt:i4>0</vt:i4>
      </vt:variant>
      <vt:variant>
        <vt:i4>5</vt:i4>
      </vt:variant>
      <vt:variant>
        <vt:lpwstr>https://eur-lex.europa.eu/legal-content/PL/ALL/?uri=CELEX%3A32019L0944</vt:lpwstr>
      </vt:variant>
      <vt:variant>
        <vt:lpwstr/>
      </vt:variant>
      <vt:variant>
        <vt:i4>589897</vt:i4>
      </vt:variant>
      <vt:variant>
        <vt:i4>2358</vt:i4>
      </vt:variant>
      <vt:variant>
        <vt:i4>0</vt:i4>
      </vt:variant>
      <vt:variant>
        <vt:i4>5</vt:i4>
      </vt:variant>
      <vt:variant>
        <vt:lpwstr>https://eur-lex.europa.eu/legal-content/PL/ALL/?uri=CELEX:32019L0904</vt:lpwstr>
      </vt:variant>
      <vt:variant>
        <vt:lpwstr/>
      </vt:variant>
      <vt:variant>
        <vt:i4>7733357</vt:i4>
      </vt:variant>
      <vt:variant>
        <vt:i4>2355</vt:i4>
      </vt:variant>
      <vt:variant>
        <vt:i4>0</vt:i4>
      </vt:variant>
      <vt:variant>
        <vt:i4>5</vt:i4>
      </vt:variant>
      <vt:variant>
        <vt:lpwstr>https://eur-lex.europa.eu/legal-content/PL/TXT/?uri=celex%3A32018L2001</vt:lpwstr>
      </vt:variant>
      <vt:variant>
        <vt:lpwstr/>
      </vt:variant>
      <vt:variant>
        <vt:i4>7405675</vt:i4>
      </vt:variant>
      <vt:variant>
        <vt:i4>2352</vt:i4>
      </vt:variant>
      <vt:variant>
        <vt:i4>0</vt:i4>
      </vt:variant>
      <vt:variant>
        <vt:i4>5</vt:i4>
      </vt:variant>
      <vt:variant>
        <vt:lpwstr>https://eur-lex.europa.eu/legal-content/PL/TXT/?uri=CELEX%3A32016L2284</vt:lpwstr>
      </vt:variant>
      <vt:variant>
        <vt:lpwstr/>
      </vt:variant>
      <vt:variant>
        <vt:i4>6029407</vt:i4>
      </vt:variant>
      <vt:variant>
        <vt:i4>2349</vt:i4>
      </vt:variant>
      <vt:variant>
        <vt:i4>0</vt:i4>
      </vt:variant>
      <vt:variant>
        <vt:i4>5</vt:i4>
      </vt:variant>
      <vt:variant>
        <vt:lpwstr>https://eur-lex.europa.eu/eli/dir/2012/19/oj/pol</vt:lpwstr>
      </vt:variant>
      <vt:variant>
        <vt:lpwstr/>
      </vt:variant>
      <vt:variant>
        <vt:i4>786527</vt:i4>
      </vt:variant>
      <vt:variant>
        <vt:i4>2346</vt:i4>
      </vt:variant>
      <vt:variant>
        <vt:i4>0</vt:i4>
      </vt:variant>
      <vt:variant>
        <vt:i4>5</vt:i4>
      </vt:variant>
      <vt:variant>
        <vt:lpwstr>https://eur-lex.europa.eu/legal-content/PL/TXT/?uri=CELEX:32009L0125</vt:lpwstr>
      </vt:variant>
      <vt:variant>
        <vt:lpwstr/>
      </vt:variant>
      <vt:variant>
        <vt:i4>8257638</vt:i4>
      </vt:variant>
      <vt:variant>
        <vt:i4>2343</vt:i4>
      </vt:variant>
      <vt:variant>
        <vt:i4>0</vt:i4>
      </vt:variant>
      <vt:variant>
        <vt:i4>5</vt:i4>
      </vt:variant>
      <vt:variant>
        <vt:lpwstr>https://eur-lex.europa.eu/legal-content/PL/TXT/?uri=CELEX%3A32008L0098</vt:lpwstr>
      </vt:variant>
      <vt:variant>
        <vt:lpwstr/>
      </vt:variant>
      <vt:variant>
        <vt:i4>8192115</vt:i4>
      </vt:variant>
      <vt:variant>
        <vt:i4>2340</vt:i4>
      </vt:variant>
      <vt:variant>
        <vt:i4>0</vt:i4>
      </vt:variant>
      <vt:variant>
        <vt:i4>5</vt:i4>
      </vt:variant>
      <vt:variant>
        <vt:lpwstr>https://eur-lex.europa.eu/legal-content/PL/ALL/?uri=CELEX%3A32006L0066</vt:lpwstr>
      </vt:variant>
      <vt:variant>
        <vt:lpwstr/>
      </vt:variant>
      <vt:variant>
        <vt:i4>917584</vt:i4>
      </vt:variant>
      <vt:variant>
        <vt:i4>2337</vt:i4>
      </vt:variant>
      <vt:variant>
        <vt:i4>0</vt:i4>
      </vt:variant>
      <vt:variant>
        <vt:i4>5</vt:i4>
      </vt:variant>
      <vt:variant>
        <vt:lpwstr>https://eur-lex.europa.eu/legal-content/PL/TXT/?uri=CELEX:32004L0107</vt:lpwstr>
      </vt:variant>
      <vt:variant>
        <vt:lpwstr/>
      </vt:variant>
      <vt:variant>
        <vt:i4>7733345</vt:i4>
      </vt:variant>
      <vt:variant>
        <vt:i4>2334</vt:i4>
      </vt:variant>
      <vt:variant>
        <vt:i4>0</vt:i4>
      </vt:variant>
      <vt:variant>
        <vt:i4>5</vt:i4>
      </vt:variant>
      <vt:variant>
        <vt:lpwstr>https://eur-lex.europa.eu/legal-content/PL/TXT/?uri=celex%3A32000L0060</vt:lpwstr>
      </vt:variant>
      <vt:variant>
        <vt:lpwstr/>
      </vt:variant>
      <vt:variant>
        <vt:i4>4259845</vt:i4>
      </vt:variant>
      <vt:variant>
        <vt:i4>2331</vt:i4>
      </vt:variant>
      <vt:variant>
        <vt:i4>0</vt:i4>
      </vt:variant>
      <vt:variant>
        <vt:i4>5</vt:i4>
      </vt:variant>
      <vt:variant>
        <vt:lpwstr>https://eur-lex.europa.eu/legal-content/PL/TXT/PDF/?uri=CELEX:02000L0053-20200306&amp;from=EN</vt:lpwstr>
      </vt:variant>
      <vt:variant>
        <vt:lpwstr/>
      </vt:variant>
      <vt:variant>
        <vt:i4>4718596</vt:i4>
      </vt:variant>
      <vt:variant>
        <vt:i4>2328</vt:i4>
      </vt:variant>
      <vt:variant>
        <vt:i4>0</vt:i4>
      </vt:variant>
      <vt:variant>
        <vt:i4>5</vt:i4>
      </vt:variant>
      <vt:variant>
        <vt:lpwstr>https://eur-lex.europa.eu/legal-content/PL/TXT/PDF/?uri=CELEX:01999L0031-20031120&amp;from=EN</vt:lpwstr>
      </vt:variant>
      <vt:variant>
        <vt:lpwstr/>
      </vt:variant>
      <vt:variant>
        <vt:i4>8126544</vt:i4>
      </vt:variant>
      <vt:variant>
        <vt:i4>2325</vt:i4>
      </vt:variant>
      <vt:variant>
        <vt:i4>0</vt:i4>
      </vt:variant>
      <vt:variant>
        <vt:i4>5</vt:i4>
      </vt:variant>
      <vt:variant>
        <vt:lpwstr>https://eur-lex.europa.eu/legal-content/PL/TXT/PDF/?uri=OJ:L_202500040</vt:lpwstr>
      </vt:variant>
      <vt:variant>
        <vt:lpwstr/>
      </vt:variant>
      <vt:variant>
        <vt:i4>6160389</vt:i4>
      </vt:variant>
      <vt:variant>
        <vt:i4>2322</vt:i4>
      </vt:variant>
      <vt:variant>
        <vt:i4>0</vt:i4>
      </vt:variant>
      <vt:variant>
        <vt:i4>5</vt:i4>
      </vt:variant>
      <vt:variant>
        <vt:lpwstr>https://eur-lex.europa.eu/legal-content/PL/TXT/PDF/?uri=CELEX:01994L0062-20180704&amp;from=RO</vt:lpwstr>
      </vt:variant>
      <vt:variant>
        <vt:lpwstr/>
      </vt:variant>
      <vt:variant>
        <vt:i4>7798790</vt:i4>
      </vt:variant>
      <vt:variant>
        <vt:i4>2319</vt:i4>
      </vt:variant>
      <vt:variant>
        <vt:i4>0</vt:i4>
      </vt:variant>
      <vt:variant>
        <vt:i4>5</vt:i4>
      </vt:variant>
      <vt:variant>
        <vt:lpwstr>https://energy.ec.europa.eu/topics/international-cooperation/international-organisations-and-initiatives/energy-community_en</vt:lpwstr>
      </vt:variant>
      <vt:variant>
        <vt:lpwstr/>
      </vt:variant>
      <vt:variant>
        <vt:i4>3670125</vt:i4>
      </vt:variant>
      <vt:variant>
        <vt:i4>2166</vt:i4>
      </vt:variant>
      <vt:variant>
        <vt:i4>0</vt:i4>
      </vt:variant>
      <vt:variant>
        <vt:i4>5</vt:i4>
      </vt:variant>
      <vt:variant>
        <vt:lpwstr>https://www.gov.pl/web/uzp/publikacje-z-obszaru-zzp</vt:lpwstr>
      </vt:variant>
      <vt:variant>
        <vt:lpwstr/>
      </vt:variant>
      <vt:variant>
        <vt:i4>6029324</vt:i4>
      </vt:variant>
      <vt:variant>
        <vt:i4>2049</vt:i4>
      </vt:variant>
      <vt:variant>
        <vt:i4>0</vt:i4>
      </vt:variant>
      <vt:variant>
        <vt:i4>5</vt:i4>
      </vt:variant>
      <vt:variant>
        <vt:lpwstr>https://internaw.pl/</vt:lpwstr>
      </vt:variant>
      <vt:variant>
        <vt:lpwstr/>
      </vt:variant>
      <vt:variant>
        <vt:i4>3014674</vt:i4>
      </vt:variant>
      <vt:variant>
        <vt:i4>1785</vt:i4>
      </vt:variant>
      <vt:variant>
        <vt:i4>0</vt:i4>
      </vt:variant>
      <vt:variant>
        <vt:i4>5</vt:i4>
      </vt:variant>
      <vt:variant>
        <vt:lpwstr>https://www.google.com/url?sa=t&amp;rct=j&amp;q=&amp;esrc=s&amp;source=web&amp;cd=&amp;ved=2ahUKEwjjv_m62YKEAxUrcvEDHSTfAv8QFnoECBUQAQ&amp;url=https%3A%2F%2Fwww.gov.pl%2Fattachment%2Fc47d37f9-eaab-4701-adce-84cf7585013e&amp;usg=AOvVaw2uJ-E74aZcX0eidoeVftEj&amp;opi=89978449</vt:lpwstr>
      </vt:variant>
      <vt:variant>
        <vt:lpwstr/>
      </vt:variant>
      <vt:variant>
        <vt:i4>2162750</vt:i4>
      </vt:variant>
      <vt:variant>
        <vt:i4>1758</vt:i4>
      </vt:variant>
      <vt:variant>
        <vt:i4>0</vt:i4>
      </vt:variant>
      <vt:variant>
        <vt:i4>5</vt:i4>
      </vt:variant>
      <vt:variant>
        <vt:lpwstr>https://arrtransformacja.org.pl/tpstww/</vt:lpwstr>
      </vt:variant>
      <vt:variant>
        <vt:lpwstr/>
      </vt:variant>
      <vt:variant>
        <vt:i4>7340134</vt:i4>
      </vt:variant>
      <vt:variant>
        <vt:i4>1755</vt:i4>
      </vt:variant>
      <vt:variant>
        <vt:i4>0</vt:i4>
      </vt:variant>
      <vt:variant>
        <vt:i4>5</vt:i4>
      </vt:variant>
      <vt:variant>
        <vt:lpwstr>https://funduszeue.lodzkie.pl/dokumenty/terytorialny-plan-sprawiedliwej-transformacji-wojewodztwa-lodzkiego</vt:lpwstr>
      </vt:variant>
      <vt:variant>
        <vt:lpwstr/>
      </vt:variant>
      <vt:variant>
        <vt:i4>3145852</vt:i4>
      </vt:variant>
      <vt:variant>
        <vt:i4>1752</vt:i4>
      </vt:variant>
      <vt:variant>
        <vt:i4>0</vt:i4>
      </vt:variant>
      <vt:variant>
        <vt:i4>5</vt:i4>
      </vt:variant>
      <vt:variant>
        <vt:lpwstr>https://funduszeuedolnoslaskie.pl/node/3884</vt:lpwstr>
      </vt:variant>
      <vt:variant>
        <vt:lpwstr/>
      </vt:variant>
      <vt:variant>
        <vt:i4>2162797</vt:i4>
      </vt:variant>
      <vt:variant>
        <vt:i4>1698</vt:i4>
      </vt:variant>
      <vt:variant>
        <vt:i4>0</vt:i4>
      </vt:variant>
      <vt:variant>
        <vt:i4>5</vt:i4>
      </vt:variant>
      <vt:variant>
        <vt:lpwstr>https://dane.gov.pl/pl/dataset/2160,ubostwo-energetyczne-wskazniki/resource/58591/table</vt:lpwstr>
      </vt:variant>
      <vt:variant>
        <vt:lpwstr/>
      </vt:variant>
      <vt:variant>
        <vt:i4>4194370</vt:i4>
      </vt:variant>
      <vt:variant>
        <vt:i4>1548</vt:i4>
      </vt:variant>
      <vt:variant>
        <vt:i4>0</vt:i4>
      </vt:variant>
      <vt:variant>
        <vt:i4>5</vt:i4>
      </vt:variant>
      <vt:variant>
        <vt:lpwstr>https://www.ure.gov.pl/pl/karta-efektywnej-transformacji</vt:lpwstr>
      </vt:variant>
      <vt:variant>
        <vt:lpwstr/>
      </vt:variant>
      <vt:variant>
        <vt:i4>6357095</vt:i4>
      </vt:variant>
      <vt:variant>
        <vt:i4>1488</vt:i4>
      </vt:variant>
      <vt:variant>
        <vt:i4>0</vt:i4>
      </vt:variant>
      <vt:variant>
        <vt:i4>5</vt:i4>
      </vt:variant>
      <vt:variant>
        <vt:lpwstr>https://www.gov.pl/web/polski-atom/program-polskiej-energetyki-jadrowej</vt:lpwstr>
      </vt:variant>
      <vt:variant>
        <vt:lpwstr/>
      </vt:variant>
      <vt:variant>
        <vt:i4>5373955</vt:i4>
      </vt:variant>
      <vt:variant>
        <vt:i4>1443</vt:i4>
      </vt:variant>
      <vt:variant>
        <vt:i4>0</vt:i4>
      </vt:variant>
      <vt:variant>
        <vt:i4>5</vt:i4>
      </vt:variant>
      <vt:variant>
        <vt:lpwstr>https://www.gov.pl/web/klimat/polska-strategia-wodorowa-do-roku-2030</vt:lpwstr>
      </vt:variant>
      <vt:variant>
        <vt:lpwstr/>
      </vt:variant>
      <vt:variant>
        <vt:i4>4980829</vt:i4>
      </vt:variant>
      <vt:variant>
        <vt:i4>1425</vt:i4>
      </vt:variant>
      <vt:variant>
        <vt:i4>0</vt:i4>
      </vt:variant>
      <vt:variant>
        <vt:i4>5</vt:i4>
      </vt:variant>
      <vt:variant>
        <vt:lpwstr>https://www.gov.pl/web/klimat/plany-na-wypadek-sytuacji-nadzwyczajnej</vt:lpwstr>
      </vt:variant>
      <vt:variant>
        <vt:lpwstr/>
      </vt:variant>
      <vt:variant>
        <vt:i4>3080244</vt:i4>
      </vt:variant>
      <vt:variant>
        <vt:i4>1422</vt:i4>
      </vt:variant>
      <vt:variant>
        <vt:i4>0</vt:i4>
      </vt:variant>
      <vt:variant>
        <vt:i4>5</vt:i4>
      </vt:variant>
      <vt:variant>
        <vt:lpwstr>https://www.gov.pl/web/klimat/plan-dzialan-zapobiegawczych</vt:lpwstr>
      </vt:variant>
      <vt:variant>
        <vt:lpwstr/>
      </vt:variant>
      <vt:variant>
        <vt:i4>1310725</vt:i4>
      </vt:variant>
      <vt:variant>
        <vt:i4>1413</vt:i4>
      </vt:variant>
      <vt:variant>
        <vt:i4>0</vt:i4>
      </vt:variant>
      <vt:variant>
        <vt:i4>5</vt:i4>
      </vt:variant>
      <vt:variant>
        <vt:lpwstr>https://www.gaz-system.pl/pl/system-przesylowy/rozwoj-systemu-przesylowego/krajowe-plany-rozwoju.html</vt:lpwstr>
      </vt:variant>
      <vt:variant>
        <vt:lpwstr/>
      </vt:variant>
      <vt:variant>
        <vt:i4>917528</vt:i4>
      </vt:variant>
      <vt:variant>
        <vt:i4>1302</vt:i4>
      </vt:variant>
      <vt:variant>
        <vt:i4>0</vt:i4>
      </vt:variant>
      <vt:variant>
        <vt:i4>5</vt:i4>
      </vt:variant>
      <vt:variant>
        <vt:lpwstr>https://www.gov.pl/web/rozwoj-technologia/Dlugoterminowa-strategia-renowacji-budynkow</vt:lpwstr>
      </vt:variant>
      <vt:variant>
        <vt:lpwstr/>
      </vt:variant>
      <vt:variant>
        <vt:i4>6488096</vt:i4>
      </vt:variant>
      <vt:variant>
        <vt:i4>1266</vt:i4>
      </vt:variant>
      <vt:variant>
        <vt:i4>0</vt:i4>
      </vt:variant>
      <vt:variant>
        <vt:i4>5</vt:i4>
      </vt:variant>
      <vt:variant>
        <vt:lpwstr>https://www.gov.pl/web/klimat/efektywnosc-energetyczna</vt:lpwstr>
      </vt:variant>
      <vt:variant>
        <vt:lpwstr/>
      </vt:variant>
      <vt:variant>
        <vt:i4>1245190</vt:i4>
      </vt:variant>
      <vt:variant>
        <vt:i4>1179</vt:i4>
      </vt:variant>
      <vt:variant>
        <vt:i4>0</vt:i4>
      </vt:variant>
      <vt:variant>
        <vt:i4>5</vt:i4>
      </vt:variant>
      <vt:variant>
        <vt:lpwstr>https://www.gov.pl/web/fundusze-regiony/polityka-miejska</vt:lpwstr>
      </vt:variant>
      <vt:variant>
        <vt:lpwstr/>
      </vt:variant>
      <vt:variant>
        <vt:i4>1966170</vt:i4>
      </vt:variant>
      <vt:variant>
        <vt:i4>1170</vt:i4>
      </vt:variant>
      <vt:variant>
        <vt:i4>0</vt:i4>
      </vt:variant>
      <vt:variant>
        <vt:i4>5</vt:i4>
      </vt:variant>
      <vt:variant>
        <vt:lpwstr>https://bip.mos.gov.pl/strategie-plany-programy/strategiczny-plan-adaptacji-2020/</vt:lpwstr>
      </vt:variant>
      <vt:variant>
        <vt:lpwstr/>
      </vt:variant>
      <vt:variant>
        <vt:i4>5308505</vt:i4>
      </vt:variant>
      <vt:variant>
        <vt:i4>1140</vt:i4>
      </vt:variant>
      <vt:variant>
        <vt:i4>0</vt:i4>
      </vt:variant>
      <vt:variant>
        <vt:i4>5</vt:i4>
      </vt:variant>
      <vt:variant>
        <vt:lpwstr>https://www.gov.pl/web/klimat/polityka-surowcowa-panstwa</vt:lpwstr>
      </vt:variant>
      <vt:variant>
        <vt:lpwstr/>
      </vt:variant>
      <vt:variant>
        <vt:i4>4325415</vt:i4>
      </vt:variant>
      <vt:variant>
        <vt:i4>1098</vt:i4>
      </vt:variant>
      <vt:variant>
        <vt:i4>0</vt:i4>
      </vt:variant>
      <vt:variant>
        <vt:i4>5</vt:i4>
      </vt:variant>
      <vt:variant>
        <vt:lpwstr>https://environment.ec.europa.eu/publications/eu-soil-strategy-2030_en</vt:lpwstr>
      </vt:variant>
      <vt:variant>
        <vt:lpwstr/>
      </vt:variant>
      <vt:variant>
        <vt:i4>2687095</vt:i4>
      </vt:variant>
      <vt:variant>
        <vt:i4>1074</vt:i4>
      </vt:variant>
      <vt:variant>
        <vt:i4>0</vt:i4>
      </vt:variant>
      <vt:variant>
        <vt:i4>5</vt:i4>
      </vt:variant>
      <vt:variant>
        <vt:lpwstr>https://isap.sejm.gov.pl/isap.nsf/DocDetails.xsp?id=WDU20230000244</vt:lpwstr>
      </vt:variant>
      <vt:variant>
        <vt:lpwstr/>
      </vt:variant>
      <vt:variant>
        <vt:i4>2097270</vt:i4>
      </vt:variant>
      <vt:variant>
        <vt:i4>1071</vt:i4>
      </vt:variant>
      <vt:variant>
        <vt:i4>0</vt:i4>
      </vt:variant>
      <vt:variant>
        <vt:i4>5</vt:i4>
      </vt:variant>
      <vt:variant>
        <vt:lpwstr>https://isap.sejm.gov.pl/isap.nsf/DocDetails.xsp?id=WMP20230000503</vt:lpwstr>
      </vt:variant>
      <vt:variant>
        <vt:lpwstr/>
      </vt:variant>
      <vt:variant>
        <vt:i4>2359413</vt:i4>
      </vt:variant>
      <vt:variant>
        <vt:i4>969</vt:i4>
      </vt:variant>
      <vt:variant>
        <vt:i4>0</vt:i4>
      </vt:variant>
      <vt:variant>
        <vt:i4>5</vt:i4>
      </vt:variant>
      <vt:variant>
        <vt:lpwstr>https://isap.sejm.gov.pl/isap.nsf/DocDetails.xsp?id=WMP20210001200</vt:lpwstr>
      </vt:variant>
      <vt:variant>
        <vt:lpwstr/>
      </vt:variant>
      <vt:variant>
        <vt:i4>2949226</vt:i4>
      </vt:variant>
      <vt:variant>
        <vt:i4>966</vt:i4>
      </vt:variant>
      <vt:variant>
        <vt:i4>0</vt:i4>
      </vt:variant>
      <vt:variant>
        <vt:i4>5</vt:i4>
      </vt:variant>
      <vt:variant>
        <vt:lpwstr>https://www.gov.pl/web/rolnictwo/krajowy-program-ograniczania-zanieczyszczenia-powietrza-kpozp</vt:lpwstr>
      </vt:variant>
      <vt:variant>
        <vt:lpwstr/>
      </vt:variant>
      <vt:variant>
        <vt:i4>3735612</vt:i4>
      </vt:variant>
      <vt:variant>
        <vt:i4>867</vt:i4>
      </vt:variant>
      <vt:variant>
        <vt:i4>0</vt:i4>
      </vt:variant>
      <vt:variant>
        <vt:i4>5</vt:i4>
      </vt:variant>
      <vt:variant>
        <vt:lpwstr>https://www.gov.pl/web/rolnictwo/plan-strategiczny-dla-wspolnej-polityki-rolnej-na-lata-2023-27</vt:lpwstr>
      </vt:variant>
      <vt:variant>
        <vt:lpwstr/>
      </vt:variant>
      <vt:variant>
        <vt:i4>5439494</vt:i4>
      </vt:variant>
      <vt:variant>
        <vt:i4>744</vt:i4>
      </vt:variant>
      <vt:variant>
        <vt:i4>0</vt:i4>
      </vt:variant>
      <vt:variant>
        <vt:i4>5</vt:i4>
      </vt:variant>
      <vt:variant>
        <vt:lpwstr>https://www.gov.pl/web/infrastruktura/polityka-rozwoju-lotnictwa-cywilnego-w-polsce-do-2030-r-z-perspektywa-do-2040-r</vt:lpwstr>
      </vt:variant>
      <vt:variant>
        <vt:lpwstr/>
      </vt:variant>
      <vt:variant>
        <vt:i4>3801195</vt:i4>
      </vt:variant>
      <vt:variant>
        <vt:i4>741</vt:i4>
      </vt:variant>
      <vt:variant>
        <vt:i4>0</vt:i4>
      </vt:variant>
      <vt:variant>
        <vt:i4>5</vt:i4>
      </vt:variant>
      <vt:variant>
        <vt:lpwstr>https://www.gov.pl/web/infrastruktura/program-wzmocnienia-krajowej-sieci-drogowej-do-2030-roku</vt:lpwstr>
      </vt:variant>
      <vt:variant>
        <vt:lpwstr/>
      </vt:variant>
      <vt:variant>
        <vt:i4>3014690</vt:i4>
      </vt:variant>
      <vt:variant>
        <vt:i4>738</vt:i4>
      </vt:variant>
      <vt:variant>
        <vt:i4>0</vt:i4>
      </vt:variant>
      <vt:variant>
        <vt:i4>5</vt:i4>
      </vt:variant>
      <vt:variant>
        <vt:lpwstr>https://www.gov.pl/web/infrastruktura/program-bezpiecznej-infrastruktury-drogowej-na-lata-2021-2024</vt:lpwstr>
      </vt:variant>
      <vt:variant>
        <vt:lpwstr/>
      </vt:variant>
      <vt:variant>
        <vt:i4>23855159</vt:i4>
      </vt:variant>
      <vt:variant>
        <vt:i4>591</vt:i4>
      </vt:variant>
      <vt:variant>
        <vt:i4>0</vt:i4>
      </vt:variant>
      <vt:variant>
        <vt:i4>5</vt:i4>
      </vt:variant>
      <vt:variant>
        <vt:lpwstr/>
      </vt:variant>
      <vt:variant>
        <vt:lpwstr>_Wewnątrzunijny_rynek_energii</vt:lpwstr>
      </vt:variant>
      <vt:variant>
        <vt:i4>1114163</vt:i4>
      </vt:variant>
      <vt:variant>
        <vt:i4>584</vt:i4>
      </vt:variant>
      <vt:variant>
        <vt:i4>0</vt:i4>
      </vt:variant>
      <vt:variant>
        <vt:i4>5</vt:i4>
      </vt:variant>
      <vt:variant>
        <vt:lpwstr/>
      </vt:variant>
      <vt:variant>
        <vt:lpwstr>_Toc203474568</vt:lpwstr>
      </vt:variant>
      <vt:variant>
        <vt:i4>1114163</vt:i4>
      </vt:variant>
      <vt:variant>
        <vt:i4>578</vt:i4>
      </vt:variant>
      <vt:variant>
        <vt:i4>0</vt:i4>
      </vt:variant>
      <vt:variant>
        <vt:i4>5</vt:i4>
      </vt:variant>
      <vt:variant>
        <vt:lpwstr/>
      </vt:variant>
      <vt:variant>
        <vt:lpwstr>_Toc203474567</vt:lpwstr>
      </vt:variant>
      <vt:variant>
        <vt:i4>1114163</vt:i4>
      </vt:variant>
      <vt:variant>
        <vt:i4>572</vt:i4>
      </vt:variant>
      <vt:variant>
        <vt:i4>0</vt:i4>
      </vt:variant>
      <vt:variant>
        <vt:i4>5</vt:i4>
      </vt:variant>
      <vt:variant>
        <vt:lpwstr/>
      </vt:variant>
      <vt:variant>
        <vt:lpwstr>_Toc203474566</vt:lpwstr>
      </vt:variant>
      <vt:variant>
        <vt:i4>1114163</vt:i4>
      </vt:variant>
      <vt:variant>
        <vt:i4>566</vt:i4>
      </vt:variant>
      <vt:variant>
        <vt:i4>0</vt:i4>
      </vt:variant>
      <vt:variant>
        <vt:i4>5</vt:i4>
      </vt:variant>
      <vt:variant>
        <vt:lpwstr/>
      </vt:variant>
      <vt:variant>
        <vt:lpwstr>_Toc203474565</vt:lpwstr>
      </vt:variant>
      <vt:variant>
        <vt:i4>1114163</vt:i4>
      </vt:variant>
      <vt:variant>
        <vt:i4>560</vt:i4>
      </vt:variant>
      <vt:variant>
        <vt:i4>0</vt:i4>
      </vt:variant>
      <vt:variant>
        <vt:i4>5</vt:i4>
      </vt:variant>
      <vt:variant>
        <vt:lpwstr/>
      </vt:variant>
      <vt:variant>
        <vt:lpwstr>_Toc203474564</vt:lpwstr>
      </vt:variant>
      <vt:variant>
        <vt:i4>1114163</vt:i4>
      </vt:variant>
      <vt:variant>
        <vt:i4>554</vt:i4>
      </vt:variant>
      <vt:variant>
        <vt:i4>0</vt:i4>
      </vt:variant>
      <vt:variant>
        <vt:i4>5</vt:i4>
      </vt:variant>
      <vt:variant>
        <vt:lpwstr/>
      </vt:variant>
      <vt:variant>
        <vt:lpwstr>_Toc203474563</vt:lpwstr>
      </vt:variant>
      <vt:variant>
        <vt:i4>1114163</vt:i4>
      </vt:variant>
      <vt:variant>
        <vt:i4>548</vt:i4>
      </vt:variant>
      <vt:variant>
        <vt:i4>0</vt:i4>
      </vt:variant>
      <vt:variant>
        <vt:i4>5</vt:i4>
      </vt:variant>
      <vt:variant>
        <vt:lpwstr/>
      </vt:variant>
      <vt:variant>
        <vt:lpwstr>_Toc203474562</vt:lpwstr>
      </vt:variant>
      <vt:variant>
        <vt:i4>1114163</vt:i4>
      </vt:variant>
      <vt:variant>
        <vt:i4>542</vt:i4>
      </vt:variant>
      <vt:variant>
        <vt:i4>0</vt:i4>
      </vt:variant>
      <vt:variant>
        <vt:i4>5</vt:i4>
      </vt:variant>
      <vt:variant>
        <vt:lpwstr/>
      </vt:variant>
      <vt:variant>
        <vt:lpwstr>_Toc203474561</vt:lpwstr>
      </vt:variant>
      <vt:variant>
        <vt:i4>1114163</vt:i4>
      </vt:variant>
      <vt:variant>
        <vt:i4>536</vt:i4>
      </vt:variant>
      <vt:variant>
        <vt:i4>0</vt:i4>
      </vt:variant>
      <vt:variant>
        <vt:i4>5</vt:i4>
      </vt:variant>
      <vt:variant>
        <vt:lpwstr/>
      </vt:variant>
      <vt:variant>
        <vt:lpwstr>_Toc203474560</vt:lpwstr>
      </vt:variant>
      <vt:variant>
        <vt:i4>1179699</vt:i4>
      </vt:variant>
      <vt:variant>
        <vt:i4>530</vt:i4>
      </vt:variant>
      <vt:variant>
        <vt:i4>0</vt:i4>
      </vt:variant>
      <vt:variant>
        <vt:i4>5</vt:i4>
      </vt:variant>
      <vt:variant>
        <vt:lpwstr/>
      </vt:variant>
      <vt:variant>
        <vt:lpwstr>_Toc203474559</vt:lpwstr>
      </vt:variant>
      <vt:variant>
        <vt:i4>1179699</vt:i4>
      </vt:variant>
      <vt:variant>
        <vt:i4>524</vt:i4>
      </vt:variant>
      <vt:variant>
        <vt:i4>0</vt:i4>
      </vt:variant>
      <vt:variant>
        <vt:i4>5</vt:i4>
      </vt:variant>
      <vt:variant>
        <vt:lpwstr/>
      </vt:variant>
      <vt:variant>
        <vt:lpwstr>_Toc203474558</vt:lpwstr>
      </vt:variant>
      <vt:variant>
        <vt:i4>1179699</vt:i4>
      </vt:variant>
      <vt:variant>
        <vt:i4>518</vt:i4>
      </vt:variant>
      <vt:variant>
        <vt:i4>0</vt:i4>
      </vt:variant>
      <vt:variant>
        <vt:i4>5</vt:i4>
      </vt:variant>
      <vt:variant>
        <vt:lpwstr/>
      </vt:variant>
      <vt:variant>
        <vt:lpwstr>_Toc203474557</vt:lpwstr>
      </vt:variant>
      <vt:variant>
        <vt:i4>1179699</vt:i4>
      </vt:variant>
      <vt:variant>
        <vt:i4>512</vt:i4>
      </vt:variant>
      <vt:variant>
        <vt:i4>0</vt:i4>
      </vt:variant>
      <vt:variant>
        <vt:i4>5</vt:i4>
      </vt:variant>
      <vt:variant>
        <vt:lpwstr/>
      </vt:variant>
      <vt:variant>
        <vt:lpwstr>_Toc203474556</vt:lpwstr>
      </vt:variant>
      <vt:variant>
        <vt:i4>1179699</vt:i4>
      </vt:variant>
      <vt:variant>
        <vt:i4>506</vt:i4>
      </vt:variant>
      <vt:variant>
        <vt:i4>0</vt:i4>
      </vt:variant>
      <vt:variant>
        <vt:i4>5</vt:i4>
      </vt:variant>
      <vt:variant>
        <vt:lpwstr/>
      </vt:variant>
      <vt:variant>
        <vt:lpwstr>_Toc203474555</vt:lpwstr>
      </vt:variant>
      <vt:variant>
        <vt:i4>1179699</vt:i4>
      </vt:variant>
      <vt:variant>
        <vt:i4>500</vt:i4>
      </vt:variant>
      <vt:variant>
        <vt:i4>0</vt:i4>
      </vt:variant>
      <vt:variant>
        <vt:i4>5</vt:i4>
      </vt:variant>
      <vt:variant>
        <vt:lpwstr/>
      </vt:variant>
      <vt:variant>
        <vt:lpwstr>_Toc203474554</vt:lpwstr>
      </vt:variant>
      <vt:variant>
        <vt:i4>1179699</vt:i4>
      </vt:variant>
      <vt:variant>
        <vt:i4>494</vt:i4>
      </vt:variant>
      <vt:variant>
        <vt:i4>0</vt:i4>
      </vt:variant>
      <vt:variant>
        <vt:i4>5</vt:i4>
      </vt:variant>
      <vt:variant>
        <vt:lpwstr/>
      </vt:variant>
      <vt:variant>
        <vt:lpwstr>_Toc203474553</vt:lpwstr>
      </vt:variant>
      <vt:variant>
        <vt:i4>1179699</vt:i4>
      </vt:variant>
      <vt:variant>
        <vt:i4>488</vt:i4>
      </vt:variant>
      <vt:variant>
        <vt:i4>0</vt:i4>
      </vt:variant>
      <vt:variant>
        <vt:i4>5</vt:i4>
      </vt:variant>
      <vt:variant>
        <vt:lpwstr/>
      </vt:variant>
      <vt:variant>
        <vt:lpwstr>_Toc203474552</vt:lpwstr>
      </vt:variant>
      <vt:variant>
        <vt:i4>1179699</vt:i4>
      </vt:variant>
      <vt:variant>
        <vt:i4>482</vt:i4>
      </vt:variant>
      <vt:variant>
        <vt:i4>0</vt:i4>
      </vt:variant>
      <vt:variant>
        <vt:i4>5</vt:i4>
      </vt:variant>
      <vt:variant>
        <vt:lpwstr/>
      </vt:variant>
      <vt:variant>
        <vt:lpwstr>_Toc203474551</vt:lpwstr>
      </vt:variant>
      <vt:variant>
        <vt:i4>1179699</vt:i4>
      </vt:variant>
      <vt:variant>
        <vt:i4>476</vt:i4>
      </vt:variant>
      <vt:variant>
        <vt:i4>0</vt:i4>
      </vt:variant>
      <vt:variant>
        <vt:i4>5</vt:i4>
      </vt:variant>
      <vt:variant>
        <vt:lpwstr/>
      </vt:variant>
      <vt:variant>
        <vt:lpwstr>_Toc203474550</vt:lpwstr>
      </vt:variant>
      <vt:variant>
        <vt:i4>1245235</vt:i4>
      </vt:variant>
      <vt:variant>
        <vt:i4>470</vt:i4>
      </vt:variant>
      <vt:variant>
        <vt:i4>0</vt:i4>
      </vt:variant>
      <vt:variant>
        <vt:i4>5</vt:i4>
      </vt:variant>
      <vt:variant>
        <vt:lpwstr/>
      </vt:variant>
      <vt:variant>
        <vt:lpwstr>_Toc203474549</vt:lpwstr>
      </vt:variant>
      <vt:variant>
        <vt:i4>1245235</vt:i4>
      </vt:variant>
      <vt:variant>
        <vt:i4>464</vt:i4>
      </vt:variant>
      <vt:variant>
        <vt:i4>0</vt:i4>
      </vt:variant>
      <vt:variant>
        <vt:i4>5</vt:i4>
      </vt:variant>
      <vt:variant>
        <vt:lpwstr/>
      </vt:variant>
      <vt:variant>
        <vt:lpwstr>_Toc203474548</vt:lpwstr>
      </vt:variant>
      <vt:variant>
        <vt:i4>1245235</vt:i4>
      </vt:variant>
      <vt:variant>
        <vt:i4>458</vt:i4>
      </vt:variant>
      <vt:variant>
        <vt:i4>0</vt:i4>
      </vt:variant>
      <vt:variant>
        <vt:i4>5</vt:i4>
      </vt:variant>
      <vt:variant>
        <vt:lpwstr/>
      </vt:variant>
      <vt:variant>
        <vt:lpwstr>_Toc203474547</vt:lpwstr>
      </vt:variant>
      <vt:variant>
        <vt:i4>1245235</vt:i4>
      </vt:variant>
      <vt:variant>
        <vt:i4>452</vt:i4>
      </vt:variant>
      <vt:variant>
        <vt:i4>0</vt:i4>
      </vt:variant>
      <vt:variant>
        <vt:i4>5</vt:i4>
      </vt:variant>
      <vt:variant>
        <vt:lpwstr/>
      </vt:variant>
      <vt:variant>
        <vt:lpwstr>_Toc203474544</vt:lpwstr>
      </vt:variant>
      <vt:variant>
        <vt:i4>1245235</vt:i4>
      </vt:variant>
      <vt:variant>
        <vt:i4>446</vt:i4>
      </vt:variant>
      <vt:variant>
        <vt:i4>0</vt:i4>
      </vt:variant>
      <vt:variant>
        <vt:i4>5</vt:i4>
      </vt:variant>
      <vt:variant>
        <vt:lpwstr/>
      </vt:variant>
      <vt:variant>
        <vt:lpwstr>_Toc203474543</vt:lpwstr>
      </vt:variant>
      <vt:variant>
        <vt:i4>1245235</vt:i4>
      </vt:variant>
      <vt:variant>
        <vt:i4>440</vt:i4>
      </vt:variant>
      <vt:variant>
        <vt:i4>0</vt:i4>
      </vt:variant>
      <vt:variant>
        <vt:i4>5</vt:i4>
      </vt:variant>
      <vt:variant>
        <vt:lpwstr/>
      </vt:variant>
      <vt:variant>
        <vt:lpwstr>_Toc203474542</vt:lpwstr>
      </vt:variant>
      <vt:variant>
        <vt:i4>1245235</vt:i4>
      </vt:variant>
      <vt:variant>
        <vt:i4>434</vt:i4>
      </vt:variant>
      <vt:variant>
        <vt:i4>0</vt:i4>
      </vt:variant>
      <vt:variant>
        <vt:i4>5</vt:i4>
      </vt:variant>
      <vt:variant>
        <vt:lpwstr/>
      </vt:variant>
      <vt:variant>
        <vt:lpwstr>_Toc203474541</vt:lpwstr>
      </vt:variant>
      <vt:variant>
        <vt:i4>1310771</vt:i4>
      </vt:variant>
      <vt:variant>
        <vt:i4>428</vt:i4>
      </vt:variant>
      <vt:variant>
        <vt:i4>0</vt:i4>
      </vt:variant>
      <vt:variant>
        <vt:i4>5</vt:i4>
      </vt:variant>
      <vt:variant>
        <vt:lpwstr/>
      </vt:variant>
      <vt:variant>
        <vt:lpwstr>_Toc203474539</vt:lpwstr>
      </vt:variant>
      <vt:variant>
        <vt:i4>1310771</vt:i4>
      </vt:variant>
      <vt:variant>
        <vt:i4>422</vt:i4>
      </vt:variant>
      <vt:variant>
        <vt:i4>0</vt:i4>
      </vt:variant>
      <vt:variant>
        <vt:i4>5</vt:i4>
      </vt:variant>
      <vt:variant>
        <vt:lpwstr/>
      </vt:variant>
      <vt:variant>
        <vt:lpwstr>_Toc203474538</vt:lpwstr>
      </vt:variant>
      <vt:variant>
        <vt:i4>1310771</vt:i4>
      </vt:variant>
      <vt:variant>
        <vt:i4>416</vt:i4>
      </vt:variant>
      <vt:variant>
        <vt:i4>0</vt:i4>
      </vt:variant>
      <vt:variant>
        <vt:i4>5</vt:i4>
      </vt:variant>
      <vt:variant>
        <vt:lpwstr/>
      </vt:variant>
      <vt:variant>
        <vt:lpwstr>_Toc203474537</vt:lpwstr>
      </vt:variant>
      <vt:variant>
        <vt:i4>1310771</vt:i4>
      </vt:variant>
      <vt:variant>
        <vt:i4>410</vt:i4>
      </vt:variant>
      <vt:variant>
        <vt:i4>0</vt:i4>
      </vt:variant>
      <vt:variant>
        <vt:i4>5</vt:i4>
      </vt:variant>
      <vt:variant>
        <vt:lpwstr/>
      </vt:variant>
      <vt:variant>
        <vt:lpwstr>_Toc203474536</vt:lpwstr>
      </vt:variant>
      <vt:variant>
        <vt:i4>1310771</vt:i4>
      </vt:variant>
      <vt:variant>
        <vt:i4>404</vt:i4>
      </vt:variant>
      <vt:variant>
        <vt:i4>0</vt:i4>
      </vt:variant>
      <vt:variant>
        <vt:i4>5</vt:i4>
      </vt:variant>
      <vt:variant>
        <vt:lpwstr/>
      </vt:variant>
      <vt:variant>
        <vt:lpwstr>_Toc203474535</vt:lpwstr>
      </vt:variant>
      <vt:variant>
        <vt:i4>1310771</vt:i4>
      </vt:variant>
      <vt:variant>
        <vt:i4>398</vt:i4>
      </vt:variant>
      <vt:variant>
        <vt:i4>0</vt:i4>
      </vt:variant>
      <vt:variant>
        <vt:i4>5</vt:i4>
      </vt:variant>
      <vt:variant>
        <vt:lpwstr/>
      </vt:variant>
      <vt:variant>
        <vt:lpwstr>_Toc203474534</vt:lpwstr>
      </vt:variant>
      <vt:variant>
        <vt:i4>1310771</vt:i4>
      </vt:variant>
      <vt:variant>
        <vt:i4>392</vt:i4>
      </vt:variant>
      <vt:variant>
        <vt:i4>0</vt:i4>
      </vt:variant>
      <vt:variant>
        <vt:i4>5</vt:i4>
      </vt:variant>
      <vt:variant>
        <vt:lpwstr/>
      </vt:variant>
      <vt:variant>
        <vt:lpwstr>_Toc203474533</vt:lpwstr>
      </vt:variant>
      <vt:variant>
        <vt:i4>1310771</vt:i4>
      </vt:variant>
      <vt:variant>
        <vt:i4>386</vt:i4>
      </vt:variant>
      <vt:variant>
        <vt:i4>0</vt:i4>
      </vt:variant>
      <vt:variant>
        <vt:i4>5</vt:i4>
      </vt:variant>
      <vt:variant>
        <vt:lpwstr/>
      </vt:variant>
      <vt:variant>
        <vt:lpwstr>_Toc203474532</vt:lpwstr>
      </vt:variant>
      <vt:variant>
        <vt:i4>1310771</vt:i4>
      </vt:variant>
      <vt:variant>
        <vt:i4>380</vt:i4>
      </vt:variant>
      <vt:variant>
        <vt:i4>0</vt:i4>
      </vt:variant>
      <vt:variant>
        <vt:i4>5</vt:i4>
      </vt:variant>
      <vt:variant>
        <vt:lpwstr/>
      </vt:variant>
      <vt:variant>
        <vt:lpwstr>_Toc203474531</vt:lpwstr>
      </vt:variant>
      <vt:variant>
        <vt:i4>1310771</vt:i4>
      </vt:variant>
      <vt:variant>
        <vt:i4>374</vt:i4>
      </vt:variant>
      <vt:variant>
        <vt:i4>0</vt:i4>
      </vt:variant>
      <vt:variant>
        <vt:i4>5</vt:i4>
      </vt:variant>
      <vt:variant>
        <vt:lpwstr/>
      </vt:variant>
      <vt:variant>
        <vt:lpwstr>_Toc203474530</vt:lpwstr>
      </vt:variant>
      <vt:variant>
        <vt:i4>1376307</vt:i4>
      </vt:variant>
      <vt:variant>
        <vt:i4>368</vt:i4>
      </vt:variant>
      <vt:variant>
        <vt:i4>0</vt:i4>
      </vt:variant>
      <vt:variant>
        <vt:i4>5</vt:i4>
      </vt:variant>
      <vt:variant>
        <vt:lpwstr/>
      </vt:variant>
      <vt:variant>
        <vt:lpwstr>_Toc203474529</vt:lpwstr>
      </vt:variant>
      <vt:variant>
        <vt:i4>1376307</vt:i4>
      </vt:variant>
      <vt:variant>
        <vt:i4>362</vt:i4>
      </vt:variant>
      <vt:variant>
        <vt:i4>0</vt:i4>
      </vt:variant>
      <vt:variant>
        <vt:i4>5</vt:i4>
      </vt:variant>
      <vt:variant>
        <vt:lpwstr/>
      </vt:variant>
      <vt:variant>
        <vt:lpwstr>_Toc203474528</vt:lpwstr>
      </vt:variant>
      <vt:variant>
        <vt:i4>1376307</vt:i4>
      </vt:variant>
      <vt:variant>
        <vt:i4>356</vt:i4>
      </vt:variant>
      <vt:variant>
        <vt:i4>0</vt:i4>
      </vt:variant>
      <vt:variant>
        <vt:i4>5</vt:i4>
      </vt:variant>
      <vt:variant>
        <vt:lpwstr/>
      </vt:variant>
      <vt:variant>
        <vt:lpwstr>_Toc203474527</vt:lpwstr>
      </vt:variant>
      <vt:variant>
        <vt:i4>1376307</vt:i4>
      </vt:variant>
      <vt:variant>
        <vt:i4>350</vt:i4>
      </vt:variant>
      <vt:variant>
        <vt:i4>0</vt:i4>
      </vt:variant>
      <vt:variant>
        <vt:i4>5</vt:i4>
      </vt:variant>
      <vt:variant>
        <vt:lpwstr/>
      </vt:variant>
      <vt:variant>
        <vt:lpwstr>_Toc203474526</vt:lpwstr>
      </vt:variant>
      <vt:variant>
        <vt:i4>1376307</vt:i4>
      </vt:variant>
      <vt:variant>
        <vt:i4>344</vt:i4>
      </vt:variant>
      <vt:variant>
        <vt:i4>0</vt:i4>
      </vt:variant>
      <vt:variant>
        <vt:i4>5</vt:i4>
      </vt:variant>
      <vt:variant>
        <vt:lpwstr/>
      </vt:variant>
      <vt:variant>
        <vt:lpwstr>_Toc203474525</vt:lpwstr>
      </vt:variant>
      <vt:variant>
        <vt:i4>1376307</vt:i4>
      </vt:variant>
      <vt:variant>
        <vt:i4>338</vt:i4>
      </vt:variant>
      <vt:variant>
        <vt:i4>0</vt:i4>
      </vt:variant>
      <vt:variant>
        <vt:i4>5</vt:i4>
      </vt:variant>
      <vt:variant>
        <vt:lpwstr/>
      </vt:variant>
      <vt:variant>
        <vt:lpwstr>_Toc203474524</vt:lpwstr>
      </vt:variant>
      <vt:variant>
        <vt:i4>1376307</vt:i4>
      </vt:variant>
      <vt:variant>
        <vt:i4>332</vt:i4>
      </vt:variant>
      <vt:variant>
        <vt:i4>0</vt:i4>
      </vt:variant>
      <vt:variant>
        <vt:i4>5</vt:i4>
      </vt:variant>
      <vt:variant>
        <vt:lpwstr/>
      </vt:variant>
      <vt:variant>
        <vt:lpwstr>_Toc203474523</vt:lpwstr>
      </vt:variant>
      <vt:variant>
        <vt:i4>1376307</vt:i4>
      </vt:variant>
      <vt:variant>
        <vt:i4>326</vt:i4>
      </vt:variant>
      <vt:variant>
        <vt:i4>0</vt:i4>
      </vt:variant>
      <vt:variant>
        <vt:i4>5</vt:i4>
      </vt:variant>
      <vt:variant>
        <vt:lpwstr/>
      </vt:variant>
      <vt:variant>
        <vt:lpwstr>_Toc203474522</vt:lpwstr>
      </vt:variant>
      <vt:variant>
        <vt:i4>1376307</vt:i4>
      </vt:variant>
      <vt:variant>
        <vt:i4>320</vt:i4>
      </vt:variant>
      <vt:variant>
        <vt:i4>0</vt:i4>
      </vt:variant>
      <vt:variant>
        <vt:i4>5</vt:i4>
      </vt:variant>
      <vt:variant>
        <vt:lpwstr/>
      </vt:variant>
      <vt:variant>
        <vt:lpwstr>_Toc203474521</vt:lpwstr>
      </vt:variant>
      <vt:variant>
        <vt:i4>1376307</vt:i4>
      </vt:variant>
      <vt:variant>
        <vt:i4>314</vt:i4>
      </vt:variant>
      <vt:variant>
        <vt:i4>0</vt:i4>
      </vt:variant>
      <vt:variant>
        <vt:i4>5</vt:i4>
      </vt:variant>
      <vt:variant>
        <vt:lpwstr/>
      </vt:variant>
      <vt:variant>
        <vt:lpwstr>_Toc203474520</vt:lpwstr>
      </vt:variant>
      <vt:variant>
        <vt:i4>1441843</vt:i4>
      </vt:variant>
      <vt:variant>
        <vt:i4>308</vt:i4>
      </vt:variant>
      <vt:variant>
        <vt:i4>0</vt:i4>
      </vt:variant>
      <vt:variant>
        <vt:i4>5</vt:i4>
      </vt:variant>
      <vt:variant>
        <vt:lpwstr/>
      </vt:variant>
      <vt:variant>
        <vt:lpwstr>_Toc203474519</vt:lpwstr>
      </vt:variant>
      <vt:variant>
        <vt:i4>1441843</vt:i4>
      </vt:variant>
      <vt:variant>
        <vt:i4>302</vt:i4>
      </vt:variant>
      <vt:variant>
        <vt:i4>0</vt:i4>
      </vt:variant>
      <vt:variant>
        <vt:i4>5</vt:i4>
      </vt:variant>
      <vt:variant>
        <vt:lpwstr/>
      </vt:variant>
      <vt:variant>
        <vt:lpwstr>_Toc203474518</vt:lpwstr>
      </vt:variant>
      <vt:variant>
        <vt:i4>1441843</vt:i4>
      </vt:variant>
      <vt:variant>
        <vt:i4>296</vt:i4>
      </vt:variant>
      <vt:variant>
        <vt:i4>0</vt:i4>
      </vt:variant>
      <vt:variant>
        <vt:i4>5</vt:i4>
      </vt:variant>
      <vt:variant>
        <vt:lpwstr/>
      </vt:variant>
      <vt:variant>
        <vt:lpwstr>_Toc203474517</vt:lpwstr>
      </vt:variant>
      <vt:variant>
        <vt:i4>1441843</vt:i4>
      </vt:variant>
      <vt:variant>
        <vt:i4>290</vt:i4>
      </vt:variant>
      <vt:variant>
        <vt:i4>0</vt:i4>
      </vt:variant>
      <vt:variant>
        <vt:i4>5</vt:i4>
      </vt:variant>
      <vt:variant>
        <vt:lpwstr/>
      </vt:variant>
      <vt:variant>
        <vt:lpwstr>_Toc203474516</vt:lpwstr>
      </vt:variant>
      <vt:variant>
        <vt:i4>1441843</vt:i4>
      </vt:variant>
      <vt:variant>
        <vt:i4>284</vt:i4>
      </vt:variant>
      <vt:variant>
        <vt:i4>0</vt:i4>
      </vt:variant>
      <vt:variant>
        <vt:i4>5</vt:i4>
      </vt:variant>
      <vt:variant>
        <vt:lpwstr/>
      </vt:variant>
      <vt:variant>
        <vt:lpwstr>_Toc203474515</vt:lpwstr>
      </vt:variant>
      <vt:variant>
        <vt:i4>1441843</vt:i4>
      </vt:variant>
      <vt:variant>
        <vt:i4>278</vt:i4>
      </vt:variant>
      <vt:variant>
        <vt:i4>0</vt:i4>
      </vt:variant>
      <vt:variant>
        <vt:i4>5</vt:i4>
      </vt:variant>
      <vt:variant>
        <vt:lpwstr/>
      </vt:variant>
      <vt:variant>
        <vt:lpwstr>_Toc203474514</vt:lpwstr>
      </vt:variant>
      <vt:variant>
        <vt:i4>1441843</vt:i4>
      </vt:variant>
      <vt:variant>
        <vt:i4>272</vt:i4>
      </vt:variant>
      <vt:variant>
        <vt:i4>0</vt:i4>
      </vt:variant>
      <vt:variant>
        <vt:i4>5</vt:i4>
      </vt:variant>
      <vt:variant>
        <vt:lpwstr/>
      </vt:variant>
      <vt:variant>
        <vt:lpwstr>_Toc203474513</vt:lpwstr>
      </vt:variant>
      <vt:variant>
        <vt:i4>1441843</vt:i4>
      </vt:variant>
      <vt:variant>
        <vt:i4>266</vt:i4>
      </vt:variant>
      <vt:variant>
        <vt:i4>0</vt:i4>
      </vt:variant>
      <vt:variant>
        <vt:i4>5</vt:i4>
      </vt:variant>
      <vt:variant>
        <vt:lpwstr/>
      </vt:variant>
      <vt:variant>
        <vt:lpwstr>_Toc203474512</vt:lpwstr>
      </vt:variant>
      <vt:variant>
        <vt:i4>1441843</vt:i4>
      </vt:variant>
      <vt:variant>
        <vt:i4>260</vt:i4>
      </vt:variant>
      <vt:variant>
        <vt:i4>0</vt:i4>
      </vt:variant>
      <vt:variant>
        <vt:i4>5</vt:i4>
      </vt:variant>
      <vt:variant>
        <vt:lpwstr/>
      </vt:variant>
      <vt:variant>
        <vt:lpwstr>_Toc203474511</vt:lpwstr>
      </vt:variant>
      <vt:variant>
        <vt:i4>1441843</vt:i4>
      </vt:variant>
      <vt:variant>
        <vt:i4>254</vt:i4>
      </vt:variant>
      <vt:variant>
        <vt:i4>0</vt:i4>
      </vt:variant>
      <vt:variant>
        <vt:i4>5</vt:i4>
      </vt:variant>
      <vt:variant>
        <vt:lpwstr/>
      </vt:variant>
      <vt:variant>
        <vt:lpwstr>_Toc203474510</vt:lpwstr>
      </vt:variant>
      <vt:variant>
        <vt:i4>1507379</vt:i4>
      </vt:variant>
      <vt:variant>
        <vt:i4>248</vt:i4>
      </vt:variant>
      <vt:variant>
        <vt:i4>0</vt:i4>
      </vt:variant>
      <vt:variant>
        <vt:i4>5</vt:i4>
      </vt:variant>
      <vt:variant>
        <vt:lpwstr/>
      </vt:variant>
      <vt:variant>
        <vt:lpwstr>_Toc203474509</vt:lpwstr>
      </vt:variant>
      <vt:variant>
        <vt:i4>1507379</vt:i4>
      </vt:variant>
      <vt:variant>
        <vt:i4>242</vt:i4>
      </vt:variant>
      <vt:variant>
        <vt:i4>0</vt:i4>
      </vt:variant>
      <vt:variant>
        <vt:i4>5</vt:i4>
      </vt:variant>
      <vt:variant>
        <vt:lpwstr/>
      </vt:variant>
      <vt:variant>
        <vt:lpwstr>_Toc203474508</vt:lpwstr>
      </vt:variant>
      <vt:variant>
        <vt:i4>1507379</vt:i4>
      </vt:variant>
      <vt:variant>
        <vt:i4>236</vt:i4>
      </vt:variant>
      <vt:variant>
        <vt:i4>0</vt:i4>
      </vt:variant>
      <vt:variant>
        <vt:i4>5</vt:i4>
      </vt:variant>
      <vt:variant>
        <vt:lpwstr/>
      </vt:variant>
      <vt:variant>
        <vt:lpwstr>_Toc203474507</vt:lpwstr>
      </vt:variant>
      <vt:variant>
        <vt:i4>1507379</vt:i4>
      </vt:variant>
      <vt:variant>
        <vt:i4>230</vt:i4>
      </vt:variant>
      <vt:variant>
        <vt:i4>0</vt:i4>
      </vt:variant>
      <vt:variant>
        <vt:i4>5</vt:i4>
      </vt:variant>
      <vt:variant>
        <vt:lpwstr/>
      </vt:variant>
      <vt:variant>
        <vt:lpwstr>_Toc203474506</vt:lpwstr>
      </vt:variant>
      <vt:variant>
        <vt:i4>1507379</vt:i4>
      </vt:variant>
      <vt:variant>
        <vt:i4>224</vt:i4>
      </vt:variant>
      <vt:variant>
        <vt:i4>0</vt:i4>
      </vt:variant>
      <vt:variant>
        <vt:i4>5</vt:i4>
      </vt:variant>
      <vt:variant>
        <vt:lpwstr/>
      </vt:variant>
      <vt:variant>
        <vt:lpwstr>_Toc203474505</vt:lpwstr>
      </vt:variant>
      <vt:variant>
        <vt:i4>1507379</vt:i4>
      </vt:variant>
      <vt:variant>
        <vt:i4>218</vt:i4>
      </vt:variant>
      <vt:variant>
        <vt:i4>0</vt:i4>
      </vt:variant>
      <vt:variant>
        <vt:i4>5</vt:i4>
      </vt:variant>
      <vt:variant>
        <vt:lpwstr/>
      </vt:variant>
      <vt:variant>
        <vt:lpwstr>_Toc203474504</vt:lpwstr>
      </vt:variant>
      <vt:variant>
        <vt:i4>1507379</vt:i4>
      </vt:variant>
      <vt:variant>
        <vt:i4>212</vt:i4>
      </vt:variant>
      <vt:variant>
        <vt:i4>0</vt:i4>
      </vt:variant>
      <vt:variant>
        <vt:i4>5</vt:i4>
      </vt:variant>
      <vt:variant>
        <vt:lpwstr/>
      </vt:variant>
      <vt:variant>
        <vt:lpwstr>_Toc203474503</vt:lpwstr>
      </vt:variant>
      <vt:variant>
        <vt:i4>1507379</vt:i4>
      </vt:variant>
      <vt:variant>
        <vt:i4>206</vt:i4>
      </vt:variant>
      <vt:variant>
        <vt:i4>0</vt:i4>
      </vt:variant>
      <vt:variant>
        <vt:i4>5</vt:i4>
      </vt:variant>
      <vt:variant>
        <vt:lpwstr/>
      </vt:variant>
      <vt:variant>
        <vt:lpwstr>_Toc203474502</vt:lpwstr>
      </vt:variant>
      <vt:variant>
        <vt:i4>1507379</vt:i4>
      </vt:variant>
      <vt:variant>
        <vt:i4>200</vt:i4>
      </vt:variant>
      <vt:variant>
        <vt:i4>0</vt:i4>
      </vt:variant>
      <vt:variant>
        <vt:i4>5</vt:i4>
      </vt:variant>
      <vt:variant>
        <vt:lpwstr/>
      </vt:variant>
      <vt:variant>
        <vt:lpwstr>_Toc203474501</vt:lpwstr>
      </vt:variant>
      <vt:variant>
        <vt:i4>1507379</vt:i4>
      </vt:variant>
      <vt:variant>
        <vt:i4>194</vt:i4>
      </vt:variant>
      <vt:variant>
        <vt:i4>0</vt:i4>
      </vt:variant>
      <vt:variant>
        <vt:i4>5</vt:i4>
      </vt:variant>
      <vt:variant>
        <vt:lpwstr/>
      </vt:variant>
      <vt:variant>
        <vt:lpwstr>_Toc203474500</vt:lpwstr>
      </vt:variant>
      <vt:variant>
        <vt:i4>1966130</vt:i4>
      </vt:variant>
      <vt:variant>
        <vt:i4>188</vt:i4>
      </vt:variant>
      <vt:variant>
        <vt:i4>0</vt:i4>
      </vt:variant>
      <vt:variant>
        <vt:i4>5</vt:i4>
      </vt:variant>
      <vt:variant>
        <vt:lpwstr/>
      </vt:variant>
      <vt:variant>
        <vt:lpwstr>_Toc203474499</vt:lpwstr>
      </vt:variant>
      <vt:variant>
        <vt:i4>1966130</vt:i4>
      </vt:variant>
      <vt:variant>
        <vt:i4>182</vt:i4>
      </vt:variant>
      <vt:variant>
        <vt:i4>0</vt:i4>
      </vt:variant>
      <vt:variant>
        <vt:i4>5</vt:i4>
      </vt:variant>
      <vt:variant>
        <vt:lpwstr/>
      </vt:variant>
      <vt:variant>
        <vt:lpwstr>_Toc203474498</vt:lpwstr>
      </vt:variant>
      <vt:variant>
        <vt:i4>1966130</vt:i4>
      </vt:variant>
      <vt:variant>
        <vt:i4>176</vt:i4>
      </vt:variant>
      <vt:variant>
        <vt:i4>0</vt:i4>
      </vt:variant>
      <vt:variant>
        <vt:i4>5</vt:i4>
      </vt:variant>
      <vt:variant>
        <vt:lpwstr/>
      </vt:variant>
      <vt:variant>
        <vt:lpwstr>_Toc203474497</vt:lpwstr>
      </vt:variant>
      <vt:variant>
        <vt:i4>1966130</vt:i4>
      </vt:variant>
      <vt:variant>
        <vt:i4>170</vt:i4>
      </vt:variant>
      <vt:variant>
        <vt:i4>0</vt:i4>
      </vt:variant>
      <vt:variant>
        <vt:i4>5</vt:i4>
      </vt:variant>
      <vt:variant>
        <vt:lpwstr/>
      </vt:variant>
      <vt:variant>
        <vt:lpwstr>_Toc203474496</vt:lpwstr>
      </vt:variant>
      <vt:variant>
        <vt:i4>1966130</vt:i4>
      </vt:variant>
      <vt:variant>
        <vt:i4>164</vt:i4>
      </vt:variant>
      <vt:variant>
        <vt:i4>0</vt:i4>
      </vt:variant>
      <vt:variant>
        <vt:i4>5</vt:i4>
      </vt:variant>
      <vt:variant>
        <vt:lpwstr/>
      </vt:variant>
      <vt:variant>
        <vt:lpwstr>_Toc203474495</vt:lpwstr>
      </vt:variant>
      <vt:variant>
        <vt:i4>1966130</vt:i4>
      </vt:variant>
      <vt:variant>
        <vt:i4>158</vt:i4>
      </vt:variant>
      <vt:variant>
        <vt:i4>0</vt:i4>
      </vt:variant>
      <vt:variant>
        <vt:i4>5</vt:i4>
      </vt:variant>
      <vt:variant>
        <vt:lpwstr/>
      </vt:variant>
      <vt:variant>
        <vt:lpwstr>_Toc203474494</vt:lpwstr>
      </vt:variant>
      <vt:variant>
        <vt:i4>1966130</vt:i4>
      </vt:variant>
      <vt:variant>
        <vt:i4>152</vt:i4>
      </vt:variant>
      <vt:variant>
        <vt:i4>0</vt:i4>
      </vt:variant>
      <vt:variant>
        <vt:i4>5</vt:i4>
      </vt:variant>
      <vt:variant>
        <vt:lpwstr/>
      </vt:variant>
      <vt:variant>
        <vt:lpwstr>_Toc203474493</vt:lpwstr>
      </vt:variant>
      <vt:variant>
        <vt:i4>1966130</vt:i4>
      </vt:variant>
      <vt:variant>
        <vt:i4>146</vt:i4>
      </vt:variant>
      <vt:variant>
        <vt:i4>0</vt:i4>
      </vt:variant>
      <vt:variant>
        <vt:i4>5</vt:i4>
      </vt:variant>
      <vt:variant>
        <vt:lpwstr/>
      </vt:variant>
      <vt:variant>
        <vt:lpwstr>_Toc203474492</vt:lpwstr>
      </vt:variant>
      <vt:variant>
        <vt:i4>1966130</vt:i4>
      </vt:variant>
      <vt:variant>
        <vt:i4>140</vt:i4>
      </vt:variant>
      <vt:variant>
        <vt:i4>0</vt:i4>
      </vt:variant>
      <vt:variant>
        <vt:i4>5</vt:i4>
      </vt:variant>
      <vt:variant>
        <vt:lpwstr/>
      </vt:variant>
      <vt:variant>
        <vt:lpwstr>_Toc203474491</vt:lpwstr>
      </vt:variant>
      <vt:variant>
        <vt:i4>1966130</vt:i4>
      </vt:variant>
      <vt:variant>
        <vt:i4>134</vt:i4>
      </vt:variant>
      <vt:variant>
        <vt:i4>0</vt:i4>
      </vt:variant>
      <vt:variant>
        <vt:i4>5</vt:i4>
      </vt:variant>
      <vt:variant>
        <vt:lpwstr/>
      </vt:variant>
      <vt:variant>
        <vt:lpwstr>_Toc203474490</vt:lpwstr>
      </vt:variant>
      <vt:variant>
        <vt:i4>2031666</vt:i4>
      </vt:variant>
      <vt:variant>
        <vt:i4>128</vt:i4>
      </vt:variant>
      <vt:variant>
        <vt:i4>0</vt:i4>
      </vt:variant>
      <vt:variant>
        <vt:i4>5</vt:i4>
      </vt:variant>
      <vt:variant>
        <vt:lpwstr/>
      </vt:variant>
      <vt:variant>
        <vt:lpwstr>_Toc203474489</vt:lpwstr>
      </vt:variant>
      <vt:variant>
        <vt:i4>2031666</vt:i4>
      </vt:variant>
      <vt:variant>
        <vt:i4>122</vt:i4>
      </vt:variant>
      <vt:variant>
        <vt:i4>0</vt:i4>
      </vt:variant>
      <vt:variant>
        <vt:i4>5</vt:i4>
      </vt:variant>
      <vt:variant>
        <vt:lpwstr/>
      </vt:variant>
      <vt:variant>
        <vt:lpwstr>_Toc203474488</vt:lpwstr>
      </vt:variant>
      <vt:variant>
        <vt:i4>2031666</vt:i4>
      </vt:variant>
      <vt:variant>
        <vt:i4>116</vt:i4>
      </vt:variant>
      <vt:variant>
        <vt:i4>0</vt:i4>
      </vt:variant>
      <vt:variant>
        <vt:i4>5</vt:i4>
      </vt:variant>
      <vt:variant>
        <vt:lpwstr/>
      </vt:variant>
      <vt:variant>
        <vt:lpwstr>_Toc203474487</vt:lpwstr>
      </vt:variant>
      <vt:variant>
        <vt:i4>2031666</vt:i4>
      </vt:variant>
      <vt:variant>
        <vt:i4>110</vt:i4>
      </vt:variant>
      <vt:variant>
        <vt:i4>0</vt:i4>
      </vt:variant>
      <vt:variant>
        <vt:i4>5</vt:i4>
      </vt:variant>
      <vt:variant>
        <vt:lpwstr/>
      </vt:variant>
      <vt:variant>
        <vt:lpwstr>_Toc203474486</vt:lpwstr>
      </vt:variant>
      <vt:variant>
        <vt:i4>2031666</vt:i4>
      </vt:variant>
      <vt:variant>
        <vt:i4>104</vt:i4>
      </vt:variant>
      <vt:variant>
        <vt:i4>0</vt:i4>
      </vt:variant>
      <vt:variant>
        <vt:i4>5</vt:i4>
      </vt:variant>
      <vt:variant>
        <vt:lpwstr/>
      </vt:variant>
      <vt:variant>
        <vt:lpwstr>_Toc203474485</vt:lpwstr>
      </vt:variant>
      <vt:variant>
        <vt:i4>2031666</vt:i4>
      </vt:variant>
      <vt:variant>
        <vt:i4>98</vt:i4>
      </vt:variant>
      <vt:variant>
        <vt:i4>0</vt:i4>
      </vt:variant>
      <vt:variant>
        <vt:i4>5</vt:i4>
      </vt:variant>
      <vt:variant>
        <vt:lpwstr/>
      </vt:variant>
      <vt:variant>
        <vt:lpwstr>_Toc203474484</vt:lpwstr>
      </vt:variant>
      <vt:variant>
        <vt:i4>2031666</vt:i4>
      </vt:variant>
      <vt:variant>
        <vt:i4>92</vt:i4>
      </vt:variant>
      <vt:variant>
        <vt:i4>0</vt:i4>
      </vt:variant>
      <vt:variant>
        <vt:i4>5</vt:i4>
      </vt:variant>
      <vt:variant>
        <vt:lpwstr/>
      </vt:variant>
      <vt:variant>
        <vt:lpwstr>_Toc203474483</vt:lpwstr>
      </vt:variant>
      <vt:variant>
        <vt:i4>2031666</vt:i4>
      </vt:variant>
      <vt:variant>
        <vt:i4>86</vt:i4>
      </vt:variant>
      <vt:variant>
        <vt:i4>0</vt:i4>
      </vt:variant>
      <vt:variant>
        <vt:i4>5</vt:i4>
      </vt:variant>
      <vt:variant>
        <vt:lpwstr/>
      </vt:variant>
      <vt:variant>
        <vt:lpwstr>_Toc203474482</vt:lpwstr>
      </vt:variant>
      <vt:variant>
        <vt:i4>2031666</vt:i4>
      </vt:variant>
      <vt:variant>
        <vt:i4>80</vt:i4>
      </vt:variant>
      <vt:variant>
        <vt:i4>0</vt:i4>
      </vt:variant>
      <vt:variant>
        <vt:i4>5</vt:i4>
      </vt:variant>
      <vt:variant>
        <vt:lpwstr/>
      </vt:variant>
      <vt:variant>
        <vt:lpwstr>_Toc203474481</vt:lpwstr>
      </vt:variant>
      <vt:variant>
        <vt:i4>2031666</vt:i4>
      </vt:variant>
      <vt:variant>
        <vt:i4>74</vt:i4>
      </vt:variant>
      <vt:variant>
        <vt:i4>0</vt:i4>
      </vt:variant>
      <vt:variant>
        <vt:i4>5</vt:i4>
      </vt:variant>
      <vt:variant>
        <vt:lpwstr/>
      </vt:variant>
      <vt:variant>
        <vt:lpwstr>_Toc203474480</vt:lpwstr>
      </vt:variant>
      <vt:variant>
        <vt:i4>1048626</vt:i4>
      </vt:variant>
      <vt:variant>
        <vt:i4>68</vt:i4>
      </vt:variant>
      <vt:variant>
        <vt:i4>0</vt:i4>
      </vt:variant>
      <vt:variant>
        <vt:i4>5</vt:i4>
      </vt:variant>
      <vt:variant>
        <vt:lpwstr/>
      </vt:variant>
      <vt:variant>
        <vt:lpwstr>_Toc203474479</vt:lpwstr>
      </vt:variant>
      <vt:variant>
        <vt:i4>1048626</vt:i4>
      </vt:variant>
      <vt:variant>
        <vt:i4>62</vt:i4>
      </vt:variant>
      <vt:variant>
        <vt:i4>0</vt:i4>
      </vt:variant>
      <vt:variant>
        <vt:i4>5</vt:i4>
      </vt:variant>
      <vt:variant>
        <vt:lpwstr/>
      </vt:variant>
      <vt:variant>
        <vt:lpwstr>_Toc203474478</vt:lpwstr>
      </vt:variant>
      <vt:variant>
        <vt:i4>1048626</vt:i4>
      </vt:variant>
      <vt:variant>
        <vt:i4>56</vt:i4>
      </vt:variant>
      <vt:variant>
        <vt:i4>0</vt:i4>
      </vt:variant>
      <vt:variant>
        <vt:i4>5</vt:i4>
      </vt:variant>
      <vt:variant>
        <vt:lpwstr/>
      </vt:variant>
      <vt:variant>
        <vt:lpwstr>_Toc203474477</vt:lpwstr>
      </vt:variant>
      <vt:variant>
        <vt:i4>1048626</vt:i4>
      </vt:variant>
      <vt:variant>
        <vt:i4>50</vt:i4>
      </vt:variant>
      <vt:variant>
        <vt:i4>0</vt:i4>
      </vt:variant>
      <vt:variant>
        <vt:i4>5</vt:i4>
      </vt:variant>
      <vt:variant>
        <vt:lpwstr/>
      </vt:variant>
      <vt:variant>
        <vt:lpwstr>_Toc203474476</vt:lpwstr>
      </vt:variant>
      <vt:variant>
        <vt:i4>1048626</vt:i4>
      </vt:variant>
      <vt:variant>
        <vt:i4>44</vt:i4>
      </vt:variant>
      <vt:variant>
        <vt:i4>0</vt:i4>
      </vt:variant>
      <vt:variant>
        <vt:i4>5</vt:i4>
      </vt:variant>
      <vt:variant>
        <vt:lpwstr/>
      </vt:variant>
      <vt:variant>
        <vt:lpwstr>_Toc203474475</vt:lpwstr>
      </vt:variant>
      <vt:variant>
        <vt:i4>1048626</vt:i4>
      </vt:variant>
      <vt:variant>
        <vt:i4>38</vt:i4>
      </vt:variant>
      <vt:variant>
        <vt:i4>0</vt:i4>
      </vt:variant>
      <vt:variant>
        <vt:i4>5</vt:i4>
      </vt:variant>
      <vt:variant>
        <vt:lpwstr/>
      </vt:variant>
      <vt:variant>
        <vt:lpwstr>_Toc203474474</vt:lpwstr>
      </vt:variant>
      <vt:variant>
        <vt:i4>1048626</vt:i4>
      </vt:variant>
      <vt:variant>
        <vt:i4>32</vt:i4>
      </vt:variant>
      <vt:variant>
        <vt:i4>0</vt:i4>
      </vt:variant>
      <vt:variant>
        <vt:i4>5</vt:i4>
      </vt:variant>
      <vt:variant>
        <vt:lpwstr/>
      </vt:variant>
      <vt:variant>
        <vt:lpwstr>_Toc203474473</vt:lpwstr>
      </vt:variant>
      <vt:variant>
        <vt:i4>1048626</vt:i4>
      </vt:variant>
      <vt:variant>
        <vt:i4>26</vt:i4>
      </vt:variant>
      <vt:variant>
        <vt:i4>0</vt:i4>
      </vt:variant>
      <vt:variant>
        <vt:i4>5</vt:i4>
      </vt:variant>
      <vt:variant>
        <vt:lpwstr/>
      </vt:variant>
      <vt:variant>
        <vt:lpwstr>_Toc203474472</vt:lpwstr>
      </vt:variant>
      <vt:variant>
        <vt:i4>1048626</vt:i4>
      </vt:variant>
      <vt:variant>
        <vt:i4>20</vt:i4>
      </vt:variant>
      <vt:variant>
        <vt:i4>0</vt:i4>
      </vt:variant>
      <vt:variant>
        <vt:i4>5</vt:i4>
      </vt:variant>
      <vt:variant>
        <vt:lpwstr/>
      </vt:variant>
      <vt:variant>
        <vt:lpwstr>_Toc203474471</vt:lpwstr>
      </vt:variant>
      <vt:variant>
        <vt:i4>1048626</vt:i4>
      </vt:variant>
      <vt:variant>
        <vt:i4>14</vt:i4>
      </vt:variant>
      <vt:variant>
        <vt:i4>0</vt:i4>
      </vt:variant>
      <vt:variant>
        <vt:i4>5</vt:i4>
      </vt:variant>
      <vt:variant>
        <vt:lpwstr/>
      </vt:variant>
      <vt:variant>
        <vt:lpwstr>_Toc203474470</vt:lpwstr>
      </vt:variant>
      <vt:variant>
        <vt:i4>1114162</vt:i4>
      </vt:variant>
      <vt:variant>
        <vt:i4>8</vt:i4>
      </vt:variant>
      <vt:variant>
        <vt:i4>0</vt:i4>
      </vt:variant>
      <vt:variant>
        <vt:i4>5</vt:i4>
      </vt:variant>
      <vt:variant>
        <vt:lpwstr/>
      </vt:variant>
      <vt:variant>
        <vt:lpwstr>_Toc203474469</vt:lpwstr>
      </vt:variant>
      <vt:variant>
        <vt:i4>1114162</vt:i4>
      </vt:variant>
      <vt:variant>
        <vt:i4>2</vt:i4>
      </vt:variant>
      <vt:variant>
        <vt:i4>0</vt:i4>
      </vt:variant>
      <vt:variant>
        <vt:i4>5</vt:i4>
      </vt:variant>
      <vt:variant>
        <vt:lpwstr/>
      </vt:variant>
      <vt:variant>
        <vt:lpwstr>_Toc203474468</vt:lpwstr>
      </vt:variant>
      <vt:variant>
        <vt:i4>458756</vt:i4>
      </vt:variant>
      <vt:variant>
        <vt:i4>81</vt:i4>
      </vt:variant>
      <vt:variant>
        <vt:i4>0</vt:i4>
      </vt:variant>
      <vt:variant>
        <vt:i4>5</vt:i4>
      </vt:variant>
      <vt:variant>
        <vt:lpwstr>https://www.pse.pl/-/projekt-nowego-planu-rozwoju-sieci-przesylowej-na-lata-2025-2034-uzgodniony</vt:lpwstr>
      </vt:variant>
      <vt:variant>
        <vt:lpwstr/>
      </vt:variant>
      <vt:variant>
        <vt:i4>327689</vt:i4>
      </vt:variant>
      <vt:variant>
        <vt:i4>78</vt:i4>
      </vt:variant>
      <vt:variant>
        <vt:i4>0</vt:i4>
      </vt:variant>
      <vt:variant>
        <vt:i4>5</vt:i4>
      </vt:variant>
      <vt:variant>
        <vt:lpwstr>https://eur-lex.europa.eu/legal-content/EN/TXT/?uri=CELEX%3A52025DC0079&amp;qid=1741780110418</vt:lpwstr>
      </vt:variant>
      <vt:variant>
        <vt:lpwstr/>
      </vt:variant>
      <vt:variant>
        <vt:i4>3145774</vt:i4>
      </vt:variant>
      <vt:variant>
        <vt:i4>72</vt:i4>
      </vt:variant>
      <vt:variant>
        <vt:i4>0</vt:i4>
      </vt:variant>
      <vt:variant>
        <vt:i4>5</vt:i4>
      </vt:variant>
      <vt:variant>
        <vt:lpwstr>https://www.google.com/url?sa=t&amp;source=web&amp;rct=j&amp;opi=89978449&amp;url=https://hydrogeneurope.eu/wp-content/uploads/2024/11/Clean_Hydrogen_Monitor_11-2024_V2_DIGITAL_draft3-1.pdf</vt:lpwstr>
      </vt:variant>
      <vt:variant>
        <vt:lpwstr/>
      </vt:variant>
      <vt:variant>
        <vt:i4>4587523</vt:i4>
      </vt:variant>
      <vt:variant>
        <vt:i4>69</vt:i4>
      </vt:variant>
      <vt:variant>
        <vt:i4>0</vt:i4>
      </vt:variant>
      <vt:variant>
        <vt:i4>5</vt:i4>
      </vt:variant>
      <vt:variant>
        <vt:lpwstr>https://www.google.com/url?sa=t&amp;source=web&amp;rct=j&amp;opi=89978449&amp;url=https://bip-europe.eu/&amp;ved=2ahUKEwjJlvWn6Z2NAxUFEBAIHZYhCj4QFnoECBcQAQ&amp;usg=AOvVaw3Qr0ZIoHXFjVW0zEGkWGgr</vt:lpwstr>
      </vt:variant>
      <vt:variant>
        <vt:lpwstr/>
      </vt:variant>
      <vt:variant>
        <vt:i4>3145829</vt:i4>
      </vt:variant>
      <vt:variant>
        <vt:i4>66</vt:i4>
      </vt:variant>
      <vt:variant>
        <vt:i4>0</vt:i4>
      </vt:variant>
      <vt:variant>
        <vt:i4>5</vt:i4>
      </vt:variant>
      <vt:variant>
        <vt:lpwstr>https://www.google.com/url?sa=t&amp;source=web&amp;rct=j&amp;opi=89978449&amp;url=https://bioch4.org/wp-content/uploads/2025/04/Skrot-do-raportu-POB-nt.-stanu-i-perspektyw-rozwoju-inwestycji-biometanowych-w-Polsce-1.pdf</vt:lpwstr>
      </vt:variant>
      <vt:variant>
        <vt:lpwstr/>
      </vt:variant>
      <vt:variant>
        <vt:i4>393284</vt:i4>
      </vt:variant>
      <vt:variant>
        <vt:i4>63</vt:i4>
      </vt:variant>
      <vt:variant>
        <vt:i4>0</vt:i4>
      </vt:variant>
      <vt:variant>
        <vt:i4>5</vt:i4>
      </vt:variant>
      <vt:variant>
        <vt:lpwstr>https://www.google.com/url?sa=t&amp;source=web&amp;rct=j&amp;opi=89978449&amp;url=https://www.gov.pl/attachment/1d27ccd0-14be-46ee-9535-68cef31dd0b0</vt:lpwstr>
      </vt:variant>
      <vt:variant>
        <vt:lpwstr/>
      </vt:variant>
      <vt:variant>
        <vt:i4>5308437</vt:i4>
      </vt:variant>
      <vt:variant>
        <vt:i4>60</vt:i4>
      </vt:variant>
      <vt:variant>
        <vt:i4>0</vt:i4>
      </vt:variant>
      <vt:variant>
        <vt:i4>5</vt:i4>
      </vt:variant>
      <vt:variant>
        <vt:lpwstr>https://www.are.waw.pl/badania-statystyczne/wynikowe-informacje-statystyczne</vt:lpwstr>
      </vt:variant>
      <vt:variant>
        <vt:lpwstr>bilans-energii-pierwotnej</vt:lpwstr>
      </vt:variant>
      <vt:variant>
        <vt:i4>5308437</vt:i4>
      </vt:variant>
      <vt:variant>
        <vt:i4>57</vt:i4>
      </vt:variant>
      <vt:variant>
        <vt:i4>0</vt:i4>
      </vt:variant>
      <vt:variant>
        <vt:i4>5</vt:i4>
      </vt:variant>
      <vt:variant>
        <vt:lpwstr>https://www.are.waw.pl/badania-statystyczne/wynikowe-informacje-statystyczne</vt:lpwstr>
      </vt:variant>
      <vt:variant>
        <vt:lpwstr>bilans-energii-pierwotnej</vt:lpwstr>
      </vt:variant>
      <vt:variant>
        <vt:i4>5308437</vt:i4>
      </vt:variant>
      <vt:variant>
        <vt:i4>54</vt:i4>
      </vt:variant>
      <vt:variant>
        <vt:i4>0</vt:i4>
      </vt:variant>
      <vt:variant>
        <vt:i4>5</vt:i4>
      </vt:variant>
      <vt:variant>
        <vt:lpwstr>https://www.are.waw.pl/badania-statystyczne/wynikowe-informacje-statystyczne</vt:lpwstr>
      </vt:variant>
      <vt:variant>
        <vt:lpwstr>bilans-energii-pierwotnej</vt:lpwstr>
      </vt:variant>
      <vt:variant>
        <vt:i4>4456469</vt:i4>
      </vt:variant>
      <vt:variant>
        <vt:i4>51</vt:i4>
      </vt:variant>
      <vt:variant>
        <vt:i4>0</vt:i4>
      </vt:variant>
      <vt:variant>
        <vt:i4>5</vt:i4>
      </vt:variant>
      <vt:variant>
        <vt:lpwstr>https://www.pse.pl/mapa-raportow</vt:lpwstr>
      </vt:variant>
      <vt:variant>
        <vt:lpwstr/>
      </vt:variant>
      <vt:variant>
        <vt:i4>6094918</vt:i4>
      </vt:variant>
      <vt:variant>
        <vt:i4>48</vt:i4>
      </vt:variant>
      <vt:variant>
        <vt:i4>0</vt:i4>
      </vt:variant>
      <vt:variant>
        <vt:i4>5</vt:i4>
      </vt:variant>
      <vt:variant>
        <vt:lpwstr>https://polskirynekwegla.pl/statystyka-publiczna</vt:lpwstr>
      </vt:variant>
      <vt:variant>
        <vt:lpwstr/>
      </vt:variant>
      <vt:variant>
        <vt:i4>5308437</vt:i4>
      </vt:variant>
      <vt:variant>
        <vt:i4>45</vt:i4>
      </vt:variant>
      <vt:variant>
        <vt:i4>0</vt:i4>
      </vt:variant>
      <vt:variant>
        <vt:i4>5</vt:i4>
      </vt:variant>
      <vt:variant>
        <vt:lpwstr>https://www.are.waw.pl/badania-statystyczne/wynikowe-informacje-statystyczne</vt:lpwstr>
      </vt:variant>
      <vt:variant>
        <vt:lpwstr>bilans-energii-pierwotnej</vt:lpwstr>
      </vt:variant>
      <vt:variant>
        <vt:i4>3801207</vt:i4>
      </vt:variant>
      <vt:variant>
        <vt:i4>42</vt:i4>
      </vt:variant>
      <vt:variant>
        <vt:i4>0</vt:i4>
      </vt:variant>
      <vt:variant>
        <vt:i4>5</vt:i4>
      </vt:variant>
      <vt:variant>
        <vt:lpwstr>https://www.pgi.gov.pl/oferta-inst/wydawnictwa/serie-wydawnicze/bilans-zasobow-kopalin.html</vt:lpwstr>
      </vt:variant>
      <vt:variant>
        <vt:lpwstr/>
      </vt:variant>
      <vt:variant>
        <vt:i4>3604501</vt:i4>
      </vt:variant>
      <vt:variant>
        <vt:i4>30</vt:i4>
      </vt:variant>
      <vt:variant>
        <vt:i4>0</vt:i4>
      </vt:variant>
      <vt:variant>
        <vt:i4>5</vt:i4>
      </vt:variant>
      <vt:variant>
        <vt:lpwstr>https://eur-lex.europa.eu/legal-content/EN/TXT/?uri=COM%3A2023%3A796%3AFIN&amp;pk_campaign=preparatory&amp;pk_source=EURLEX&amp;pk_medium=TW&amp;pk_keyword=EUGreenDeal&amp;pk_content=Communication&amp;pk_cid=EURLEX_todaysOJ</vt:lpwstr>
      </vt:variant>
      <vt:variant>
        <vt:lpwstr/>
      </vt:variant>
      <vt:variant>
        <vt:i4>3276916</vt:i4>
      </vt:variant>
      <vt:variant>
        <vt:i4>24</vt:i4>
      </vt:variant>
      <vt:variant>
        <vt:i4>0</vt:i4>
      </vt:variant>
      <vt:variant>
        <vt:i4>5</vt:i4>
      </vt:variant>
      <vt:variant>
        <vt:lpwstr>https://wisl.pl/wyniki</vt:lpwstr>
      </vt:variant>
      <vt:variant>
        <vt:lpwstr/>
      </vt:variant>
      <vt:variant>
        <vt:i4>4587599</vt:i4>
      </vt:variant>
      <vt:variant>
        <vt:i4>21</vt:i4>
      </vt:variant>
      <vt:variant>
        <vt:i4>0</vt:i4>
      </vt:variant>
      <vt:variant>
        <vt:i4>5</vt:i4>
      </vt:variant>
      <vt:variant>
        <vt:lpwstr>https://ec.europa.eu/eurostat/web/products-eurostat-news/w/ddn-20240205-1</vt:lpwstr>
      </vt:variant>
      <vt:variant>
        <vt:lpwstr/>
      </vt:variant>
      <vt:variant>
        <vt:i4>5767206</vt:i4>
      </vt:variant>
      <vt:variant>
        <vt:i4>18</vt:i4>
      </vt:variant>
      <vt:variant>
        <vt:i4>0</vt:i4>
      </vt:variant>
      <vt:variant>
        <vt:i4>5</vt:i4>
      </vt:variant>
      <vt:variant>
        <vt:lpwstr>https://eur-lex.europa.eu/legal-content/PL/TXT/PDF/?uri=OJ:C_202502238&amp;qid=1744804235759</vt:lpwstr>
      </vt:variant>
      <vt:variant>
        <vt:lpwstr/>
      </vt:variant>
      <vt:variant>
        <vt:i4>1507347</vt:i4>
      </vt:variant>
      <vt:variant>
        <vt:i4>15</vt:i4>
      </vt:variant>
      <vt:variant>
        <vt:i4>0</vt:i4>
      </vt:variant>
      <vt:variant>
        <vt:i4>5</vt:i4>
      </vt:variant>
      <vt:variant>
        <vt:lpwstr>https://stat.gov.pl/obszary-tematyczne/srodowisko-energia/energia/zuzycie-nosnikow-energii-w-gospodarstwach-domowych-w-2021-r-,13,1.html</vt:lpwstr>
      </vt:variant>
      <vt:variant>
        <vt:lpwstr/>
      </vt:variant>
      <vt:variant>
        <vt:i4>1376275</vt:i4>
      </vt:variant>
      <vt:variant>
        <vt:i4>3</vt:i4>
      </vt:variant>
      <vt:variant>
        <vt:i4>0</vt:i4>
      </vt:variant>
      <vt:variant>
        <vt:i4>5</vt:i4>
      </vt:variant>
      <vt:variant>
        <vt:lpwstr>https://eur-lex.europa.eu/legal-content/EN/TXT/?uri=CELEX:52021SC0621</vt:lpwstr>
      </vt:variant>
      <vt:variant>
        <vt:lpwstr/>
      </vt:variant>
      <vt:variant>
        <vt:i4>1310740</vt:i4>
      </vt:variant>
      <vt:variant>
        <vt:i4>0</vt:i4>
      </vt:variant>
      <vt:variant>
        <vt:i4>0</vt:i4>
      </vt:variant>
      <vt:variant>
        <vt:i4>5</vt:i4>
      </vt:variant>
      <vt:variant>
        <vt:lpwstr>https://www.kobize.pl/pl/fileCategory/id/16/krajowa-inwentaryzacja-emisji</vt:lpwstr>
      </vt:variant>
      <vt:variant>
        <vt:lpwstr/>
      </vt:variant>
      <vt:variant>
        <vt:i4>917578</vt:i4>
      </vt:variant>
      <vt:variant>
        <vt:i4>0</vt:i4>
      </vt:variant>
      <vt:variant>
        <vt:i4>0</vt:i4>
      </vt:variant>
      <vt:variant>
        <vt:i4>5</vt:i4>
      </vt:variant>
      <vt:variant>
        <vt:lpwstr>https://lewiatan.org/wp-content/uploads/2022/09/RAPORT_zielone_kompetencje-1.pdf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Kocon Marta</dc:creator>
  <cp:keywords/>
  <dc:description/>
  <cp:lastModifiedBy>Madyniak Anna</cp:lastModifiedBy>
  <cp:revision>4</cp:revision>
  <cp:lastPrinted>2025-03-27T14:54:00Z</cp:lastPrinted>
  <dcterms:created xsi:type="dcterms:W3CDTF">2025-08-06T10:27:00Z</dcterms:created>
  <dcterms:modified xsi:type="dcterms:W3CDTF">2025-08-06T16:07:00Z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0x010100C6A0E0BFCF9A9445871829823D8E485C</vt:lpwstr>
  </property>
</Properties>
</file>